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257175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5" w:lineRule="exact"/>
        <w:rPr>
          <w:sz w:val="24"/>
          <w:szCs w:val="24"/>
          <w:color w:val="auto"/>
        </w:rPr>
      </w:pPr>
    </w:p>
    <w:p>
      <w:pPr>
        <w:ind w:left="326" w:hanging="326"/>
        <w:spacing w:after="0"/>
        <w:tabs>
          <w:tab w:leader="none" w:pos="326"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ANNUAL REPORT PURSUANT TO SECTION 13 OR 15(d) OF THE SECURITIES EXCHANGE ACT OF 1934</w:t>
      </w:r>
    </w:p>
    <w:p>
      <w:pPr>
        <w:spacing w:after="0" w:line="78" w:lineRule="exact"/>
        <w:rPr>
          <w:rFonts w:ascii="MS PGothic" w:cs="MS PGothic" w:eastAsia="MS PGothic" w:hAnsi="MS PGothic"/>
          <w:sz w:val="13"/>
          <w:szCs w:val="13"/>
          <w:color w:val="auto"/>
        </w:rPr>
      </w:pPr>
    </w:p>
    <w:p>
      <w:pPr>
        <w:ind w:left="3886"/>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For the Fiscal Year Ended December 31, 2024</w:t>
      </w:r>
    </w:p>
    <w:p>
      <w:pPr>
        <w:spacing w:after="0" w:line="8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6" w:lineRule="exact"/>
        <w:rPr>
          <w:sz w:val="24"/>
          <w:szCs w:val="24"/>
          <w:color w:val="auto"/>
        </w:rPr>
      </w:pPr>
    </w:p>
    <w:p>
      <w:pPr>
        <w:ind w:left="326" w:right="3820" w:hanging="326"/>
        <w:spacing w:after="0" w:line="345" w:lineRule="auto"/>
        <w:tabs>
          <w:tab w:leader="none" w:pos="326"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TRANSITION REPORT PURSUANT TO SECTION 13 OR 15(d) OF THE SECURITIES EXCHANGE ACT OF 1934 For the transition period from _______________ to ______________.</w:t>
      </w:r>
    </w:p>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Commission File Number: 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2233295</wp:posOffset>
            </wp:positionH>
            <wp:positionV relativeFrom="paragraph">
              <wp:posOffset>46355</wp:posOffset>
            </wp:positionV>
            <wp:extent cx="202311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3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9" w:lineRule="exact"/>
        <w:rPr>
          <w:sz w:val="24"/>
          <w:szCs w:val="24"/>
          <w:color w:val="auto"/>
        </w:rPr>
      </w:pPr>
    </w:p>
    <w:tbl>
      <w:tblPr>
        <w:tblLayout w:type="fixed"/>
        <w:tblInd w:w="1146" w:type="dxa"/>
        <w:tblCellMar>
          <w:top w:w="0" w:type="dxa"/>
          <w:left w:w="0" w:type="dxa"/>
          <w:bottom w:w="0" w:type="dxa"/>
          <w:right w:w="0" w:type="dxa"/>
        </w:tblCellMar>
      </w:tblPr>
      <w:tr>
        <w:trPr>
          <w:trHeight w:val="149"/>
        </w:trPr>
        <w:tc>
          <w:tcPr>
            <w:tcW w:w="1120" w:type="dxa"/>
            <w:vAlign w:val="bottom"/>
            <w:vMerge w:val="restart"/>
          </w:tcPr>
          <w:p>
            <w:pPr>
              <w:ind w:left="640"/>
              <w:spacing w:after="0"/>
              <w:rPr>
                <w:sz w:val="20"/>
                <w:szCs w:val="20"/>
                <w:color w:val="auto"/>
              </w:rPr>
            </w:pPr>
            <w:r>
              <w:rPr>
                <w:rFonts w:ascii="Times New Roman" w:cs="Times New Roman" w:eastAsia="Times New Roman" w:hAnsi="Times New Roman"/>
                <w:sz w:val="13"/>
                <w:szCs w:val="13"/>
                <w:color w:val="auto"/>
              </w:rPr>
              <w:t>(State or</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520" w:type="dxa"/>
            <w:vAlign w:val="bottom"/>
          </w:tcPr>
          <w:p>
            <w:pPr>
              <w:spacing w:after="0"/>
              <w:rPr>
                <w:sz w:val="12"/>
                <w:szCs w:val="12"/>
                <w:color w:val="auto"/>
              </w:rPr>
            </w:pPr>
          </w:p>
        </w:tc>
        <w:tc>
          <w:tcPr>
            <w:tcW w:w="428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45-4497941</w:t>
            </w: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120" w:type="dxa"/>
            <w:vAlign w:val="bottom"/>
            <w:vMerge w:val="continue"/>
          </w:tcPr>
          <w:p>
            <w:pPr>
              <w:spacing w:after="0"/>
              <w:rPr>
                <w:sz w:val="9"/>
                <w:szCs w:val="9"/>
                <w:color w:val="auto"/>
              </w:rPr>
            </w:pPr>
          </w:p>
        </w:tc>
        <w:tc>
          <w:tcPr>
            <w:tcW w:w="202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other jurisdiction of</w:t>
            </w:r>
          </w:p>
        </w:tc>
        <w:tc>
          <w:tcPr>
            <w:tcW w:w="4280" w:type="dxa"/>
            <w:vAlign w:val="bottom"/>
            <w:gridSpan w:val="3"/>
          </w:tcPr>
          <w:p>
            <w:pPr>
              <w:jc w:val="center"/>
              <w:ind w:left="2478"/>
              <w:spacing w:after="0" w:line="110" w:lineRule="exact"/>
              <w:rPr>
                <w:sz w:val="20"/>
                <w:szCs w:val="20"/>
                <w:color w:val="auto"/>
              </w:rPr>
            </w:pPr>
            <w:r>
              <w:rPr>
                <w:rFonts w:ascii="Times New Roman" w:cs="Times New Roman" w:eastAsia="Times New Roman" w:hAnsi="Times New Roman"/>
                <w:sz w:val="12"/>
                <w:szCs w:val="12"/>
                <w:color w:val="auto"/>
              </w:rPr>
              <w:t>(IRS Employer Identification No.)</w:t>
            </w:r>
          </w:p>
        </w:tc>
        <w:tc>
          <w:tcPr>
            <w:tcW w:w="0" w:type="dxa"/>
            <w:vAlign w:val="bottom"/>
          </w:tcPr>
          <w:p>
            <w:pPr>
              <w:spacing w:after="0"/>
              <w:rPr>
                <w:sz w:val="1"/>
                <w:szCs w:val="1"/>
                <w:color w:val="auto"/>
              </w:rPr>
            </w:pPr>
          </w:p>
        </w:tc>
      </w:tr>
      <w:tr>
        <w:trPr>
          <w:trHeight w:val="164"/>
        </w:trPr>
        <w:tc>
          <w:tcPr>
            <w:tcW w:w="31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color w:val="auto"/>
                <w:w w:val="96"/>
              </w:rPr>
              <w:t>incorporation)</w:t>
            </w:r>
          </w:p>
        </w:tc>
        <w:tc>
          <w:tcPr>
            <w:tcW w:w="3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2450 Holcombe Blvd, Suite BCM-A, MS: BCM251</w:t>
            </w:r>
          </w:p>
        </w:tc>
        <w:tc>
          <w:tcPr>
            <w:tcW w:w="3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140" w:type="dxa"/>
            <w:vAlign w:val="bottom"/>
            <w:gridSpan w:val="3"/>
          </w:tcPr>
          <w:p>
            <w:pPr>
              <w:jc w:val="center"/>
              <w:ind w:right="400"/>
              <w:spacing w:after="0" w:line="137" w:lineRule="exact"/>
              <w:rPr>
                <w:sz w:val="20"/>
                <w:szCs w:val="20"/>
                <w:color w:val="auto"/>
              </w:rPr>
            </w:pPr>
            <w:r>
              <w:rPr>
                <w:rFonts w:ascii="Times New Roman" w:cs="Times New Roman" w:eastAsia="Times New Roman" w:hAnsi="Times New Roman"/>
                <w:sz w:val="13"/>
                <w:szCs w:val="13"/>
                <w:b w:val="1"/>
                <w:bCs w:val="1"/>
                <w:color w:val="auto"/>
                <w:w w:val="95"/>
              </w:rPr>
              <w:t>Houston, Texas</w:t>
            </w:r>
          </w:p>
        </w:tc>
        <w:tc>
          <w:tcPr>
            <w:tcW w:w="3720" w:type="dxa"/>
            <w:vAlign w:val="bottom"/>
            <w:gridSpan w:val="2"/>
          </w:tcPr>
          <w:p>
            <w:pPr>
              <w:jc w:val="right"/>
              <w:ind w:right="77"/>
              <w:spacing w:after="0" w:line="137" w:lineRule="exact"/>
              <w:rPr>
                <w:sz w:val="20"/>
                <w:szCs w:val="20"/>
                <w:color w:val="auto"/>
              </w:rPr>
            </w:pPr>
            <w:r>
              <w:rPr>
                <w:rFonts w:ascii="Times New Roman" w:cs="Times New Roman" w:eastAsia="Times New Roman" w:hAnsi="Times New Roman"/>
                <w:sz w:val="13"/>
                <w:szCs w:val="13"/>
                <w:b w:val="1"/>
                <w:bCs w:val="1"/>
                <w:color w:val="auto"/>
              </w:rPr>
              <w:t>77021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1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12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color w:val="auto"/>
                <w:w w:val="95"/>
              </w:rPr>
              <w:t>(Zip code)</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120" w:type="dxa"/>
            <w:vAlign w:val="bottom"/>
          </w:tcPr>
          <w:p>
            <w:pPr>
              <w:jc w:val="right"/>
              <w:ind w:right="1838"/>
              <w:spacing w:after="0"/>
              <w:rPr>
                <w:sz w:val="20"/>
                <w:szCs w:val="20"/>
                <w:color w:val="auto"/>
              </w:rPr>
            </w:pPr>
            <w:r>
              <w:rPr>
                <w:rFonts w:ascii="Times New Roman" w:cs="Times New Roman" w:eastAsia="Times New Roman" w:hAnsi="Times New Roman"/>
                <w:sz w:val="13"/>
                <w:szCs w:val="13"/>
                <w:b w:val="1"/>
                <w:bCs w:val="1"/>
                <w:u w:val="single" w:color="auto"/>
                <w:color w:val="auto"/>
              </w:rPr>
              <w:t>(713) 400-6400</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
        <w:spacing w:after="0"/>
        <w:rPr>
          <w:sz w:val="20"/>
          <w:szCs w:val="20"/>
          <w:color w:val="auto"/>
        </w:rPr>
      </w:pPr>
      <w:r>
        <w:rPr>
          <w:rFonts w:ascii="Times New Roman" w:cs="Times New Roman" w:eastAsia="Times New Roman" w:hAnsi="Times New Roman"/>
          <w:sz w:val="13"/>
          <w:szCs w:val="13"/>
          <w:color w:val="auto"/>
        </w:rPr>
        <w:t>(Telephone Number)</w:t>
      </w:r>
    </w:p>
    <w:p>
      <w:pPr>
        <w:spacing w:after="0" w:line="24"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9350 Kirby Drive, Suite 300, Houston, Texas, 77032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6480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jc w:val="center"/>
        <w:ind w:right="14"/>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12"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4" w:lineRule="exact"/>
        <w:rPr>
          <w:sz w:val="24"/>
          <w:szCs w:val="24"/>
          <w:color w:val="auto"/>
        </w:rPr>
      </w:pPr>
    </w:p>
    <w:tbl>
      <w:tblPr>
        <w:tblLayout w:type="fixed"/>
        <w:tblInd w:w="16" w:type="dxa"/>
        <w:tblCellMar>
          <w:top w:w="0" w:type="dxa"/>
          <w:left w:w="0" w:type="dxa"/>
          <w:bottom w:w="0" w:type="dxa"/>
          <w:right w:w="0" w:type="dxa"/>
        </w:tblCellMar>
      </w:tblPr>
      <w:tr>
        <w:trPr>
          <w:trHeight w:val="148"/>
        </w:trPr>
        <w:tc>
          <w:tcPr>
            <w:tcW w:w="3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Title of each class</w:t>
            </w:r>
          </w:p>
        </w:tc>
        <w:tc>
          <w:tcPr>
            <w:tcW w:w="30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Trading Symbol(s)</w:t>
            </w:r>
          </w:p>
        </w:tc>
        <w:tc>
          <w:tcPr>
            <w:tcW w:w="35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29"/>
        </w:trPr>
        <w:tc>
          <w:tcPr>
            <w:tcW w:w="364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Common Stock, par value $0.001 per share</w:t>
            </w:r>
          </w:p>
        </w:tc>
        <w:tc>
          <w:tcPr>
            <w:tcW w:w="3040" w:type="dxa"/>
            <w:vAlign w:val="bottom"/>
            <w:tcBorders>
              <w:bottom w:val="single" w:sz="8" w:color="auto"/>
              <w:right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color w:val="auto"/>
              </w:rPr>
              <w:t>MRKR</w:t>
            </w:r>
          </w:p>
        </w:tc>
        <w:tc>
          <w:tcPr>
            <w:tcW w:w="3540" w:type="dxa"/>
            <w:vAlign w:val="bottom"/>
            <w:tcBorders>
              <w:bottom w:val="single" w:sz="8" w:color="auto"/>
              <w:right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20"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u w:val="single" w:color="auto"/>
          <w:color w:val="auto"/>
        </w:rPr>
        <w:t>None</w:t>
      </w:r>
    </w:p>
    <w:p>
      <w:pPr>
        <w:spacing w:after="0" w:line="17" w:lineRule="exact"/>
        <w:rPr>
          <w:sz w:val="24"/>
          <w:szCs w:val="24"/>
          <w:color w:val="auto"/>
        </w:rPr>
      </w:pPr>
    </w:p>
    <w:p>
      <w:pPr>
        <w:ind w:left="6" w:right="3480"/>
        <w:spacing w:after="0" w:line="199"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of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jc w:val="both"/>
        <w:ind w:left="6"/>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ind w:left="6"/>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ind w:left="6" w:right="20"/>
        <w:spacing w:after="0" w:line="233" w:lineRule="auto"/>
        <w:rPr>
          <w:sz w:val="20"/>
          <w:szCs w:val="20"/>
          <w:color w:val="auto"/>
        </w:rPr>
      </w:pPr>
      <w:r>
        <w:rPr>
          <w:rFonts w:ascii="Times New Roman" w:cs="Times New Roman" w:eastAsia="Times New Roman" w:hAnsi="Times New Roman"/>
          <w:sz w:val="13"/>
          <w:szCs w:val="13"/>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1026" w:type="dxa"/>
        <w:tblCellMar>
          <w:top w:w="0" w:type="dxa"/>
          <w:left w:w="0" w:type="dxa"/>
          <w:bottom w:w="0" w:type="dxa"/>
          <w:right w:w="0" w:type="dxa"/>
        </w:tblCellMar>
      </w:tblPr>
      <w:tr>
        <w:trPr>
          <w:trHeight w:val="155"/>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12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3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Accelerated filer</w:t>
            </w:r>
          </w:p>
        </w:tc>
        <w:tc>
          <w:tcPr>
            <w:tcW w:w="1760" w:type="dxa"/>
            <w:vAlign w:val="bottom"/>
          </w:tcPr>
          <w:p>
            <w:pPr>
              <w:ind w:left="1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12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3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760" w:type="dxa"/>
            <w:vAlign w:val="bottom"/>
          </w:tcPr>
          <w:p>
            <w:pPr>
              <w:ind w:left="1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2"/>
        </w:trPr>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760" w:type="dxa"/>
            <w:vAlign w:val="bottom"/>
          </w:tcPr>
          <w:p>
            <w:pPr>
              <w:ind w:left="1640"/>
              <w:spacing w:after="0" w:line="131" w:lineRule="exact"/>
              <w:rPr>
                <w:sz w:val="20"/>
                <w:szCs w:val="20"/>
                <w:color w:val="auto"/>
              </w:rPr>
            </w:pPr>
            <w:r>
              <w:rPr>
                <w:rFonts w:ascii="MS PGothic" w:cs="MS PGothic" w:eastAsia="MS PGothic" w:hAnsi="MS PGothic"/>
                <w:sz w:val="13"/>
                <w:szCs w:val="13"/>
                <w:color w:val="auto"/>
                <w:w w:val="76"/>
              </w:rPr>
              <w:t>☐</w:t>
            </w:r>
          </w:p>
        </w:tc>
      </w:tr>
    </w:tbl>
    <w:p>
      <w:pPr>
        <w:jc w:val="both"/>
        <w:ind w:left="6" w:right="20"/>
        <w:spacing w:after="0" w:line="15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ind w:left="6"/>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jc w:val="both"/>
        <w:ind w:left="6"/>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jc w:val="both"/>
        <w:ind w:left="6" w:right="2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ind w:left="6"/>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jc w:val="both"/>
        <w:ind w:left="6" w:right="20"/>
        <w:spacing w:after="0" w:line="233"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as of June 30, 2024 (the last day of the registrant’s most recently completed second fiscal quarter) based on the closing sale price of $5.43 as reported on the Nasdaq Capital Market as of that date was approximately $48,450,000.</w:t>
      </w:r>
    </w:p>
    <w:p>
      <w:pPr>
        <w:spacing w:after="0" w:line="12"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The registrant had 10,709,005 shares of common stock outstanding as of March 18, 2025.</w:t>
      </w:r>
    </w:p>
    <w:p>
      <w:pPr>
        <w:spacing w:after="0" w:line="24" w:lineRule="exact"/>
        <w:rPr>
          <w:sz w:val="24"/>
          <w:szCs w:val="24"/>
          <w:color w:val="auto"/>
        </w:rPr>
      </w:pPr>
    </w:p>
    <w:p>
      <w:pPr>
        <w:ind w:left="4066"/>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8" w:lineRule="exact"/>
        <w:rPr>
          <w:sz w:val="24"/>
          <w:szCs w:val="24"/>
          <w:color w:val="auto"/>
        </w:rPr>
      </w:pPr>
    </w:p>
    <w:p>
      <w:pPr>
        <w:jc w:val="both"/>
        <w:ind w:left="6"/>
        <w:spacing w:after="0" w:line="232" w:lineRule="auto"/>
        <w:rPr>
          <w:sz w:val="20"/>
          <w:szCs w:val="20"/>
          <w:color w:val="auto"/>
        </w:rPr>
      </w:pPr>
      <w:r>
        <w:rPr>
          <w:rFonts w:ascii="Times New Roman" w:cs="Times New Roman" w:eastAsia="Times New Roman" w:hAnsi="Times New Roman"/>
          <w:sz w:val="13"/>
          <w:szCs w:val="13"/>
          <w:color w:val="auto"/>
        </w:rPr>
        <w:t>Portions of the registrant’s proxy statement relating to registrant’s 2024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464820</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45085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87630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5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2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83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FORWARD LOOKING STATEMENTS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6"/>
        </w:trPr>
        <w:tc>
          <w:tcPr>
            <w:tcW w:w="1200" w:type="dxa"/>
            <w:vAlign w:val="bottom"/>
            <w:gridSpan w:val="9"/>
            <w:vMerge w:val="continue"/>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680" w:type="dxa"/>
            <w:vAlign w:val="bottom"/>
            <w:gridSpan w:val="7"/>
          </w:tcPr>
          <w:p>
            <w:pPr>
              <w:spacing w:after="0"/>
              <w:rPr>
                <w:sz w:val="17"/>
                <w:szCs w:val="17"/>
                <w:color w:val="auto"/>
              </w:rPr>
            </w:pPr>
          </w:p>
        </w:tc>
        <w:tc>
          <w:tcPr>
            <w:tcW w:w="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7680" w:type="dxa"/>
            <w:vAlign w:val="bottom"/>
            <w:gridSpan w:val="2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500" w:type="dxa"/>
            <w:vAlign w:val="bottom"/>
          </w:tcPr>
          <w:p>
            <w:pPr>
              <w:spacing w:after="0"/>
              <w:rPr>
                <w:sz w:val="17"/>
                <w:szCs w:val="17"/>
                <w:color w:val="auto"/>
              </w:rPr>
            </w:pPr>
          </w:p>
        </w:tc>
        <w:tc>
          <w:tcPr>
            <w:tcW w:w="83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1B.</w:t>
            </w:r>
          </w:p>
        </w:tc>
        <w:tc>
          <w:tcPr>
            <w:tcW w:w="500" w:type="dxa"/>
            <w:vAlign w:val="bottom"/>
          </w:tcPr>
          <w:p>
            <w:pPr>
              <w:spacing w:after="0"/>
              <w:rPr>
                <w:sz w:val="17"/>
                <w:szCs w:val="17"/>
                <w:color w:val="auto"/>
              </w:rPr>
            </w:pPr>
          </w:p>
        </w:tc>
        <w:tc>
          <w:tcPr>
            <w:tcW w:w="83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1C.</w:t>
            </w:r>
          </w:p>
        </w:tc>
        <w:tc>
          <w:tcPr>
            <w:tcW w:w="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0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32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40" w:type="dxa"/>
            <w:vAlign w:val="bottom"/>
            <w:tcBorders>
              <w:top w:val="single" w:sz="8" w:color="0000EE"/>
            </w:tcBorders>
            <w:gridSpan w:val="5"/>
          </w:tcPr>
          <w:p>
            <w:pPr>
              <w:spacing w:after="0"/>
              <w:rPr>
                <w:sz w:val="17"/>
                <w:szCs w:val="17"/>
                <w:color w:val="auto"/>
              </w:rPr>
            </w:pPr>
          </w:p>
        </w:tc>
        <w:tc>
          <w:tcPr>
            <w:tcW w:w="540" w:type="dxa"/>
            <w:vAlign w:val="bottom"/>
            <w:gridSpan w:val="2"/>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220" w:type="dxa"/>
            <w:vAlign w:val="bottom"/>
            <w:tcBorders>
              <w:top w:val="single" w:sz="8" w:color="0000EE"/>
            </w:tcBorders>
            <w:gridSpan w:val="2"/>
          </w:tcPr>
          <w:p>
            <w:pPr>
              <w:spacing w:after="0"/>
              <w:rPr>
                <w:sz w:val="17"/>
                <w:szCs w:val="17"/>
                <w:color w:val="auto"/>
              </w:rPr>
            </w:pPr>
          </w:p>
        </w:tc>
        <w:tc>
          <w:tcPr>
            <w:tcW w:w="736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680" w:type="dxa"/>
            <w:vAlign w:val="bottom"/>
            <w:gridSpan w:val="7"/>
          </w:tcPr>
          <w:p>
            <w:pPr>
              <w:spacing w:after="0"/>
              <w:rPr>
                <w:sz w:val="17"/>
                <w:szCs w:val="17"/>
                <w:color w:val="auto"/>
              </w:rPr>
            </w:pPr>
          </w:p>
        </w:tc>
        <w:tc>
          <w:tcPr>
            <w:tcW w:w="13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6980" w:type="dxa"/>
            <w:vAlign w:val="bottom"/>
            <w:gridSpan w:val="2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680" w:type="dxa"/>
            <w:vAlign w:val="bottom"/>
            <w:gridSpan w:val="7"/>
          </w:tcPr>
          <w:p>
            <w:pPr>
              <w:spacing w:after="0"/>
              <w:rPr>
                <w:sz w:val="17"/>
                <w:szCs w:val="17"/>
                <w:color w:val="auto"/>
              </w:rPr>
            </w:pPr>
          </w:p>
        </w:tc>
        <w:tc>
          <w:tcPr>
            <w:tcW w:w="17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662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w:t>
            </w:r>
          </w:p>
        </w:tc>
        <w:tc>
          <w:tcPr>
            <w:tcW w:w="66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680" w:type="dxa"/>
            <w:vAlign w:val="bottom"/>
            <w:gridSpan w:val="7"/>
          </w:tcPr>
          <w:p>
            <w:pPr>
              <w:spacing w:after="0"/>
              <w:rPr>
                <w:sz w:val="17"/>
                <w:szCs w:val="17"/>
                <w:color w:val="auto"/>
              </w:rPr>
            </w:pPr>
          </w:p>
        </w:tc>
        <w:tc>
          <w:tcPr>
            <w:tcW w:w="83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7400" w:type="dxa"/>
            <w:vAlign w:val="bottom"/>
            <w:tcBorders>
              <w:top w:val="single" w:sz="8" w:color="0000EE"/>
            </w:tcBorders>
            <w:gridSpan w:val="23"/>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680" w:type="dxa"/>
            <w:vAlign w:val="bottom"/>
            <w:gridSpan w:val="7"/>
          </w:tcPr>
          <w:p>
            <w:pPr>
              <w:spacing w:after="0"/>
              <w:rPr>
                <w:sz w:val="17"/>
                <w:szCs w:val="17"/>
                <w:color w:val="auto"/>
              </w:rPr>
            </w:pPr>
          </w:p>
        </w:tc>
        <w:tc>
          <w:tcPr>
            <w:tcW w:w="83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680" w:type="dxa"/>
            <w:vAlign w:val="bottom"/>
            <w:gridSpan w:val="7"/>
          </w:tcPr>
          <w:p>
            <w:pPr>
              <w:spacing w:after="0"/>
              <w:rPr>
                <w:sz w:val="17"/>
                <w:szCs w:val="17"/>
                <w:color w:val="auto"/>
              </w:rPr>
            </w:pPr>
          </w:p>
        </w:tc>
        <w:tc>
          <w:tcPr>
            <w:tcW w:w="66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68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500" w:type="dxa"/>
            <w:vAlign w:val="bottom"/>
          </w:tcPr>
          <w:p>
            <w:pPr>
              <w:spacing w:after="0"/>
              <w:rPr>
                <w:sz w:val="17"/>
                <w:szCs w:val="17"/>
                <w:color w:val="auto"/>
              </w:rPr>
            </w:pPr>
          </w:p>
        </w:tc>
        <w:tc>
          <w:tcPr>
            <w:tcW w:w="44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9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680" w:type="dxa"/>
            <w:vAlign w:val="bottom"/>
            <w:gridSpan w:val="7"/>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682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680" w:type="dxa"/>
            <w:vAlign w:val="bottom"/>
            <w:gridSpan w:val="7"/>
          </w:tcPr>
          <w:p>
            <w:pPr>
              <w:spacing w:after="0"/>
              <w:rPr>
                <w:sz w:val="17"/>
                <w:szCs w:val="17"/>
                <w:color w:val="auto"/>
              </w:rPr>
            </w:pPr>
          </w:p>
        </w:tc>
        <w:tc>
          <w:tcPr>
            <w:tcW w:w="67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6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9A.</w:t>
            </w:r>
          </w:p>
        </w:tc>
        <w:tc>
          <w:tcPr>
            <w:tcW w:w="50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654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9B.</w:t>
            </w:r>
          </w:p>
        </w:tc>
        <w:tc>
          <w:tcPr>
            <w:tcW w:w="500" w:type="dxa"/>
            <w:vAlign w:val="bottom"/>
          </w:tcPr>
          <w:p>
            <w:pPr>
              <w:spacing w:after="0"/>
              <w:rPr>
                <w:sz w:val="17"/>
                <w:szCs w:val="17"/>
                <w:color w:val="auto"/>
              </w:rPr>
            </w:pPr>
          </w:p>
        </w:tc>
        <w:tc>
          <w:tcPr>
            <w:tcW w:w="13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00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9C.</w:t>
            </w:r>
          </w:p>
        </w:tc>
        <w:tc>
          <w:tcPr>
            <w:tcW w:w="540" w:type="dxa"/>
            <w:vAlign w:val="bottom"/>
            <w:gridSpan w:val="2"/>
          </w:tcPr>
          <w:p>
            <w:pPr>
              <w:spacing w:after="0"/>
              <w:rPr>
                <w:sz w:val="17"/>
                <w:szCs w:val="17"/>
                <w:color w:val="auto"/>
              </w:rPr>
            </w:pPr>
          </w:p>
        </w:tc>
        <w:tc>
          <w:tcPr>
            <w:tcW w:w="49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46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58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10.</w:t>
            </w:r>
          </w:p>
        </w:tc>
        <w:tc>
          <w:tcPr>
            <w:tcW w:w="580" w:type="dxa"/>
            <w:vAlign w:val="bottom"/>
            <w:gridSpan w:val="4"/>
          </w:tcPr>
          <w:p>
            <w:pPr>
              <w:spacing w:after="0"/>
              <w:rPr>
                <w:sz w:val="17"/>
                <w:szCs w:val="17"/>
                <w:color w:val="auto"/>
              </w:rPr>
            </w:pPr>
          </w:p>
        </w:tc>
        <w:tc>
          <w:tcPr>
            <w:tcW w:w="41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18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560" w:type="dxa"/>
            <w:vAlign w:val="bottom"/>
            <w:gridSpan w:val="3"/>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52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560" w:type="dxa"/>
            <w:vAlign w:val="bottom"/>
            <w:gridSpan w:val="3"/>
          </w:tcPr>
          <w:p>
            <w:pPr>
              <w:spacing w:after="0"/>
              <w:rPr>
                <w:sz w:val="17"/>
                <w:szCs w:val="17"/>
                <w:color w:val="auto"/>
              </w:rPr>
            </w:pPr>
          </w:p>
        </w:tc>
        <w:tc>
          <w:tcPr>
            <w:tcW w:w="74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8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560" w:type="dxa"/>
            <w:vAlign w:val="bottom"/>
            <w:gridSpan w:val="3"/>
          </w:tcPr>
          <w:p>
            <w:pPr>
              <w:spacing w:after="0"/>
              <w:rPr>
                <w:sz w:val="17"/>
                <w:szCs w:val="17"/>
                <w:color w:val="auto"/>
              </w:rPr>
            </w:pPr>
          </w:p>
        </w:tc>
        <w:tc>
          <w:tcPr>
            <w:tcW w:w="56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76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14.</w:t>
            </w:r>
          </w:p>
        </w:tc>
        <w:tc>
          <w:tcPr>
            <w:tcW w:w="580" w:type="dxa"/>
            <w:vAlign w:val="bottom"/>
            <w:gridSpan w:val="4"/>
          </w:tcPr>
          <w:p>
            <w:pPr>
              <w:spacing w:after="0"/>
              <w:rPr>
                <w:sz w:val="17"/>
                <w:szCs w:val="17"/>
                <w:color w:val="auto"/>
              </w:rPr>
            </w:pPr>
          </w:p>
        </w:tc>
        <w:tc>
          <w:tcPr>
            <w:tcW w:w="29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54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Part IV</w:t>
            </w:r>
          </w:p>
        </w:tc>
        <w:tc>
          <w:tcPr>
            <w:tcW w:w="60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560" w:type="dxa"/>
            <w:vAlign w:val="bottom"/>
            <w:gridSpan w:val="3"/>
          </w:tcPr>
          <w:p>
            <w:pPr>
              <w:spacing w:after="0"/>
              <w:rPr>
                <w:sz w:val="17"/>
                <w:szCs w:val="17"/>
                <w:color w:val="auto"/>
              </w:rPr>
            </w:pPr>
          </w:p>
        </w:tc>
        <w:tc>
          <w:tcPr>
            <w:tcW w:w="29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542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w:t>
            </w:r>
          </w:p>
        </w:tc>
        <w:tc>
          <w:tcPr>
            <w:tcW w:w="580" w:type="dxa"/>
            <w:vAlign w:val="bottom"/>
            <w:gridSpan w:val="4"/>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76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580" w:type="dxa"/>
            <w:vAlign w:val="bottom"/>
            <w:gridSpan w:val="2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the Private Securities Litigation Reform Act of 1995 that involve substantial risks and uncertainties. The forward-looking statements are contained principally in Part I, Item 1: “Business,” Part I, Item 1A: “Risk Factors,” and Part 2, Item 7: “Management’s Discussion and Analysis of Financial Condition and Results of Operations,” but are also contained elsewhere in this annual report.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These statements speak only as of the date of this Annual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 this annual report include statements as to:</w:t>
      </w:r>
    </w:p>
    <w:p>
      <w:pPr>
        <w:spacing w:after="0" w:line="190"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of multi antigen recognizing (“MAR”)-T cell therapies (formerly known as multi-tumor associated antigen-specific T cells, or multiTAA)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product candidates and our ability to obtain and maintain regulatory approvals for product candidates for any indication;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product candidates, if approved for commercial use;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ease, scalability and commercial viability of our manufacturing methods and processes;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indications for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our ability to maintain our relationships and collaborations with Cell Ready LLC, the Baylor College of Medicine (“BCM”) and other collaboration or strategic relationships;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the MAR-T cell platform to develop future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needs for or ability to obtain additional funding;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this report all references to (i) “Marker” “we,” “us,” “our” or the “Company” mean Marker Therapeutics, Inc. and its wholly-owned subsidiaries, Marker Cell Therapy, Inc. and GeneMax Pharmaceuticals, Inc., which wholly owns GeneMax Pharmaceuticals Canada Inc., unless the context otherwise requires; (ii) “SEC” refers to the Securities and Exchange Commission; (iii) “Securities Act” refers to the United States </w:t>
      </w:r>
      <w:r>
        <w:rPr>
          <w:rFonts w:ascii="Times New Roman" w:cs="Times New Roman" w:eastAsia="Times New Roman" w:hAnsi="Times New Roman"/>
          <w:sz w:val="18"/>
          <w:szCs w:val="18"/>
          <w:i w:val="1"/>
          <w:iCs w:val="1"/>
          <w:color w:val="auto"/>
        </w:rPr>
        <w:t>Securities Act of 1933</w:t>
      </w:r>
      <w:r>
        <w:rPr>
          <w:rFonts w:ascii="Times New Roman" w:cs="Times New Roman" w:eastAsia="Times New Roman" w:hAnsi="Times New Roman"/>
          <w:sz w:val="18"/>
          <w:szCs w:val="18"/>
          <w:color w:val="auto"/>
        </w:rPr>
        <w:t xml:space="preserve">, as amended; (iv) “Exchange Act” refers to the United States </w:t>
      </w:r>
      <w:r>
        <w:rPr>
          <w:rFonts w:ascii="Times New Roman" w:cs="Times New Roman" w:eastAsia="Times New Roman" w:hAnsi="Times New Roman"/>
          <w:sz w:val="18"/>
          <w:szCs w:val="18"/>
          <w:i w:val="1"/>
          <w:iCs w:val="1"/>
          <w:color w:val="auto"/>
        </w:rPr>
        <w:t>Securities Exchange Act of 1934</w:t>
      </w:r>
      <w:r>
        <w:rPr>
          <w:rFonts w:ascii="Times New Roman" w:cs="Times New Roman" w:eastAsia="Times New Roman" w:hAnsi="Times New Roman"/>
          <w:sz w:val="18"/>
          <w:szCs w:val="18"/>
          <w:color w:val="auto"/>
        </w:rPr>
        <w:t>, as amended; and (v) all dollar amounts refer to United States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(“MAR”)-T cell technology (formerly known as multi-tumor associated antigen-specific T cells, or multiTAA)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two product candidates for 3 clinical indications as part of our MAR-T cell program for:</w:t>
      </w:r>
    </w:p>
    <w:p>
      <w:pPr>
        <w:spacing w:after="0" w:line="225"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MAR-T cell product for the treatment of lymphoma and pancreatic cancer (MT-601)</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(OTS) product in various indications (e.g., MT-401-OTS)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genetically engineer our MAR-T cell therapies and we believe that our product candidates are superior to T cells engineered with chimeric antigen receptors, or CAR-T, for several reasons including:</w:t>
      </w:r>
    </w:p>
    <w:p>
      <w:pPr>
        <w:spacing w:after="0" w:line="162"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targets → enhanced tumoricidal effect→ minimized tumor immune escape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safety → no treatment-related side effects, including immune effector cell-associated neurotoxicity syndrome (ICANS) or other severe adverse effects (SAEs), were attributed to the use of MAR-T cell therapies to date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Non-genetically engineered T cell products → selective expansion of tumor-specific T cells from a patient’s or donor’s blood capable of recognizing a broad range of tumor antigens → no risk of mutagenesis and reduced manufacturing complexity →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123190</wp:posOffset>
            </wp:positionV>
            <wp:extent cx="5846445" cy="1431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644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manufacturing process allows additional modifications to expand MAR-T cell recognition of cancer targets. For example, we are assessing the potential of combining MAR-T cell products with other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Company-Sponsored Clinical Development of MAR-T Cell Therapies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MT-601 for the Treatment of Lymphoma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developed MT-601, a MAR-T cell product capable of recognizing multiple target antigens expressed by the tumor, thereby limiting tumor adaptation by negative antigen selection or downregulation.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evaluating the safety and efficacy of MT-601 in a Phase 1, multicenter, open-label study (APOLLO) in participants with relapsed or refractory lymphoma who either failed or are ineligible for anti-CD19 CAR-T cell therapy. MT-601 is a MAR-T cell product that specifically targets six different tumor antigens upregulated in lymphoma cells (Survivin, PRAME, WT1, NY-ESO-1, SSX-2, MAGEA-4). Although CD19-targeting CAR-T cell therapies have gained acceptance as treatment for patients with lymphoma, 40-60% of patients relapse within the first year of treatment (</w:t>
      </w:r>
      <w:r>
        <w:rPr>
          <w:rFonts w:ascii="Times New Roman" w:cs="Times New Roman" w:eastAsia="Times New Roman" w:hAnsi="Times New Roman"/>
          <w:sz w:val="18"/>
          <w:szCs w:val="18"/>
          <w:u w:val="single" w:color="auto"/>
          <w:color w:val="auto"/>
        </w:rPr>
        <w:t>Chong et al, N Engl J Med, 2021; Neelapu et al, Blood, 2023</w:t>
      </w:r>
      <w:r>
        <w:rPr>
          <w:rFonts w:ascii="Times New Roman" w:cs="Times New Roman" w:eastAsia="Times New Roman" w:hAnsi="Times New Roman"/>
          <w:sz w:val="18"/>
          <w:szCs w:val="18"/>
          <w:color w:val="auto"/>
        </w:rPr>
        <w:t>.). These post-CD19 CAR-T relapsed patients currently have no approved standard of care, illustrating a high unmet medical need and urgency for new therapies. In addition, CAR-T cells are associated with severe side effects such as CRS or ICANS and may increase the risk for secondary malignancies (</w:t>
      </w:r>
      <w:r>
        <w:rPr>
          <w:rFonts w:ascii="Times New Roman" w:cs="Times New Roman" w:eastAsia="Times New Roman" w:hAnsi="Times New Roman"/>
          <w:sz w:val="18"/>
          <w:szCs w:val="18"/>
          <w:u w:val="single" w:color="auto"/>
          <w:color w:val="auto"/>
        </w:rPr>
        <w:t>U.S. Food and Drug Administration, November 28, 2023</w:t>
      </w:r>
      <w:r>
        <w:rPr>
          <w:rFonts w:ascii="Times New Roman" w:cs="Times New Roman" w:eastAsia="Times New Roman" w:hAnsi="Times New Roman"/>
          <w:sz w:val="18"/>
          <w:szCs w:val="18"/>
          <w:color w:val="auto"/>
        </w:rPr>
        <w:t>). Data from clinical trials to date have demonstrated that MAR-T cells are well tolerated with no evidence of ICANS. In addition, Marker’s non-engineered MAR-T cell approach selectively expands natural tumor-specific T cells from a patient’s blood that can recognize a broad range of tumor antigens, minimizing the risk of mutagenesis.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2022, the FDA cleared our IND application for MT-601 for the treatment of patients with relapsed/refractory non-Hodgkin lymphoma who have failed or are ineligible to receive anti-CD19 CAR-T cell treatment. The Phase 1 APOLLO trial was initiated in January 2023. In June 2023, we reported first enrollment in the dose escalation stage of the Phase 1 study. In December 2024, the Company provided an update on the progress and clinical observations from the Phase 1 study, with a data cutoff date of September 10, 2024. In this update, clinical data was available for 9 patients from 5 clinical sites across the United States. Study participants showed early objective responses with and without lymphodepletion. However, immunomonitoring data confirmed that lymphodepletion enhanced the expansion and persistence of MAR-T cell clones in vivo.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findings from the APOLLO study include:</w:t>
      </w:r>
    </w:p>
    <w:p>
      <w:pPr>
        <w:spacing w:after="0" w:line="221" w:lineRule="exact"/>
        <w:rPr>
          <w:sz w:val="20"/>
          <w:szCs w:val="20"/>
          <w:color w:val="auto"/>
        </w:rPr>
      </w:pPr>
    </w:p>
    <w:p>
      <w:pPr>
        <w:jc w:val="both"/>
        <w:ind w:left="680" w:hanging="321"/>
        <w:spacing w:after="0" w:line="26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 </w:t>
      </w:r>
      <w:r>
        <w:rPr>
          <w:rFonts w:ascii="Times New Roman" w:cs="Times New Roman" w:eastAsia="Times New Roman" w:hAnsi="Times New Roman"/>
          <w:sz w:val="18"/>
          <w:szCs w:val="18"/>
          <w:color w:val="auto"/>
        </w:rPr>
        <w:t>– Infusion of MT-601 was well tolerated in all study participants, with no observation of immune-effector cell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neurotoxicity syndrome (ICANS) and one reported Grade 1 cytokine release syndrome (CRS). No dose limiting toxicities (DLTs) have been reported to date.</w:t>
      </w:r>
    </w:p>
    <w:p>
      <w:pPr>
        <w:spacing w:after="0" w:line="170"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Efficacy </w:t>
      </w:r>
      <w:r>
        <w:rPr>
          <w:rFonts w:ascii="Times New Roman" w:cs="Times New Roman" w:eastAsia="Times New Roman" w:hAnsi="Times New Roman"/>
          <w:sz w:val="18"/>
          <w:szCs w:val="18"/>
          <w:color w:val="auto"/>
        </w:rPr>
        <w:t>– In the first dose cohort, 7 out of 9 patients achieved objective responses (78%) at first response assessment, with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demonstrating complete response (CR; 44.4%) (Table 1).</w:t>
      </w:r>
    </w:p>
    <w:p>
      <w:pPr>
        <w:spacing w:after="0" w:line="154" w:lineRule="exact"/>
        <w:rPr>
          <w:rFonts w:ascii="Times New Roman" w:cs="Times New Roman" w:eastAsia="Times New Roman" w:hAnsi="Times New Roman"/>
          <w:sz w:val="18"/>
          <w:szCs w:val="18"/>
          <w:color w:val="auto"/>
        </w:rPr>
      </w:pPr>
    </w:p>
    <w:p>
      <w:pPr>
        <w:jc w:val="both"/>
        <w:ind w:left="680" w:hanging="321"/>
        <w:spacing w:after="0" w:line="26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Time in Follow-Up </w:t>
      </w:r>
      <w:r>
        <w:rPr>
          <w:rFonts w:ascii="Times New Roman" w:cs="Times New Roman" w:eastAsia="Times New Roman" w:hAnsi="Times New Roman"/>
          <w:sz w:val="18"/>
          <w:szCs w:val="18"/>
          <w:color w:val="auto"/>
        </w:rPr>
        <w:t>– Long-term follow-up of 6 to 12 months is currently available for three patients (Table 2). Ongoing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follow-up visits are being conducted to assess the durability of responses. All study participants are monitored closely to ensure comprehensive data collection and patient safety.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 1: MT-601 shows objective responses at first disease assessment.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 of Patients Treated</w:t>
            </w: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 Prior Lines of</w:t>
            </w:r>
          </w:p>
        </w:tc>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Response Rate at First</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CR at First Assessment</w:t>
            </w:r>
          </w:p>
        </w:tc>
        <w:tc>
          <w:tcPr>
            <w:tcW w:w="0" w:type="dxa"/>
            <w:vAlign w:val="bottom"/>
          </w:tcPr>
          <w:p>
            <w:pPr>
              <w:spacing w:after="0"/>
              <w:rPr>
                <w:sz w:val="1"/>
                <w:szCs w:val="1"/>
                <w:color w:val="auto"/>
              </w:rPr>
            </w:pPr>
          </w:p>
        </w:tc>
      </w:tr>
      <w:tr>
        <w:trPr>
          <w:trHeight w:val="173"/>
        </w:trPr>
        <w:tc>
          <w:tcPr>
            <w:tcW w:w="2860" w:type="dxa"/>
            <w:vAlign w:val="bottom"/>
            <w:gridSpan w:val="2"/>
            <w:vMerge w:val="continue"/>
          </w:tcPr>
          <w:p>
            <w:pPr>
              <w:spacing w:after="0"/>
              <w:rPr>
                <w:sz w:val="15"/>
                <w:szCs w:val="15"/>
                <w:color w:val="auto"/>
              </w:rPr>
            </w:pP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Therapy</w:t>
            </w:r>
          </w:p>
        </w:tc>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Assessment</w:t>
            </w:r>
          </w:p>
        </w:tc>
        <w:tc>
          <w:tcPr>
            <w:tcW w:w="2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 12</w:t>
            </w:r>
          </w:p>
        </w:tc>
        <w:tc>
          <w:tcPr>
            <w:tcW w:w="2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 Complete Response. Data as of September 10, 2024.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 2: Duration of patient follow-up in Phase 1 APOLLO study;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Longest Follow-Up</w:t>
            </w: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 of Patients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Clinical Response</w:t>
            </w:r>
          </w:p>
        </w:tc>
      </w:tr>
      <w:tr>
        <w:trPr>
          <w:trHeight w:val="210"/>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 months</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w:t>
            </w:r>
          </w:p>
        </w:tc>
      </w:tr>
      <w:tr>
        <w:trPr>
          <w:trHeight w:val="216"/>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 6 months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 PR</w:t>
            </w:r>
          </w:p>
        </w:tc>
      </w:tr>
      <w:tr>
        <w:trPr>
          <w:trHeight w:val="216"/>
        </w:trPr>
        <w:tc>
          <w:tcPr>
            <w:tcW w:w="38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1-4 months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 PR</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 Complete Response; PR, Partial Response. Data as of September 10,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further validate these observations, additional patients are currently being enrolled in the Phase 1 study.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MT-601 for the Treatment of Pancreatic Cancer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interim data for an ongoing Phase 1/2 clinical trial (TACTOPS) of the MAR-T cell therapy targeting five TAAs for the treatment of pancreatic adenocarcinoma being conducted by BCM. In this trial, we have observed a clinical benefit with 4 of 13 patients (31%) showing objective responses in front-line unresectable or metastatic pancreatic cancer, which correlated with the post-infusion detection of tumor-reactive T cells in patient peripheral blood and within tumor biopsy samples in patients in the tumor-resection arm of the trial. To date, we have not observed any cytokine release syndrome or neurotoxicity in this trial.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2022, the FDA granted orphan drug designation to MT-601 for the treatment of patients with pancreatic cancer. The FDA cleared our IND application for MT-601 in November 2022 to initiate the PANACEA study, a Phase 1 multicenter clinical trial in locally advanced, unresectable or metastatic pancreatic cancer to assess the safety and efficacy of MT-601 in combination with front-line chemotherapy. The PANACEA trial will include a dose escalation portion followed by a dose expansion portion. We recently announced that the Company has been awarded a $9.5 million grant from the Cancer Prevention &amp; Research Institute of Texas (CPRIT) and a $2 million grant from the NIH Small Business Innovation Research (SBIR) program to support the clinical investigation of MT-601 in patients with metastatic pancreatic cancer. With the support of these grants, we will be able to advance MT-601 in pancreatic cancer without affecting our operations in the ongoing study of MT-601 in patients with lymphoma.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MT-401 for the Treatment of Patients with AML and MT-401-OTS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MT-401 ARTEMIS Study: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2024, we announced discontinuation of the Phase 2 ARTEMIS study to prioritize the MT-401-OTS program in patients with Acute Myeloid Leukemia (AML) and Myelodysplastic Syndromes (MDS).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previous ARTEMIS study was investigating MT-401 (zedenoleucel), in post-allogeneic hematopoietic stem cell transplant (HSCT) patients with AML. The study had three treatment arms, including patients with measurable residual disease (MRD), as well as patients with MRD negative complete remission or active disease. The dose administered in this multicenter trial was up to 200 million cells every two weeks for up to three doses.</w:t>
      </w:r>
    </w:p>
    <w:p>
      <w:pPr>
        <w:spacing w:after="0" w:line="180" w:lineRule="exact"/>
        <w:rPr>
          <w:sz w:val="20"/>
          <w:szCs w:val="20"/>
          <w:color w:val="auto"/>
        </w:rPr>
      </w:pPr>
    </w:p>
    <w:p>
      <w:pPr>
        <w:jc w:val="both"/>
        <w:ind w:left="68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2020, the Orphan Product Development Office of the United States Food and Drug Administration, or the FDA, granted orphan drug designation to MT-401 (zedenoleucel), a MAR-T cell therapy that targets four TAAs, for the treatment of AML.</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MAR-T cell therapy has been well tolerated in an ongoing Phase 1 clinical trial in AML and myelodysplastic syndrome, or MDS, conducted by our strategic partner Baylor College of Medicine, or BCM.</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a 2021 publication by Lulla et al., 11 of the 17 patients in the adjuvant disease setting dosed with the MAR-T cell therapy after receiving an allogeneic HSCT were relapse free [median leukemia-free survival, or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AML/MDS patients post-HSCT [median LFS of nine to 15 months and two-year survival probability of 42%].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eight patients were treated for active disease that was resistant to salvage therapy post-HSCT with a median of five prior lines of therapy (range: four to 10).</w:t>
      </w:r>
    </w:p>
    <w:p>
      <w:pPr>
        <w:spacing w:after="0" w:line="162" w:lineRule="exact"/>
        <w:rPr>
          <w:sz w:val="20"/>
          <w:szCs w:val="20"/>
          <w:color w:val="auto"/>
        </w:rPr>
      </w:pPr>
    </w:p>
    <w:p>
      <w:pPr>
        <w:ind w:left="1340" w:hanging="333"/>
        <w:spacing w:after="0" w:line="264" w:lineRule="auto"/>
        <w:tabs>
          <w:tab w:leader="none" w:pos="1340" w:val="left"/>
        </w:tabs>
        <w:numPr>
          <w:ilvl w:val="0"/>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One of the eight patients crossed over from the adjuvant group, while two patients enrolled twice, but all three patients had active AML that failed another line of salvage therapy after their first MAR-T cell infusion.</w:t>
      </w:r>
    </w:p>
    <w:p>
      <w:pPr>
        <w:spacing w:after="0" w:line="176" w:lineRule="exact"/>
        <w:rPr>
          <w:rFonts w:ascii="Courier New" w:cs="Courier New" w:eastAsia="Courier New" w:hAnsi="Courier New"/>
          <w:sz w:val="18"/>
          <w:szCs w:val="18"/>
          <w:color w:val="auto"/>
        </w:rPr>
      </w:pPr>
    </w:p>
    <w:p>
      <w:pPr>
        <w:ind w:left="1340" w:right="20" w:hanging="333"/>
        <w:spacing w:after="0" w:line="264" w:lineRule="auto"/>
        <w:tabs>
          <w:tab w:leader="none" w:pos="1340" w:val="left"/>
        </w:tabs>
        <w:numPr>
          <w:ilvl w:val="0"/>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Two of the eight patients achieved objective responses, with one complete response and one partial response, with six patients continuing with stable disease.</w:t>
      </w:r>
    </w:p>
    <w:p>
      <w:pPr>
        <w:spacing w:after="0" w:line="176" w:lineRule="exact"/>
        <w:rPr>
          <w:rFonts w:ascii="Courier New" w:cs="Courier New" w:eastAsia="Courier New" w:hAnsi="Courier New"/>
          <w:sz w:val="18"/>
          <w:szCs w:val="18"/>
          <w:color w:val="auto"/>
        </w:rPr>
      </w:pPr>
    </w:p>
    <w:p>
      <w:pPr>
        <w:ind w:left="1340" w:right="20" w:hanging="333"/>
        <w:spacing w:after="0" w:line="264" w:lineRule="auto"/>
        <w:tabs>
          <w:tab w:leader="none" w:pos="1340" w:val="left"/>
        </w:tabs>
        <w:numPr>
          <w:ilvl w:val="0"/>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have observed evidence of a patient’s natural immune system participating in cancer killing (epitope spreading) after infusion of our MAR-T cell therapy.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the ARTEMIS trial conducted by Marker has completed the safety lead-in portion, which tested the comparability of MT-401 or zedenoleucel, the MAR-T cell product manufactured using peptides from two different vendors and enrolled six patients with active disease: one measurable residual disease (MRD) positive patient and five frank relapse patients.</w:t>
      </w:r>
    </w:p>
    <w:p>
      <w:pPr>
        <w:spacing w:after="0" w:line="176" w:lineRule="exact"/>
        <w:rPr>
          <w:sz w:val="20"/>
          <w:szCs w:val="20"/>
          <w:color w:val="auto"/>
        </w:rPr>
      </w:pPr>
    </w:p>
    <w:p>
      <w:pPr>
        <w:jc w:val="both"/>
        <w:ind w:left="680" w:hanging="321"/>
        <w:spacing w:after="0" w:line="26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results of the BCM Phase 1 trial, there were no dose-limiting toxicities, cytokine release syndrome or neurotoxicity observed in this stage of the trial. Correlative studies showed that the patient saw significant expansion of infused MAR-T cells. There were no objective responses from the frank relapse patients. By November 2022, all six patients had completed dose-limiting toxicity (DLT) periods with no DLTs reported.</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55"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2021, the manufacturing of MT-401 for the Phase 2 trial started at the Marker Cell Therapy cGMP manufacturing facility, named MCTF01. We transitioned to treating patients using MT-401 manufactured with Marker’s new T cell manufacturing process. The improved manufacturing process greatly reduced the manufacturing time and increased both the antigen specificity and diversity. Specifically, the new process involves an improved T cell manufacturing process for MT-401 that reduces production time to 9 days (compared to the original process of &gt;30 days). This allows a 90% decrease in the number of interventions during production and an improved final T cell product compared to the original product used in previous clinical trials on MAR-T cells.</w:t>
      </w:r>
    </w:p>
    <w:p>
      <w:pPr>
        <w:spacing w:after="0" w:line="188"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completing the safety lead-in portion, we initiated the remainder of the Phase 2 trial in July 2021. Group 1 comprised adjuvant (disease-free) patients, with the primary endpoint of relapse-free survival of patients randomized to receive MT-401 versus a control group. Group 2 comprised active disease patients in 2 single arm cohorts (MRD+ only and active disease), with primary endpoints of complete remission and duration of complete remission.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previously awarded grants from the FDA Orphan Products Grant program ($2 million), NIH Small Business Innovation Research (SBIR) program ($2 million) and the Cancer Prevention and Research Institute of Texas (CPRIT, $13 million), to support the Phase 2 clinical trial of MT-401. All funding agencies have agreed to continue their financial support and to shift funds to the MT-401-OTS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the-Shelf MT-401 (MT-401-OTS) for the Treatment of AML and MDS: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Marker previously announced that it intends to focus on the advancement of the MT-401-OTS program in patients with Acute Myeloid Leukemia (AML) and Myelodysplastic Syndromes (MDS). MT-401-OTS has the potential to provide treatment to patients in as little as 72 hours. Marker believes that this fast turnaround time would be beneficial for treating patients with rapid cancer progression, such as patients with measurable residual disease (MRD) in the AML setting. In the OTS program, we intend to dose patients using “banked” products based on partially human leukocyte antigen (HLA) matching. The U.S. FDA has cleared our clinical protocol to investigate MT-401-OTS as a treatment in patients with AML. We already established a cellular inventory manufactured from healthy donors, with ongoing efforts to further expand the inventory. At full scale production, we estimate a single donor could provide treatment for approximately 40 patients, and the current stability program indicates that OTS MAR-T cell products are stable for more than a year in liquid nitrogen, which we expect will permit future on-demand availability for broad-scale implementation. We expect to dose the first patient in the second half of 2025, and, if our OTS program shows promising results in the clinic, we intend to expand the OTS platform to other hematological malignancies and solid tumors. With the grant support from the FDA Orphan Products Grant program, NIH Small Business Innovation Research (SBIR) program and the Cancer Prevention and Research Institute of Texas (CPRIT), the Company will be able to advance MT-401-OTS without affecting the investigation of its lead asset, MT-601, in patients with lymphoma.</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154305</wp:posOffset>
            </wp:positionV>
            <wp:extent cx="5023485" cy="2520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2348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MAR-T cells are designed to enhance the capacity of non-engineered T cells to find and kill cancer by increasing the diversity and quantity of naturally occurring cancer killing T cells within the patient.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goal is to be the leader in the development and commercialization of transformative immunotherapies for the treatment of hematological malignancies and solid tumors. We are developing a portfolio of highly differentiated T cell therapies utilizing the MAR-T cell platform that we believe has the potential to significantly disrupt the current cell therapy landscape, while substantially improving survival and quality of life for patients with cancers.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strategy include:</w:t>
      </w:r>
    </w:p>
    <w:p>
      <w:pPr>
        <w:spacing w:after="0" w:line="22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Expedite clinical development, regulatory approval, and commercialization of our lead product candidates.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results of the Phase 1 clinical trials of the MAR-T cell therapies conducted at BCM and the positive clinical data from the Phase 1 APOLLO study, we plan to prioritize the advancement of MT-601 in patients with lymphoma and to advance the MT-401-OTS program in patients with AML and MDS.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initiate future additional clinical trials in other tumor types based on emerging data.</w:t>
      </w:r>
    </w:p>
    <w:p>
      <w:pPr>
        <w:spacing w:after="0" w:line="221" w:lineRule="exact"/>
        <w:rPr>
          <w:sz w:val="20"/>
          <w:szCs w:val="20"/>
          <w:color w:val="auto"/>
        </w:rPr>
      </w:pPr>
    </w:p>
    <w:p>
      <w:pPr>
        <w:ind w:left="340" w:hanging="332"/>
        <w:spacing w:after="0" w:line="28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collaborate with our partners and increase our clinical activities to improve and develop adoptive cell therapy technologies.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continue to contract and collaborate with third-parties to perform a wide variety of services to ensure the continuation of our research and development efforts, with the goal of optimizing our manufacturing process, product quality and commercial scalability. Marker previously optimized the MAR-T cell manufacturing process by decreasing the number of manipulations, semi-closing the system and reducing the total manufacturing time from the original 36 days (BCM studies) to nine days. We believe the improved manufacturing process enables products with increased antigen specificity and diversity, both of which have a strong linear correlation to anti-tumor activity and has resulted in a four-fold increase in potency in vitro.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 in our platform to maximize the beneficial outcomes for cancer patients.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explore new product opportunities by increasing and/or customizing the antigens we target to expand the indications in which the MAR-T cell products will be efficacious, including solid tumors or other hematologic malignancies. Additionally, our research and development efforts may include the exploration of different doses and/or frequency of dosing and the relationship of these factors with potential therapeutic benefit.</w:t>
      </w:r>
    </w:p>
    <w:p>
      <w:pPr>
        <w:spacing w:after="0" w:line="17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our relationships with our founding institutions, scientific founders and other scientific advisors.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and our other major institutional partners, to advance our therapies through the clinic and into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History of Cancer Immunotherapies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activate specific, potent immune cells, leading to improved safety and efficacy. Within the immunotherapy category, treatments have included vaccines, cytokine therapies, antibody therapies, and adoptive cell therapies.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1996, Dr. Dana Leach, Dr. Matthew Krummel and Dr. James Allison reported that monoclonal antibodies, or mAbs, blocking CTLA-4 could treat tumors in animal models. Subsequently, mAbs that targeted CTLA-4 and PD-1 became known as immune checkpoint inhibitors, or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Cell Therapy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field of adoptive cell transfer is currently comprised primarily of CAR and TCR engineered T cells and has emerged from principles of basic immunology to become a paradigm-shifting clinical immunotherapy. T cell therapy, we believe has evolved as one of the most promising branches of immunotherapy. T cell immunotherapy involves the infusion of T cells into a patient. Immune cells used for immunotherapy treatments can either be collected from the patient (autologous) or harvested from a donor (allogeneic). The cells are retrieved and either genetically modified to express tumor-specific CARs or TCRs or stimulated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providing immunological memory, thus leading to longer and more durable responses.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TCRs and CARs have distinct signaling properties and antigen sensitivities. TCRs recognize peptide fragments from proteins expressed either inside the cell or on the cell surface, which are presented to T cells via major histocompatibility complex molecules. CARs are programmed to recognize a specific cell surface protein. Because CARs are specific for a single antigen, or more precisely a single epitope within the single antigen, they are very narrowly focused and have limitations. When a CAR-T cell product is applied to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specific antigen of a heterogeneous disease, CAR-T cells may leave behind tumor cells that do not express the target antigen, which can lead to tumor relapse due to immune escape.</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manipulation consisting of co-culturing a patient’s or donor’s antigen presenting cells with patient (or donor) peripheral blood mononuclear cells, or PBMCs, respectively. As a source of antigen, we use overlapping peptide libraries spanning each of several immunogenic target antigens that are typically associated with certain types of cancer. These peptides are at least 15 amino acids in length, overlapping by approximately 11 amino acids and span the entire length of each of the target antigens. This typical footprint of peptides allows us to induce both CD4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(helper) and CD8</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(cytotoxic) T cells. Following manufacture, these cells are frozen and stored for later infusion. Once infused, the natural characteristics of T cells take over and the T cells multiply in quantity, forming an army of T cells that kill the targeted cancer cells.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MAR-T Cell Therapies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two MAR-T cell therapies through clinical development:</w:t>
      </w:r>
    </w:p>
    <w:p>
      <w:pPr>
        <w:spacing w:after="0" w:line="223" w:lineRule="exact"/>
        <w:rPr>
          <w:sz w:val="20"/>
          <w:szCs w:val="20"/>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Autologous MAR-T cell therapies – </w:t>
      </w:r>
      <w:r>
        <w:rPr>
          <w:rFonts w:ascii="Times New Roman" w:cs="Times New Roman" w:eastAsia="Times New Roman" w:hAnsi="Times New Roman"/>
          <w:sz w:val="18"/>
          <w:szCs w:val="18"/>
          <w:color w:val="auto"/>
        </w:rPr>
        <w:t>The autologous product targets the NY-ESO-1, PRAME, MAGE - A4, Survivin, WT1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SSX2 antigens (MT-601). We recently reported updated clinical data from our Phase 1 clinical trial investigating MT-601 for the treatment of patients with lymphoma who have relapsed after CAR-T therapy. In addition, we received an Investigational New Drug (IND) cleared by the U.S. FDA to investigate MT-601 in a Phase 1 trial in patients with pancreatic cancer in combination with first-line chemotherapy.</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 the-Shelf (OTS) MAR-T cell therapies – </w:t>
      </w:r>
      <w:r>
        <w:rPr>
          <w:rFonts w:ascii="Times New Roman" w:cs="Times New Roman" w:eastAsia="Times New Roman" w:hAnsi="Times New Roman"/>
          <w:sz w:val="18"/>
          <w:szCs w:val="18"/>
          <w:color w:val="auto"/>
        </w:rPr>
        <w:t>The MT-401-OTS product targets WT1, NY-ESO-1, PRAME, and Survivin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antigens (MT-401-OTS). We plan to enroll patients that will be matched to the pre-manufactured inventory of MT-401-OTS products based on their human leukocyte antigen, or HLA. Because the MT-401-OTS product inventory is pre-manufactured, the T cell product is delivered to the patient in a significantly shorter amount of time than a patient-specific T cell product.</w:t>
      </w:r>
    </w:p>
    <w:p>
      <w:pPr>
        <w:spacing w:after="0" w:line="1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the blood source and the antigens for stimulation differ between the autologous and OTS therapies, the manufacturing process for each product is identical.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123190</wp:posOffset>
            </wp:positionV>
            <wp:extent cx="3806190" cy="1971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0619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single-antigen specific therapies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solution to the problem of tumor heterogeneity is the development of T cell products that are intended to simultaneously attack multiple tumor-expressed antigens and thereby enable more complete initial tumor targeting, thus minimizing the subsequent opportunity for the cancer to engage escape mechanisms. We believe that by targeting up to six tumor-specific antigens, our MAR-T cell approach facilitates robust killing of targeted cancer cells and minimizes tumor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125730</wp:posOffset>
            </wp:positionV>
            <wp:extent cx="3737610" cy="1731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3761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proprietary MAR-T cell platform may have meaningful advantages over current CAR and TCR-engineered cell therapy approaches. Compared to current gene-modified T cell therapies, the MAR-T cell product candidates are characterized by the following:</w:t>
      </w:r>
    </w:p>
    <w:p>
      <w:pPr>
        <w:spacing w:after="0" w:line="15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Clinical benefits observed in early-stage clinical trials in multiple cancer indications.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observations in clinical trials in AML, pancreatic cancer, lymphoma, ALL and MM, we believe that the MAR-T cell therapies have the potential to mediate a meaningful anti-tumor effect, as well as significant in vivo expansion of T cells. For example, in BCM’s Phase 1 clinical trial in lymphoma, there were complete responses, or CRs, in six of the fifteen evaluable patients with both Hodgkin lymphoma and non-Hodgkin lymphoma with active disease. Significantly, no patient with a CR has subsequently relapsed with disease, whereas typically 30% or more of patients with CR in reported CAR-T studies relapse within one year. In patient results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in this trial, observed therapeutic responses appear to be highly durable, with some patients being relapse-free beyond five years. In 2023, Marker treated the first patient in the Phase 1 APOLLO trial investigating the safety and efficacy of MT-601 in patients with lymphoma. Marker recently reported that the first patient treated in this Phase 1 study achieved a complete response 8 weeks after the second dose of MT-601 and that the patient maintained complete response to treatment 6 months after initial infusion with MT-601.</w:t>
      </w:r>
    </w:p>
    <w:p>
      <w:pPr>
        <w:spacing w:after="0" w:line="176"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Non-genetically modified T cells.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CAR and TCR-based approaches, the MAR-T cell therapy does not require genetic modification of T cells, a costly and complex process that significantly complicates the manufacturing of a patient product. We believe our MAR-T cell therapy represent a safe alternative to CAR-T cells and can be manufactured at a fraction of the cost of a gene-modified T cell product, with substantially reduced complexity of manufacturing.</w:t>
      </w:r>
    </w:p>
    <w:p>
      <w:pPr>
        <w:spacing w:after="0" w:line="176"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 incidence rate of adverse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2025, the MAR-T cell therapy was generally well tolerated by the patients across clinical trials in hematological and solid tumor indications, and no treatment-related adverse events, including neurotoxicity, were attributed to the use of MAR-T cell therapies to date. This appears to compare favorably with published CD19 CAR-T studies that have been associated with substantial tolerability concerns, including a Phase 1 trial in which 95% of patients had Grade 3 or higher adverse events during treatment and current investigations by the FDA regarding the risk of CAR-T cell therapies to potentially induce secondary cancers.</w:t>
      </w:r>
    </w:p>
    <w:p>
      <w:pPr>
        <w:spacing w:after="0" w:line="179"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Capable of addressing a broad repertoire of cancer cells.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some of which target up to six different tumor-associated antigens. The six antigen targets can be recognized by a very wide range of T cells, and we believe that this multi antigen approach facilitates robust killing of targeted cancer cells and minimizes tumor escape.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Our MAR-T Cell Therapies by BCM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clinical trials were conducted by BCM pursuant to our strategic alliance. In each trial, correlative studies showed significant expansion of MAR-T cells, as well as evidence of epitope spreading against tumor-associated antigens that were not targeted by the MAR-T cell therapy.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Myeloid Leukemia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available treatments for post-transplant AML patients are limited and include donor lymphocyte infusion, which has an approximately 15% overall response rate but a 30% to 50% risk of severe and debilitating graft-versus-host disease. The five-year mortality rate for patients who receive an allogeneic HSCT exceeds 50%, and patients who relapse after a transplant have a survival expectation of approximately 4.5 months.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BCM recently completed a Phase 1 AML/MDS clinical trial of the MAR-T cell therapy for the treatment of patients with post-transplant AML. In this trial, patients in remission with high risk for relapse, as well as patients with active disease post-transplant were treated. As reported in a 2021 publication by Lulla et al., 11 of the 17 patients in the adjuvant disease setting dosed with the MAR-T cell therapy after receiving an allogeneic HSCT did not relapse during the follow-up period of the study [median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AML/MDS patients post-HSCT [median LFS of nine to 15 months and two-year survival probability of 42%].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eight patients were treated for active disease that was resistant to salvage therapy post-HSCT with a median of five prior lines of therapy (range: four to ten). One of the eight patients crossed over from the adjuvant group while two patients enrolled twice, but all three patients had active AML that failed another line of salvage therapy after their first MAR-T cell infusion. Two of the eight patients achieved objective responses with one complete response and one partial response, with six patients continuing with stable disease.</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trial, the MAR-T cell therapy was well tolerated, with no drug-related serious adverse events and no instances of greater than Grade 2 acute graft-versus-host disease or moderate-severe chronic GVHD. The maximum grade treatment-related adverse event was seen in one patient in the adjuvant disease group who had a possibly drug-related Grade 3 elevation of liver enzymes but was treated with prednisone with complete resolution. After discontinuing treatment and receiving decitabine, the patient relapsed and later re-enrolled in the trial in the active disease group and entered CR for 13 months and survived for 2.5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2020, we reported interim data from an ongoing Phase 1/2 clinical trial of the MAR-T cell therapy for the treatment of pancreatic adenocarcinoma being conducted by BCM. In 2020, we reported that in this trial, BCM administered MAR-T cells to a total of 31 patients with advanced or borderline resectable pancreatic adenocarcinoma in three arms: 13 patients in Arm A, which included patients with unresectable/metastatic disease who were responding to standard first-line chemotherapy; 12 patients in Arm B, which included patients with progressive disease or therapy intolerance; and eight patients in Arm C, which includes patients with surgically resectable disease.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we have observed a clinical benefit correlated with the detection of tumor-reactive T cells in patient peripheral blood (Arms A, B and C) and within tumor biopsy samples (Arm C) post-infusion. No cytokine release syndrome or neurotoxicity has been observed in any arm of the trial to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Arm A was designed to evaluate the safety and potential efficacy of using MAR-T cell therapy as part of first-line treatment for patients with pancreatic cancer. These patients in the chemo-responsive arm have completed at least three months of standard-of-care chemotherapy (gemcitabine/nab-paclitaxel or FOLFIRINOX), which is the period during which a response to chemotherapy would typically occur, before receiving up to six administrations of MAR-T cell therapy in conjunction with chemotherapy.</w:t>
      </w:r>
    </w:p>
    <w:p>
      <w:pPr>
        <w:spacing w:after="0" w:line="18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the 13 evaluable patients (best overall response):</w:t>
      </w:r>
    </w:p>
    <w:p>
      <w:pPr>
        <w:spacing w:after="0" w:line="225" w:lineRule="exact"/>
        <w:rPr>
          <w:sz w:val="20"/>
          <w:szCs w:val="20"/>
          <w:color w:val="auto"/>
        </w:rPr>
      </w:pPr>
    </w:p>
    <w:p>
      <w:pPr>
        <w:ind w:left="1340" w:hanging="333"/>
        <w:spacing w:after="0"/>
        <w:tabs>
          <w:tab w:leader="none" w:pos="1340" w:val="left"/>
        </w:tabs>
        <w:numPr>
          <w:ilvl w:val="1"/>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four patients experienced objective responses after administration of MAR-T cells;</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one patient experienced a radiographic complete response occurring at month nine after starting chemotherapy;</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three patients experienced partial responses per RECIST occurring at six-nine months after starting chemotherapy;</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six patients experienced stable disease;</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one patient experienced a mixed response.</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had durable cancer control with nine of the 13 patients exceeding historical control of overall survival;</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patients enrolled in the study were not administered MAR-T cells, either because of disease progression (four patients) which made them ineligible for treatment, or because insufficient starting material from the patient was available for manufacturing (one patient);</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epitope-spreading was observed in all responders, suggesting that the MAR-T cell therapy triggered the recruitment of a broader endogenous immune system response for improved anti-tumor activity;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infusion-related reactions, cytokine release syndrome or neurotoxicity was observed;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patients responding to therapy, significant expansion of the infused MAR-T cell therapy was observed.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Lymphoma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BCM evaluated the MAR-T cell therapy (5 TAA product) in a Phase 1 clinical trial for the treatment of patients with lymphoma. A total of 32 patients received two protocol-specified infusions of MAR-T cells, 14 with Hodgkin lymphoma, or HL, and 18 with aggressive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non-Hodgkin lymphoma, or NHL, [diffuse large B-cell lymphoma, or DLBCL, (n=12), mantle cell lymphoma, or MCL, (n=2), T-cell lymphoma (n=3) and composite lymphoma (HL and DLBCL, n=1)].</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reported in a recent publication by Vasileiou et al., BCM had treated 15 patients with active disease (active lymphoma group), all of whom had completed a follow-up period beyond three months post-infusion. These patients were heavily pre-treated and had failed a median of five prior lines of therapy (range four to eight) for the HL patients and a median of three prior lines of therapy (range three to four) for the NHL patients. As illustrated below, in the active lymphoma group, six patients entered CR and nine patients had experienced stable disease. None of the patients in CR had relapsed, and the range for the duration of CR in these patients was between two and over five years after being infused with the MAR-T cell therapy with the exception of one patient who died of an unrelated pneumonia while in a CR. Responses in all six patients who entered CR were associated with an expansion of infused T cells, as well as induction of broad-based antigen spreading across many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133350</wp:posOffset>
            </wp:positionV>
            <wp:extent cx="5760720" cy="3206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BCM also treated 17 patients, including one patient who was treated a second time after a relapse, in remission (adjuvant lymphoma group). Like the active lymphoma group, these patients were heavily pre-treated with seven patients with HL treated with a median of 4 prior lines of therapy (range three to five) and 10 patients with NHL with a median of three prior lines of therapy (range one to five). As illustrated below, in the adjuvant lymphoma group, all 17 patients had entered CR, with 14 patients in continued complete remission, or CCR, without relapsing. The duration of response ranged from approximately nine months to over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128270</wp:posOffset>
            </wp:positionV>
            <wp:extent cx="5760720" cy="3188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072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both treatment groups, the MAR-T cells were well tolerated, with no drug-related serious adverse events.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Development and Manufacturing of the MAR-T Cell Therapies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manufacturing process, blood is drawn from either the individual patient (in the case of the autologous T cells) or from a healthy donors/commercially available leukapheresis material (in the case of the OTS program).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(1) identify the T cells specific for the antigens that we intend to target, (2) restore these T cells to functionality with respect to their anti-tumor capability and (3) expand the population of those T cells specific for our targets to achieve the required patient dose.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blood is drawn, PBMCs are isolated and used to manufacture a patient-specific product. These cells are placed inside a cell culture device and combined with an experimentally optimized mix of GMP-grade cytokines that is used to restore and enhance the functional capability of the cultured T cells. In addition, libraries of overlapping peptides, which we refer to as peptide pools, are added to the cell culture. Each peptide within a peptide pool represents a small segment of a target antigen, which a T cell might recognize. Each library represents the entire protein sequence of a target antigen, with each peptide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Inside the cell culture device, PBMCs, including T cells and antigen-presenting cells, are exposed to the stimulating peptide pools. This results in the selective expansion of T cells that specifically recognize the target antigens. At the end of the manufacturing process, the resulting product is a mix of helper (CD4+) and cytotoxic (CD8+) T cells that recognize the targeted antigens.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cell manufacturing is complete, the product is tested for identity, sterility, phenotype and functionality before it is released for infusion into a patient. Sampling of product indicates that, on average, approximately 4,000 different T cell clonotypes are present in a typical 5-antigen-specific patient product.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release of the final patient product, the cells are frozen and transported to the site where the cells will be administered. The standard dose for patients with lymphoma ranges from 100 to 400 million cells per adult patient.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2021, we opened an in-house cGMP manufacturing facility in Houston, Texas, where we manufactured the clinical supply of our product candidates. Subsequently, on June 26, 2023, we completed a transaction with Cell Ready, LLC, or Cell Ready, pursuant to a Purchase Agreement, or the Cell Ready Purchase Agreement, dated May 1, 2023, by and between us and Cell Ready, pursuant to which we (i) assigned to Cell Ready the leases for our two manufacturing facilities in Houston, Texas, or the Manufacturing Facilities, (ii) sold to Cell Ready all of the equipment and leasehold improvements at the Manufacturing Facilities and (iii) assigned to Cell Ready our rights, title and interest in any contracts related to the equipment and Manufacturing Facilities (collectively referred to as the “Purchased Assets”). Following the closing of the Cell Ready Purchase Agreement, we no longer operate our own cGMP manufacturing facility and instead rely on third parties for the clinical and, once approved, commercial manufacture of our product candidates.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such, 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and current shareholders, Mr. John Wilson, is a contract development and manufacturing organization (CDMO). The MSA contains customary representations, warranties and indemnification provisions. The initial term of the MSA is three years and may be extended upon the mutual written agreement of the parties. On March 27, 2025, we mutually agreed with Cell Ready to terminate the MSA. In connection therewith, we entered into a settlement and release agreement with Cell Ready pursuant to which we paid Cell Ready approximately $453,000 and we provided one another with mutual releases of all claims associated with any and all agreements between Marker and Cell Ready.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BCM continues to supply us with products as we continue our clinical trials. Furthermore, in anticipation of the commencement of our larger pivotal trial for Lymphoma in 2026, as well as the eventual need for commercial scale production, we intend to evaluate and qualify additional potential third-party manufacturing partners to provide potential multiple sources of clinical and commercial supply. We currently are in discussions with a number of CDMO candidates and anticipate that we will select a partner organization and commence the qualification and technology transfer process later this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 See “Risk Factors”.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incurred $5.8 million and $1.3 million in expenses related to the services and manufacturing costs, and paid $5.5 million and nil related to invoices received,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competition from numerous pharmaceutical and biotechnology companies, as well as from academic institutions, private and public research institutions, and government agencies. Treatment of relapsed patients with lymphoma remains a challenge with relatively low overall survival rates. To date, there are four CD19-directed CAR-T cell therapies (Yescarta, Kymriah, Tecartus, and Bryanzi)</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approved for patients with relapsed lymphoma. However, up to 60% of CD19 CAR-T cell treated patients will relapse, particularly in the third line setting (Chong EA et al, N Engl J Med, 2021). This highlights a significant unmet medical need for alternative and more effective treatments. Our MAR-T cell drug candidates may compete with product candidates from a number of companies, which are developing various types of immunotherapies to treat cancer, including non-CD19 targeting CAR-T cells that target different antigens beyond CD19, multi-targeted CAR-T cells as well as NK-CAR therapies. In addition, bispecific antibodies represent promising therapies for patients with lymphoma and provide competition in the oncology space. To date, MT-601 is the only natural T cell product that targets multiple tumor antigens being explored for CAR relapse patients with lymphoma. Therefore, MT-601 fills a void in the market by providing much needed treatment option to the lymphoma patient population.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non-engineered T cell therapy approaches will be synergistic and may improve therapies being developed by potential competitors. Many companies and institutions, either alone or together with their collaborative partners, have substantially greater financial, technical and human resources, and significantly greater experience than we do in the following:</w:t>
      </w:r>
    </w:p>
    <w:p>
      <w:pPr>
        <w:spacing w:after="0" w:line="176"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discovery;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FDA and other regulatory approvals of products;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distributing and selling products.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Accordingly, our competitors may succeed in obtaining patent protection, receiving FDA and other regulatory approval or commercializing products that compete with our drug candidates.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any drug candidate that we successfully develop may compete with existing therapies that have long histories of safe and effective use. Competition may also arise from:</w:t>
      </w:r>
    </w:p>
    <w:p>
      <w:pPr>
        <w:spacing w:after="0" w:line="162"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 and methods of preventing or reducing the incidence of disease;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small molecules; and/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classes of therapeutic agents.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and will continue to face,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compete successfully will depend, in part, on our ability to:</w:t>
      </w:r>
    </w:p>
    <w:p>
      <w:pPr>
        <w:spacing w:after="0" w:line="225"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proprietary products;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products that reach the market first, are technologically superior to and/or are of lower cost than other products in the market;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scientific, product development and sales and marketing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products and technologies;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market, distribute and sell any products that we develop.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BCM Exclusive License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16, 2018, we entered into an exclusive license agreement, or the BCM License Agreement, with BCM, under which we received a worldwide, exclusive license to BCM’s rights in and to certain intellectual property rights, including European patent EP 2470644 (estimated expiration date August 24, 2030), to develop and commercialize MAR-T cell product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to BCM’s Subject Technology:</w:t>
      </w:r>
    </w:p>
    <w:p>
      <w:pPr>
        <w:spacing w:after="0" w:line="227"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of CTL Lines with Specificity Against Multiple Tumor Antigens or Multiple Viruses”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“Pepmixes to Generate Multiviral CTLs with Broad Specificity”</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“Immunogenic Antigen Identification from a Pathogen and Correlation to Clinical Efficacy”</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cell performance assay as a prognostic factor for clinical outcome”</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partial consideration for the exclusive rights granted under the BCM License Agreement, Marker Cell Therapy, Inc., an entity that is now our wholly owned subsidiary, issued shares of its common stock to BCM valued at approximately $5.0 million at the time of issuance. Such initial equity issuance was exchanged into merger consideration of 149,081 shares of our common stock and warrants to acquire 54,064 shares of our common stock in connection with the merger we completed in October 2018, each as adjusted to reflect the reverse stock split that we effected in January 2023. Additional consideration includes a royalty paid on net sales by us to BCM according to the royalty schedule in the BCM License Agreement. The royalty fee schedule is based on aggregate net sales in four different ranges: (1) less than $500 million, (2) $500 million to $1.0 billion, (3) $1.0 billion and over, and (4) $2.0 billion and over. The corresponding royalty percentages range from 0.65% to 5.0% - increasing in proportion to the aggregate net sales. The royalty fee may be reduced in the event that we must pay additional royalties with respect to third-party owned patent rights or technology necessary for the use, manufacture or sale of a licensed product. We also agreed to pay BCM up to an aggregate of $64.85 million in milestone payments upon the occurrence of nine particular milestones relating to completion of the first dosing in clinical trials for a first and second distinct product, receipt of approval from the FDA and the achievement of certain net sales goals. We are also responsible for sublicensing fees. In addition, under the BCM License Agreement, we are responsible for reimbursing BCM for patent-related expenses. BCM is responsible for filing, prosecuting and maintaining all patent applications and patents included in the licensed patent rights, and we have agreed to reimburse BCM for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upon a liquidity event (as defined in the BCM License Agreement) of the Company, BCM will receive a liquidity incentive payment of 0.5% of the liquidity event proceeds (as defined in the BCM License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terminated sooner, the license will expire on a licensed product-by-product basis and country-by-country basis, on the later of</w:t>
      </w:r>
    </w:p>
    <w:p>
      <w:pPr>
        <w:spacing w:after="0" w:line="27"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expiration of the last valid claim of patent rights to expire that covers the sale of such licensed product in such country,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(1) we have provided BCM with a written plan that is reasonably calculated to effect a cure, (2) such plan is reasonably acceptable to BCM, in its sole but reasonable discretion, and (3)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(1) become involved in insolvency, dissolution, bankruptcy or receivership proceedings affecting the operation of our business, (2) make an assignment of all or substantially all of our assets for the benefit of creditors, or (3) if a receiver or trustee is appointed for us and we, after the expiration of 30 days following any of the enumerated events, are unable to secure a dismissal, stay or other suspension of such proceedings.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our possession at the effective date of termination, provided that we continue to pay to BCM royalties on all such sales in accordance with the license agreement, otherwise comply with the terms of the license agreement and sell all such licensed products within six months after the effective date of the termination.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furtherance of the BCM License Agreement and as contemplated by the terms thereof, we entered into a Sponsored Research Agreement, or the SRA, with BCM, which provides for the conduct of research for us by credentialed personnel at BCM’s Center for Cell and Gene Therapy.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additional agreements with BCM with respect to a strategic alliance to advance pre-clinical research, early-stage clinical trials, and Phase 2 clinical trials with respect to our product candidates, as well as continued access to our clinical data, and product manufacturing and support, including personnel and space at the institution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Prevention and Research Institute of Texas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CPRIT to support our clinical investigation of MT-401. In December 2024, we received notice of an additional $9.5 million grant from CPRIT to support the clinical investigation of MT-601 in patients with pancreatic cancer. Both CPRIT grants contain identical terms surrounding intellectual property and revenue sharing.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 the CPRIT grant agreements, we will retain ownership over any intellectual property developed under the contracts (the “Project Results”). With respect to non-commercial use of any Project Results, we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products become commercially saleable, we are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us by CPRIT under the grant agreements. If we are required to obtain a license from a third party to sell any such product, the revenue sharing percentages may be reduced. In addition,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we have paid CPRIT 400% of the monies received under the grant agreements, we will continue to pay CPRIT a revenue-sharing percentage of 0.5% for the remainder of the Revenue Term as specified in the grant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for example, the rights obtained under exclusive license arrangements such as those pursuant to our BCM License Agreement. With respect to both licensed and company-owned intellectual property, we cannot be sure that patents will be granted with respect to any of our pending patent applications or with respect to any patent applications filed in the future, nor can we be sure that any of our existing patents or any patents that may be granted in the future will be commercially useful in protecting our commercial products and methods of manufacturing the same.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achieve this objective, a strategic focus for us has been identifying and licensing key patents and patent applications that serve to enhance our intellectual property and technology position. Currently, all of our MAR-T cell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regard to Cell Ready, the MSA provides that each party will solely and exclusively own all right, title and interest in and to their Background IP and all inventions derived from such Background IP (such invention being referred to as Foreground IP). Background IP means all intellectual property either (a) owned or controlled by a party prior to the effective date of the MSA or (b) developed or acquired by a party independently from performance under the MSA without the use of, reliance on, or access to the other party’s confidential information. Furthermore, pursuant to the MSA, Cell Ready grants to the Company a non-exclusive, perpetual, irrevocable, transferable, assignable, fully-paid up, royalty-free, worldwide license to and under any of Cell Ready’s Background IP and Foreground IP to the extent they are incorporated or embedded in any deliverables provided to the Company or in the process of generating or manufacturing such deliverables and reasonably necessary or useful for the Company to make, have made, manufacture, have manufactured, use, have used, offer for sale, sell, import, and otherwise exploit such deliverables. The Company grants to Cell Ready until the termination or expiry of any applicable Work Order and for a period not exceeding the term of the MSA, a non-exclusive, fully paid-up, non-transferable, non-sublicensable limited license under and to the Company’s Background IP made available to Cell Ready pursuant to a Work Order solely to the extent required for Cell Ready to provide the services under such Work Order.</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patent portfolio, together with our efforts to develop and patent next-generation technologies, provides us with a substantial intellectual property position. However, the area of patent and other intellectual property rights in biotechnology is an evolving one with many risks and uncertainties.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We reassess the value of each patent at the time maintenance fees are due, and in cases where maintaining the patent is judged to be of no significant strategic value, we decline to pay the maintenance fee.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patents, and any patents that may be issued, assigned, or licensed to us in the future, will afford protection against competitors with similar technology. In addition, no assurances can be given that any patents issued, assigned, or licensed to us will not be infringed upon or designed around by others or that others will not obtain patents that we would need to license or design around. If existing or future patents held by third parties and containing broad claims over technology used by us were upheld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a court or other authority of competent jurisdiction, the holders of such patents could require us to obtain licenses to use such technology.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coverage may also vary from country to country based on the scope of available patent protection. Moreover, in the United States, patent term may be adjusted to account for delays by the United States Patent and Trademark Office, or USPTO, during prosecution. There are also opportunities to obtain an extension of term for patents covering a product in certain jurisdictions, which adds further complexity to the determination of patent life.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for example: (1) later- expiring patents on processes and intermediates related to improved methods of manufacture of the active ingredient of such product; (2) patents relating to the use of such product; (3) patents relating to novel compositions and formulations; and (4) in the United States and certain other countries, other types of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patent applications we own, will acquire, license, or will license will issue as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discoveries/inventions in the scientific or patent literature often lags behind actual discovery/invention, we cannot be certain of the priority of inventions covered by pending patent applications and whether potentially relevant earlier patent filings exist. Moreover, we may have to participate in opposition proceedings in a foreign patent office, or for United States patent applications filed before March 16, 2013, in interference proceedings declared by the USPTO, to determine priority of invention, or in United States inter partes review or post-grant review procedures, any of which could result in substantial cost to us, even if the eventual outcome is favorable to us. There can be no assurance that the patents, if issued, would be held valid by a court or other authority of competent jurisdiction. An adverse outcome could subject us to significant liabilities to third parties, require disputed rights to be licensed from third parties, or require us to cease using such technology.</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differences in patent laws and laws concerning proprietary rights, the extent of protection provided by U.S. patents or proprietary rights owned by us may differ from that of their foreign counterparts.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trade secrets and know-how relating to our proprietary technology and product candidates, continuing innovation, and in-licensing opportunities to develop, strengthen and maintain our 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have pending with the USPTO applications for registration of the trademarks “Marker Therapeutics.”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biologic product candidates may be marketed in the United States generally involves the following:</w:t>
      </w:r>
    </w:p>
    <w:p>
      <w:pPr>
        <w:spacing w:after="0" w:line="162" w:lineRule="exact"/>
        <w:rPr>
          <w:sz w:val="20"/>
          <w:szCs w:val="20"/>
          <w:color w:val="auto"/>
        </w:rPr>
      </w:pPr>
    </w:p>
    <w:p>
      <w:pPr>
        <w:ind w:left="680" w:right="2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or GLP, regulation;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the trial is commenced;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purpose;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after completion of all pivotal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1"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and</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jc w:val="both"/>
        <w:ind w:left="680" w:hanging="321"/>
        <w:spacing w:after="0" w:line="261"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The fast-track program is intended to expedite or facilitate the process for reviewing new products that meet certain criteria. Specifically, new products are eligible for fast-track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fast-track product has opportunities for frequent interactions with the review team during product development and, once a BLA is submitted, the product may be eligible for priority review. A fast-track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including involvement of senior managers.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with a fast-track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regenerative medicine advanced therapy, or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accelerated approval, and RMAT designation do not change the standards for approval but may expedite the development or approval process.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7" w:lineRule="exact"/>
        <w:rPr>
          <w:sz w:val="20"/>
          <w:szCs w:val="20"/>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 or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and civil monetary penalty laws, which prohibit, among other things, individuals or entities from knowingly presenting, or causing to be presented, claims for payment to the federal government, including federal healthcare programs, that are false or fraudulent; the Health Insurance Portability and Accountability Act, or HIPAA, which created additional federal criminal statutes which prohibit, among other things, executing a scheme to defraud any healthcare benefit program and making false statements relating to healthcare matters, and which, as amended by Health Information Technology for Economic and Clinical Health Act, or HITECH, also imposes certain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requirements on HIPAA covered entities and their business associates and covered subcontractors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physicians (as defined by the Physician Payments Sunshine Act), other covered physicians and teaching hospitals, as well as ownership and investment interests held by health care professionals and their immediate family members; and U.S. state and foreign law equivalents of each of the above federal laws, which, in some cases, differ from each other in significant ways, and may not have the same effect, thus complicating compliance efforts. In addition, certain states require pharmaceutical companies to comply with the pharmaceutical industry’s voluntary compliance guidelines and the relevant compliance guidance promulgated by the federal government and certain states and local jurisdictions require the registration of pharmaceutical sales representatives. If their operations are found to be in violation of any of such laws or any other governmental regulations that apply, they may be subject to penalties, including, without limitation, significant civil, criminal and administrative penalties, damages, fines, disgorgement, imprisonment,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the company receives regulatory approval, less favorable coverage policies and reimbursement rates may be implemented in the future.</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2010, the ACA was signed into law, which substantially changed the way healthcare is financed by both governmental and private insurers in the United States, and significantly affected the pharmaceutical industry. The ACA contained a number of provisions of particular importance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There have been executive, judicial and Congressional challenges to certain aspects of the ACA. For example, the Tax Cuts and Jobs Act was enacted, which, among other things, removed penalties for not complying with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eliminated the health insurer tax.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other such litigation, and the healthcare reform measures of the Biden administration will impact the ACA and our business.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of 2%, which due to subsequent legislative amendments, including the Infrastructure Investment and Jobs Act, will stay in effect per fiscal year through 2031, except for a temporary suspension from May 1, 2020 through March 32, 2021 due to COVID-19 relief legislation, unless additional Congressional action is taken, and reduced payments to several types of Medicare providers.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also considering additional health reform measures as part of other reform initiatives.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However, it is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unclear whether these or similar policy initiatives will be implemented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and Insurance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We have not experienced any product 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we had 5 full-time employees: 1 clinical and 4 in administrative support. None of our employees is subject to a collective bargaining agreement. We consider our relationship with our employees to be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We strive to create a diverse environment, and our commitment to diversity, equity and inclusion begins with our leadership team of diverse backgrounds and experiences. 100% of our executive officers are women or self-identify as a member of an underrepresented minority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in 1991 under the name “TapImmune, Inc.” and reincorporated in Delaware in October 2018 under the name “Marker Therapeutics, Inc.” Our principal executive offices are located at 2450 Holcombe Blvd, Suite BCM-A, MS: BCM251, Houston, Texas, and our telephone number is (713) 400-6400. Our common stock is listed for trading on the Nasdaq Capital Market under the symbol “MRKR”.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i w:val="1"/>
          <w:iCs w:val="1"/>
          <w:color w:val="auto"/>
        </w:rPr>
        <w:t>www.markertherapeutics.com</w:t>
      </w:r>
      <w:r>
        <w:rPr>
          <w:rFonts w:ascii="Times New Roman" w:cs="Times New Roman" w:eastAsia="Times New Roman" w:hAnsi="Times New Roman"/>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ectPr>
          <w:pgSz w:w="11900" w:h="16838" w:orient="portrait"/>
          <w:cols w:equalWidth="0" w:num="1">
            <w:col w:w="9920"/>
          </w:cols>
          <w:pgMar w:left="980" w:top="513"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that you should be aware of before making an investment decision. These risks are described more fully in this “Risk Factors” section and include, among others:</w:t>
      </w:r>
    </w:p>
    <w:p>
      <w:pPr>
        <w:spacing w:after="0" w:line="162" w:lineRule="exact"/>
        <w:rPr>
          <w:sz w:val="20"/>
          <w:szCs w:val="20"/>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company with a history of operating losses, and we expect losses to continue for the indefinite future. These factors raise substantial doubt regarding our ability to continue as a going concern.</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earlier preclinical and clinical trials may not be predictive of future clinical trial results.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vendors to maintain and support our manufacturing and cell processing. If any of our third-party vendors experience disruptions, or otherwise cease or substantially reduce their operations, our business and operations could be adversely affected.</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relationship with BCM is dependent, in part, upon our ongoing relationship with key medical and scientific personnel and advisors.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upon attaining significant market acceptance of our product candidates, if approved, among physicians, patients, healthcare payors and the medical community.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biotechnology and immunotherapy industries are characterized by rapid technological developments and a high degree of competition. We may be unable to compete with more substantial enterprises.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proprietary rights, we may not be able to compete effectively or operate profitably.</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company with a history of operating losses, and we expect losses to continue for the indefinite future. These factors raise substantial doubt regarding our ability to continue as a going concern.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Weakness and volatility in the capital markets and the economy in general could also increase our costs of borrowing. Such additional financing may not be available on favorable terms, or at all.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sustained losses from operations in each fiscal year since our inception, and we expect losses to continue for the indefinite future due to the substantial investment in research and development. Based on our lack of recurring revenues, anticipated uses of cash and historical recurring cash losses from operating activity, and cash and cash equivalents as of December 31, 2024, we anticipate that we will be able to fund our operating expenses and capital expenditure requirements into the first quarter of 2026, assuming no additional grant funds are received. These factors raise substantial doubt regarding our ability to continue as a going concern.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plan to raise additional capital through the issuance of common shares and receipt of additional grant funds, which could enable us to fund our operating expenses and capital expenditure requirements beyond the first quarter of 2026, although no assurance can be given that such capital or existing awarded grants will be earned or future grants will be awarded. Our future cash requirements are based on our clinical and research and development plans, timing expectations related to the progress of our programs, and are subject to our ability to effectively manage our costs, raise additional capital, and receive additional grants.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substantial doubt regarding our ability to continue as a going concern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Valley Bank, or SVB, was closed by the California Department of Financial Protection and Innovation, which appointed the Federal Deposit Insurance Corporation, or the FDIC, as receiver.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a statement by the U.S. Department of the Treasury, the Federal Reserve and the FDIC stated that all depositors of SVB would have access to all of their money after only one business day following the date of closure,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early in our development efforts and all of our product candidates are still in 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our MAR-T cell product candidates or any other product candidates that we develop or otherwise may acquire will depend on several factors, including:</w:t>
      </w:r>
    </w:p>
    <w:p>
      <w:pPr>
        <w:spacing w:after="0" w:line="180" w:lineRule="exact"/>
        <w:rPr>
          <w:sz w:val="20"/>
          <w:szCs w:val="20"/>
          <w:color w:val="auto"/>
        </w:rPr>
      </w:pPr>
    </w:p>
    <w:p>
      <w:pPr>
        <w:ind w:left="680" w:right="2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INDs, from the FDA or comparable foreign applications that allow commencement of our planned clinical trials or future clinical trials for our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Good Clinical Practices, or GCPs, and current Good Laboratory Practices;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or making arrangements with third-party manufacturers for, our commercial manufacturing processes for any of our product candidates that receive regulatory approval;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products, if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by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and any indications for such product candidate, that we develop;</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and manufacture our product candidates, which is dependent on third-party vendors and their willingness to support our manufacturing and cell processing;</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regulatory requirements, including the FDA’s current Good Manufacturing Practices, or cGMPs, and complying effectively with other procedures;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products following approval.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immunotherapies that we may develop are not likely to be commercially available for at least three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previously submitted a biologics license application, or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regulatory approval. For example, the FDA has limited experience with commercial development of cell therapies for cancer. Accordingly, the regulatory approval pathway for our product candidates may be uncertain, complex, expensive and lengthy, and approval may not be obtained, and the FDA or non-U.S. regulatory authorities may disagree with the design or implementation of our clinical trials or study endpoints.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completing planned clinical trials for a variety of reasons, including delays related to:</w:t>
      </w:r>
    </w:p>
    <w:p>
      <w:pPr>
        <w:spacing w:after="0" w:line="252"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clinical research organizations, or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by an independent institutional review board, or IRB, at each clinical trial site;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 or</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qualified materials under cGMPs and applying them on a subject by subject basis for use in clinical trials.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 performance of our CROs may also be interrupted by health epidemics or other disruptions, including due to travel or quarantine policies or prioritization of resources toward such health epidemic or disruption.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trials are expensive and difficult to design and implement, in part because they are subject to rigorous regulatory requirements. Because our product candidates are based on new technologies and manufactured on a patient-by-patient basis for our MAR-T cell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product candidates we expect that they will have substantial manufacturing costs. In addition, the initial estimates of the clinical cost of development may prove to be inadequate, particularly if clinical trial timing or outcome is different than predicted or regulatory agencies require further testing before approval. For example, we previously experienced temporary delays in enrollment due to the COVID-19 pandemic and in satisfying certain FDA requirements for our clinical study of MT-401 for the treatment of post-transplant AML, and any further delay to our planned timelines for our trial may impact our cost estimates for this trial.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global pandemics, as experienced with COVID-19, can increase the duration and costs of such trials. 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or our regulators, may suspend or terminate our clinical trials for a variety of reasons. For example, in the fourth quarter of 2019 the FDA placed a clinical hold on our IND of MT-401 for the treatment of patients with post-transplant AML and requested certain information regarding quality and technical specifications for two reagents supplied by third-party vendors that are used in our manufacturing process but not present in the final product infused to patients. In January 2021, the FDA lifted the clinical hold, permitting us to initiate a Phase 2 clinical trial for the treatment of post-transplant AML, with a safety lead-in portion. We completed the safety lead-in portion of the trial in June 2021, and we initiated the remainder of the Phase 2 trial in July 2021. 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earlier preclinical and clinical trials may not be predictive of future clinical trial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and may prove to be incorrect.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including with respect to challenges related to enrollment, manufacturing and our reliance on third parties to conduct, supervise or monitor some or all aspects of our clinical trials. We may experience numerous unforeseen events during, or as a result of, any future clinical trials that we conduct that could delay or prevent our ability to receive marketing approval or commercialize our product candidates.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side effects caused by the product candidate, the administration process or related procedures also can cause adverse side effects.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In addition, these side effects may not be appropriately recognized or managed by the treating medical staff, as toxicities resulting from personalized cell therapy, as with our MAR-T cell therapy products, are not normally encountered in the general patient population and by medical personnel. Any of these occurrences may harm our ability to develop other product candidates, and may harm our business, financial condition and prospects significantly.</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62"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or maintain the benefits associated with orphan drug designation, including market exclusivity.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FDA has granted orphan drug designation for MT-401 for the treatment of AML after receiving an allogeneic stem cell transplant and for MT-601 for the treatment of patients with pancreatic cancer. In 2023, MT-401 was also granted orphan drug designation by the Committee for Orphan Medicinal Products of the European Medicines Agency (EMA) for the treatment of patients with AML.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Commission (on the basis of the opinion of the European Medicines Agency, or the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and contract manufacturing organizations to maintain and support our manufacturing and cell processing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2021, we opened an in-house cGMP manufacturing facility in Houston, Texas, where we manufactured the clinical supply of our product candidates. On June 26, 2023, we completed the previously announced transaction with Cell Ready, LLC (“Cell Ready”), pursuant to a Purchase Agreement (the “Cell Ready Purchase Agreement”), dated May 1, 2023, by and between us and Cell Ready. Pursuant to the Cell Ready Purchase Agreement, we (i) assigned to Cell Ready the leases for our two manufacturing facilities in Houston, Texas, or the Manufacturing Facilities, (ii) sold to Cell Ready all of the equipment and leasehold improvements at our manufacturing facilities and (iii) assigned to Cell Ready our rights, title and interest in any contracts related to the equipment and manufacturing facilities (collectively referred to as the “Purchased Assets”). Following the closing of the Cell Ready Purchase Agreement, we no longer operate our own cGMP manufacturing facility and instead rely on third parties for the clinical and, once approved, commercial manufacture of our product candidates.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manufacturing process was originally developed at Baylor College of Medicine and we continue to contract with BCM to perform a wide variety of services to ensure the continuation of our research and development efforts, with the goal of optimizing our manufacturing process, product quality and commercial scalability. We continue to order products from BCM and BCM continues to supply us with products.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and current shareholders, Mr. John Wilson, is a contract development and manufacturing organization (CDMO). Under the MSA, Cell Ready previously performed various services for us, including research and development, and manufacturing in support of our clinical trials. However, on March 27, 2025, we mutually agreed with Cell Ready to terminate the MSA. In connection therewith, we entered into a settlement and release agreement with Cell Ready pursuant to which we paid Cell Ready approximately $453,000 and we provided each other with mutual releases of all claims associated with any and all agreements between the Marker and Cell Ready.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intend to evaluate additional potential third-party manufacturing capabilities to provide potential multiple sources of clinical and commercial supply. However, even if we can secure multiple sources of clinical and commercial supply, third-party manufacturers may not be willing or able to meet our needs concerning timing, quantity, or quality and/or may cease or substantially reduce their business. If we are unable to contract for a sufficient supply of needed materials on acceptable terms, or if we should encounter delays, difficulties or disputes with regard to in our relationships with manufacturers, our clinical trials may be delayed,</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thereby delaying the submission of product candidates for regulatory approval or the market introduction and subsequent sales of any approved products. Any such delay may lower our revenues and potential profitability. If any third-party breaches or terminates its agreement with us or fails to conduct its activities in a timely manner, the commercialization of our product candidates could be slowed down or blocked completely. It is possible that third-parties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Also, if we enter into additional third-party agreements in the future, we may not be able to negotiate such agreements successfully and, even if established, these relationships may not be scientifically or commercially successful. In the event our relationship with a third-party manufacturer is terminated or substantially reduced for any reason, it is possible we will not be able to identify an alternative third-party manufacturer within a reasonable period of time, if ever, which would have an adverse effect our operations.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our manufacturing capabilities could be affected by cost-overruns, unexpected delays, equipment failures, labor shortages, natural disasters, power failures, competition with other clients, transportation difficulties and numerous other factors that could prevent us from fully realizing the intended benefits of our manufacturing strategy and have a material adverse effect on our clinical development, commercialization plans and/or general operations. In addition, the manufacturing process for any product candidates that we may develop is subject to the FDA and foreign regulatory authority approval process, and we may need to contract with manufacturers who can meet all applicable FDA and foreign regulatory authority requirements on an ongoing basis. If our contract manufacturing organizations, or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Further, we may be required to establish multiple manufacturing facilities to expand our commercial footprint for any approved products, which may lead to regulatory delays or prove costly.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is reliant upon specialized equipment, and other specialty materials, which may not be available to us on acceptable terms or at all. We, our vendors, and contract manufacturing organizations rely or may rely on sole-source vendors or a limited number of vendors, which could impair the manufacture and supply of our product candidates.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a limited number of vendors for supply of certain materials and equipment used in the manufacture of our MAR-T cell therapy-based product candidates. For example, in the past, we purchased equipment and reagents critical for the manufacture of our product candidates from Wilson Wolf (a company controlled by our former director, John Wilson), Almac and other suppliers. As previously disclosed, Mr. Wilson resigned as one of our directors on January 24, 2024. Some of our direct or indirect suppliers may not have the willingness or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complex and we may encounter difficulties in production, particularly with respect to process development. If any of our third-party suppliers encounter such difficulties, the supply of our product candidates for clinical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trials, or our product candidates for patients, if approved, could be delayed or stopped, or we may be unable to maintain a commercially viable cost structure.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product candidates are biologics, and the process of manufacturing our product candidates is complex, highly regulated and subject to multiple risks. For example, the manufacture of our MAR-T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Additionally, transferring manufacturing responsibilities from one manufacturer to another also involves various risks, which could result in delays and additional costs.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our autologous MAR-T cell therapy-based product candidates, MT-601, is manufactured for each particular patient, we will be required to maintain a chain of identity with respect to the patient’s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late-stage clinical trials towards approval and commercialization, it is common that various aspects of the development program, such as manufacturing methods, are altered along the way in order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working to develop commercially viable processes for manufacturing our products.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assurance can be given that we will be able to develop a new, FDA-compliant, more efficient, lower cost manufacturing process upon which our business plan to commercialize MAR-T cell-based product candidates is dependent.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cooperation with our current contract manufacturers and suppliers, we developed and have implemented a new nine-day MAR-T cell manufacturing process for our current as well as future clinical trials using a patient-specific manufacturing approach or using products manufactured from healthy donors (“Off-the-Shelf”). The new manufacturing process marks additional manufacturing improvements compared to the processes used in the BCM Phase 1 and 2 trials (36-day manufacturing time) and our previous AML trial (20-day manufacturing time). The new nine-day manufacturing process enables increased antigen specificity and diversity, which has exhibited a strong linear correlation to anti-tumor activity in vitro. The new process produces a patient product that is four times more potent, with the potential to greatly improve tumor killing. This new, scaled-up, pharmaceutical manufacturing process is new and subject to uncertainties. We cannot guarantee that we will be able to more efficiently and cost effectively, and in a more automated manner produce, measure and control the physical and/or chemical attributes of our product candidates in a cGMP facility. We also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third-party manufacturers will have to continually adhere to current cGMP regulations enforced by the FDA through its facilities inspection program. If these facilities cannot pass a pre-approval plant inspection, the FDA</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or our partners will be able to establish and operate such a production facility.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from the transaction with Cell Ready.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closing of the transaction with Cell Ready, or such benefits may be delayed or not occur at all. In particular, we have made the strategic decision to dispose of our manufacturing facilities and related assets in order to focus on clinical development of the MAR-T cell therapy-based product candidates in our pipeline. Following the closing of the transaction, we no longer operate our own cGMP manufacturing facility and have relied on Cell Ready and other third parties for the clinical and, if approved, commercial manufacture of our product candidates. We may not realize the anticipated cost savings associated with contracting out our manufacturing, and research and development requirements. An inability to realize the anticipated benefits of the Cell Ready transaction could have an adverse impact on our business, financial condition and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of the transaction with Cell Ready, we no longer operate our own cGMP manufacturing facility and instead rely on third parties for the clinical and, if approved, commercial manufacture of our product candidates. The third-party manufacturing facilities on which we rely may have limited capacity or fail to meet the applicable stringent regulatory requirements.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have any cGMP manufacturing facilities. Following the termination of our MSA with Cell Ready, we rely on BCM for the cGMP manufacture of our product candidates for clinical development. In anticipation of the commencement of our larger pivotal trial for Lymphoma in 2026, as well as the eventual need for commercial scale production, we intend to evaluate and qualify additional potential third-party manufacturing partners to provide potential multiple sources of clinical and commercial supply. We currently are in discussions with a number of CDMO candidates and anticipate that we will select a partner organization and commence the qualification and technology transfer process later this year. 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Also, if we must increase production capacity for any reason, we may need to make considerable investments that could lead to significant financing needs or require us to enter into subcontracting agreements in order to outsource part of the production.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third-party contract manufacturing organizations on which we currently or in the future rely ceases or reduces its business or the products it supplies to us or experiences capacity constraints, other disruptions, or delays in manufacturing our MAR-T cell therapy-based product candidates, our planned clinical trials and necessary manufacturing capabilities will be disrupted or delayed. Third-party manufacturers may not be able to meet our needs concerning timing, quantity, or quality. Additionally, our third-party manufacturing partners may engage, be engaged by, or otherwise enter into arrangements with our competitors.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We do not have control over a supplier’s or manufacturer’s compliance with laws, regulations and applicable cGMP standards or similar regulatory requirements and other laws and regulations, such as those related to environmental health and safety matters. If our contract manufacturers cannot successfully manufacture material that conforms to our specifications and the strict regulatory requirements of the FDA or other regulatory authorities, we may be unable to obtain regulatory approval of our marketing applications.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strategic relationship with BCM is dependent, in part, upon our ongoing relationship with key medical and scientific personnel and advisors.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MAR-T cell therapy has been developed through our collaboration with the Center for Cell and Gene Therapy at BCM, founded by Malcolm K. Brenner, M.D., Ph.D., a recognized pioneer in immuno-oncology. Our strategic relationship with BCM is dependent, in part, on our relationship with certain key employees and advisors, some of whom serve on our Scientific Advisory board, and in particular Dr. Vera, our founder, President and Chief Executive Officer and Principal Financial and Accounting Officer. If Dr. Vera discontinues his employment with us, our relationship with BCM may deteriorate, and our business could be harmed. We may also be dependent on BCM facilities and personnel to conduct research and development and manufacturing activities in the future.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an exclusive license agreement with BCM under which we received a worldwide, exclusive license to BCM’s rights in and to three patent families to develop and commercialize the MAR-T cell product candidates, we will need to enter into additional agreements with BCM with respect to (i) a strategic alliance to advance preclinical research, early stage clinical trials, and clinical trials with respect to our product candidates, as well as continued access to our clinical data, and (ii)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important element of our intellectual property portfolio is to license additional rights and technologies from BCM. Our inability to license the rights and technologies that we have identified, or newly developed MAR-T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establish or maintain the third-party relationships, including strategic collaborations, that are necessary to develop, commercialize and/or market some or all of our product candidates.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 Management of any third-party relationships will require significant time and effort from our management team, coordination of our research and development programs with the research and development priorities of our collaborators and effective allocation of our resources to multiple projects.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76" w:lineRule="exact"/>
        <w:rPr>
          <w:sz w:val="20"/>
          <w:szCs w:val="20"/>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safety of our product candidates as demonstrated in clinical trials and post-marketing experience;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indications for which our product candidates may be approved;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our product candidates as safe and effective;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and perceived advantages of our product candidates over alternative treatments;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of our product candidates seen in a broader patient group, including our use outside the approved indications should physicians choose to prescribe for such uses;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and severity of any side effects;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of our product candidates as well as competitive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 relation to alternative treatments;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the availability of coverage and adequate reimbursement by third-party payors and government authorities;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any sales and marketing efforts.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MAR-T cell therapy may be provided to patients in combination with other agents provided by third parties. The cost of such combination therapy may increase the overall cost of MAR-T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for example, principal decisions about reimbursement for new products are typically made by the Centers for Medicare &amp; Medicaid Services, or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will be available for any product that we commercialize and, if reimbursement is available, what the level of reimbursement will be.</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upon our key personnel, and our ability to attract, retain, and motivate additional qualified personnel. We will also be required to establish sales and marketing capabilities or enter into agreements with third parties to market and sell any approved products.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Juan Vera, M.D., our President, Chief Executive Officer, and Principal Financial and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Officer, as well as others. The loss of the services of any of our executive officer,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 party to perform sales and marketing functions, we may be unable to compete successfully against these more established companies.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Potential competitors in the market for treating hematological malignancies include numerous pharmaceutical and biotechnology companies, as well as academic institutions, private and public research institutions, and government agencies. Treatment of relapsed patients with lymphoma remains a challenge with relatively low overall survival rates. To date, there are four CD19-directed CAR-T cell therapies (Yescarta, Kymriah, Tecartus, and Bryanzi) approved for patients with relapsed lymphoma. However, up to 60% of CD19 CAR-T cell treated patients will relapse, particularly in the third line setting (Chong EA et al, N Engl J Med, 2021). This highlights a significant unmet medical need for alternative and more effective treatments. Our MAR-T cell drug candidates may compete with product candidates from a number of companies, which are developing various types of immunotherapies to treat cancer, including non-CD19 targeting CAR-T cells that target different antigens beyond CD19, multi-targeted CAR-T cells as well as NK-CAR therapies. In addition, bispecific antibodies represent promising therapies for patients with lymphoma and provide competition in the oncology space. To date, MT-601 is the only natural T cell product that targets multiple tumor antigens being explored for CAR relapse patients with lymphoma. Therefore, MT-601 fills a void in the market by providing much needed treatment to patient population. Current and potential competitors may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While these universities and public and private research institutions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primarily have educational objectives, they may develop proprietary technologies that lead to other FDA approved therapies or that secure patent protection that we may need for the development of our technologies and product candidates.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patients with lymphoma that relapsed after anti-CD19 CAR-T cell therapy. Even if we obtain significant market share for our product candidates, because the potential target populations might be small, we may not achieve profitability without obtaining regulatory approval for additional indications, and we may spend large amounts of money trying to obtain approval for product candidates that have an uncertain commercial market.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regulatory pathways for biosimilar competition could reduce the duration of market exclusivity for our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Patient Protection and Affordable Care Act, as amended by the Health Care and Education Reconciliation Act, or collectively, the ACA,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biosimilar to earlier versions of biological products. For example, the European Union has had an established regulatory pathway for biosimilars since 2005.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multiple roles of Dr. Vera, our President, Chief Executive Officer, and Principal Financial and Accounting Officer, could limit his time and availability to us, and create, or appear to create, conflicts of interest.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Vera is a co-founder and director of Allovir Inc., or Allovir. Allovir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Dr. Vera has certain fiduciary or other obligations to us and certain fiduciary or other obligations to Allovir and BCM. Such multiple obligations may in the future result in a conflict of interest with respect to presenting other potential business opportunities to us or to Allovir. A conflict of interest also may arise concerning the timing and scope of the parties’ planned and ongoing clinical trials, investigational new drug application filings and the parties’ opportunities for marketing their respective product candidates, as well as our intellectual property rights with those of Allovir. In addition, he may be faced with decisions that could have different implications for us than for Allovir.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MAR-T cell product candidates, or our other product candidates, will be considered patentable by the USPTO, courts in the United States or by the patent offices and courts in foreign countries, nor can we be certain that the claims in our issued licensed European patent will not be found invalid or unenforceable if challenged.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our intellectual property rights are currently licensed from BCM,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or any of our potential future collaborators will be successful in protecting our product candidates by obtaining and defending patents. These risks and uncertainties include the following:</w:t>
      </w:r>
    </w:p>
    <w:p>
      <w:pPr>
        <w:spacing w:after="0" w:line="162" w:lineRule="exact"/>
        <w:rPr>
          <w:sz w:val="20"/>
          <w:szCs w:val="20"/>
          <w:color w:val="auto"/>
        </w:rPr>
      </w:pPr>
    </w:p>
    <w:p>
      <w:pPr>
        <w:jc w:val="both"/>
        <w:ind w:left="680" w:hanging="321"/>
        <w:spacing w:after="0" w:line="26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otherwise may not provide any competitive advantage;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invalidations, or like proceedings, which may be brought in foreign jurisdictions to challenge the validity of a patent. A third -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defend the validity of patents and to prevent or remedy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violation of our patent rights, we may need to file a lawsuit. These lawsuits are expensive and would consume time and other resources, even if we were successful in stopping or remedying the violation of our patent rights. In addition, there is a risk that a court would decide that our patents are not valid and that we do not have the right to stop the other party from using the inventions. There is also the risk that, even if the validity of our patents was upheld, a court would refuse to stop the other party on the ground that its activities are not covered by, that is, do not infringe, our patents.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our licensing partners, or any potential future collaborator initiates legal proceedings against a third -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technologies could potentially conflict with the rights of others.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potential competitors or other entities may have or acquire patent or proprietary rights that they could enforce against our licensor.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Such potential third-party patents or patent applications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candidates. We may not prevail in any legal action and a required license under the patent may not be available on acceptable terms or at all.</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dependent on intellectual property, particularly patents. Obtaining and enforcing patents in the biopharmaceutical industry involves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Times New Roman" w:cs="Times New Roman" w:eastAsia="Times New Roman" w:hAnsi="Times New Roman"/>
          <w:sz w:val="18"/>
          <w:szCs w:val="18"/>
          <w:i w:val="1"/>
          <w:iCs w:val="1"/>
          <w:color w:val="auto"/>
        </w:rPr>
        <w:t>inter-partes</w:t>
      </w:r>
      <w:r>
        <w:rPr>
          <w:rFonts w:ascii="Times New Roman" w:cs="Times New Roman" w:eastAsia="Times New Roman" w:hAnsi="Times New Roman"/>
          <w:sz w:val="18"/>
          <w:szCs w:val="18"/>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the complexity and uncertainty of European patent laws have also increased in recent years. In Europe, a new unitary patent system was introduced by the end of 2023, which significantly impacts European patents, including those granted before the introduction of such a system. Under the unitary patent system, European applications will have the option, upon grant of a patent, of</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becoming a Unitary Patent which will be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party to license agreements with BCM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 party, including but not limited to:</w:t>
      </w:r>
    </w:p>
    <w:p>
      <w:pPr>
        <w:spacing w:after="0" w:line="183" w:lineRule="exact"/>
        <w:rPr>
          <w:sz w:val="20"/>
          <w:szCs w:val="20"/>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creation or use of intellectual property by us, alone or with our licensors and collaborators;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duration of our payment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upon termination of such agreement;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duration of exclusivity obligations of each party to the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license agreement with BCM for our MAR-T cell therapy technologies, we are currently required to pay both substantial milestone payments and royalties to BCM based on our revenues from sales of any approved products utilizing the licensed technologies,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technologies are in-licensed from third parties, and the protection of those technologies is not entirely within our control.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world-wide exclusive license from BCM of the rights in and to three patent families to develop and commercialize MAR-T cell product candidates in the field of oncology. As a result of these in-licenses, we could lose the right to develop each of the technologies if:</w:t>
      </w:r>
    </w:p>
    <w:p>
      <w:pPr>
        <w:spacing w:after="0" w:line="176" w:lineRule="exact"/>
        <w:rPr>
          <w:sz w:val="20"/>
          <w:szCs w:val="20"/>
          <w:color w:val="auto"/>
        </w:rPr>
      </w:pPr>
    </w:p>
    <w:p>
      <w:pPr>
        <w:ind w:left="68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(s) of the patent rights underlying the technologies that we license do not properly maintain or enforce the patents and intellectual property underlying those properties,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BCM seeks to terminate our license in contravention of the license agreements;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make all payments due and owing under any of the licenses; or</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obtain on commercially reasonable terms, if at all, in-licenses from BCM or others for other rights that are necessary to develop the technology that we have already in-licensed.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BCM, or the exclusivity rights provided by such license agreements, could materially harm our financial condition and operating results.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and/or unenforceable, or that the patent claims should be limited or narrowly construed. Patents also will not protect our product candidates if competitors devise ways of making or using these product candidates without infringing our patents. 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 which could be expensive, time-consuming and unsuccessful.</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Competitors may infringe our intellectual property rights or those of our licensor.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addition, litigation may be necessary to enforce our issued patents, to protect our trade secrets and know-how, or to determine the enforceability, scope, and validity of the proprietary rights of others.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maintain and/or obtain licenses needed for the development of our product candidates in the future, we may have to develop alternatives to avoid infringing on the patents of others, potentially causing increased costs and delays in product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adoptive T cell therapy using MAR-T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92" w:lineRule="exact"/>
        <w:rPr>
          <w:sz w:val="20"/>
          <w:szCs w:val="20"/>
          <w:color w:val="auto"/>
        </w:rPr>
      </w:pPr>
    </w:p>
    <w:p>
      <w:pPr>
        <w:ind w:left="680" w:right="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laws include:</w:t>
      </w:r>
    </w:p>
    <w:p>
      <w:pPr>
        <w:spacing w:after="0" w:line="225" w:lineRule="exact"/>
        <w:rPr>
          <w:sz w:val="20"/>
          <w:szCs w:val="20"/>
          <w:color w:val="auto"/>
        </w:rPr>
      </w:pPr>
    </w:p>
    <w:p>
      <w:pPr>
        <w:jc w:val="both"/>
        <w:ind w:left="680" w:hanging="321"/>
        <w:spacing w:after="0" w:line="261"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20" w:hanging="321"/>
        <w:spacing w:after="0" w:line="26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its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w:t>
      </w:r>
    </w:p>
    <w:p>
      <w:pPr>
        <w:spacing w:after="0" w:line="187"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 care professionals)(such as physician assistants and nurse practitioners) and teaching hospitals, as well as information regarding ownership and investment interests held by physicians and their immediate family members; and</w:t>
      </w:r>
    </w:p>
    <w:p>
      <w:pPr>
        <w:spacing w:after="0" w:line="187" w:lineRule="exact"/>
        <w:rPr>
          <w:rFonts w:ascii="Times New Roman" w:cs="Times New Roman" w:eastAsia="Times New Roman" w:hAnsi="Times New Roman"/>
          <w:sz w:val="18"/>
          <w:szCs w:val="18"/>
          <w:color w:val="auto"/>
        </w:rPr>
      </w:pPr>
    </w:p>
    <w:p>
      <w:pPr>
        <w:jc w:val="both"/>
        <w:ind w:left="680" w:hanging="321"/>
        <w:spacing w:after="0" w:line="254"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 -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sales of our product once commercialized outside the U.S. will also likely subject us to foreign equivalents of the healthcare laws mentioned above, among other foreign laws.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There have been judicial, Congressional and executive branch challenges to certain aspects of the ACA. For example, Congress considered legislation that would</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On June 17, 2021, the U.S. Supreme Court dismissed a challenge on procedural grounds that argued the ACA is unconstitutional in its entirety because the “individual mandate” was repealed by Congress.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such challenges and the healthcare reform measures of the Biden administration will impact the ACA and our business.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other federal health reform measures have been proposed and adopted in the United States. For example, as a result of the Budget Control Act of 2011 and subsequent legislative amendments thereto, including the Infrastructure Investment and Jobs Act, providers are subject to Medicare payment reductions of 2% per fiscal year until 2031, unless additional Congressional action is taken. Under current legislation the actual reduction in Medicare Payments will vary from 1% in 2022 to up to 3% in the fiscal year of this sequester.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 under which certain individual Medicare providers 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for example,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reimbursement and access to, pharmaceutical products, may limit or delay our ability to commercialize our products, generate revenue or attain profitability.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continue to be adopted in the future.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rules, contractual obligations, policies and other obligations related to data privacy and security. Our actual or perceived failure to comply with such obligations could lead to regulatory investigations or regulatory investigations or actions; litigation; fines and penalties; disruptions of our business operations; reputational harm; loss of revenue or profits; loss of customers or sales; and other adverse business consequences.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process, generate, use, transmit, disclose, make accessible, protect, secure, dispose of, share (collectively, processing) personal data and other sensitive data, including proprietary and confidential business data, intellectual property, trade secrets, data regarding clinical trial subjects, and sensitive third-party data. We may rely on third parties (such as service providers) for our data processing-related activities.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Additionally, the California Consumer Privacy Act of 2018, or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California Privacy Rights Act of 2020, or CPRA, expands the CCPA’s requirements, including by adding a new right for individuals to correct their personal data and establishing a new regulatory agency to implement and enforce the law. 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and the third parties upon whom we rely. Outside the United States, an increasing number of laws, regulations, and industry standards apply to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listing of our common stock on Nasdaq does not assure that a meaningful, consistent and liquid trading market currently exists or will exist in the future. 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company or our operating performance. These fluctuations could cause you to lose part or all of your investment in our common stock. Those factors that could cause fluctuations include, but are not limited to, the following:</w:t>
      </w:r>
    </w:p>
    <w:p>
      <w:pPr>
        <w:spacing w:after="0" w:line="187" w:lineRule="exact"/>
        <w:rPr>
          <w:sz w:val="20"/>
          <w:szCs w:val="20"/>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of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thinly traded nature of our common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net loss or fluctuations in our operating results or in the expectations of securities analysts;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preclinical studies and clinical trials or delays in anticipated timing;</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equity securities pursuant to a future offering, including issuances of preferred stock , or sales of large blocks of our stock and sales by insiders and our institutional investors;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collaboration agreements with strategic partners or developments by our existing collaboration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mergers or business combinations;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announcements by competitors of new products or services or significant contracts,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 including changes in interest rates, and other national and global conditions, including pandemics and related global economic uncertainty;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affecting BCM, Cell Ready or any future collaborators;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 candidates or technologies, commercial relationships or other events , including the results of clinical trials, or variations in our quarterly operating results;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countries , including changes in the structure of healthcare payment systems, or other positive and negative events relating to healthcare and the overall pharmaceutical and biotechnology sectors;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common stock to maintain listing requirements on Nasdaq;</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litigation to which we are a party;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company or our stock price by the financial and scientific press and in online investor communities.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 in general, and the Nasdaq Capital Market, or Nasdaq, and biotechnology companies in particular, have experienced extreme price and volume fluctuations that have often been unrelated or disproportionate to the operating performance of these companies. Broad market and industry factors, including potentially worsening economic conditions,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completed a reverse stock split, or the Reverse Stock Split, of our common stock by a ratio of one-for-ten (1:10) effective January 26, 2023.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additional equity securities may adversely affect the market price of our common stock and your rights may be reduced. Our stockholders may experience dilution in the future and it may adversely affect the market price of our securities.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but have entered into the ATM agreement under which we may sell shares. To the extent that we sell equity securities or convertible debt securities, including under the ATM agreement,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we had 10.7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December 31, 2024, there were outstanding options for an aggregate of approximately 0.6 million shares of common stock at a weighted average exercise price of $22.85 per share. Further, as of December 31, 2024, there were outstanding warrants for an aggregate of approximately 8.3 million shares of common stock at a weighted average exercise price of $2.43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may become involved in 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that we believe could have an adverse effect on our business, operating results or financial condition. However, from time to time, we may become involved in legal proceedings, including those arising in the ordinary course of doing business. For example, we may be subject to claims from our employees, consultants, vendors and other third parties with whom we have a contractual relationship. Litigation may be necessary to defend against these claims. Even if we are successful in defending against these claims, litigation could result in substantial cost and be a distraction to our management and employees.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or are perceived to have been compromised,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may collect, receive, store, use, transmit, disclose, transfer, disclose, make accessible, protect, secure, dispose of, transmit, share, or otherwise process proprietary, confidential, and sensitive data, including personal data (such as health-related data regarding clinical trial subjects), intellectual property, and trade secrets.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threats, including, but not limited to, malicious code (such as viruses and worms), social engineering attacks (including through phishing attacks), malware (including as a result of advanced persistent threat intrusions), denial of service attacks (such as credential stuffing), credential harvesting, software bugs, server malfunctions, software or hardware failures, unauthorized access, natural disasters,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fire, terrorism, successful breaches, personnel misconduct or error, or human or technological error, war and telecommunication and electrical failures.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severe, and can lead to significant interruptions in our operations, loss of sensitive data, reputational harm, and diversion of funds. Extortion payments may alleviate some of the negative impact of a ransomware attack, but we may be unwilling or unable to make such payments due to, for example, applicable laws or regulations prohibiting such payments. Additionally, future pandemics could pose increased risks to our information technology systems and data if our employees are required to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third parties (such as service providers and technologies) to process sensitive information in a variety of contexts,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Any of the previously identified or similar threats could cause a security incident or other incident during which our information technology systems or data could be compromised, which could result in unauthorized, unlawful, or accidental acquisition, modification, destruction, loss, alteration, encryption, disclosure of, or access to our data; it could also disrupt our ability (and that of third parties upon which we rely) to operate our business, including conducting our clinical trials. For example, if a compromise were to occur and cause interruptions in our operations, it could result in a material disruption of our drug development programs. Similarly,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in an effort to protect against the compromise of our information technology systems and data. Further, certain data privacy and security obligations may require us to implement and maintain specific security measures, industry-standard or reasonable security measures to protect our information technology systems and data. While we have implemented security measures designed to prevent our information technology systems and data from being compromised, there can be no assurance that these measures will be effective. We may be unable to detect vulnerabilities in our information technology systems because the threats against these systems change frequently, are often sophisticated, and may not be detected until after a compromise has occurred. Despite our efforts to identify and remediate vulnerabilities, if any, in our information technology systems, our efforts may not be successful. Further, we may experience delays in developing and deploying remedial measures designed to address any identified vulnerabilities.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(or a third - party upon whom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data (including personal data); litigation (including class actions); indemnification obligations; negative publicity; reputational harm; monetary fund diversions; interruptions in our operations (including availability of data); financial loss; and other similar harms. Additionally, applicable data privacy and security obligations may require us to notify relevant stakeholders; such disclosures are costly, and the disclosures or the failure to comply with such requirements could lead to adverse consequences. Our contracts may not contain limitations of liability, and even where they do, there can be no assurance that limitations of liability in our contracts are sufficient to protect us from claims related to our data privacy and security obligations. 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 Additionally, we cannot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 sure that such coverage will continue to be available on commercially reasonable terms or at all, or that such coverage will pay future claims.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or Section 404, to furnish a report by management on, among other things, the effectiveness of our internal control over financial reporting. We are also required to disclose significant changes made in our internal control procedures on a quarterly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certain other tax attributes to offset future taxable income may be subject to limitation.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operating loss, or NOL, carryforwards could expire unused and be unavailable to offset future income tax liabilities because of their limited duration or because of restrictions under U.S. tax law. Our federal NOLs generated in tax years beginning before January 1, 2018, are permitted to be carried forward for only 20 years under applicable U.S. tax law. Our federal NOLs generated in tax years beginning after December 31, 2017, may be carried forward indefinitely, but the deductibility of such federal NOLs is limited to 80% of taxable income. It is uncertain if and to what extent various states will conform to federal tax law.</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Section 382 and Section 383 of the Internal Revenue Code of 1986, as amended, or, the Code,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major hurricane or other serious weather event or catastrophic event such as fire, power loss, cyberattack, war, terrorist attack or epidemic or pandemic that impacts the facilities of any third parties on which we may rely, we may be unable to continue our</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and may experience delays in our manufacturing process and shipment of clinical supply to trial sites or interruptions in our clinical trials and research activities, all of which could delay our development plans and materially harm our business,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adversely affected by the effects of health epidemics, including pandemics.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operations could be adversely affected by the effects of health epidemics, as was recently experienced in connection with the COVID-19 virus, which was declared by the World Health Organization as a global pandemic.</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Remote work policies, quarantines, shelter-in-place and similar government orders, shutdowns or other restrictions on the conduct of business operations related to the pandemics or other health epidemics may negatively impact productivity. For instance, the COVID-19 pandemic disrupted our ongoing research and development activities and delayed certain of our clinical programs and timelines. In addition, although our employees are accustomed to working remotely, changes in internal controls due to remote work arrangements may result in control deficiencies in the preparation of our financial reports, which could be material. 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 epidemics may also affect the conduct of our clinical trials. Although we are enrolling patients and initiating clinical sites in our Phase 2 trial of MT-401 (zedenoleucel) for post-transplant AML, we previously experienced temporary delays in enrollment due to the COVID-19 pandemic and in satisfying certain FDA requirements to move forward with the trial, which together resulted in a delay in our overall timelines for this trial. Our ongoing and future clinical trials may be also affected by future pandemics. Patient enrollment and clinical site initiation, while ongoing, may be delayed due to prioritization of hospital resources toward pandemics or other health emergencies, if they arise.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health epidemics, which would adversely impact clinical trial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extent to which future pandemics impact our business and operations, including our clinical development and regulatory efforts, will depend on future developments that are highly uncertain and cannot be predicted with confidence, such as the continued geographic spread of the disease, the duration and effect of any future business disruptions in the United States and other countries to contain and treat patients with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 and may also have the effect of heightening many of the other risks and uncertainties described in this “Risk Factors”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conditions could adversely affect our business, financial condition or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recent years the COVID-19 pandemic, decades-high inflation and concerns about an economic recession in the United States or other major markets resulted in widespread unemployment, economic slowdown and extreme volatility in the capital markets. The Federal Reserve recently raised interest rates multiple times in response to concerns about inflation and is expected to continue to raise rates. Higher interest rates, coupled with reduced government spending and volatility in financial markets, including with respect to foreign exchange, may increase economic uncertainty. A severe or prolonged economic downturn, such as the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 addition, military conflicts such as between Russia and Ukraine could disrupt or otherwise adversely impact our operations and those of third parties upon which we rely, although we have not experienced any such disruption to date. Related sanctions, export controls or other actions have been or may in the future be initiated by nations including the United States, the European Union or Russia (e.g., potential cyberattacks, disruption of energy flows, etc.), which could adversely affect our business and/or our supply chain, our CROs, CMOs and other third parties with whom we conduct business.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our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instance,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the biotechnology sector, which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have implemented a risk-based approach to identify and assess the cybersecurity threats that could affect our business and information systems. Our cybersecurity program is aligned with industry standards and best practices, such as the National Institute of Standards and Technology (“NIST”) Cybersecurity Framework. We expect the third-party vendors that provide our IT services to use various tools and methodologies to manage cybersecurity risk and to monitor and evaluate our cybersecurity posture and performance on an ongoing basis through regular vulnerability scans, penetration tests and threat intelligence feeds. We expect to require third-party service providers with access to personal, confidential or proprietary information to implement and maintain cybersecurity practices consistent with applicable legal standards and industry best practices.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depends on the availability, reliability, and security of our information systems, networks, data, and intellectual property. Any disruption, compromise, or breach of our systems or data due to a cybersecurity threat or incident could adversely affect our operations, customer service, product development, and competitive position. They may also result in a breach of our contractual obligations or legal duties to protect the privacy and confidentiality of our stakeholders. Such a breach could expose us to business interruption, lost revenue, ransom payments, remediation costs, liabilities to affected parties, cybersecurity protection costs, lost assets, litigation, regulatory scrutiny and actions, reputational harm, customer dissatisfaction, harm to our vendor relationships, or loss of market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 and Oversight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various members of our management team, third party service providers and other employees, who we believe have a combination of relevant expertise, experience, education and training.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members of our management team are responsible for hiring appropriate personnel and third-party IT service providers, helping to integrate cybersecurity risk considerations into our overall risk management strategy, communicating key priorities to relevant personnel, approving budgets, helping prepare for cybersecurity incidents, approving cybersecurity processes, and reviewing security assessments and other security-related reports.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cybersecurity incident response processes are designed to escalate certain cybersecurity incidents to members of management depending on the circumstances, including in some cases to our executive team. Our cybersecurity incident management team, and other</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individuals as needed, work to help us mitigate and remediate cybersecurity incidents of which we are notified. In addition, our incident response processes include a procedure for reporting certain cybersecurity incidents to the board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receives regular reports from management concerning our cybersecurity risk management program. The board also receives various summaries and/or presentations related to cybersecurity threats, risks and mitigation.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own any real estate or other properties. We utilize office space through Baylor College of Medicine at 2450 Holcombe Blvd, Suite BCM-A, MS: BCM251, Houston, TX 77021, which is also our principal business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including those arising in the ordinary course of our business. We are not currently a party to any material legal proceedings that we believe could have an adverse effect on our business,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“MRKR”. As of March 26, 2025, we had 38 stockholders of record, whom are holding shares. The price of our common stock on March 26, 2025 was $1.16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dividends have been declared or paid on our common stock. We have incurred recurring losses and do not currently intend to pay any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previously disclosed, on December 19, 2024, we entered into a securities purchase agreement (the “</w:t>
      </w:r>
      <w:r>
        <w:rPr>
          <w:rFonts w:ascii="Times New Roman" w:cs="Times New Roman" w:eastAsia="Times New Roman" w:hAnsi="Times New Roman"/>
          <w:sz w:val="18"/>
          <w:szCs w:val="18"/>
          <w:b w:val="1"/>
          <w:b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various investors for the issuance and sale in a private placement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of (i) 1,783,805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(ii) Series A Warrants to acquire 5,031,250 shares of Common Stock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and (iii) partially prepaid warrants to acquire 3,247,445 additional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closed on December 23, 2024. The gross proceeds to the Company from the Private Placement were approximately $16.1 million, before deducting placement agent fees and offering expenses payable by the Company. The Company intends to use the net proceeds received from the Private Placement for general corporate purposes and working capital.</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Pursuant to the Securities Purchase Agreement, the Company is obligated to call a meeting of its stockholders to obtain stockholder approval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for the issuance of the shares issuable upon exercise of the Warrants within 90 days of the closing date. If the Stockholder Approval is not obtained at such meeting, the Company is required to cause an additional stockholder meeting to be held on or prior to the 180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closing date, and, if despite the Company’s reasonable best efforts the Stockholder Approval is not obtained after such subsequent stockholder meeting, the Company is required to cause an additional stockholder meeting to be held semi-annual thereafter until such Stockholder Approval is obtained. In connection therewith, the Company entered into voting agreements with certain stockholders pursuant to which such stockholders, who collectively own approximately 27% of the shares of common stock outstanding immediately prior to the closing of the Private Placement, agreed to vote in favor of the Private Placement.</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are exercisable at any time on or after the date that the Stockholder Approval is obtained and have a term of five years commencing upon the date that the Stockholder Approval is obtained. The Pre-Funded warrants are exercisable at a price of $0.001 per share and the Private Placement Warrants have an exercise price of $4.00 per share.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None of the issuances of the shares of Common Stock, the Pre-Funded Warrants, the Private Placement Warrants, or the shares of Common Stock issuable upon exercise of the Warrants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have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any state securities laws. The shares of Common Stock, the Pre-Funded Warrants and the Private Placement Warrants, were issued, and Warrant Shares will be issued, in reliance on the exemptions from registration provided by Section 4(a)(2) under the Securities Act and/or Regulation D promulgated thereunder. The investors who entered into to a Securities Purchase Agreement have represented that they are each an accredited investor, as defined in Rule 501 of Regulation D promulgated under the Securities Act.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(the “</w:t>
      </w:r>
      <w:r>
        <w:rPr>
          <w:rFonts w:ascii="Times New Roman" w:cs="Times New Roman" w:eastAsia="Times New Roman" w:hAnsi="Times New Roman"/>
          <w:sz w:val="18"/>
          <w:szCs w:val="18"/>
          <w:b w:val="1"/>
          <w:bCs w:val="1"/>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19, 2024, with the investors in the Private Placement, pursuant to which the Company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 and file a registration statement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registering the resale of the shares of Common Stock issued in the Private Placement along with the shares of Common Stock underlying the Warrants no later than January 14, 2025, and to use its best efforts to have the registration statement declared effective as promptly as practical thereafter, and in any</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event no later than the earlier of (A) February 14, 2024 and (B) the second business day after the date the Company is notified by the SEC that the Registration Statement will not be reviewed or will not be subject to further review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Canaccord Genuity LLC acted as the Company’s lead placement agent and Brookline Capital Markets, a division of Arcadia Securities, LLC, acted as co-placement agent (collectively,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in connection with the Private Placement, pursuant to that certain engagement letter, dated as of June 14, 2024, between the Company and Canaccord Genuity LLC (the “</w:t>
      </w:r>
      <w:r>
        <w:rPr>
          <w:rFonts w:ascii="Times New Roman" w:cs="Times New Roman" w:eastAsia="Times New Roman" w:hAnsi="Times New Roman"/>
          <w:sz w:val="18"/>
          <w:szCs w:val="18"/>
          <w:b w:val="1"/>
          <w:bCs w:val="1"/>
          <w:color w:val="auto"/>
        </w:rPr>
        <w:t>Engagement Letter</w:t>
      </w:r>
      <w:r>
        <w:rPr>
          <w:rFonts w:ascii="Times New Roman" w:cs="Times New Roman" w:eastAsia="Times New Roman" w:hAnsi="Times New Roman"/>
          <w:sz w:val="18"/>
          <w:szCs w:val="18"/>
          <w:color w:val="auto"/>
        </w:rPr>
        <w:t>”). Pursuant to the Engagement Letter, the Company paid or agreed to pay the Agents a cash fee equal to (i) 6% of the aggregate gross proceeds of the Private Placement other than from certain identified investors (the “</w:t>
      </w:r>
      <w:r>
        <w:rPr>
          <w:rFonts w:ascii="Times New Roman" w:cs="Times New Roman" w:eastAsia="Times New Roman" w:hAnsi="Times New Roman"/>
          <w:sz w:val="18"/>
          <w:szCs w:val="18"/>
          <w:b w:val="1"/>
          <w:bCs w:val="1"/>
          <w:color w:val="auto"/>
        </w:rPr>
        <w:t>Reduced Fee Investors</w:t>
      </w:r>
      <w:r>
        <w:rPr>
          <w:rFonts w:ascii="Times New Roman" w:cs="Times New Roman" w:eastAsia="Times New Roman" w:hAnsi="Times New Roman"/>
          <w:sz w:val="18"/>
          <w:szCs w:val="18"/>
          <w:color w:val="auto"/>
        </w:rPr>
        <w:t>”), (ii) 3% of the first $5 million of aggregate gross proceeds of the Private Placement form the Reduced Fee Investors, and (iii) 6% of the aggregate gross proceeds of the Private Placement form the Reduced Fee Investors in excess of $5 million. In addition, the Company agreed to pay Wainwright certain expenses.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Engagement Letter and the Securities Purchase Agreement contain customary representations and warranties, agreements and obligations, conditions to closing and termination provisions. The foregoing descriptions of terms and conditions of the Securities Purchase Agreement, the Pre–Funded Warrants, the Private Placement Warrants, and the Registration Rights Agreement do not purport to be complete and are qualified in their entirety by the full text of the form of the Purchase Agreement, the form of the Pre–Funded Warrant, the form of Private Placement Warrant, and the form of the Registration Rights Agreement, which are attached hereto as Exhibits 10.7, 4.2, 4.3 and 10.8,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equity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changes in financial condition, plan of operations and results of operations should be read in conjunction with (i) our audited consolidated financial statements as of December 31, 2024 and December 31, 2023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two product candidates for 3 clinical indications as part of our MAR-T cell program for:</w:t>
      </w:r>
    </w:p>
    <w:p>
      <w:pPr>
        <w:spacing w:after="0" w:line="225" w:lineRule="exact"/>
        <w:rPr>
          <w:sz w:val="20"/>
          <w:szCs w:val="20"/>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MAR-T cell product for the treatment of lymphoma and pancreatic cancer (MT-601)</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(OTS) product in various indications (e.g., MT-401-OTS)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genetically engineer our MAR-T cell therapies and we believe that our product candidates are superior to T cells engineered with chimeric antigen receptors, or CAR-T, for several reasons including:</w:t>
      </w:r>
    </w:p>
    <w:p>
      <w:pPr>
        <w:spacing w:after="0" w:line="162"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targets → enhanced tumoricidal effect→ minimized tumor immune escape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safety → no treatment-related side effects, including immune effector cell-associated neurotoxicity syndrome (ICANS) or other severe adverse effects (SAEs), were attributed to the use of MAR-T cell therapies to date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Non-genetically engineered T cell products → selective expansion of tumor-specific T cells from a patient’s or donor’s blood capable of recognizing a broad range of tumor antigens→ no risk of mutagenesis and reduced manufacturing complexity →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123190</wp:posOffset>
            </wp:positionV>
            <wp:extent cx="5692140" cy="13887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21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MAR-T cell recognition of cancer targets. For example, we are assessing the potential of combining MAR-T cell products with other products.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19, 2024, we issued a press release providing an update on the progress and clinical observations from the Phase 1 APOLLO study, with a data cutoff date of September 10, 2024. Our Phase 1 APOLLO study is investigating MT-601, a MAR-T cell product, in patients with lymphoma who have relapsed after anti-CD19 chimeric antigen receptor (CAR) T cell therapy or where anti-CD19 CAR-T cells are not an option. A total of 10 patients have been treated in the study, for which clinical data is currently available for 9 patients from 5 clinical sites across the United States. Study participants showed early objective responses with and without lymphodepletion. However, immunomonitoring data confirmed that lymphodepletion enhanced the expansion and persistence of MAR-T cell clones in vivo.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154305</wp:posOffset>
            </wp:positionV>
            <wp:extent cx="5383530" cy="2802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8353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2021, we opened an in-house cGMP manufacturing facility in Houston, Texas, where we manufactured the clinical supply of our product candidates. Subsequently, on June 26, 2023, we completed a transaction with Cell Ready, LLC, or Cell Ready, pursuant to a Purchase Agreement, or the Cell Ready Purchase Agreement, dated May 1, 2023, by and between us and Cell Ready, pursuant to which we (i) assigned to Cell Ready the leases for our two manufacturing facilities in Houston, Texas, or the Manufacturing Facilities, (ii) sold to Cell Ready all of the equipment and leasehold improvements at the Manufacturing Facilities and (iii) assigned to Cell Ready our rights, title and interest in any contracts related to the equipment and Manufacturing Facilities (collectively referred to as the “Purchased Assets”). Following the closing of the Cell Ready Purchase Agreement, we no longer operate our own cGMP manufacturing facility and instead rely on third parties for the clinical and, once approved, commercial manufacture of our product candidates.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such, 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and current shareholders, Mr. John Wilson, is a contract development and manufacturing organization (CDMO). The MSA contains customary representations, warranties and indemnification provision. The initial term of the MSA is three years and may be extended upon the mutual written agreement of the parties. On March 27, 2025, we mutually agreed with Cell Ready to terminate the MSA. In connection therewith, we and Cell Ready entered into a settlement and release agreement pursuant to which we paid Cell Ready approximately $453,000 and we and Cell Ready provided one another mutual releases of all claims associated with any and all agreements between Marker and Cell Ready.</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BCM continues to supply us with products, as we continue our clinical trials. Furthermore, in anticipation of the commencement of our larger pivotal trial for Lymphoma in 2026, as well as the eventual need for commercial scale production, we intend to evaluate and qualify additional potential third-party manufacturing partners to provide potential multiple sources of clinical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commercial supply. We currently are in discussions with a number of CDMO candidates and anticipate that we will select a partner organization and commence the qualification and technology transfer process later this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 See “Risk Factors”.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incurred $5.8 million and $1.3 million in expenses related to the Cell Ready services and manufacturing costs, respectively. During the year ended December 31, 2024 the Company paid $5.5 million related to Cell Ready invoices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Total gross proceeds from the sale of securities in the Private Placement, before deducting commissions to the placement agent and estimated offering expenses, was approximately $16.1 million, which does not include any proceeds that may be received upon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21, 2025, the Company held a Special Meeting of Stockholders (the “Special Meeting”) at which the stockholders approved, in accordance with Nasdaq Listing Rule 5635(d), of the issuance of the shares issuable upon exercise of (i) Series A Warrants to acquire 5,031,250 shares of Common Stock and (ii) Series B Warrants to acquire 3,247,445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primarily costs associated with our clinical trials, including compensation, share-based compensation expense and benefits for employees and selected consultants, manufacturing expenses and fees paid to third parties.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costs are expensed as incurred. Costs and timing of clinical trials and development of our product candidates will depend on a variety of factors that include, but are not limited to, the following:</w:t>
      </w:r>
    </w:p>
    <w:p>
      <w:pPr>
        <w:spacing w:after="0" w:line="162" w:lineRule="exact"/>
        <w:rPr>
          <w:sz w:val="20"/>
          <w:szCs w:val="20"/>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clinical trial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manufacture patient doses.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 We anticipate our clinical trial costs will continue to increase over the next several years due to increased spending on the clinical development and manufacturing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share-based compensation, legal fees relating to patent and corporate matters, insurance costs, consulting and professional fees, audit and investor relations.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$50,000 and $4,000 in state tax expense for the years ended December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interest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continuing operations (rounded to the thousands except for per share amounts) for the years ended December 31, 2024 and 2023, together with the changes to those items: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58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Borders>
              <w:top w:val="single" w:sz="8" w:color="auto"/>
            </w:tcBorders>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income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6,591,000</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3,311,000</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3,280,000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3,280,000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10,417,000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4,241,000</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7,475,000</w:t>
            </w:r>
          </w:p>
        </w:tc>
        <w:tc>
          <w:tcPr>
            <w:tcW w:w="8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(3,234,000)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437,000</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539,000</w:t>
            </w:r>
          </w:p>
        </w:tc>
        <w:tc>
          <w:tcPr>
            <w:tcW w:w="8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(102,000)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(14,042,000)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3,361,000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generate any revenue during the years ended December 31, 2024 and 2023, respectively, from the sales or licensing of our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the Cancer Prevention and Research Institute of Texas, or CPRIT, to support our Phase 2 clinical trial of MT-401. During the years ended December 31, 2024 and 2023, respectively, we recognized $4.4 million and $2.7 million of revenue associated with the CPRIT grant.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we received notice from the FDA that we had been awarded a $2.0 million grant from the FDA’s Orphan Products Grant program to support our Phase 2 clinical trial of MT-401 for the treatment of post-transplant AML. During the years ended December 31, 2024 and 2023, we recognized $0.5 million and $0.4 million of revenue associated with the FDA grant,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we received notice of a $2.0 million grant from the National Institutes of Health Small Business Innovation Research (“SBIR”) program to support the development and investigation of MT-401 for the treatment of AML patients following standard-of-care therapy with hypomethylating agents. During the years ended December 31, 2024 and 2023, we recognized $1.0 million and $0.2 million of revenue associated with the SBIR grant,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to support control over tumor immune escape in pancreatic cancer using a dual T cell product strategy. During the year ended December 31, 2024, we recognized approximately $6,000 of revenue associated with this grant.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received notice of an additional $2.0 million grant from the SBIR program to support the clinical investigation of MT-601 in patients with non-Hodgkin’s lymphoma (NHL) who have relapsed following anti-CD19 chimeric antigen receptor (CAR) T cell therapy. The Company recorded $0.7 million of grant income related to this grant as revenue for the year ended December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During the year ended December 31, 2024, we recognized approximately $7,000 of revenue associated with this grant.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notice an additional $9.5 million grant from CPRIT to support the clinical investigation of MT-601 in patients with metastatic pancreatic cancer. The Company did not record any grant income related to this grant for the year ended December 31, 2024. This CPRIT grant and the August 2021 CPRIT grant are subject to certain revenue-sharing arrangements, see Note 11 to the accompanying financial statements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incurred during the fiscal year ended December 31, 2024 were $17.7 million compared to $17.9 million in the prior year. Significant changes in operating expenses are outlined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or clinical trial costs increased by 29% to $13.5 million for the year ended December 31, 2024, compared to $10.4 million for the year ended December 31, 2023, mainly as a result of the Cell Ready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$3.1 million in 2024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$4.5 million in Cell Ready (outsourced) clinical manufacturing costs and process development expenses,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$1.8 million in clinical trial expenses, offset by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$1.2 million in process development expenses,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$1.5 million in headcount-related expenses, including stock-based compensation expense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$0.5 million in other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43% to $4.2 million for the year ended December 31, 2024 from $7.5 million during the prior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general and administrative expenses of $3.2 million is mainly comprised of the following:</w:t>
      </w:r>
    </w:p>
    <w:p>
      <w:pPr>
        <w:spacing w:after="0" w:line="225" w:lineRule="exact"/>
        <w:rPr>
          <w:sz w:val="20"/>
          <w:szCs w:val="20"/>
          <w:color w:val="auto"/>
        </w:rPr>
      </w:pPr>
    </w:p>
    <w:p>
      <w:pPr>
        <w:ind w:left="680" w:right="2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$1.8 million in headcount-related expenses, including stock-based compensation expense and net of severance expense,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$0.8 million in legal and professional fees and insurance expense,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$0.6 million in consulting and other expenses.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30, 2023, the board of directors appointed Eliot M. Lurier as the Company’s Interim Chief Financial Officer, whereby Mr. Lurier provided consulting services to the Company pursuant to a consulting between the Company and Danforth Advisors, LLC (“Danforth”) and received no compensation directly from the Company. On November 17, 2023, the Company terminated the consulting agreement between the Company and Danforth, effective January 16,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17, 2023, Mr. Lurier ceased serving as the Company’s Interim Chief Financial Officer and Dr. Vera was appointed as the Company’s Principal Financial and Accounting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was $0.4 million and $0.5 million for the years ended December 31, 2024 and 2023, respectively, and was attributable to interest income relating to funds that are held in U.S. Treasury notes and U.S. government agency-backed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our net loss from continuing operations during the year ended December 31, 2024 compared to the year ended December 31, 2023 was due to cost reductions in our general and administrative expenses, as well as higher grant income. We anticipate that we will continue to incur net losses in the future as we continue to invest in research and development activities, including clinical development of our MAR-T cell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grants, and in 2023 through the cash proceeds received from the Cell Ready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lack of recurring revenues, anticipated uses of cash and historical recurring cash losses from operating activities, and cash and cash equivalents as of December 31, 2024, we anticipate that we will be able to fund our operating expenses and capital expenditure requirements into the first quarter of 2026, assuming no additional grant funds are received. We currently plan to raise additional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the issuance of common shares and receipt of additional grant funds, which could enable us to fund our operating expenses and capital expenditure requirements beyond the first quarter of 2026, although no assurance can be given that such capital or existing awarded grants will be earned or future grants will be awarded. This estimate is subject to our ability to effectively manage our costs, raise additional capital, and receive additional grant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working capital as of December 31,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19,192,000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15,111,000</w:t>
            </w: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18,558,000</w:t>
            </w:r>
          </w:p>
        </w:tc>
        <w:tc>
          <w:tcPr>
            <w:tcW w:w="200" w:type="dxa"/>
            <w:vAlign w:val="bottom"/>
          </w:tcPr>
          <w:p>
            <w:pPr>
              <w:spacing w:after="0"/>
              <w:rPr>
                <w:sz w:val="20"/>
                <w:szCs w:val="20"/>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2023:</w:t>
      </w:r>
    </w:p>
    <w:p>
      <w:pPr>
        <w:spacing w:after="0" w:line="23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(10,341,000)</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1,105,000</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(6,099,000)</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18,664,000</w:t>
            </w:r>
          </w:p>
        </w:tc>
      </w:tr>
      <w:tr>
        <w:trPr>
          <w:trHeight w:val="210"/>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3,329,000</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during the year ended December 31, 2024 was $10.9 million. The use of cash primarily related to our net loss from continuing operations of $10.7 million and a $0.5 million decrease from changes in assets and liabilities, offset by $0.2 million of stock-based compensation.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during the year ended December 31, 2023 was $10.3 million. The use of cash primarily related to our net loss from continuing operations of $14.0 million, partially offset by a $2.8 million increase from changes in assets and liabilities and $0.9 million of stock-based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$15.0 million and $1.1 million during the years ended December 31, 2024 and 2023, respectively, primarily due to the net proceeds received from sale of common stock through the Private Placement in 2024 and ATM Agreement in 2023, as well as the exercise of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cash flow activity related to discontinued operations during the year ended December 31, 2024. Net cash used in operating activities from discontinued operations during the year ended December 31, 2023 was $6.1 million, which primarily related to our net loss from discontinued operations of $5.8 million, which is net of $2.5 million in revenue for which cash had been received in the prior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cash flow activity related to discontinued operations investing activity during the year ended December 31, 2024. Net cash provided by investing activities from discontinued operations for the year ended December 31, 2023 was $18.7 million primarily due to the proceeds from the Cell Ready transaction, net of transaction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CPRIT to support the Company’s clinical investigation of MT-401. Through the date of this filing, the Company has received $9.7 million of funds from the CPRIT grant. The Company recorded $4.4 million of grant income related to the CPRIT grant as revenue during the year ended December 31, 2024 and at December 31, 2024, the Company recorded $2.1 million of grant income receivable.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received notice from the FDA that it had awarded the Company a $2.0 million grant from the FDA’s Orphan Products Grant program to support the clinical investigation of MT-401 for the treatment of post-transplant AML. Through the date of this filing, the Company has received $1.0 million from the FDA grant. The Company recorded $0.5 million of grant income related to the FDA grant as revenue during the year ended December 31, 2024 and at December 31, 2024, the Company had no grant income receivable recorded.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the Company announced that it had received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$1.2 million from SBIR. The Company recorded $1.0 million of grant income related to the SBIR grant as revenue during the year ended December 31, 2024 and at December 31, 2024, the Company recorded $0.2 million of grant income receivable. In February 2025, the Company received $0.2 million of funds from the SBIR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(“NIH”) to support control over tumor immune escape in pancreatic cancer using a dual T cell product strategy. Through the date of this filing, the Company has received approximately $6,000 from NIH for this grant. The Company recorded approximately $6,000 of grant income related to the NIH grant as revenue during the year ended December 31, 2024 and at December 31, 2024, the Company recorded approximately $6,000 of grant income receivable. In February 2025, the Company received approximately $6,000 of funds from the NIH grant.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SBIR program to support the clinical investigation of MT-601 in patients with non-Hodgkin’s lymphoma (NHL) who have relapsed following anti-CD19 chimeric antigen receptor (CAR) T cell therapy. Through the date of this filing, the Company has received $0.7 million of funds from this grant. The Company recorded $0.7 million of grant income related to this grant as revenue for the year ended December 31, 2024 and at December 31, 2024, the Company had no receivable of grant income related to this grant.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Through the date of this filing, the Company has received approximately $7,000 of funds from this grant. The Company recorded approximately $7,000 of grant income related to this grant as revenue for the year ended December 31, 2024 and at December 31, 2024, the Company recorded $7,000 of grant income receivable. In February 2025, the Company received approximately $7,000 of funds from the NIH grant.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notice an additional $9.5 million grant from CPRIT to support the clinical investigation of MT-601 in patients with metastatic pancreatic cancer. As of the date of this filing, the Company has not received any related to this grant. This CPRIT grant and the August 2021 CPRIT grant are subject to certain revenue-sharing arrangements, see Note 11 to the accompanying financial statements for further information.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2024, we had working capital of $18.6 million, compared to working capital of $14.1 million as of December 31, 2023. Operating expenses incurred during the fiscal year ended December 31, 2024 were $17.7 million compared to $17.9 million in the prior year. Based on our lack of recurring revenues, anticipated uses of cash and historical recurring cash losses from operating activities, and cash and cash equivalents as of December 31, 2024, we anticipate that we will be able to fund our operating expenses and capital expenditure requirements into the first quarter of 2026, assuming no additional grant funds are received. We currently plan to raise additional capital through the issuance of common shares and receive additional grant funds, which could enable us to fund our operating expenses and capital expenditure requirements beyond the first quarter of 2026, although no assurance can be given that such capital or existing awarded grants will be earned or future grants will be awarded. This estimate is subject to our ability to effectively manage our costs, raise additional capital, and receive additional grant funds. Our assumptions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96"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continue clinical trials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product candidates and seek to discover additional product candidates; seek regulatory approvals for our product candidates if they successfully complete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development of our manufacturing capabilities;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and scale-up manufacturing capabilities to commercialize any product candidates that may receive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transactions we may undertake;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August 2021, we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year ended December 31, 2024, the Company sold 8,178 shares of its common stock under the ATM Agreement resulting in net proceeds of approximately $37,000, after deducting agent commissions. On June 10, 2024, the Company provided notice of its termination of the ATM Agreement with Cantor Fitzgerald &amp; Co. and RBC Capital Markets, LLC. The Company is not subject to any termination penalties related to the termination of the ATM Agreement.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we entered into an At The Market Offering Agreement, or the Sales Agreement, with H.C. Wainwright &amp; Co. LLC, relating to the sale of shares of our common stock having an agreement offering price of up to $11,431,713 from time to time through H.C. Wainwright &amp; Co. LLC. Any shares of our common stock sold will be issued pursuant to our shelf registration statement on Form S-3 (File No. 333-283512), which the SEC declared effective on December 6, 2024. However, our use of the shelf registration statement on Form S-3 will be limited for so long as we are subject to General Instruction I.B.6 of Form S-3, which limits the amounts that we may sell under the registration statement and in accordance with the ATM agreement. H.C. Wainwright &amp; Co. LLC will be entitled to compensation under the Sales Agreement at a commission rate equal to 3.0% of the gross sales price per share sold under the ATM Agreement, and we have provided H.C. Wainwright &amp; Co. LLC with indemnification and contribution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12, 2022, we entered into a purchase agreement, or the Purchase Agreement, with Lincoln Park Capital Fund, LLC, or Lincoln Park, which provides that, upon the terms and subject to the conditions of the agreement, we have the right, but not the obligation, to sell to Lincoln Park up to $25,000,000 of shares of our common stock, or the Purchase Shares, from time to time over a 24-month term, at a variable price with certain market-based terms as defined in the agreement. The purchase agreement does not exhibit any of the characteristics for liability classification under ASC Topic 480, Distinguishing Liabilities from Equity. In January 2023, Lincoln Park was issued 180,410 shares of stock as a commitment fee at a value of $0.5 million. On February 29, 2024, we terminated the Purchase Agreement with Lincoln Park effective March 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Total gross proceeds from the sale of securities in the Private Placement, before deducting commissions to the placement agent and estimated offering expenses, was approximately $16.1 million, which does not include any proceeds that may be received upon exercise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sources of revenue, other than grant income, to provide incoming cash flows to sustain our future operations. As outlined above, our ability to pursue our long-term planned business activities is dependent upon our successful efforts to raise additional capital.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6 to the accompanying financial statements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critical accounting policies include grant income, which is discussed further below. The Company does not have any critical accounting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we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For grant and awards outside the scope of ASC 808, the Company applies either ASC 606 or IAS 20 by analogy depending on if the arrangement is considered an exchange or non-exchange transaction, respectively. Under both accounting frameworks, revenue is recognized when the Company incurs expenses related to the grants for the amount the Company is entitled to under the provisions of the contract. During the two years ended December 31, 2024, the Company did not participate in any collaboration agreements.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CPRIT to support our Phase 2 clinical trial of MT-401. In December 2024, we announced that the Company has been awarded a $9.5 million grant from CPRIT to support the clinical investigation of MT-601 in patients with metastatic pancreatic cancer.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grant income when amounts eligible for reimbursement are determinable and have been incurred, the applicable conditions under the grant arrangements have been met, and collectability of amounts due is reasonably assured or already</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received. The classification of costs incurred related to grants is based on the nature of the activities performed by the Company. Grant Income is recognized when the related costs are incurred. 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No. 2023-07, Segment Reporting (Topic 280): Improvements to Reportable Segment Disclosures. The ASU requires disclosures to include significant segment expenses that are regularly provided to the chief operating decision maker, among other provisions. Effective January 1, 2024, the Company adopted the new standard on a retrospective basis for annual periods, and interim periods beginning the first quarter of 2025. The Company does not believe the impact of the new guidance and related codification improvements had a material impact to its financial position,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Loss and Credit Carryforwards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have approximately $138.3 million of federal and $38.8 million of state net operating loss carryforwards that may be available to offset future taxable income, if any. The federal net operating loss carryforwards of $38.4 million, if not utilized, will expire between 2030 and 2037. The federal net operating loss carryforwards of $99.9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$16.9 million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generated in 2018 and thereafter are subject to an 80% limitation on taxable income, do not expire and will carry forward indefinitely. Any change in ownership greater than 50% under Section 382 of the Internal Revenue Code places significant annual limitations on the use of such net operating loss carryforwards.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and 2023, we recorded a 100% valuation allowance against our deferred tax assets of approximately $41.0 million and $39.7 million,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are incorporated herein by reference to pages beginning on page F-1 at the end of this report and the supplementary data is not applicable.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had no changes in, or disagreements with our principal independent accountants.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2024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2024. Based on that evaluation, our principal executive officer and principal financial officer concluded that our disclosure controls and procedures were effective as of December 31, 2024 to provide reasonable assurance that the information required to be disclosed by us in this Annual Report was (a) reported within the time periods specified by SEC rules and regulations and (b) communicated to our management, including our Chief Executive Officer and Principal Financial Officer, to allow timely decisions regarding any required disclosure.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2024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utilize information technology for internal and external communications with vendors, clinical sites, banks, investors and shareholders. Loss, disruption or compromise of these systems could significantly impact operations and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fiscal quarter ended December 31, 2024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below is provided in lieu of a separate Form 8-K filing.</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2025, we mutually agreed with Cell Ready to terminate the MSA. In connection therewith, we entered into a settlement and release agreement with Cell Ready pursuant to which we paid Cell Ready approximately $453,000 and we provided one another with mutual releases of all claims associated with any and all agreements between Marker and Cell Ready.</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Rule 10b5–1 trading arrangement. </w:t>
      </w:r>
      <w:r>
        <w:rPr>
          <w:rFonts w:ascii="Times New Roman" w:cs="Times New Roman" w:eastAsia="Times New Roman" w:hAnsi="Times New Roman"/>
          <w:sz w:val="18"/>
          <w:szCs w:val="18"/>
          <w:color w:val="auto"/>
        </w:rPr>
        <w:t>During the fourth quarter of 2024, no director or Section 16 officer adopted or terminated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Rule 10b5-1 plan or non-Rule 10b5-1 trading arrangements.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will be set forth in the sections headed “Election of Directors,” “Executive Officers” and “Delinquent Section 16(a) Reports” in our definitive proxy statement for our 2024 Annual Meeting of Stockholders, or our Proxy Statement, to be filed with the SEC within 120 days after the end of the fiscal year ended December 31, 2024 and is incorporated herein by reference.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adopted an insider trading policy governing the purchase, sale, and/or other dispositions of our securities by directors, officers and employees that are reasonably designed to promote compliance with insider trading laws, rules and regulations, and any listing standards applicable to the registrant. A copy of our insider trading policy is filed as an exhibit to this Annual Report on Form 10-K. In addition, from time to time, we may engage in transactions in our company’s securities. It is our intent to comply with applicable laws and regulations relating to insider trading.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“Executive Compensation” in our Proxy Statement and is incorporated herein by reference.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“Securities Authorized for Issuance Under Equity Compensation Plans” and “Security Ownership of Certain Beneficial Owners and Management” in our Proxy Statement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will be set forth in the section headed “Executive Compensation” and “Information Regarding the Board of Directors and Corporate Governance” in our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“Transactions with Related Persons and Indemnification” and “Information Regarding the Board of Directors and Corporate Governance” in our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“Principal Accountant Fees and Services”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540" w:hanging="53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filed as part of this report are as follows:</w:t>
      </w:r>
    </w:p>
    <w:p>
      <w:pPr>
        <w:spacing w:after="0" w:line="225" w:lineRule="exact"/>
        <w:rPr>
          <w:sz w:val="20"/>
          <w:szCs w:val="20"/>
          <w:color w:val="auto"/>
        </w:rPr>
      </w:pPr>
    </w:p>
    <w:p>
      <w:pPr>
        <w:ind w:left="540" w:hanging="532"/>
        <w:spacing w:after="0" w:line="282"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accompanying report of independent registered public accounting firm are set forth immediately following the signature page of this report beginning on page F-1.</w:t>
      </w:r>
    </w:p>
    <w:p>
      <w:pPr>
        <w:spacing w:after="0" w:line="161"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inapplicable, not required or the information is included elsewhere in the financial statements or the notes thereto.</w:t>
      </w:r>
    </w:p>
    <w:p>
      <w:pPr>
        <w:spacing w:after="0" w:line="16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10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980" w:type="dxa"/>
            <w:vAlign w:val="bottom"/>
            <w:gridSpan w:val="20"/>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 w:type="dxa"/>
            <w:vAlign w:val="bottom"/>
            <w:vMerge w:val="restart"/>
          </w:tcPr>
          <w:p>
            <w:pPr>
              <w:spacing w:after="0"/>
              <w:rPr>
                <w:sz w:val="10"/>
                <w:szCs w:val="10"/>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20"/>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24"/>
                <w:szCs w:val="24"/>
                <w:color w:val="auto"/>
              </w:rPr>
            </w:pPr>
          </w:p>
        </w:tc>
        <w:tc>
          <w:tcPr>
            <w:tcW w:w="1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Certificate of Incorporation</w:t>
              </w:r>
            </w:hyperlink>
          </w:p>
        </w:tc>
        <w:tc>
          <w:tcPr>
            <w:tcW w:w="2760" w:type="dxa"/>
            <w:vAlign w:val="bottom"/>
            <w:gridSpan w:val="19"/>
          </w:tcPr>
          <w:p>
            <w:pPr>
              <w:spacing w:after="0"/>
              <w:rPr>
                <w:sz w:val="24"/>
                <w:szCs w:val="24"/>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24"/>
                <w:szCs w:val="24"/>
                <w:color w:val="auto"/>
              </w:rPr>
            </w:pPr>
          </w:p>
        </w:tc>
        <w:tc>
          <w:tcPr>
            <w:tcW w:w="4740" w:type="dxa"/>
            <w:vAlign w:val="bottom"/>
            <w:gridSpan w:val="27"/>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Certificate of Amendment to Certificate of Incorporation of</w:t>
              </w:r>
            </w:hyperlink>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Marker Therapeutics, Inc.</w:t>
              </w:r>
            </w:hyperlink>
          </w:p>
        </w:tc>
        <w:tc>
          <w:tcPr>
            <w:tcW w:w="460" w:type="dxa"/>
            <w:vAlign w:val="bottom"/>
            <w:gridSpan w:val="7"/>
          </w:tcPr>
          <w:p>
            <w:pPr>
              <w:spacing w:after="0"/>
              <w:rPr>
                <w:sz w:val="17"/>
                <w:szCs w:val="17"/>
                <w:color w:val="auto"/>
              </w:rPr>
            </w:pPr>
          </w:p>
        </w:tc>
        <w:tc>
          <w:tcPr>
            <w:tcW w:w="62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5/27/22</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00" w:type="dxa"/>
            <w:vAlign w:val="bottom"/>
          </w:tcPr>
          <w:p>
            <w:pPr>
              <w:spacing w:after="0"/>
              <w:rPr>
                <w:sz w:val="24"/>
                <w:szCs w:val="24"/>
                <w:color w:val="auto"/>
              </w:rPr>
            </w:pPr>
          </w:p>
        </w:tc>
        <w:tc>
          <w:tcPr>
            <w:tcW w:w="4740" w:type="dxa"/>
            <w:vAlign w:val="bottom"/>
            <w:gridSpan w:val="27"/>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Certificate of Amendment to Certificate of Incorporation of</w:t>
              </w:r>
            </w:hyperlink>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Marker Therapeutics, Inc.</w:t>
              </w:r>
            </w:hyperlink>
          </w:p>
        </w:tc>
        <w:tc>
          <w:tcPr>
            <w:tcW w:w="460" w:type="dxa"/>
            <w:vAlign w:val="bottom"/>
            <w:gridSpan w:val="7"/>
          </w:tcPr>
          <w:p>
            <w:pPr>
              <w:spacing w:after="0"/>
              <w:rPr>
                <w:sz w:val="17"/>
                <w:szCs w:val="17"/>
                <w:color w:val="auto"/>
              </w:rPr>
            </w:pPr>
          </w:p>
        </w:tc>
        <w:tc>
          <w:tcPr>
            <w:tcW w:w="62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1/26/23</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00" w:type="dxa"/>
            <w:vAlign w:val="bottom"/>
          </w:tcPr>
          <w:p>
            <w:pPr>
              <w:spacing w:after="0"/>
              <w:rPr>
                <w:sz w:val="24"/>
                <w:szCs w:val="24"/>
                <w:color w:val="auto"/>
              </w:rPr>
            </w:pPr>
          </w:p>
        </w:tc>
        <w:tc>
          <w:tcPr>
            <w:tcW w:w="4740" w:type="dxa"/>
            <w:vAlign w:val="bottom"/>
            <w:gridSpan w:val="27"/>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Bylaws of Marker Therapeutics, Inc.</w:t>
              </w:r>
            </w:hyperlink>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200" w:type="dxa"/>
            <w:vAlign w:val="bottom"/>
          </w:tcPr>
          <w:p>
            <w:pPr>
              <w:spacing w:after="0"/>
              <w:rPr>
                <w:sz w:val="24"/>
                <w:szCs w:val="24"/>
                <w:color w:val="auto"/>
              </w:rPr>
            </w:pPr>
          </w:p>
        </w:tc>
        <w:tc>
          <w:tcPr>
            <w:tcW w:w="4740" w:type="dxa"/>
            <w:vAlign w:val="bottom"/>
            <w:gridSpan w:val="27"/>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Common Stock Certificate of Marker Therapeutics,</w:t>
              </w:r>
            </w:hyperlink>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Inc.</w:t>
              </w:r>
            </w:hyperlink>
          </w:p>
        </w:tc>
        <w:tc>
          <w:tcPr>
            <w:tcW w:w="400" w:type="dxa"/>
            <w:vAlign w:val="bottom"/>
            <w:gridSpan w:val="6"/>
          </w:tcPr>
          <w:p>
            <w:pPr>
              <w:spacing w:after="0"/>
              <w:rPr>
                <w:sz w:val="17"/>
                <w:szCs w:val="17"/>
                <w:color w:val="auto"/>
              </w:rPr>
            </w:pPr>
          </w:p>
        </w:tc>
        <w:tc>
          <w:tcPr>
            <w:tcW w:w="62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3/25/24</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24"/>
                <w:szCs w:val="24"/>
                <w:color w:val="auto"/>
              </w:rPr>
            </w:pPr>
          </w:p>
        </w:tc>
        <w:tc>
          <w:tcPr>
            <w:tcW w:w="3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Description of Securities of Marker Therapeutics, Inc.</w:t>
              </w:r>
            </w:hyperlink>
          </w:p>
        </w:tc>
        <w:tc>
          <w:tcPr>
            <w:tcW w:w="840" w:type="dxa"/>
            <w:vAlign w:val="bottom"/>
            <w:gridSpan w:val="13"/>
          </w:tcPr>
          <w:p>
            <w:pPr>
              <w:spacing w:after="0"/>
              <w:rPr>
                <w:sz w:val="24"/>
                <w:szCs w:val="24"/>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0" w:type="dxa"/>
            <w:vAlign w:val="bottom"/>
          </w:tcPr>
          <w:p>
            <w:pPr>
              <w:spacing w:after="0"/>
              <w:rPr>
                <w:sz w:val="24"/>
                <w:szCs w:val="24"/>
                <w:color w:val="auto"/>
              </w:rPr>
            </w:pPr>
          </w:p>
        </w:tc>
        <w:tc>
          <w:tcPr>
            <w:tcW w:w="4740" w:type="dxa"/>
            <w:vAlign w:val="bottom"/>
            <w:gridSpan w:val="27"/>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Pre-Funded Warrant</w:t>
              </w:r>
            </w:hyperlink>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00" w:type="dxa"/>
            <w:vAlign w:val="bottom"/>
          </w:tcPr>
          <w:p>
            <w:pPr>
              <w:spacing w:after="0"/>
              <w:rPr>
                <w:sz w:val="24"/>
                <w:szCs w:val="24"/>
                <w:color w:val="auto"/>
              </w:rPr>
            </w:pPr>
          </w:p>
        </w:tc>
        <w:tc>
          <w:tcPr>
            <w:tcW w:w="4740" w:type="dxa"/>
            <w:vAlign w:val="bottom"/>
            <w:gridSpan w:val="27"/>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Series A Warrant (Private Placement Warrant)</w:t>
              </w:r>
            </w:hyperlink>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00" w:type="dxa"/>
            <w:vAlign w:val="bottom"/>
          </w:tcPr>
          <w:p>
            <w:pPr>
              <w:spacing w:after="0"/>
              <w:rPr>
                <w:sz w:val="24"/>
                <w:szCs w:val="24"/>
                <w:color w:val="auto"/>
              </w:rPr>
            </w:pPr>
          </w:p>
        </w:tc>
        <w:tc>
          <w:tcPr>
            <w:tcW w:w="4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Exclusive License Agreement between Baylor College of</w:t>
              </w:r>
            </w:hyperlink>
          </w:p>
        </w:tc>
        <w:tc>
          <w:tcPr>
            <w:tcW w:w="60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gridSpan w:val="2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Medicine and Marker Therapeutics, Inc. dated March 16,</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2018***</w:t>
              </w:r>
            </w:hyperlink>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16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3/15/19</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00" w:type="dxa"/>
            <w:vAlign w:val="bottom"/>
          </w:tcPr>
          <w:p>
            <w:pPr>
              <w:spacing w:after="0"/>
              <w:rPr>
                <w:sz w:val="24"/>
                <w:szCs w:val="24"/>
                <w:color w:val="auto"/>
              </w:rPr>
            </w:pPr>
          </w:p>
        </w:tc>
        <w:tc>
          <w:tcPr>
            <w:tcW w:w="4740" w:type="dxa"/>
            <w:vAlign w:val="bottom"/>
            <w:gridSpan w:val="27"/>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Sponsored Research Contract between Baylor College of</w:t>
              </w:r>
            </w:hyperlink>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gridSpan w:val="2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Medicine and Marker Therapeutics, Inc. dated November 16,</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21">
              <w:r>
                <w:rPr>
                  <w:rFonts w:ascii="Times New Roman" w:cs="Times New Roman" w:eastAsia="Times New Roman" w:hAnsi="Times New Roman"/>
                  <w:sz w:val="18"/>
                  <w:szCs w:val="18"/>
                  <w:color w:val="0000EE"/>
                  <w:w w:val="95"/>
                </w:rPr>
                <w:t>2018***</w:t>
              </w:r>
            </w:hyperlink>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16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3/15/19</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00" w:type="dxa"/>
            <w:vAlign w:val="bottom"/>
          </w:tcPr>
          <w:p>
            <w:pPr>
              <w:spacing w:after="0"/>
              <w:rPr>
                <w:sz w:val="24"/>
                <w:szCs w:val="24"/>
                <w:color w:val="auto"/>
              </w:rPr>
            </w:pPr>
          </w:p>
        </w:tc>
        <w:tc>
          <w:tcPr>
            <w:tcW w:w="42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Form of Director and Officer Indemnification Agreement*</w:t>
              </w:r>
            </w:hyperlink>
          </w:p>
        </w:tc>
        <w:tc>
          <w:tcPr>
            <w:tcW w:w="520" w:type="dxa"/>
            <w:vAlign w:val="bottom"/>
            <w:gridSpan w:val="8"/>
          </w:tcPr>
          <w:p>
            <w:pPr>
              <w:spacing w:after="0"/>
              <w:rPr>
                <w:sz w:val="24"/>
                <w:szCs w:val="24"/>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3/15/19</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00" w:type="dxa"/>
            <w:vAlign w:val="bottom"/>
          </w:tcPr>
          <w:p>
            <w:pPr>
              <w:spacing w:after="0"/>
              <w:rPr>
                <w:sz w:val="24"/>
                <w:szCs w:val="24"/>
                <w:color w:val="auto"/>
              </w:rPr>
            </w:pPr>
          </w:p>
        </w:tc>
        <w:tc>
          <w:tcPr>
            <w:tcW w:w="3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Marker Therapeutics, Inc. 2020 Equity Incentive Plan</w:t>
              </w:r>
            </w:hyperlink>
          </w:p>
        </w:tc>
        <w:tc>
          <w:tcPr>
            <w:tcW w:w="860" w:type="dxa"/>
            <w:vAlign w:val="bottom"/>
            <w:gridSpan w:val="14"/>
          </w:tcPr>
          <w:p>
            <w:pPr>
              <w:spacing w:after="0"/>
              <w:rPr>
                <w:sz w:val="24"/>
                <w:szCs w:val="24"/>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333-239136</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6/12/20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00" w:type="dxa"/>
            <w:vAlign w:val="bottom"/>
          </w:tcPr>
          <w:p>
            <w:pPr>
              <w:spacing w:after="0"/>
              <w:rPr>
                <w:sz w:val="24"/>
                <w:szCs w:val="24"/>
                <w:color w:val="auto"/>
              </w:rPr>
            </w:pPr>
          </w:p>
        </w:tc>
        <w:tc>
          <w:tcPr>
            <w:tcW w:w="4740" w:type="dxa"/>
            <w:vAlign w:val="bottom"/>
            <w:gridSpan w:val="27"/>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Stock Option Grant Notice and Stock Option</w:t>
              </w:r>
            </w:hyperlink>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Agreement under the Marker Therapeutics, Inc. 2020 Equity</w:t>
              </w:r>
            </w:hyperlink>
          </w:p>
        </w:tc>
        <w:tc>
          <w:tcPr>
            <w:tcW w:w="38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Incentive Plan.</w:t>
              </w:r>
            </w:hyperlink>
          </w:p>
        </w:tc>
        <w:tc>
          <w:tcPr>
            <w:tcW w:w="3660" w:type="dxa"/>
            <w:vAlign w:val="bottom"/>
            <w:gridSpan w:val="22"/>
          </w:tcPr>
          <w:p>
            <w:pPr>
              <w:spacing w:after="0"/>
              <w:rPr>
                <w:sz w:val="17"/>
                <w:szCs w:val="17"/>
                <w:color w:val="auto"/>
              </w:rPr>
            </w:pPr>
          </w:p>
        </w:tc>
        <w:tc>
          <w:tcPr>
            <w:tcW w:w="62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11/9/20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00" w:type="dxa"/>
            <w:vAlign w:val="bottom"/>
          </w:tcPr>
          <w:p>
            <w:pPr>
              <w:spacing w:after="0"/>
              <w:rPr>
                <w:sz w:val="24"/>
                <w:szCs w:val="24"/>
                <w:color w:val="auto"/>
              </w:rPr>
            </w:pPr>
          </w:p>
        </w:tc>
        <w:tc>
          <w:tcPr>
            <w:tcW w:w="4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Securities Purchase Agreement dated December 19, 2024</w:t>
              </w:r>
            </w:hyperlink>
          </w:p>
        </w:tc>
        <w:tc>
          <w:tcPr>
            <w:tcW w:w="600" w:type="dxa"/>
            <w:vAlign w:val="bottom"/>
            <w:gridSpan w:val="9"/>
          </w:tcPr>
          <w:p>
            <w:pPr>
              <w:spacing w:after="0"/>
              <w:rPr>
                <w:sz w:val="24"/>
                <w:szCs w:val="24"/>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12/19/24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00" w:type="dxa"/>
            <w:vAlign w:val="bottom"/>
          </w:tcPr>
          <w:p>
            <w:pPr>
              <w:spacing w:after="0"/>
              <w:rPr>
                <w:sz w:val="24"/>
                <w:szCs w:val="24"/>
                <w:color w:val="auto"/>
              </w:rPr>
            </w:pPr>
          </w:p>
        </w:tc>
        <w:tc>
          <w:tcPr>
            <w:tcW w:w="4740" w:type="dxa"/>
            <w:vAlign w:val="bottom"/>
            <w:gridSpan w:val="27"/>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Registration Rights dated December 19, 2024</w:t>
              </w:r>
            </w:hyperlink>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00" w:type="dxa"/>
            <w:vAlign w:val="bottom"/>
          </w:tcPr>
          <w:p>
            <w:pPr>
              <w:spacing w:after="0"/>
              <w:rPr>
                <w:sz w:val="24"/>
                <w:szCs w:val="24"/>
                <w:color w:val="auto"/>
              </w:rPr>
            </w:pPr>
          </w:p>
        </w:tc>
        <w:tc>
          <w:tcPr>
            <w:tcW w:w="45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At The Market Offering Agreement, dated as of November 27,</w:t>
              </w:r>
            </w:hyperlink>
          </w:p>
        </w:tc>
        <w:tc>
          <w:tcPr>
            <w:tcW w:w="220" w:type="dxa"/>
            <w:vAlign w:val="bottom"/>
            <w:gridSpan w:val="3"/>
          </w:tcPr>
          <w:p>
            <w:pPr>
              <w:spacing w:after="0"/>
              <w:rPr>
                <w:sz w:val="24"/>
                <w:szCs w:val="24"/>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333-283515</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11/27/24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gridSpan w:val="27"/>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2024, between the Company and H.C. Wainwright &amp; Co., LLC</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24"/>
                <w:szCs w:val="24"/>
                <w:color w:val="auto"/>
              </w:rPr>
            </w:pPr>
          </w:p>
        </w:tc>
        <w:tc>
          <w:tcPr>
            <w:tcW w:w="410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Master Services Agreement for Product Supply between</w:t>
              </w:r>
            </w:hyperlink>
          </w:p>
        </w:tc>
        <w:tc>
          <w:tcPr>
            <w:tcW w:w="440" w:type="dxa"/>
            <w:vAlign w:val="bottom"/>
            <w:tcBorders>
              <w:top w:val="single" w:sz="8" w:color="0000EE"/>
            </w:tcBorders>
            <w:gridSpan w:val="9"/>
          </w:tcPr>
          <w:p>
            <w:pPr>
              <w:spacing w:after="0"/>
              <w:rPr>
                <w:sz w:val="24"/>
                <w:szCs w:val="24"/>
                <w:color w:val="auto"/>
              </w:rPr>
            </w:pPr>
          </w:p>
        </w:tc>
        <w:tc>
          <w:tcPr>
            <w:tcW w:w="200" w:type="dxa"/>
            <w:vAlign w:val="bottom"/>
            <w:gridSpan w:val="2"/>
          </w:tcPr>
          <w:p>
            <w:pPr>
              <w:spacing w:after="0"/>
              <w:rPr>
                <w:sz w:val="24"/>
                <w:szCs w:val="24"/>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gridSpan w:val="27"/>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Marker Therapeutics, Inc. and Cell Ready LLC dated February</w:t>
              </w:r>
            </w:hyperlink>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128">
              <w:r>
                <w:rPr>
                  <w:rFonts w:ascii="Times New Roman" w:cs="Times New Roman" w:eastAsia="Times New Roman" w:hAnsi="Times New Roman"/>
                  <w:sz w:val="18"/>
                  <w:szCs w:val="18"/>
                  <w:color w:val="0000EE"/>
                  <w:w w:val="96"/>
                </w:rPr>
                <w:t>22, 2024**</w:t>
              </w:r>
            </w:hyperlink>
          </w:p>
        </w:tc>
        <w:tc>
          <w:tcPr>
            <w:tcW w:w="2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200" w:type="dxa"/>
            <w:vAlign w:val="bottom"/>
          </w:tcPr>
          <w:p>
            <w:pPr>
              <w:spacing w:after="0"/>
              <w:rPr>
                <w:sz w:val="24"/>
                <w:szCs w:val="24"/>
                <w:color w:val="auto"/>
              </w:rPr>
            </w:pPr>
          </w:p>
        </w:tc>
        <w:tc>
          <w:tcPr>
            <w:tcW w:w="47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Insider Trading Policy</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68"/>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top w:val="single" w:sz="8" w:color="0000EE"/>
            </w:tcBorders>
            <w:gridSpan w:val="6"/>
          </w:tcPr>
          <w:p>
            <w:pPr>
              <w:spacing w:after="0"/>
              <w:rPr>
                <w:sz w:val="24"/>
                <w:szCs w:val="24"/>
                <w:color w:val="auto"/>
              </w:rPr>
            </w:pPr>
          </w:p>
        </w:tc>
        <w:tc>
          <w:tcPr>
            <w:tcW w:w="2500" w:type="dxa"/>
            <w:vAlign w:val="bottom"/>
            <w:gridSpan w:val="10"/>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1000" w:type="dxa"/>
            <w:vAlign w:val="bottom"/>
            <w:gridSpan w:val="2"/>
            <w:vMerge w:val="continue"/>
          </w:tcPr>
          <w:p>
            <w:pPr>
              <w:spacing w:after="0"/>
              <w:rPr>
                <w:sz w:val="10"/>
                <w:szCs w:val="10"/>
                <w:color w:val="auto"/>
              </w:rPr>
            </w:pPr>
          </w:p>
        </w:tc>
        <w:tc>
          <w:tcPr>
            <w:tcW w:w="45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 w:type="dxa"/>
            <w:vAlign w:val="bottom"/>
            <w:vMerge w:val="restart"/>
          </w:tcPr>
          <w:p>
            <w:pPr>
              <w:spacing w:after="0"/>
              <w:rPr>
                <w:sz w:val="10"/>
                <w:szCs w:val="10"/>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45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21.1</w:t>
            </w:r>
          </w:p>
        </w:tc>
        <w:tc>
          <w:tcPr>
            <w:tcW w:w="1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3280" w:type="dxa"/>
            <w:vAlign w:val="bottom"/>
            <w:gridSpan w:val="12"/>
          </w:tcPr>
          <w:p>
            <w:pPr>
              <w:spacing w:after="0"/>
              <w:rPr>
                <w:sz w:val="17"/>
                <w:szCs w:val="17"/>
                <w:color w:val="auto"/>
              </w:rPr>
            </w:pPr>
          </w:p>
        </w:tc>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1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23.1</w:t>
            </w:r>
          </w:p>
        </w:tc>
        <w:tc>
          <w:tcPr>
            <w:tcW w:w="43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Marcum LLP, an independent public accounting</w:t>
            </w:r>
          </w:p>
        </w:tc>
        <w:tc>
          <w:tcPr>
            <w:tcW w:w="380" w:type="dxa"/>
            <w:vAlign w:val="bottom"/>
            <w:gridSpan w:val="5"/>
          </w:tcPr>
          <w:p>
            <w:pPr>
              <w:spacing w:after="0"/>
              <w:rPr>
                <w:sz w:val="24"/>
                <w:szCs w:val="24"/>
                <w:color w:val="auto"/>
              </w:rPr>
            </w:pP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6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firm.</w:t>
            </w:r>
          </w:p>
        </w:tc>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ind w:left="132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24.1</w:t>
            </w:r>
          </w:p>
        </w:tc>
        <w:tc>
          <w:tcPr>
            <w:tcW w:w="46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Powers of Attorney (included on signature page)</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2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31.1</w:t>
            </w:r>
          </w:p>
        </w:tc>
        <w:tc>
          <w:tcPr>
            <w:tcW w:w="44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Securities</w:t>
            </w:r>
          </w:p>
        </w:tc>
        <w:tc>
          <w:tcPr>
            <w:tcW w:w="200" w:type="dxa"/>
            <w:vAlign w:val="bottom"/>
            <w:gridSpan w:val="3"/>
          </w:tcPr>
          <w:p>
            <w:pPr>
              <w:spacing w:after="0"/>
              <w:rPr>
                <w:sz w:val="24"/>
                <w:szCs w:val="24"/>
                <w:color w:val="auto"/>
              </w:rPr>
            </w:pP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Rule 13a-14(a) or 15d-14a</w:t>
            </w:r>
          </w:p>
        </w:tc>
        <w:tc>
          <w:tcPr>
            <w:tcW w:w="1100" w:type="dxa"/>
            <w:vAlign w:val="bottom"/>
            <w:gridSpan w:val="7"/>
          </w:tcPr>
          <w:p>
            <w:pPr>
              <w:spacing w:after="0"/>
              <w:rPr>
                <w:sz w:val="17"/>
                <w:szCs w:val="17"/>
                <w:color w:val="auto"/>
              </w:rPr>
            </w:pPr>
          </w:p>
        </w:tc>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ind w:left="132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41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31.2</w:t>
            </w:r>
          </w:p>
        </w:tc>
        <w:tc>
          <w:tcPr>
            <w:tcW w:w="46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Securities</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4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Rule 13a-14(a) or 15d-14a</w:t>
            </w:r>
          </w:p>
        </w:tc>
        <w:tc>
          <w:tcPr>
            <w:tcW w:w="260" w:type="dxa"/>
            <w:vAlign w:val="bottom"/>
            <w:gridSpan w:val="4"/>
          </w:tcPr>
          <w:p>
            <w:pPr>
              <w:spacing w:after="0"/>
              <w:rPr>
                <w:sz w:val="17"/>
                <w:szCs w:val="17"/>
                <w:color w:val="auto"/>
              </w:rPr>
            </w:pPr>
          </w:p>
        </w:tc>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ind w:left="132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2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32.1</w:t>
            </w:r>
          </w:p>
        </w:tc>
        <w:tc>
          <w:tcPr>
            <w:tcW w:w="46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 S. C.</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 pursuant to Section 906 of the</w:t>
            </w:r>
          </w:p>
        </w:tc>
        <w:tc>
          <w:tcPr>
            <w:tcW w:w="600" w:type="dxa"/>
            <w:vAlign w:val="bottom"/>
            <w:tcBorders>
              <w:top w:val="single" w:sz="8" w:color="0000EE"/>
            </w:tcBorders>
            <w:gridSpan w:val="5"/>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Sarbanes-Oxley Act of 2002#</w:t>
            </w:r>
          </w:p>
        </w:tc>
        <w:tc>
          <w:tcPr>
            <w:tcW w:w="2540" w:type="dxa"/>
            <w:vAlign w:val="bottom"/>
            <w:gridSpan w:val="11"/>
          </w:tcPr>
          <w:p>
            <w:pPr>
              <w:spacing w:after="0"/>
              <w:rPr>
                <w:sz w:val="17"/>
                <w:szCs w:val="17"/>
                <w:color w:val="auto"/>
              </w:rPr>
            </w:pPr>
          </w:p>
        </w:tc>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ind w:left="132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41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32.2</w:t>
            </w:r>
          </w:p>
        </w:tc>
        <w:tc>
          <w:tcPr>
            <w:tcW w:w="45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18 U. S. C.</w:t>
            </w:r>
          </w:p>
        </w:tc>
        <w:tc>
          <w:tcPr>
            <w:tcW w:w="160" w:type="dxa"/>
            <w:vAlign w:val="bottom"/>
            <w:gridSpan w:val="2"/>
          </w:tcPr>
          <w:p>
            <w:pPr>
              <w:spacing w:after="0"/>
              <w:rPr>
                <w:sz w:val="24"/>
                <w:szCs w:val="24"/>
                <w:color w:val="auto"/>
              </w:rPr>
            </w:pP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9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 pursuant to Section 906 of the</w:t>
            </w:r>
          </w:p>
        </w:tc>
        <w:tc>
          <w:tcPr>
            <w:tcW w:w="720" w:type="dxa"/>
            <w:vAlign w:val="bottom"/>
            <w:gridSpan w:val="6"/>
          </w:tcPr>
          <w:p>
            <w:pPr>
              <w:spacing w:after="0"/>
              <w:rPr>
                <w:sz w:val="17"/>
                <w:szCs w:val="17"/>
                <w:color w:val="auto"/>
              </w:rPr>
            </w:pPr>
          </w:p>
        </w:tc>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Sarbanes-Oxley Act of 2002#</w:t>
            </w:r>
          </w:p>
        </w:tc>
        <w:tc>
          <w:tcPr>
            <w:tcW w:w="2540" w:type="dxa"/>
            <w:vAlign w:val="bottom"/>
            <w:gridSpan w:val="11"/>
          </w:tcPr>
          <w:p>
            <w:pPr>
              <w:spacing w:after="0"/>
              <w:rPr>
                <w:sz w:val="17"/>
                <w:szCs w:val="17"/>
                <w:color w:val="auto"/>
              </w:rPr>
            </w:pPr>
          </w:p>
        </w:tc>
        <w:tc>
          <w:tcPr>
            <w:tcW w:w="1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ind w:left="132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41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97</w:t>
            </w:r>
          </w:p>
        </w:tc>
        <w:tc>
          <w:tcPr>
            <w:tcW w:w="4680" w:type="dxa"/>
            <w:vAlign w:val="bottom"/>
            <w:gridSpan w:val="14"/>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Incentive Compensation Recoupment Policy</w:t>
              </w:r>
            </w:hyperlink>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   001-37939</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97</w:t>
            </w:r>
          </w:p>
        </w:tc>
        <w:tc>
          <w:tcPr>
            <w:tcW w:w="1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3/25/24</w:t>
            </w:r>
          </w:p>
        </w:tc>
      </w:tr>
      <w:tr>
        <w:trPr>
          <w:trHeight w:val="453"/>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101.INS</w:t>
            </w:r>
          </w:p>
        </w:tc>
        <w:tc>
          <w:tcPr>
            <w:tcW w:w="3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480" w:type="dxa"/>
            <w:vAlign w:val="bottom"/>
            <w:gridSpan w:val="10"/>
          </w:tcPr>
          <w:p>
            <w:pPr>
              <w:spacing w:after="0"/>
              <w:rPr>
                <w:sz w:val="24"/>
                <w:szCs w:val="24"/>
                <w:color w:val="auto"/>
              </w:rPr>
            </w:pP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101.SCH</w:t>
            </w:r>
          </w:p>
        </w:tc>
        <w:tc>
          <w:tcPr>
            <w:tcW w:w="4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101.CAL</w:t>
            </w:r>
          </w:p>
        </w:tc>
        <w:tc>
          <w:tcPr>
            <w:tcW w:w="4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101.DEF</w:t>
            </w:r>
          </w:p>
        </w:tc>
        <w:tc>
          <w:tcPr>
            <w:tcW w:w="4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101.LAB</w:t>
            </w:r>
          </w:p>
        </w:tc>
        <w:tc>
          <w:tcPr>
            <w:tcW w:w="4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101.PRE</w:t>
            </w:r>
          </w:p>
        </w:tc>
        <w:tc>
          <w:tcPr>
            <w:tcW w:w="4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198" w:lineRule="exact"/>
        <w:rPr>
          <w:sz w:val="20"/>
          <w:szCs w:val="20"/>
          <w:color w:val="auto"/>
        </w:rPr>
      </w:pPr>
    </w:p>
    <w:p>
      <w:pPr>
        <w:ind w:left="1000" w:right="4580" w:hanging="727"/>
        <w:spacing w:after="0" w:line="282" w:lineRule="auto"/>
        <w:tabs>
          <w:tab w:leader="none" w:pos="10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filed herewith)</w:t>
      </w:r>
    </w:p>
    <w:p>
      <w:pPr>
        <w:spacing w:after="0" w:line="37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Executive management contract or compensatory plan or arrangement.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a request for conditional treatment and this exhibit has been submitted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-1050925</wp:posOffset>
            </wp:positionV>
            <wp:extent cx="1568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42" w:lineRule="exact"/>
        <w:rPr>
          <w:sz w:val="20"/>
          <w:szCs w:val="20"/>
          <w:color w:val="auto"/>
        </w:rPr>
      </w:pPr>
    </w:p>
    <w:p>
      <w:pPr>
        <w:ind w:left="340" w:right="2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reference into any filing of the registrant, whether made before or after the date hereof, regardless of any general incorporation language in such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2025</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Juan Vera</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and Treasurer (Principal Executive</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Officer and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undersigned officers and directors of Marker Therapeutics, Inc., hereby constitutes and appoints Juan Vera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March 31, 2025 on behalf of the registrant and in the capacities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91"/>
        </w:trPr>
        <w:tc>
          <w:tcPr>
            <w:tcW w:w="2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w:t>
            </w:r>
          </w:p>
        </w:tc>
        <w:tc>
          <w:tcPr>
            <w:tcW w:w="180" w:type="dxa"/>
            <w:vAlign w:val="bottom"/>
          </w:tcPr>
          <w:p>
            <w:pPr>
              <w:spacing w:after="0"/>
              <w:rPr>
                <w:sz w:val="16"/>
                <w:szCs w:val="16"/>
                <w:color w:val="auto"/>
              </w:rPr>
            </w:pPr>
          </w:p>
        </w:tc>
        <w:tc>
          <w:tcPr>
            <w:tcW w:w="3160" w:type="dxa"/>
            <w:vAlign w:val="bottom"/>
            <w:tcBorders>
              <w:top w:val="single" w:sz="8" w:color="auto"/>
            </w:tcBorders>
          </w:tcPr>
          <w:p>
            <w:pPr>
              <w:spacing w:after="0"/>
              <w:rPr>
                <w:sz w:val="16"/>
                <w:szCs w:val="16"/>
                <w:color w:val="auto"/>
              </w:rPr>
            </w:pP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Treasurer, Director (Principal Executive</w:t>
            </w:r>
          </w:p>
        </w:tc>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Principal Financial and</w:t>
            </w:r>
          </w:p>
        </w:tc>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34"/>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Juan Vera</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4"/>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 David Eansor</w:t>
            </w:r>
          </w:p>
        </w:tc>
        <w:tc>
          <w:tcPr>
            <w:tcW w:w="14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 David Eansor</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4"/>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Katharine Knobil</w:t>
            </w:r>
          </w:p>
        </w:tc>
        <w:tc>
          <w:tcPr>
            <w:tcW w:w="14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Katharine Knobil</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14"/>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Elms</w:t>
            </w:r>
          </w:p>
        </w:tc>
        <w:tc>
          <w:tcPr>
            <w:tcW w:w="14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Steve Elms</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20" w:type="dxa"/>
            <w:vAlign w:val="bottom"/>
          </w:tcPr>
          <w:p>
            <w:pPr>
              <w:spacing w:after="0"/>
              <w:rPr>
                <w:sz w:val="17"/>
                <w:szCs w:val="17"/>
                <w:color w:val="auto"/>
              </w:rPr>
            </w:pPr>
          </w:p>
        </w:tc>
      </w:tr>
      <w:tr>
        <w:trPr>
          <w:trHeight w:val="754"/>
        </w:trPr>
        <w:tc>
          <w:tcPr>
            <w:tcW w:w="128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c>
          <w:tcPr>
            <w:tcW w:w="16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16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0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DECEMBER 31, 2024 AND DECEMBER 31, 2023</w:t>
            </w:r>
          </w:p>
        </w:tc>
        <w:tc>
          <w:tcPr>
            <w:tcW w:w="1620" w:type="dxa"/>
            <w:vAlign w:val="bottom"/>
          </w:tcPr>
          <w:p>
            <w:pPr>
              <w:spacing w:after="0"/>
              <w:rPr>
                <w:sz w:val="24"/>
                <w:szCs w:val="24"/>
                <w:color w:val="auto"/>
              </w:rPr>
            </w:pPr>
          </w:p>
        </w:tc>
      </w:tr>
      <w:tr>
        <w:trPr>
          <w:trHeight w:val="405"/>
        </w:trPr>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 xml:space="preserve">Report of Independent Registered Public Accounting Firm </w:t>
            </w:r>
            <w:r>
              <w:rPr>
                <w:rFonts w:ascii="Times New Roman" w:cs="Times New Roman" w:eastAsia="Times New Roman" w:hAnsi="Times New Roman"/>
                <w:sz w:val="18"/>
                <w:szCs w:val="18"/>
                <w:b w:val="1"/>
                <w:bCs w:val="1"/>
                <w:color w:val="000000"/>
              </w:rPr>
              <w:t>(PCAOB ID Number 688)</w:t>
            </w:r>
          </w:p>
        </w:tc>
        <w:tc>
          <w:tcPr>
            <w:tcW w:w="162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Consolidated Balance Sheets</w:t>
            </w:r>
          </w:p>
        </w:tc>
        <w:tc>
          <w:tcPr>
            <w:tcW w:w="3780" w:type="dxa"/>
            <w:vAlign w:val="bottom"/>
          </w:tcPr>
          <w:p>
            <w:pPr>
              <w:spacing w:after="0"/>
              <w:rPr>
                <w:sz w:val="17"/>
                <w:szCs w:val="17"/>
                <w:color w:val="auto"/>
              </w:rPr>
            </w:pPr>
          </w:p>
        </w:tc>
        <w:tc>
          <w:tcPr>
            <w:tcW w:w="1620" w:type="dxa"/>
            <w:vAlign w:val="bottom"/>
          </w:tcPr>
          <w:p>
            <w:pPr>
              <w:ind w:left="136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2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Consolidated Statements of Operations</w:t>
            </w:r>
          </w:p>
        </w:tc>
        <w:tc>
          <w:tcPr>
            <w:tcW w:w="5280" w:type="dxa"/>
            <w:vAlign w:val="bottom"/>
            <w:gridSpan w:val="5"/>
          </w:tcPr>
          <w:p>
            <w:pPr>
              <w:spacing w:after="0"/>
              <w:rPr>
                <w:sz w:val="17"/>
                <w:szCs w:val="17"/>
                <w:color w:val="auto"/>
              </w:rPr>
            </w:pPr>
          </w:p>
        </w:tc>
        <w:tc>
          <w:tcPr>
            <w:tcW w:w="1620" w:type="dxa"/>
            <w:vAlign w:val="bottom"/>
          </w:tcPr>
          <w:p>
            <w:pPr>
              <w:ind w:left="136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3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Consolidated Statements of Stockholders’ Equity</w:t>
            </w:r>
          </w:p>
        </w:tc>
        <w:tc>
          <w:tcPr>
            <w:tcW w:w="4520" w:type="dxa"/>
            <w:vAlign w:val="bottom"/>
            <w:gridSpan w:val="2"/>
          </w:tcPr>
          <w:p>
            <w:pPr>
              <w:spacing w:after="0"/>
              <w:rPr>
                <w:sz w:val="17"/>
                <w:szCs w:val="17"/>
                <w:color w:val="auto"/>
              </w:rPr>
            </w:pPr>
          </w:p>
        </w:tc>
        <w:tc>
          <w:tcPr>
            <w:tcW w:w="1620" w:type="dxa"/>
            <w:vAlign w:val="bottom"/>
          </w:tcPr>
          <w:p>
            <w:pPr>
              <w:ind w:left="136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30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Consolidated Statements of Cash Flows</w:t>
            </w:r>
          </w:p>
        </w:tc>
        <w:tc>
          <w:tcPr>
            <w:tcW w:w="5260" w:type="dxa"/>
            <w:vAlign w:val="bottom"/>
            <w:gridSpan w:val="4"/>
          </w:tcPr>
          <w:p>
            <w:pPr>
              <w:spacing w:after="0"/>
              <w:rPr>
                <w:sz w:val="17"/>
                <w:szCs w:val="17"/>
                <w:color w:val="auto"/>
              </w:rPr>
            </w:pPr>
          </w:p>
        </w:tc>
        <w:tc>
          <w:tcPr>
            <w:tcW w:w="1620" w:type="dxa"/>
            <w:vAlign w:val="bottom"/>
          </w:tcPr>
          <w:p>
            <w:pPr>
              <w:ind w:left="136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36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Notes to the Consolidated Financial Statements</w:t>
            </w:r>
          </w:p>
        </w:tc>
        <w:tc>
          <w:tcPr>
            <w:tcW w:w="4660" w:type="dxa"/>
            <w:vAlign w:val="bottom"/>
            <w:gridSpan w:val="3"/>
          </w:tcPr>
          <w:p>
            <w:pPr>
              <w:spacing w:after="0"/>
              <w:rPr>
                <w:sz w:val="17"/>
                <w:szCs w:val="17"/>
                <w:color w:val="auto"/>
              </w:rPr>
            </w:pPr>
          </w:p>
        </w:tc>
        <w:tc>
          <w:tcPr>
            <w:tcW w:w="1620" w:type="dxa"/>
            <w:vAlign w:val="bottom"/>
          </w:tcPr>
          <w:p>
            <w:pPr>
              <w:ind w:left="136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Marker Therapeutics, Inc. (the “Company”) as of December 31, 2024 and 2023, the related consolidated statements of operations,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19,192,440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2,346,703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22,022,860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17,127,391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17,127,391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1,710,500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1,329,655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3,464,454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3,074,848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 December 31, 2024 and 2023, respectively</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shares authorized, 10.7 million and 8.9 million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as of December 31, 2024 and 2023, respectively (see Note 8)</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465,564,876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450,329,515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(447,017,178)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(436,285,863)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18,558,406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14,052,543</w:t>
            </w: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17,127,391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6,591,080</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6,591,080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13,467,845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4,241,607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(11,118,372)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(10,681,362)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(10,731,315)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(14,045,895)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disposal of discontinued operations, net of $63,000 in tax</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(10,731,315)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(8,236,814)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per share: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from continuing operations,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Income from discontinued operations, basic and diluted</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3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8,980,207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8,980,207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8,809,382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8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860" w:type="dxa"/>
            <w:vAlign w:val="bottom"/>
            <w:gridSpan w:val="4"/>
            <w:vMerge w:val="continue"/>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80" w:type="dxa"/>
            <w:vAlign w:val="bottom"/>
            <w:gridSpan w:val="2"/>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12"/>
                <w:szCs w:val="12"/>
                <w:color w:val="auto"/>
              </w:rPr>
            </w:pPr>
          </w:p>
        </w:tc>
        <w:tc>
          <w:tcPr>
            <w:tcW w:w="12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2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8,405,771</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8,406</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447,641,680</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(428,049,049)</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19,601,037</w:t>
            </w:r>
          </w:p>
        </w:tc>
        <w:tc>
          <w:tcPr>
            <w:tcW w:w="0" w:type="dxa"/>
            <w:vAlign w:val="bottom"/>
          </w:tcPr>
          <w:p>
            <w:pPr>
              <w:spacing w:after="0"/>
              <w:rPr>
                <w:sz w:val="1"/>
                <w:szCs w:val="1"/>
                <w:color w:val="auto"/>
              </w:rPr>
            </w:pPr>
          </w:p>
        </w:tc>
      </w:tr>
      <w:tr>
        <w:trPr>
          <w:trHeight w:val="198"/>
        </w:trPr>
        <w:tc>
          <w:tcPr>
            <w:tcW w:w="45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issued pursuant to ATM and Lincoln Park</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agreements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277,834</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1,014,363</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1,014,640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as commitment fee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from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90,450</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1,583,202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1,583,202</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(8,236,814)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(8,236,814)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Fractional shares adjustment due to reverse split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8,891,420</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8,891</w:t>
            </w:r>
          </w:p>
        </w:tc>
        <w:tc>
          <w:tcPr>
            <w:tcW w:w="1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450,329,515</w:t>
            </w:r>
          </w:p>
        </w:tc>
        <w:tc>
          <w:tcPr>
            <w:tcW w:w="1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(436,285,863)</w:t>
            </w:r>
          </w:p>
        </w:tc>
        <w:tc>
          <w:tcPr>
            <w:tcW w:w="1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14,052,543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purchased pursuant to ATM agreement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from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62,134</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62,159</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prefunded warrants and</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warrants for cash, net of offering costs of $1.2 million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1,783,805</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14,890,469</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14,892,253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245,864</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(10,731,315)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(10,731,315)</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10,709,005</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10,708</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465,564,876</w:t>
            </w:r>
          </w:p>
        </w:tc>
        <w:tc>
          <w:tcPr>
            <w:tcW w:w="1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(447,017,178)</w:t>
            </w:r>
          </w:p>
        </w:tc>
        <w:tc>
          <w:tcPr>
            <w:tcW w:w="1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18,558,406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(10,731,315)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(8,236,814)</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gain from discontinued operations, net of $63,000 in tax</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5,809,081</w:t>
            </w:r>
          </w:p>
        </w:tc>
      </w:tr>
      <w:tr>
        <w:trPr>
          <w:trHeight w:val="210"/>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(14,045,895)</w:t>
            </w: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858,269</w:t>
            </w: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861,113</w:t>
            </w: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(1,318,888)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1,374,189</w:t>
            </w: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party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1,329,655</w:t>
            </w: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(718,393)</w:t>
            </w:r>
          </w:p>
        </w:tc>
      </w:tr>
      <w:tr>
        <w:trPr>
          <w:trHeight w:val="209"/>
        </w:trPr>
        <w:tc>
          <w:tcPr>
            <w:tcW w:w="7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 - continuing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(10,910,324)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(10,341,062)</w:t>
            </w:r>
          </w:p>
        </w:tc>
      </w:tr>
      <w:tr>
        <w:trPr>
          <w:trHeight w:val="216"/>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 - discontinued operations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(6,098,899)</w:t>
            </w:r>
          </w:p>
        </w:tc>
      </w:tr>
      <w:tr>
        <w:trPr>
          <w:trHeight w:val="209"/>
        </w:trPr>
        <w:tc>
          <w:tcPr>
            <w:tcW w:w="7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(10,910,324)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(16,439,961)</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investing activities - discontinued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18,664,122</w:t>
            </w:r>
          </w:p>
        </w:tc>
      </w:tr>
      <w:tr>
        <w:trPr>
          <w:trHeight w:val="210"/>
        </w:trPr>
        <w:tc>
          <w:tcPr>
            <w:tcW w:w="73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18,664,122</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prefunded warrants and warrants,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1,014,640</w:t>
            </w:r>
          </w:p>
        </w:tc>
      </w:tr>
      <w:tr>
        <w:trPr>
          <w:trHeight w:val="216"/>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stock options exercise</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90,477</w:t>
            </w:r>
          </w:p>
        </w:tc>
      </w:tr>
      <w:tr>
        <w:trPr>
          <w:trHeight w:val="210"/>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14,991,314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1,105,117</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4,080,990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3,329,278</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11,782,172</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19,192,440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15,111,450</w:t>
            </w:r>
          </w:p>
        </w:tc>
      </w:tr>
      <w:tr>
        <w:trPr>
          <w:trHeight w:val="20"/>
        </w:trPr>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334"/>
        </w:trPr>
        <w:tc>
          <w:tcPr>
            <w:tcW w:w="7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For the Years Ended</w:t>
            </w:r>
          </w:p>
        </w:tc>
      </w:tr>
      <w:tr>
        <w:trPr>
          <w:trHeight w:val="173"/>
        </w:trPr>
        <w:tc>
          <w:tcPr>
            <w:tcW w:w="7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3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financing and 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4"/>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as commitment fee for future financing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DECEMBER 31, 2024 AND 2023</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 antigen recognizing (“MAR”)-T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 with Cell Ready; Manufacturing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26, 2023, the Company completed the previously announced transaction with Cell Ready, LLC (“Cell Ready”) pursuant to a Purchase Agreement (the “Cell Ready Purchase Agreement), dated May 1, 2023, by and between the Company and Cell Ready. Mr. John Wilson was a member of the Company’s board of directors at the time of the Cell Ready Purchase Agreement and through December 31, 2024 and is serving as the CEO of Cell Ready, therefore Cell Ready is a related party. Mr. Wilson resigned as a director of the Company on January 24, 2025. Pursuant to the Cell Ready Purchase Agreement, effective as of the Closing Date, the Company (i) assigned to Cell Ready the leases for the Company’s two manufacturing facilities in Houston, Texas (the “Manufacturing Facilities”), (ii) sold to Cell Ready all of the equipment and leasehold improvements at the Manufacturing Facilities and (iii) assigned to Cell Ready its rights, title and interest in the Company’s Master Services Agreement for Product Supply (the “MSA”), dated April 7, 2023, by and between the Company, Cell Ready and Indapta Therapeutics, Inc., as well as its rights, title and interest in any contracts related to the equipment and Manufacturing Facilities (collectively, the “Purchased Assets”). Cell Ready acquired the Purchased Assets for total consideration of $19.0 million. In connection with the purchase of the Manufacturing Facilities, Cell Ready also extended offers of employment to approximately 50 of the Company’s former employees in its manufacturing, development, quality, and regulatory affairs functions.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Purchased Assets constituted a significant disposition. Based upon the magnitude of the disposition and because the Company is exiting certain manufacturing operations, the disposition represents a significant strategic shift that will have a material effect on the Company’s operations and financial results. Accordingly, the assets sold meet the definition of a discontinued operation, as defined by Accounting Standards Codification (“ASC”) 205-20 - Discontinued Operations. See additional discussion at Note 6.</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closing of the Cell Ready Purchase Agreement, the Company no longer operates a cGMP manufacturing facility and instead relies on third parties for the clinical and, once approved, commercial manufacture of our product candidates. As such, on February 22, 2024, the Company entered into a Master Services Agreement for Product Supply (the “MSA”) with Cell Ready for the provision of various products and services by Cell Ready pursuant to work orders that may be entered into from time to time. Cell Ready is a contract development and manufacturing organization (CDMO). The MSA contains customary representations, warranties and indemnification provision. The initial term of the MSA is three years and may be extended upon the mutual written agreement of the parties. Either party may terminate the MSA (a) for material breach by the other party if such breach has not been cured within 30 days following notice of termination or (b) if the other party is the subject of an insolvency event.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Baylor College of Medicine (“BCM”) continues to supply the Company with products and the Company is working with both of its existing qualified contract manufacturers as it continues its clinical trials. Furthermore, in anticipation of the commencement of the Company’s larger pivotal trial for Lymphoma in 2026, as well as the eventual need for commercial scale production, the Company intends to evaluate and qualify additional potential third-party manufacturing partners to provide potential multiple sources of clinical and commercial supply.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there is no guarantee that the Company will or has properly estimated its required manufacturing capacities or that the third parties on which it relies to manufacture products will be able or willing to perform on proposed timelines or to meet the Company’s manufacturing demands, if at all. If any third-party vendors experience disruptions or otherwise cease or substantially reduce the amount of products they are willing to supply, the Company’s business and operations could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Changes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the Company implemented changes to its organizational structure due to the transaction with Cell Ready and to reduce operational costs.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 Effective May 1, 2023, the Company’s board of directors appointed Dr. Juan Vera as the Company’s President and Chief Executive Officer.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30, 2023, the board of directors appointed Eliot M. Lurier as the Company’s Interim Chief Financial Officer, whereby Mr. Lurier provided consulting services to the Company pursuant to a consulting between the Company and Danforth Advisors, LLC (“Danforth”) and received no compensation directly from the Company. On November 17, 2023, the Company terminated the consulting agreement between the Company and Danforth, effective January 16,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17, 2023, Mr. Lurier ceased serving as the Company’s Interim Chief Financial Officer and Dr. Vera was appointed as the Company’s Principal Financial and Accounting Officer.</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FINANCIAL CONDITION, GOING CONCERN AND MANAGEMENT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cash and cash equivalents of approximately $19.2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debt financings and grants.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August 2021, the Company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“ATM Agreement”) with Cantor Fitzgerald &amp; Co. and RBC Capital Markets, LLC (the “Sales Agents”), pursuant to which the Company could offer and sell, from time to time at its sole discretion through the Sales Agents, shares of its common stock having an aggregate offering price of up to $75.0 million. Any shares of its common stock sold were issued pursuant to the Company’s shelf registration statement on Form S-3 (File No. 333-258687), which the SEC declared effective on August 19, 2021. However, our use of the shelf registration statement on Form S-3 was limited for so long as we were subject to General Instruction I.B.6 of Form S-3, which limited the amounts that we could sell under the registration statement and in accordance with the ATM agreement. The Sales Agents were entitled to compensation under the Sales Agreement at a commission rate equal to 3.0% of the gross sales price per share sold under the ATM Agreement, and we provided each of the Sales Agents with indemnification and contribution rights. During the year ended December 31, 2024, the Company sold 8,178 shares of its common stock under the ATM Agreement for proceeds of $0.04 million. On June 10, 2024, the Company provided notice of its termination of the ATM Agreement with Cantor Fitzgerald &amp; Co. and RBC Capital Markets, LLC. The Company is not subject to any termination penalties related to the termination of the ATM Agreement.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Company entered into an At The Market Offering Agreement, or the Sales Agreement, with H.C. Wainwright &amp; Co. LLC, relating to the sale of shares of its common stock having an agreement offering price of up to $11,431,713 from time to time through H.C. Wainwright &amp; Co. LLC. Any shares of common stock sold will be issued pursuant to the Company’s shelf registration statement on Form S-3 (File No. 333-283512), which the SEC declared effective on December 6, 2024. However, the Company’s use of the shelf registration statement on Form S-3 will be limited for so long as it is subject to General Instruction I.B.6 of Form S-3, which limits the amounts that the Company may sell under the registration statement and in accordance with the ATM agreement. H.C. Wainwright &amp; Co. LLC will be entitled to compensation under the Sales Agreement at a commission rate equal to 3.0% of the gross sales price per share sold under the ATM Agreement, and the Company’ has provided H.C. Wainwright &amp; Co. LLC with indemnification and contribution rights.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CPRIT to support the Company’s clinical investigation of MT-401. Through the date of this filing, the Company has received $9.7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of funds from the CPRIT grant. The Company recorded $4.4 million of grant income related to the CPRIT grant as revenue during the year ended December 31, 2024 and at December 31, 2024, the Company recorded $2.1 million of grant income receivable.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received notice from the FDA that it had awarded the Company a $2.0 million grant from the FDA’s Orphan Products Grant program to support the clinical investigation of MT-401 for the treatment of post-transplant AML. Through the date of this filing, the Company has received $1.0 million from the FDA grant. The Company recorded $0.5 million of grant income related to the FDA grant as revenue during the year ended December 31, 2024 and at December 31, 2024, the Company had no grant income receivable recorded.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the Company announced that it had received a $2.0 million grant from the National Institutes of Health Small Business Innovation Research (“SBIR”) program to support the development and investigation of MT-401 for the treatment of AML patients following standard-of-care therapy with hypomethylating agents. Through the date of this filing, the Company has received $1.2 million from SBIR. The Company recorded $1.0 million of grant income related to the SBIR grant as revenue during the year ended December 31, 2024 and at December 31, 2024, the Company recorded $0.2 million of grant income receivable. In February 2025, the Company received $0.2 million of funds from the SBIR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funding agencies have agreed to continue their financial support and to shift funds to the MT-401-OTS program.</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(“NIH”) to support control over tumor immune escape in pancreatic cancer using a dual T cell product strategy. Through the date of this filing, the Company has received approximately $6,000 from NIH for this grant. The Company recorded approximately $6,000 of grant income related to the NIH grant as revenue during the year ended December 31, 2024 and at December 31, 2024, the Company recorded approximately $6,000 of grant income receivable. In February 2025, the Company received approximately $6,000 of funds from the NIH grant.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SBIR program to support the clinical investigation of MT-601 in patients with non-Hodgkin’s lymphoma (NHL) who have relapsed following anti-CD19 chimeric antigen receptor (CAR) T cell therapy. Through the date of this filing, the Company has received $0.7 million of funds from this grant. The Company recorded $0.7 million of grant income related to this grant as revenue for the year ended December 31, 2024 and at December 31, 2024, the Company had no grant income receivable recorded.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another $2.0 million grant from the National Institutes of Health SBIR program to support the advancement of MT-601 in patients with pancreatic cancer. Through the date of this filing, the Company has received approximately $7,000 from NIH for this grant. The Company recorded approximately $7,000 of grant income related to the NIH grant as revenue during the year ended December 31, 2024 and at December 31, 2024, the Company recorded approximately $7,000 of grant income receivable. In February 2025, the Company received approximately $7,000 of funds from the NIH grant.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received notice of an additional $9.5 million grant from CPRIT to support the clinical investigation of MT-601 in patients with metastatic pancreatic cancer. Through the date of this filing, the Company has not received any funds from this grant.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2022, the Company entered into a purchase agreement, or the Purchase Agreement, with Lincoln Park Capital Fund, LLC, or Lincoln Park, which provides that, upon the terms and subject to the conditions of the agreement, the Company has the right, but not the obligation, to sell to Lincoln Park up to $25,000,000 of shares of its common stock, or the Purchase Shares, from time to time over a 24-month term. For the year ended December 31, 2024, the Company did not sell any shares of its common stock under the Purchase Agreement. In January 2023, Lincoln Park was issued 180,410 shares of stock as a commitment fee at a value of $0.5 million. On February 29, 2024, the Company terminated the Purchase Agreement with Lincoln Park effective March 1, 2024.</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proceeds from the sale of securities in the Private Placement was approximately $14.9 million, which does not include any proceeds that may be received upon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continue to incur substantial losses over the next several years during its development phase.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Company’s lack of recurring revenues, anticipated uses of cash and historical recurring cash losses from operating activities, and cash and cash equivalents as of December 31, 2024, the Company anticipates that it will be able to fund its operating expenses and capital expenditure requirements into the first quarter of 2026, assuming no additional grant funds are received. These factors raise substantial doubt regarding the Company’s ability to continue as a going concern.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currently plans to raise additional capital through the issuance of common shares and receipt of additional grant funds, which could enable the Company to fund its operating expenses and capital expenditure requirements beyond the first quarter of 2026, although no assurance can be given that such capital or existing awarded grants will be earned or future grants will be awarded. The Company’s future cash requirements are based on the Company’s clinical and research and development plans, timing expectations related to the progress of its programs, and is subject to the Company’s ability to effectively manage its costs, raise additional capital, and receive additional grant funds.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assumptions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89" w:lineRule="exact"/>
        <w:rPr>
          <w:sz w:val="20"/>
          <w:szCs w:val="20"/>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Initiates, continues, or accelerates clinical trials of its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the research and development of its product candidates and seeks to discover additional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and enforces intellectual property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contract manufacturing arrangements with contract manufacturing organizations for clinical manufacturing supply;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sales, marketing and distribution infrastructure and scale-up manufacturing capabilities to commercialize any product candidates that may receive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strategic transactions the Company may undertake;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implies that the Company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the Company be unable to continue as a going concern.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foregoing, the current macro-economic environment of decades-high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 recession or market correction due to these factors could materially affect the Company’s business and the value of its common stock.</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and pursuant to the rules and regulations of the Securities Exchange Commission (“SEC”). Any reference in these footnotes to applicable guidance is meant to refer to the authoritative U.S. generally accepted accounting principles (“GAAP”) as found in the Accounting Standards Codification (“ASC”) and Accounting Standards Update (“ASU”) of the Financial Accounting Standards Board (“FASB”).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Credit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highly liquid investments with a maturity of three months or less when purchased to be cash equivalents. Cash and cash equivalents at December 31, 2024 consisted of cash and certificates of deposit in institutions in the United States. Balances at certain institutions have exceeded Federal Deposit Insurance Corporation insured limits and U.S. government agency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cash in accounts which are in excess of the Federal Deposit Insurance Corporation (“FDIC”) insured limits of $250,000. As of December 31, 2024 and December 31, 2023, the Company had approximately $1.1 million and $1.4 million, respectively in cash at financial institutions. As of December 31, 2024, the Company had approximately $18.1 million in U.S. government agency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cash is received from grants in advance of incurring qualifying costs, it is recorded as restricted cash until it is earned and recorded to grant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6 for further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Company believes that its patents and underlying technology have continuing value, the amount of future benefits to be derived from the patents is uncertain. Patent costs are, therefore,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spacing w:after="0" w:line="18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life of stock options was estimated using the “simplified method,” as the Company has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information to develop reasonable expectations about future exercise patterns and post-vesting employment termination behavior for its stock options grants. The simplified method is based on the average of the vesting tranches and the contractual life of each grant.</w:t>
      </w:r>
    </w:p>
    <w:p>
      <w:pPr>
        <w:spacing w:after="0" w:line="180"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computes stock price volatility over expected terms based on its historical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prices.</w:t>
      </w:r>
    </w:p>
    <w:p>
      <w:pPr>
        <w:spacing w:after="0" w:line="158"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Company bases the risk-free interest rate on the implied yield available on U.S. Treasury zero-coupon issues with an equivalent remaining term.</w:t>
      </w:r>
    </w:p>
    <w:p>
      <w:pPr>
        <w:spacing w:after="0" w:line="158"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Company has never declared or paid any cash dividends on its common shares and does not plan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cash dividends in the foreseeable future, and, therefore, uses an expected dividend yield of zero in its valuation models.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clinical trial programs.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2024 and 2023, no liability for unrecognized tax benefits was required to</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the Company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For grant and awards outside the scope of ASC 808, the Company applies either ASC 606 or IAS 20 by analogy depending on if the arrangement is considered an exchange or non-exchange transaction, respectively. Under both accounting frameworks, revenue is recognized when the Company incurs expenses related to the grants for the amount the Company is entitled to under the provisions of the contract. During the two years ended December 31, 2024, the Company did not participate in any collaboration agreements.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Common Share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loss per share includes only the weighted average common shares outstanding, without consideration of potentially dilutive securities. Diluted loss per share includes the weighted average common shares outstanding and any potentially dilutive common stock equivalent shares in the calculation.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adopted Accounting Standard Update (“ASU”) 2023-07, Segment Reporting (Topic 280) – Improvements to Reportable Segment Disclosures, as of January 1, 2024. See the section Recently Adopted Accounting Standards below for more information.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is a clinical-stage immuno-oncology company specializing in the development and commercialization of novel T cell-based immunotherapies for the treatment of hematological malignancies and solid tumor indications. The Company’s operations are organized and reported as a single reportable segment, which includes all activities related to the discovery, development, and commercialization of its products. The Company’s CODM, its chief executive officer, reviews operating results on an aggregate basis and manages the operations as a single operating segment.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accounting policies of the Company’s single operating and reportable segment are the same as those described in the summary of significant accounting policies. The measure of segment assets is reported on the consolidated balance sheets as total assets. The CODM evaluates performance and allocates resources based on consolidated net income (loss) that also is reported on the consolidated statements of operations as net loss, and consolidated cash used in operations. The Company’s significant expenses are consistent with the expenses presented on the consolidated statement of operations. The CODM makes operating decisions based on the availability of cash and the allocation of cash to the required expenditures. Expenses are not regularly provided to the CODM on a more disaggregated basis for purposes of assessing segment performance and deciding how to allocate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No. 2023-07, Segment Reporting (Topic 280): Improvements to Reportable Segment Disclosures. The ASU requires disclosures to include significant segment expenses that are regularly provided to the chief operating decision maker, among other provisions. Effective January 1, 2024, the Company adopted the new standard on a retrospective basis for annual periods, and interim periods beginning the first quarter of 2025. The Company does not believe the impact of the new guidance and related codification improvements had a material impact to its financial position,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We do not expect the adoption of this guidance to have a material impact on its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NET LOSS PER SHARE APPLICABLE TO COMMON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computation of net loss per share for the years ended December 31, 2024 and 2023,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-125095</wp:posOffset>
            </wp:positionV>
            <wp:extent cx="503174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spacing w:after="0" w:line="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Income (loss) from discontinued operations</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503174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2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19685</wp:posOffset>
            </wp:positionV>
            <wp:extent cx="503174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spacing w:after="0" w:line="11" w:lineRule="exact"/>
        <w:rPr>
          <w:sz w:val="20"/>
          <w:szCs w:val="20"/>
          <w:color w:val="auto"/>
        </w:rPr>
      </w:pPr>
    </w:p>
    <w:p>
      <w:pPr>
        <w:ind w:left="1000" w:right="958"/>
        <w:spacing w:after="0" w:line="356" w:lineRule="auto"/>
        <w:rPr>
          <w:sz w:val="20"/>
          <w:szCs w:val="20"/>
          <w:color w:val="auto"/>
        </w:rPr>
      </w:pPr>
      <w:r>
        <w:rPr>
          <w:rFonts w:ascii="Times New Roman" w:cs="Times New Roman" w:eastAsia="Times New Roman" w:hAnsi="Times New Roman"/>
          <w:sz w:val="17"/>
          <w:szCs w:val="17"/>
          <w:color w:val="auto"/>
        </w:rPr>
        <w:t>Weighted average common shares outstanding, basic Weighted average common shares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-59055</wp:posOffset>
            </wp:positionV>
            <wp:extent cx="503174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1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Net earnings (loss) per share: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ind w:left="722"/>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465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ind w:left="402"/>
        <w:spacing w:after="0"/>
        <w:tabs>
          <w:tab w:leader="none" w:pos="1602"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5" w:lineRule="exact"/>
        <w:rPr>
          <w:sz w:val="20"/>
          <w:szCs w:val="20"/>
          <w:color w:val="auto"/>
        </w:rPr>
      </w:pPr>
    </w:p>
    <w:p>
      <w:pPr>
        <w:ind w:left="142" w:hanging="142"/>
        <w:spacing w:after="0"/>
        <w:tabs>
          <w:tab w:leader="none" w:pos="1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(10,731,315)  $ (14,045,895)</w:t>
      </w:r>
    </w:p>
    <w:p>
      <w:pPr>
        <w:spacing w:after="0" w:line="27" w:lineRule="exact"/>
        <w:rPr>
          <w:rFonts w:ascii="Times New Roman" w:cs="Times New Roman" w:eastAsia="Times New Roman" w:hAnsi="Times New Roman"/>
          <w:sz w:val="18"/>
          <w:szCs w:val="18"/>
          <w:color w:val="auto"/>
        </w:rPr>
      </w:pPr>
    </w:p>
    <w:p>
      <w:pPr>
        <w:ind w:left="8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—5,809,081</w:t>
      </w:r>
    </w:p>
    <w:p>
      <w:pPr>
        <w:spacing w:after="0" w:line="9" w:lineRule="exact"/>
        <w:rPr>
          <w:rFonts w:ascii="Times New Roman" w:cs="Times New Roman" w:eastAsia="Times New Roman" w:hAnsi="Times New Roman"/>
          <w:sz w:val="18"/>
          <w:szCs w:val="18"/>
          <w:color w:val="auto"/>
        </w:rPr>
      </w:pPr>
    </w:p>
    <w:p>
      <w:pPr>
        <w:ind w:left="142" w:hanging="142"/>
        <w:spacing w:after="0"/>
        <w:tabs>
          <w:tab w:leader="none" w:pos="142" w:val="left"/>
        </w:tabs>
        <w:numPr>
          <w:ilvl w:val="0"/>
          <w:numId w:val="6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(10,731,315)  $  (8,236,814)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1465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2"/>
        <w:spacing w:after="0"/>
        <w:tabs>
          <w:tab w:leader="none" w:pos="1522" w:val="left"/>
        </w:tabs>
        <w:rPr>
          <w:sz w:val="20"/>
          <w:szCs w:val="20"/>
          <w:color w:val="auto"/>
        </w:rPr>
      </w:pPr>
      <w:r>
        <w:rPr>
          <w:rFonts w:ascii="Times New Roman" w:cs="Times New Roman" w:eastAsia="Times New Roman" w:hAnsi="Times New Roman"/>
          <w:sz w:val="18"/>
          <w:szCs w:val="18"/>
          <w:color w:val="auto"/>
        </w:rPr>
        <w:t>8,980,207</w:t>
      </w:r>
      <w:r>
        <w:rPr>
          <w:sz w:val="20"/>
          <w:szCs w:val="20"/>
          <w:color w:val="auto"/>
        </w:rPr>
        <w:tab/>
      </w:r>
      <w:r>
        <w:rPr>
          <w:rFonts w:ascii="Times New Roman" w:cs="Times New Roman" w:eastAsia="Times New Roman" w:hAnsi="Times New Roman"/>
          <w:sz w:val="18"/>
          <w:szCs w:val="18"/>
          <w:color w:val="auto"/>
        </w:rPr>
        <w:t>8,809,382</w:t>
      </w:r>
    </w:p>
    <w:p>
      <w:pPr>
        <w:spacing w:after="0" w:line="50" w:lineRule="exact"/>
        <w:rPr>
          <w:sz w:val="20"/>
          <w:szCs w:val="20"/>
          <w:color w:val="auto"/>
        </w:rPr>
      </w:pPr>
    </w:p>
    <w:p>
      <w:pPr>
        <w:ind w:left="302"/>
        <w:spacing w:after="0"/>
        <w:tabs>
          <w:tab w:leader="none" w:pos="1522" w:val="left"/>
        </w:tabs>
        <w:rPr>
          <w:sz w:val="20"/>
          <w:szCs w:val="20"/>
          <w:color w:val="auto"/>
        </w:rPr>
      </w:pPr>
      <w:r>
        <w:rPr>
          <w:rFonts w:ascii="Times New Roman" w:cs="Times New Roman" w:eastAsia="Times New Roman" w:hAnsi="Times New Roman"/>
          <w:sz w:val="18"/>
          <w:szCs w:val="18"/>
          <w:color w:val="auto"/>
        </w:rPr>
        <w:t>8,980,207</w:t>
      </w:r>
      <w:r>
        <w:rPr>
          <w:sz w:val="20"/>
          <w:szCs w:val="20"/>
          <w:color w:val="auto"/>
        </w:rPr>
        <w:tab/>
      </w:r>
      <w:r>
        <w:rPr>
          <w:rFonts w:ascii="Times New Roman" w:cs="Times New Roman" w:eastAsia="Times New Roman" w:hAnsi="Times New Roman"/>
          <w:sz w:val="18"/>
          <w:szCs w:val="18"/>
          <w:color w:val="auto"/>
        </w:rPr>
        <w:t>8,809,382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465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-127635</wp:posOffset>
            </wp:positionV>
            <wp:extent cx="1465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5898" w:space="720"/>
            <w:col w:w="3302"/>
          </w:cols>
          <w:pgMar w:left="980" w:top="513" w:right="999" w:bottom="1440" w:gutter="0" w:footer="0" w:header="0"/>
          <w:type w:val="continuous"/>
        </w:sectPr>
      </w:pPr>
    </w:p>
    <w:tbl>
      <w:tblPr>
        <w:tblLayout w:type="fixed"/>
        <w:tblInd w:w="1000" w:type="dxa"/>
        <w:tblCellMar>
          <w:top w:w="0" w:type="dxa"/>
          <w:left w:w="0" w:type="dxa"/>
          <w:bottom w:w="0" w:type="dxa"/>
          <w:right w:w="0" w:type="dxa"/>
        </w:tblCellMar>
      </w:tblPr>
      <w:tr>
        <w:trPr>
          <w:trHeight w:val="20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basic and diluted</w:t>
            </w:r>
          </w:p>
        </w:tc>
        <w:tc>
          <w:tcPr>
            <w:tcW w:w="9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(loss) from discontinued operations, basic and diluted</w:t>
            </w:r>
          </w:p>
        </w:tc>
        <w:tc>
          <w:tcPr>
            <w:tcW w:w="5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securities, rounded to the thousand, were not included in the diluted net loss per share calculation because their effect was anti-dilutive for the periods presented:</w:t>
      </w:r>
    </w:p>
    <w:p>
      <w:pPr>
        <w:spacing w:after="0" w:line="16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2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738,000</w:t>
            </w:r>
          </w:p>
        </w:tc>
      </w:tr>
      <w:tr>
        <w:trPr>
          <w:trHeight w:val="216"/>
        </w:trPr>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purchase warrants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8,279,000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8,867,000</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738,000</w:t>
            </w:r>
          </w:p>
        </w:tc>
      </w:tr>
      <w:tr>
        <w:trPr>
          <w:trHeight w:val="20"/>
        </w:trPr>
        <w:tc>
          <w:tcPr>
            <w:tcW w:w="7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OTHER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Qualifying grant income earned in advance of cash received from grants is recognized as revenue and recorded as other receivable. The Company recorded $4.4 million of grant income related to the CPRIT grant for the year ended December 31, 2024. At December 31, 2024, the Company recorded $2.1 million of grant income receivable related to the CPRIT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recorded $0.5 million and $1.0 million of grant income related to the FDA and SBIR grants related to MT - 401, respectively, for the year ended December 31, 2024. At December 31, 2024, the Company recorded nil and $0.2 million of grant income receivable related to the FDA and SBIR grants,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$0.2 million of funds from SBIR in February 2025.</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recorded approximately $6,000 and $7,000 of grant income related to the National Institutes of Health grants related to the advancement of MT-601 in patients with pancreatic cancer.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received $6,000 and $7,000, respectively, from the National Institutes of Health grants related to the advancement of MT-601 in patients with pancreatic cancer.</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on June 26, 2023, the Company completed the previously announced transaction with Cell Ready for cash consideration of $19.0 million, resulting in derecognition of the Purchased Assets and a gain on sale of approximately $8.7 million, net of $63,000 in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and liabilities classified in discontinued operations as of December 31, 2024 and 2023, respectively.</w:t>
      </w:r>
    </w:p>
    <w:p>
      <w:pPr>
        <w:sectPr>
          <w:pgSz w:w="11900" w:h="16838" w:orient="portrait"/>
          <w:cols w:equalWidth="0" w:num="1">
            <w:col w:w="9920"/>
          </w:cols>
          <w:pgMar w:left="980" w:top="513" w:right="99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 activity related to discontinued operations for the year ended December 31, 2024. Net loss from discontinued operations consists of the following for the year ended December 31, 2023, excluding the gain on disposal:</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8"/>
        </w:trPr>
        <w:tc>
          <w:tcPr>
            <w:tcW w:w="4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80" w:type="dxa"/>
            <w:vAlign w:val="bottom"/>
            <w:tcBorders>
              <w:bottom w:val="single" w:sz="8" w:color="CCEEFF"/>
            </w:tcBorders>
          </w:tcPr>
          <w:p>
            <w:pPr>
              <w:spacing w:after="0"/>
              <w:rPr>
                <w:sz w:val="15"/>
                <w:szCs w:val="15"/>
                <w:color w:val="auto"/>
              </w:rPr>
            </w:pPr>
          </w:p>
        </w:tc>
        <w:tc>
          <w:tcPr>
            <w:tcW w:w="2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816,641</w:t>
            </w:r>
          </w:p>
        </w:tc>
      </w:tr>
      <w:tr>
        <w:trPr>
          <w:trHeight w:val="216"/>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service revenue</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4,316,641</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6,561,957</w:t>
            </w:r>
          </w:p>
        </w:tc>
      </w:tr>
      <w:tr>
        <w:trPr>
          <w:trHeight w:val="216"/>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677,090</w:t>
            </w:r>
          </w:p>
        </w:tc>
      </w:tr>
      <w:tr>
        <w:trPr>
          <w:trHeight w:val="210"/>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7,239,047</w:t>
            </w:r>
          </w:p>
        </w:tc>
      </w:tr>
      <w:tr>
        <w:trPr>
          <w:trHeight w:val="209"/>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(2,922,406)</w:t>
            </w:r>
          </w:p>
        </w:tc>
      </w:tr>
      <w:tr>
        <w:trPr>
          <w:trHeight w:val="20"/>
        </w:trPr>
        <w:tc>
          <w:tcPr>
            <w:tcW w:w="4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related to discontinued operations for the year ended December 31, 2023:</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8"/>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(6,099,000)</w:t>
            </w:r>
          </w:p>
        </w:tc>
      </w:tr>
      <w:tr>
        <w:trPr>
          <w:trHeight w:val="216"/>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18,664,000</w:t>
            </w:r>
          </w:p>
        </w:tc>
      </w:tr>
      <w:tr>
        <w:trPr>
          <w:trHeight w:val="209"/>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in cash and cash equivalents from discontinued operations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12,565,000</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Service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2022, the Company entered into a binding services agreement (“Wilson Wolf Agreement”) with Wilson Wolf Manufacturing Corporation (“Wilson Wolf”). Mr. John Wilson was a member of the Company’s board of directors at the time of the agreement and is serving as the CEO of Wilson Wolf. Wilson Wolf is in the business of creating products and services intended to simplify and expedite the transition of cell therapies and gene-modified cell therapies to mainstream society (the “Wilson Wolf Mission”). Pursuant to the Wilson Wolf Agreement, Wilson Wolf made a cash payment to the Company in the amount of $8.0 million, as consideration for certain training and research services.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recognized the final $2.5 million of revenue pursuant to this $8.0 million agreement and an additional $1.0 million because the work was completed within one year from the onset of the Wilson Wolf Agreement, achieving the agreed milestone. The Wilson Wolf Agreement and related service obligations were completed upon achievement of this final milestone, and no obligations remain.</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ACCOUNTS PAYABLE, ACCRUED LIABILITIES, AND RELATED PARTY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accrued liabilities, and related party payable consist of the following as of December 31, 2024 and 2023,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32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5"/>
                <w:szCs w:val="15"/>
                <w:color w:val="auto"/>
              </w:rPr>
            </w:pPr>
          </w:p>
        </w:tc>
      </w:tr>
      <w:tr>
        <w:trPr>
          <w:trHeight w:val="209"/>
        </w:trPr>
        <w:tc>
          <w:tcPr>
            <w:tcW w:w="100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$ 1,066,000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961,000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3,075,000</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320" w:type="dxa"/>
            <w:vAlign w:val="bottom"/>
            <w:gridSpan w:val="2"/>
          </w:tcPr>
          <w:p>
            <w:pPr>
              <w:jc w:val="right"/>
              <w:ind w:right="2636"/>
              <w:spacing w:after="0"/>
              <w:rPr>
                <w:sz w:val="20"/>
                <w:szCs w:val="20"/>
                <w:color w:val="auto"/>
              </w:rPr>
            </w:pPr>
            <w:r>
              <w:rPr>
                <w:rFonts w:ascii="Times New Roman" w:cs="Times New Roman" w:eastAsia="Times New Roman" w:hAnsi="Times New Roman"/>
                <w:sz w:val="18"/>
                <w:szCs w:val="18"/>
                <w:color w:val="auto"/>
              </w:rPr>
              <w:t>F-16</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$1.7 million related-party payable reflects amounts payable to Cell Ready for outsourced product development and manufacturing services. This amount was paid during January 2025. See Note 12 for additional information.</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authorized up to 5,000,000 shares of preferred stock, $0.001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authorized up to 30,000,000 shares of common stock, $0.001 par value per share, for issuance. Significant 2024 and 2023 common stock transactions were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Common Stock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Net proceeds from the sale of securities in the Private Placement was approximately $14.9 million, which does not include any proceeds that may be received upon the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Stock Pursuant to ATM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sold 8,178 shares of its common stock under the ATM Agreement for gross proceeds of $37,000. On June 10, 2024, the Company provided notice of its termination of the ATM Agreement with Cantor Fitzgerald</w:t>
      </w:r>
    </w:p>
    <w:p>
      <w:pPr>
        <w:ind w:firstLine="8"/>
        <w:spacing w:after="0" w:line="260" w:lineRule="auto"/>
        <w:tabs>
          <w:tab w:leader="none" w:pos="1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and RBC Capital Markets, LLC. In November 2024, the Company entered into an ATM Agreement with H.C. Wainwright &amp; Co.,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Exercise of Stock Options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certain outstanding options were exercised for 25,602 shares of common stock providing aggregate proceeds to the Company of approximately $62,000.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Common Stock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Stock Pursuant to ATM Agreement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sold 265,334 shares of its common stock under the ATM Agreement for net proceeds of $1.0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Purchase Agreement with Lincoln Park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2022, the Company entered into a purchase agreement (the “Purchase Agreement”) with Lincoln Park which provides that, upon the terms and subject to the conditions of the agreement, the Company has the right, but not the obligation, to sell to Lincoln Park up to $25,000,000 of shares of its common stock (the “Purchase Shares”) from time to time over a 24-month term, at a variable price with certain market-based terms as defined in the Purchase Agreement. The Purchase Agreement does not exhibit any of the characteristics for liability classification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Instead, the purchase agreement is indexed to the Company’s own stock under ASC Subtopic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and classified as equity. In January 2023, Lincoln Park was issued 180,410 shares of stock as a commitment fee at a value of $0.5 million. During the year ended December 31, 2023, the Company sold 12,500 shares of its common stock under the Purchase Agreement for proceeds of approximately $33,000. The Company terminated the Purchase Agreement with Lincoln Park on February 29, 2024 effective March 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Exercise of Stock Options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certain outstanding options were exercised for 27,518 shares of common stock providing aggregate proceeds to the Company of approximately $0.1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warrants outstanding at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New</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4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2"/>
            <w:vMerge w:val="continue"/>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760" w:type="dxa"/>
            <w:vAlign w:val="bottom"/>
            <w:gridSpan w:val="2"/>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9"/>
        </w:trPr>
        <w:tc>
          <w:tcPr>
            <w:tcW w:w="358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Private placement warrants</w:t>
            </w:r>
          </w:p>
        </w:tc>
        <w:tc>
          <w:tcPr>
            <w:tcW w:w="9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 years from</w:t>
            </w:r>
          </w:p>
        </w:tc>
        <w:tc>
          <w:tcPr>
            <w:tcW w:w="1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2024</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shareholder</w:t>
            </w:r>
          </w:p>
        </w:tc>
        <w:tc>
          <w:tcPr>
            <w:tcW w:w="10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5,031,250</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5,031,250</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approval</w:t>
            </w:r>
          </w:p>
        </w:tc>
        <w:tc>
          <w:tcPr>
            <w:tcW w:w="10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Pre-funded warrants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5 years from</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2024</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0.001</w:t>
            </w: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shareholder</w:t>
            </w:r>
          </w:p>
        </w:tc>
        <w:tc>
          <w:tcPr>
            <w:tcW w:w="1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3,247,445</w:t>
            </w:r>
          </w:p>
        </w:tc>
        <w:tc>
          <w:tcPr>
            <w:tcW w:w="160" w:type="dxa"/>
            <w:vAlign w:val="bottom"/>
          </w:tcPr>
          <w:p>
            <w:pPr>
              <w:spacing w:after="0"/>
              <w:rPr>
                <w:sz w:val="12"/>
                <w:szCs w:val="12"/>
                <w:color w:val="auto"/>
              </w:rPr>
            </w:pPr>
          </w:p>
        </w:tc>
        <w:tc>
          <w:tcPr>
            <w:tcW w:w="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3,247,445</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approval</w:t>
            </w:r>
          </w:p>
        </w:tc>
        <w:tc>
          <w:tcPr>
            <w:tcW w:w="10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ind w:left="6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8,278,695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8,278,695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19, 2020, the Board adopted the 2020 Equity Incentive Plan (“2020 Equity Incentive Plan”) which replaced the 2014 Omnibus Stock Option Plan. The 2020 Plan was further amended effective May 2022 to increase the number of shares of common stock authorized for issuance under the plan by 850,000 shares. The 2020 Plan allows for grants of stock options, restricted shares, stock bonuses and other equity-based awards to employees and non-employee directors of the Company. Awards under the 2020 Plan may be at prices and for terms as determined by the Company’s board of directors and may have vesting requirements as determined by the Board, provided that the exercise price for any stock option must be at least equal to the fair market value (as defined in the 2020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Nasdaq Stock Exchange.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2020 Plan have a maximum term of ten years from the date of grant and generally vest over four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Equity Incentive Awards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12, 2025, pursuant to the Company’s 2020 Equity Incentive Plan, the compensation committee of the Company’s board of directors approved 50,000 options to purchase the Company’s common stock as equity-based incentive awards to the Company’s Chief Executive Officer and President, Dr. Juan Vera and 30,000 options to purchase the Company’s common stock as equity-based incentive awards to each Non-Employee Director. Each option award was granted with an exercise price of $1.59 per share, the closing price of the Company’s common stock on the Nasdaq Capital Market on February 12, 2025, with the option award vesting in three annual installments, subject to such Optionee’s continued service on the applicable vesting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Equity Incentive Awards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27, 2023, pursuant to the Company’s 2020 Equity Incentive Plan, the compensation committee of the Company’s board of directors approved a total of 316,855 options to purchase the Company’s common stock as equity-based incentive awards to the Company’s executive officers and management team. Each option award was granted with an exercise price of $2.14 per share, the closing price of the Company’s common stock on the Nasdaq Capital Market on February 27, 2023, with the option award vesting in 48 equal monthly installments over a four-year period, subject to such executive officer’s continued service on the applicable vesting date. Additionally, on February 27, 2023, the compensation committee of the Company’s board of directors approved a total of 87,677 options to purchase the Company’s common stock to non-executive employees and management team of the Company as equity-based incentive awards. Each option award was granted with an exercise price of $2.14 per share, the closing price of the Company’s common stock on the Nasdaq Capital Market on February 27, 2023, with the option award vesting in 48 equal monthly installments over a four-year period, subject to such employee’s continued service on the applicable vesting date.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above awards were in addition to 7,000 stock option awards issued during the three months ended March 31, 2023 to new employees upon their commencement of employment with the Company. Each option award was granted with an exercise price of $2.769 per share, the closing price of the Company’s common stock on the Nasdaq Capital Market on January 3, 2023, with 25% of the option award vesting in one year and the remaining 75% vesting in 36 equal monthly installments thereafter over a three-year period, subject to such employee’s continued service on the applicable vesting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10, 2023, the Company’s board of directors approved a one-time share option grant of 100,000 shares of common stock to Dr. Vera for his appointment as the Company’s Chief Executive Officer. The option has a term of ten years and will vest in equal annual installments on May 10, 2024, May 10, 2025, May 10, 2026, and May 10, 2027, subject to Mr. Vera’s continued service to the Company as of the applicable vesting date. Each option award was granted with an exercise price of $1.42 per share, the closing price of the Company’s common stock on the Nasdaq Capital Market on May 10,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6, 2023, pursuant to the Company’s Non-Employee Director Compensation Policy, which had previously been approved by the Company’s board of directors, a total of 32,000 stock option awards were issued to independent members of the board of directors of the Company. Each option award was granted with an exercise price of $1.72 per share, the closing price of the Company’s common stock on the Nasdaq Capital Market on June 6, 2023. Each Option award will vest in one year subject to the director’s continuance of service through June 6,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recorded incremental stock-based compensation expense of approximately $0.3 million pertaining to the modification of stock options in connection with the termination of certain employees that were hired by Cell Ready or transitioned as independent consultants. The modification provided for an acceleration of unvested options, resulting in a change in compensation expense that was immediately recognized. $0.2 million is reflected in loss from discontinued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approximately 1.2 million shares of common stock are available to be issued under the 2020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years ended December 31, 2024 and December 31, 2023, is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Intrinsic Value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886,173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Canceled/Expired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6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Outstanding as of</w:t>
            </w: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737,895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4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1,317,000</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Canceled/Expired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Outstanding as of</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587,704</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460" w:type="dxa"/>
            <w:vAlign w:val="bottom"/>
            <w:gridSpan w:val="2"/>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11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6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395,492</w:t>
            </w: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40" w:type="dxa"/>
            <w:vAlign w:val="bottom"/>
            <w:vMerge w:val="continue"/>
          </w:tcPr>
          <w:p>
            <w:pPr>
              <w:spacing w:after="0"/>
              <w:rPr>
                <w:sz w:val="18"/>
                <w:szCs w:val="18"/>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14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2024 and 2023, respectively, were as follows:</w:t>
      </w:r>
    </w:p>
    <w:p>
      <w:pPr>
        <w:spacing w:after="0" w:line="18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396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7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expenses recorded during the respective periods:</w:t>
      </w:r>
    </w:p>
    <w:p>
      <w:pPr>
        <w:spacing w:after="0" w:line="23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4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45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338,000</w:t>
            </w:r>
          </w:p>
        </w:tc>
      </w:tr>
      <w:tr>
        <w:trPr>
          <w:trHeight w:val="216"/>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520,000</w:t>
            </w:r>
          </w:p>
        </w:tc>
      </w:tr>
      <w:tr>
        <w:trPr>
          <w:trHeight w:val="210"/>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compensation in continuing operations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858,000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in discontinued operations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stock compensation expenses</w:t>
            </w:r>
          </w:p>
        </w:tc>
        <w:tc>
          <w:tcPr>
            <w:tcW w:w="1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1,583,000</w:t>
            </w: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total stock-based compensation cost related to unvested awards not yet recognized was $0.2 million. The expected weighted average period compensation costs to be recognized was 1.9 years. Future option grants will impact the compensation expense recognized.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GRANT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CPRIT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restricted cash received from grants in advance of incurring qualifying costs, it is recorded as deferred revenue and recognized as revenue when qualifying costs are incurred. There was no restricted cash recorded as of December 31, 2024 and December 31, 2023. If qualifying grant income is earned in advance of cash received from grants, it is recognized as revenue and recorded as other receivable.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$4.4 million and $2.7 million of grant income related to the CPRIT grant as revenue for the years ended December 31, 2024 and 2023, respectively. At December 31, 2024, the Company had recorded $2.1 million as other receivable, which represented grant income earned in advance of the next tranche of funds to be received from CPRIT.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received notice an additional $9.5 million grant from CPRIT to support the clinical investigation of MT-601 in patients with metastatic pancreatic cancer. The Company did not record any grant income related to this grant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CPRIT grants are subject to certain revenue-sharing arrangements, as per the grant agreements (see Note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received notice from the FDA that it had awarded the Company a $2.0 million grant from the FDA’s Orphan Products Grant program to support the Company’s Phase 2 clinical trial of MT-401 for the treatment of post-transplant AML. The Company recorded $0.5 million and $0.4 million of grant income related to the FDA grant as revenue for the years ended December 31, 2024 and December 31, 2023, respectively. As of December 31, 2024, the Company had no other receivable recorded with respect to the FDA grant.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SBIR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2023, the Company announced it had received a $2.0 million grant from the National Institutes of Health Small Business Innovation Research program to support the development and investigation of MT-401 for the treatment of AML patients following standard-of-care therapy with hypomethylating agents. The Company recorded $1.0 million and $0.2 million of grant income related to the SBIR grant as revenue for the years ended December 31, 2024 and December 31, 2023, respectively. As of December 31, 2024, the Company recorded $0.2 million as other receivable, which represented grant income earned in advance of funds to be received from the SBIR. In February 2025, the Company received $0.2 million of funds from the SBIR grant.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received notice of a $2.0 million grant from the National Institutes of Health Small Business Innovation Research Program to support the clinical investigation of MT-601 in patients with non-Hodgkin’s lymphoma (NHL) who have relapsed following anti-CD19 chimeric antigen receptor (CAR) T cell therapy. The Company recorded $0.7 million of grant income related to this grant as revenue for the year ended December 31, 2024. As of December 31, 2024, the Company had no other receivable recorded related to this grant.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received notice of another $2.0 million grant from the National Institutes of Health Small Business Innovation Research Program to support the clinical investigation of MT-601 in patients with pancreatic cancer. The Company recorded approximately $7,000 of grant income for the year ended December 31, 2024 and recorded the same amount in other receivables as of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NIH – National Cancer Institute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received notice of a $2.0 million grant over a 2-year period from the National Institutes of Health - National Cancer Institute to support control over tumor immune escape in pancreatic cancer using a dual T cell product strategy. The Company recorded approximately $6,000 of grant income for the year ended December 31, 2024 and recorded the same amount in other receivables as of December 31, 2024.</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Cancer Prevention and Research Institute of Texas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CPRIT to support the Company’s clinical investigation of MT-401. In December 2024, the Company received notice of an additional $9.5 million grant from CPRIT to support the clinical investigation of MT-601 in patients with pancreatic cancer. Both CPRIT grants contain identical terms surrounding intellectual property and revenue sharing.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 the CPRIT grant agreements, the Company will retain ownership over any intellectual property developed under the contracts (the “Project Results”). With respect to non-commercial use of any Project Results, the Company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Company’s products become commercially saleable, the Company is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the Company by CPRIT under the grant agreements. If the Company is required to obtain a license from a third party to sell any such product, the revenue sharing percentages may be reduced. In addition, once the Company has paid CPRIT 400% of the monies received under the grant agreements, the Company will continue to pay CPRIT a revenue-sharing percentage of 0.5% for the remainder of the Revenue Term as specified in the grant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Baylor College of Medicine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2018, the Company entered into an exclusive license agreement with BCM under which the Company acquired a worldwide, exclusive license to BCM’s rights in and to certain intellectual property rights, including a European patent to develop and commercialize MAR-T cell product candidates (the “BCM License Agreement”). In exchange for the license, the Company issued shares of its common stock to BCM valued at approximately $5.0 million at the time of issuance, agreed to make royalty payments to BCM upon commercial sales according to the royalty schedule in the BCM License Agreement, under which the royalty percentages increase in proportion to the aggregate net sales, and agreed to pay BCM certain milestone payments up to an aggregate of $64.85 million. The milestone payments are based upon the occurrence of nine particular milestones relating to completion of the first dosing in clinical trials for a first and second distinct product, FDA approval, and achievement of certain net sales goals. The Company is also responsible for sublicensing fees and for reimbursing BCM for related-party expenses. In addition, upon a liquidity event (as defined in the BCM License Agreement) of the Company, BCM will receive a one-time liquidity incentive payment of 0.5% of the liquidity event proceeds (as defined in the BCM License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including those arising in the ordinary course of our business. We are not currently a party to any material legal proceedings that we believe could have an adverse effect on our business, operating results or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related party transaction expenses recorded for the years ended December 31, 2024 and 2023, respectively.</w:t>
      </w:r>
    </w:p>
    <w:p>
      <w:pPr>
        <w:spacing w:after="0" w:line="23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4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58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Baylor College of Medicine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Cell Ready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1,330,000</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Wilson Wolf Manufacturing Corporation</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277,000</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1,620,000</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$1.7 million and $1.3 million, respectively, of related party transactions are included in accounts payable and accrued liabilities. See Note 7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Agreements with The Baylor College of Medicine (“BCM”)</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2019, May 2020 and July 2021, the Company entered into Clinical Supply Agreements with BCM, which provided for BCM to provide to the Company multi tumor antigen specific 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2020, the Company entered in a Clinical Trial Agreement with BCM, which provided for BCM to provide to the Company investigator-initiated research studies.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a Clinical Site Agreement with BCM, which provided for BCM to conduct clinical trials for the Company and is a part of continuing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BCM is also a shareholder of the Company’s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Purchases from Wilson Wolf</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2023, the Company utilized Wilson Wolf for the purchases of cell culture devices. Mr. John Wilson was a member of the Company’s board of directors and is serving as the CEO of Wilson Wolf Manufacturing 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Purchases from Cell Ready, LLC.</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utilized Cell Ready, LLC for clinical manufacturing supply and product development. On February 22, 2024, we entered into a 3-year Master Services Agreement for Product Supply (the “MSA”) with Cell Ready. Cell Ready, which is owned by a former director and current shareholder, Mr. John Wilson, is a contract development and manufacturing organization (CDMO).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entered into Work Order #1 under the MSA, pursuant to which Cell Ready agreed to provide the Company with GMP drug product for Marker MT-401 and/or MT-601. The services include the delivery of final drug product and quality control testing. The Company also requested Cell Ready to provide general support services in connection therewith. During the year ended December 31, 2024, the Company incurred $5.8 million in expenses related to the services and manufacturing costs and paid $5.5 million for invoices received.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federal income tax expense due to operating losses incurred and utilized for the years ended December 31, 2024, and 2023, respectively. The Company recognized $50,000 and $4,000 in state tax expense for the years ended December 31, 2024 and 2023,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temporary differences that give rise to significant portions of the deferred tax assets as of December 31, 2024 and 2023 are as follows:</w:t>
      </w:r>
    </w:p>
    <w:p>
      <w:pPr>
        <w:spacing w:after="0" w:line="16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3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42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30,725,000</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29,352,000</w:t>
            </w:r>
          </w:p>
        </w:tc>
      </w:tr>
      <w:tr>
        <w:trPr>
          <w:trHeight w:val="216"/>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2,598,000</w:t>
            </w: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R&amp;E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7,026,000</w:t>
            </w:r>
          </w:p>
        </w:tc>
      </w:tr>
      <w:tr>
        <w:trPr>
          <w:trHeight w:val="216"/>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733,000</w:t>
            </w:r>
          </w:p>
        </w:tc>
      </w:tr>
      <w:tr>
        <w:trPr>
          <w:trHeight w:val="210"/>
        </w:trPr>
        <w:tc>
          <w:tcPr>
            <w:tcW w:w="4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40,997,000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39,709,000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(40,997,000)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(39,709,000)</w:t>
            </w:r>
          </w:p>
        </w:tc>
      </w:tr>
      <w:tr>
        <w:trPr>
          <w:trHeight w:val="249"/>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r>
      <w:tr>
        <w:trPr>
          <w:trHeight w:val="249"/>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Assets/(Liabilities)</w:t>
            </w:r>
          </w:p>
        </w:tc>
        <w:tc>
          <w:tcPr>
            <w:tcW w:w="1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2024 and 2023.</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approximately $138.3 million of federal and $38.8 million of state Net Operating Losses (“NOL”s) that may be available to offset future taxable income, if any. The federal net operating loss carryforwards of $38.4 million, if not utilized, will expire between 2030 and 2037. The federal net operating loss carryforwards of $99.9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$16.9 million generated in 2018 and thereafter are subject to an 80% limitation on taxable income, do not expire and will carry forward indefinitely.</w:t>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research and development tax credit carryforwards of $733,000 available to offset future federal income taxes. The research and development tax credit carryforwards begin to expire in 2030.</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considered under IRC Section 41 (relating to the research tax credit). For the year ended December 31, 2024, and 2023, the Company performed an analysis based on available guidance and determined that it will continue to be in a loss position even after the required capitalization and amortization of its R&amp;E expenses. The Company will continue to monitor this issue for future developments, but it does not expect R&amp;E capitalization and amortization to require it to pay cash taxes now or in the near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income tax returns for 2021 to 2023 are still open and subject to audit. In addition, net operating losses arising from prior years are also subject to examination at the time they are utilized in future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the expected tax expense (benefit) from continuing operations based on the U. 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statutory rate is reconciled with the actual tax provision (benefit)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900" w:type="dxa"/>
            <w:vAlign w:val="bottom"/>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Pretax Loss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Pretax Loss</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(2,243,000)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(2,948,000)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change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(9,000)</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Other permanent differences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1,288,000</w:t>
            </w:r>
          </w:p>
        </w:tc>
        <w:tc>
          <w:tcPr>
            <w:tcW w:w="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(1,556,000)</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11.08 %</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953,000</w:t>
            </w: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approximately $50,000 in state tax expense for the year ended December 31, 2024.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2024, and 2023, there were no unrecognized tax benefits. The Company recognizes accrued interest and penalties as income tax expense. No amounts were accrued for the payment of interest and penalties at December 31, 2024 and 2023. The Company is currently not aware of any issues under review that could result in significant payments, accruals or material deviation from its position in the next year.</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14:</w:t>
        <w:tab/>
        <w:t>SUBSEQUENT EVENTS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21, 2025, the Company held a Special Meeting of Stockholders (the “Special Meeting”) at which the stockholders approved, in accordance with Nasdaq Listing Rule 5635(d), of the issuance of the shares issuable upon exercise of (i) Series A Warrants to acquire 5,031,250 shares of Common Stock and (ii) Series B Warrants to acquire 3,247,445 shares of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2025, the Company mutually agreed with Cell Ready to terminate the MSA. In connection therewith, the Company entered into a settlement and release agreement with Cell Ready pursuant to which the Company paid Cell Ready approximately $453,000 and the parties provided one another with mutual releases of all claims associated with any and all agreements between Marker and Cell Ready.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arker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ovember</w:t>
      </w:r>
      <w:r>
        <w:rPr>
          <w:rFonts w:ascii="Times New Roman" w:cs="Times New Roman" w:eastAsia="Times New Roman" w:hAnsi="Times New Roman"/>
          <w:sz w:val="18"/>
          <w:szCs w:val="18"/>
          <w:b w:val="1"/>
          <w:bCs w:val="1"/>
          <w:color w:val="auto"/>
        </w:rPr>
        <w:t xml:space="preserve"> 17, 2023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ntroduction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policy determines acceptable transactions in the securities of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by our employees, directors and consultants. During the course of your employment, directorship or consultancy with the Company, you may receive important information that is not yet publicly available about the Company or about other publicly-traded companies with which the Company has business dealings (“</w:t>
      </w:r>
      <w:r>
        <w:rPr>
          <w:rFonts w:ascii="Times New Roman" w:cs="Times New Roman" w:eastAsia="Times New Roman" w:hAnsi="Times New Roman"/>
          <w:sz w:val="18"/>
          <w:szCs w:val="18"/>
          <w:b w:val="1"/>
          <w:bCs w:val="1"/>
          <w:i w:val="1"/>
          <w:iCs w:val="1"/>
          <w:color w:val="auto"/>
        </w:rPr>
        <w:t>inside information</w:t>
      </w:r>
      <w:r>
        <w:rPr>
          <w:rFonts w:ascii="Times New Roman" w:cs="Times New Roman" w:eastAsia="Times New Roman" w:hAnsi="Times New Roman"/>
          <w:sz w:val="18"/>
          <w:szCs w:val="18"/>
          <w:color w:val="auto"/>
        </w:rPr>
        <w:t>”).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Transactions. </w:t>
      </w:r>
      <w:r>
        <w:rPr>
          <w:rFonts w:ascii="Times New Roman" w:cs="Times New Roman" w:eastAsia="Times New Roman" w:hAnsi="Times New Roman"/>
          <w:sz w:val="18"/>
          <w:szCs w:val="18"/>
          <w:color w:val="auto"/>
        </w:rPr>
        <w:t>Use of inside information by someone for personal gain, or to pass on, or “tip,” the inside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appearance of insider trading in securities be avoided. The only exception is that transactions directly with the Company, e.g., option exercises for cash or purchases under the Company’s employee stock purchase plan, are permitted. However, the subsequent sale (including the sale of shares in a cashless exercise program) or other disposition of such stock is fully subject to these restrictions.</w:t>
      </w:r>
    </w:p>
    <w:p>
      <w:pPr>
        <w:spacing w:after="0" w:line="182" w:lineRule="exact"/>
        <w:rPr>
          <w:rFonts w:ascii="Times New Roman" w:cs="Times New Roman" w:eastAsia="Times New Roman" w:hAnsi="Times New Roman"/>
          <w:sz w:val="18"/>
          <w:szCs w:val="18"/>
          <w:b w:val="1"/>
          <w:bCs w:val="1"/>
          <w:color w:val="auto"/>
        </w:rPr>
      </w:pPr>
    </w:p>
    <w:p>
      <w:pPr>
        <w:jc w:val="both"/>
        <w:ind w:left="1300" w:hanging="644"/>
        <w:spacing w:after="0" w:line="254" w:lineRule="auto"/>
        <w:tabs>
          <w:tab w:leader="none" w:pos="13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Inside Information. </w:t>
      </w:r>
      <w:r>
        <w:rPr>
          <w:rFonts w:ascii="Times New Roman" w:cs="Times New Roman" w:eastAsia="Times New Roman" w:hAnsi="Times New Roman"/>
          <w:sz w:val="18"/>
          <w:szCs w:val="18"/>
          <w:color w:val="auto"/>
        </w:rPr>
        <w:t>As a practical matter, it is sometimes difficult to determine whether you possess inside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 w:cs="Times New Roman" w:eastAsia="Times New Roman" w:hAnsi="Times New Roman"/>
          <w:sz w:val="18"/>
          <w:szCs w:val="18"/>
          <w:b w:val="1"/>
          <w:bCs w:val="1"/>
          <w:i w:val="1"/>
          <w:iCs w:val="1"/>
          <w:color w:val="auto"/>
        </w:rPr>
        <w:t>Trading</w:t>
      </w:r>
      <w:r>
        <w:rPr>
          <w:rFonts w:ascii="Times New Roman" w:cs="Times New Roman" w:eastAsia="Times New Roman" w:hAnsi="Times New Roman"/>
          <w:sz w:val="18"/>
          <w:szCs w:val="18"/>
          <w:color w:val="auto"/>
        </w:rPr>
        <w:t>” includes engaging in short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610235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21" w:name="page122"/>
    <w:bookmarkEnd w:id="121"/>
    <w:p>
      <w:pPr>
        <w:ind w:left="1300"/>
        <w:spacing w:after="0"/>
        <w:rPr>
          <w:sz w:val="20"/>
          <w:szCs w:val="20"/>
          <w:color w:val="auto"/>
        </w:rPr>
      </w:pPr>
      <w:r>
        <w:rPr>
          <w:rFonts w:ascii="Times New Roman" w:cs="Times New Roman" w:eastAsia="Times New Roman" w:hAnsi="Times New Roman"/>
          <w:sz w:val="18"/>
          <w:szCs w:val="18"/>
          <w:color w:val="auto"/>
        </w:rPr>
        <w:t>sales, transactions in put or call options, hedging transactions and other inherently speculative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bright-line standard for assessing materiality; rather, materiality is based on an assessment of all of the facts and circumstances, and is often evaluated by relevant enforcement authorities with the benefit of hindsight. Although by no means an all-inclusive list, information about the following items may be considered to be inside information until it is publicly disseminated:</w:t>
      </w:r>
    </w:p>
    <w:p>
      <w:pPr>
        <w:spacing w:after="0" w:line="176" w:lineRule="exact"/>
        <w:rPr>
          <w:sz w:val="20"/>
          <w:szCs w:val="20"/>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results or forecasts;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communications with government agencies, such as the FDA;</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strategic plans;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discovery and development of new product candidates and new technology;</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or results of clinical trials of the Company’s product candidates;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changes or developments in suppliers;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acquisitions or dispositions of assets, divisions, companies, etc.;</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pending public or private sales of debt or equity securities;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declaration of stock splits, dividends or changes in dividend policy;</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major contract awards or cancellations;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regulatory or legislative developments;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major new drugs, processes or services, or many developments related to the same;</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top management or control changes;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possible tender offers or proxy fights;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writeoffs;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actual or threatened significant litigation, or the resolution of such litigation;</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impending bankruptcy of the Company or its key collaborators or partners;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gain or loss of significant partners, customers or suppliers;</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pricing changes or discount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2" w:name="page123"/>
    <w:bookmarkEnd w:id="122"/>
    <w:p>
      <w:pPr>
        <w:ind w:left="1960" w:right="20" w:hanging="656"/>
        <w:spacing w:after="0" w:line="282" w:lineRule="auto"/>
        <w:tabs>
          <w:tab w:leader="none" w:pos="19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establishment of or developments related to corporate partner relationships, strategic partnerships, joint ventures or other collaborations; and</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 of issuance of patents.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two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 by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fficers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mployees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the officers and directors and certain members of management of the Company are the most visible to the public and are most likely, in the view of the public, to possess inside information about the Company, we require them to do more than refrain from insider trading and require that they notify, and receive approval from, a Clearing Officer (as defined below) prior to engaging in transactions in the Company’s stock and observe other restrictions designed to minimize the risk of apparent or actual insider trading.</w:t>
      </w:r>
    </w:p>
    <w:p>
      <w:pPr>
        <w:spacing w:after="0" w:line="176" w:lineRule="exact"/>
        <w:rPr>
          <w:sz w:val="20"/>
          <w:szCs w:val="20"/>
          <w:color w:val="auto"/>
        </w:rPr>
      </w:pPr>
    </w:p>
    <w:p>
      <w:pPr>
        <w:jc w:val="both"/>
        <w:ind w:firstLine="656"/>
        <w:spacing w:after="0" w:line="268" w:lineRule="auto"/>
        <w:tabs>
          <w:tab w:leader="none" w:pos="1296"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Covered Insiders. </w:t>
      </w:r>
      <w:r>
        <w:rPr>
          <w:rFonts w:ascii="Times New Roman" w:cs="Times New Roman" w:eastAsia="Times New Roman" w:hAnsi="Times New Roman"/>
          <w:sz w:val="18"/>
          <w:szCs w:val="18"/>
          <w:color w:val="auto"/>
        </w:rPr>
        <w:t>The provisions outlined in this stock trading policy apply to all directors, officers and employees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Generally, any entities or family members whose trading activities are controlled or influenced by any of such persons should be considered to be subject to the same restrictions.</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296"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Trading Blackouts. </w:t>
      </w:r>
      <w:r>
        <w:rPr>
          <w:rFonts w:ascii="Times New Roman" w:cs="Times New Roman" w:eastAsia="Times New Roman" w:hAnsi="Times New Roman"/>
          <w:sz w:val="18"/>
          <w:szCs w:val="18"/>
          <w:color w:val="auto"/>
        </w:rPr>
        <w:t>Generally, directors, officers and employees may buy or sell securities of the Company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 “</w:t>
      </w:r>
      <w:r>
        <w:rPr>
          <w:rFonts w:ascii="Times New Roman" w:cs="Times New Roman" w:eastAsia="Times New Roman" w:hAnsi="Times New Roman"/>
          <w:sz w:val="18"/>
          <w:szCs w:val="18"/>
          <w:b w:val="1"/>
          <w:bCs w:val="1"/>
          <w:i w:val="1"/>
          <w:iCs w:val="1"/>
          <w:color w:val="auto"/>
        </w:rPr>
        <w:t>window period</w:t>
      </w:r>
      <w:r>
        <w:rPr>
          <w:rFonts w:ascii="Times New Roman" w:cs="Times New Roman" w:eastAsia="Times New Roman" w:hAnsi="Times New Roman"/>
          <w:sz w:val="18"/>
          <w:szCs w:val="18"/>
          <w:color w:val="auto"/>
        </w:rPr>
        <w:t>” that opens after two full trading days have elapsed after the public dissemination of the Company’s annual or quarterly financial results and closes on the last trading day one week before the end of the quarter. This window period may be closed early or may not open if, in the judgment of the Company’s Chief Executive Officer, there exists undisclosed information that would make trades inappropriate. It is important to note that the fact that the window period has closed early or has not opened should be considered inside information. An employee or director who believes that special circumstances require him or her to trade outside the window period should consult with a Clearing Officer. Permission to trade outside the window period will be granted only where the circumstances are extenuating and there appears to be no significant risk that the trade may subsequently be questioned.</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a few directors, officers and/or employees. So long as the event remains material and nonpublic, the persons designated by the Chief Executive Officer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 Even if you have not been designated as a person who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3" w:name="page124"/>
    <w:bookmarkEnd w:id="123"/>
    <w:p>
      <w:pPr>
        <w:spacing w:after="0" w:line="282" w:lineRule="auto"/>
        <w:rPr>
          <w:sz w:val="20"/>
          <w:szCs w:val="20"/>
          <w:color w:val="auto"/>
        </w:rPr>
      </w:pPr>
      <w:r>
        <w:rPr>
          <w:rFonts w:ascii="Times New Roman" w:cs="Times New Roman" w:eastAsia="Times New Roman" w:hAnsi="Times New Roman"/>
          <w:sz w:val="18"/>
          <w:szCs w:val="18"/>
          <w:color w:val="auto"/>
        </w:rPr>
        <w:t>not trade due to an event-specific trading blackout, you should not trade while aware of material nonpublic information. Exceptions will not be granted during an event-specific trading blackout.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trading blackouts do not apply to those transactions to which this policy does not apply, as described under the heading “Exceptions to Trading Blackouts” below.</w:t>
      </w:r>
    </w:p>
    <w:p>
      <w:pPr>
        <w:spacing w:after="0" w:line="158"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Exceptions to Trading Blackouts.</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4"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Option Exercises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officers and employees may exercise options for cash granted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Company’s stock option plans without restriction. However, the subsequent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of the stock (including sales of stock in a cashless exercise) acquired upon the exercise of options is subject to all provisions of this policy.</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9" w:lineRule="auto"/>
        <w:tabs>
          <w:tab w:leader="none" w:pos="1944"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Tax Withholding Transactions. </w:t>
      </w:r>
      <w:r>
        <w:rPr>
          <w:rFonts w:ascii="Times New Roman" w:cs="Times New Roman" w:eastAsia="Times New Roman" w:hAnsi="Times New Roman"/>
          <w:sz w:val="18"/>
          <w:szCs w:val="18"/>
          <w:color w:val="auto"/>
        </w:rPr>
        <w:t>This Policy does not apply to the surrender of shares directly to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satisfy tax withholding obligations as a result of the issuance of shares upon vesting or exercise of restricted stock units, options or other equity awards granted under the Company’s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944"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ESPP. </w:t>
      </w:r>
      <w:r>
        <w:rPr>
          <w:rFonts w:ascii="Times New Roman" w:cs="Times New Roman" w:eastAsia="Times New Roman" w:hAnsi="Times New Roman"/>
          <w:sz w:val="18"/>
          <w:szCs w:val="18"/>
          <w:color w:val="auto"/>
        </w:rPr>
        <w:t>This policy does not apply to the purchase of stock by employees under the Company’s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Purchase Plan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on periodic designated dates in accordance with the ESPP. This policy does, however, apply to any sale of stock acquired pursuant to the ESPP.</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944"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10b5-1 Automatic Trading Programs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purchases or sales of the Company’s securities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and in compliance with, a written plan established by a director or employee (a “</w:t>
      </w:r>
      <w:r>
        <w:rPr>
          <w:rFonts w:ascii="Times New Roman" w:cs="Times New Roman" w:eastAsia="Times New Roman" w:hAnsi="Times New Roman"/>
          <w:sz w:val="18"/>
          <w:szCs w:val="18"/>
          <w:b w:val="1"/>
          <w:bCs w:val="1"/>
          <w:i w:val="1"/>
          <w:iCs w:val="1"/>
          <w:color w:val="auto"/>
        </w:rPr>
        <w:t>Trading Plan</w:t>
      </w:r>
      <w:r>
        <w:rPr>
          <w:rFonts w:ascii="Times New Roman" w:cs="Times New Roman" w:eastAsia="Times New Roman" w:hAnsi="Times New Roman"/>
          <w:sz w:val="18"/>
          <w:szCs w:val="18"/>
          <w:color w:val="auto"/>
        </w:rPr>
        <w:t>”) that meets the requirements of Rule 10b5-1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may be made without restriction to any particular period provided that the Trading Plan is properly established. </w:t>
      </w:r>
      <w:r>
        <w:rPr>
          <w:rFonts w:ascii="Times New Roman" w:cs="Times New Roman" w:eastAsia="Times New Roman" w:hAnsi="Times New Roman"/>
          <w:sz w:val="19"/>
          <w:szCs w:val="19"/>
          <w:color w:val="auto"/>
        </w:rPr>
        <w:t>To be properly established, a Trading Plan must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established in compliance with the requirements of Rule 10b5-1 of the Exchange Act and any applicable 10b5-1 trading plan guidelines of the Company. Moreover, all Trading Plans must be reviewed and approved by the Company before being established to confirm that the Trading Plan complies with all pertinent Company policies and applicable securities laws.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Company must be notified of the establishment of any such Trading Plan, any amendments to such Trading Plan and the termination of such Trading Plan.</w:t>
      </w:r>
    </w:p>
    <w:p>
      <w:pPr>
        <w:spacing w:after="0" w:line="185"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944"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Gifts. </w:t>
      </w:r>
      <w:r>
        <w:rPr>
          <w:rFonts w:ascii="Times New Roman" w:cs="Times New Roman" w:eastAsia="Times New Roman" w:hAnsi="Times New Roman"/>
          <w:sz w:val="18"/>
          <w:szCs w:val="18"/>
          <w:color w:val="auto"/>
        </w:rPr>
        <w:t>This Policy does not apply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gifts of Company securities that have been pre-cleared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Clearing Officer or his designee. Whether a gift is truly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will depend on the facts and circumstances surrounding each gift. Pre-clearance must be obtained at least two business days in advance of the proposed gift, and pre-cleared gifts not completed within five business days will require new pre-clearance. The Company may choose to shorten this period.</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96"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Pre-Clearance and Advance Notice of Transactions. </w:t>
      </w:r>
      <w:r>
        <w:rPr>
          <w:rFonts w:ascii="Times New Roman" w:cs="Times New Roman" w:eastAsia="Times New Roman" w:hAnsi="Times New Roman"/>
          <w:sz w:val="18"/>
          <w:szCs w:val="18"/>
          <w:color w:val="auto"/>
        </w:rPr>
        <w:t>In addition to the requirements of paragraph B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directors may not engage in any transaction in the Company’s securities, including any purchase or sale in the open market, loan, or other transfer of beneficial ownership without first obtaining pre-clearance of the transaction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4" w:name="page125"/>
    <w:bookmarkEnd w:id="124"/>
    <w:p>
      <w:pPr>
        <w:jc w:val="both"/>
        <w:spacing w:after="0" w:line="259" w:lineRule="auto"/>
        <w:rPr>
          <w:sz w:val="20"/>
          <w:szCs w:val="20"/>
          <w:color w:val="auto"/>
        </w:rPr>
      </w:pPr>
      <w:r>
        <w:rPr>
          <w:rFonts w:ascii="Times New Roman" w:cs="Times New Roman" w:eastAsia="Times New Roman" w:hAnsi="Times New Roman"/>
          <w:sz w:val="18"/>
          <w:szCs w:val="18"/>
          <w:color w:val="auto"/>
        </w:rPr>
        <w:t>Company’s Chief Executive Officer or his designee (each, a “</w:t>
      </w:r>
      <w:r>
        <w:rPr>
          <w:rFonts w:ascii="Times New Roman" w:cs="Times New Roman" w:eastAsia="Times New Roman" w:hAnsi="Times New Roman"/>
          <w:sz w:val="18"/>
          <w:szCs w:val="18"/>
          <w:b w:val="1"/>
          <w:bCs w:val="1"/>
          <w:i w:val="1"/>
          <w:iCs w:val="1"/>
          <w:color w:val="auto"/>
        </w:rPr>
        <w:t>Clearing Officer</w:t>
      </w:r>
      <w:r>
        <w:rPr>
          <w:rFonts w:ascii="Times New Roman" w:cs="Times New Roman" w:eastAsia="Times New Roman" w:hAnsi="Times New Roman"/>
          <w:sz w:val="18"/>
          <w:szCs w:val="18"/>
          <w:color w:val="auto"/>
        </w:rPr>
        <w:t>”) at least two business days in advance of the proposed transaction. The Clearing Officer will then determine whether the transaction may proceed and, if so, will direct the appropriate parties to assist in complying with the reporting requirements under Section 16(a) of the Exchange Act, if any. Pre-cleared transactions not completed within ten business days shall require new pre-clearance under the provisions of this paragraph. The Company may, at its discretion, shorten such period of time.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Advance notice of gifts or an intent to exercise an outstanding stock option shall be given to a Clearing Officer. To the extent possible, advance notice of upcoming transactions to be effected pursuant to an established Trading Plan under Section III.C.2 above shall also be given to a Clearing Officer. Upon completion of any transaction, the officer or director or other member of management must immediately notify the Clearing Officer and any other individuals identified by the Clearing Officer, including the Company’s outside counsel, so that the Company may assist in any Section 16 reporting obligations.</w:t>
      </w:r>
    </w:p>
    <w:p>
      <w:pPr>
        <w:spacing w:after="0" w:line="179" w:lineRule="exact"/>
        <w:rPr>
          <w:sz w:val="20"/>
          <w:szCs w:val="20"/>
          <w:color w:val="auto"/>
        </w:rPr>
      </w:pPr>
    </w:p>
    <w:p>
      <w:pPr>
        <w:jc w:val="both"/>
        <w:ind w:firstLine="656"/>
        <w:spacing w:after="0" w:line="268" w:lineRule="auto"/>
        <w:tabs>
          <w:tab w:leader="none" w:pos="129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Prohibition of Speculative or Short-term Trading. </w:t>
      </w:r>
      <w:r>
        <w:rPr>
          <w:rFonts w:ascii="Times New Roman" w:cs="Times New Roman" w:eastAsia="Times New Roman" w:hAnsi="Times New Roman"/>
          <w:sz w:val="18"/>
          <w:szCs w:val="18"/>
          <w:color w:val="auto"/>
        </w:rPr>
        <w:t>No employee or director may engage in short sales,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put or call options, hedging transactions, margin accounts or other inherently speculative transactions with respect to the Company’s stock at any time.</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Short-Swing Trading/Control Stock/Section 16 Reports. </w:t>
      </w:r>
      <w:r>
        <w:rPr>
          <w:rFonts w:ascii="Times New Roman" w:cs="Times New Roman" w:eastAsia="Times New Roman" w:hAnsi="Times New Roman"/>
          <w:sz w:val="18"/>
          <w:szCs w:val="18"/>
          <w:color w:val="auto"/>
        </w:rPr>
        <w:t>Officers and directors subject to the reporting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and any notices of sale required by Rule 144.</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29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Prohibition of Trading During Pension Fund Blackouts. </w:t>
      </w:r>
      <w:r>
        <w:rPr>
          <w:rFonts w:ascii="Times New Roman" w:cs="Times New Roman" w:eastAsia="Times New Roman" w:hAnsi="Times New Roman"/>
          <w:sz w:val="18"/>
          <w:szCs w:val="18"/>
          <w:color w:val="auto"/>
        </w:rPr>
        <w:t>In accordance with Regulation BTR under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no director or executive officer of the Company shall, directly or indirectly, purchase, sell or otherwise acquire or transfer any equity security of the Company (other than an exempt security) during any “blackout period” (as defined in Regulation BTR) with respect to such equity security, if such director or executive officer acquires or previously acquired such equity security in connection with his or her service or employment as a director or executive officer. This prohibition shall not apply to any transactions that are specifically exempted from Section 306(a)(1) of the Sarbanes-Oxley Act of 2002 (as set forth in Regulation BTR), including but not limited to, purchases or sales of the Company’s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acquisitions or dispositions of equity securities involving a bona fide gift or by will or the laws of descent or pursuant to a domestic relations order; etc. The Company shall timely notify each director and executive officer of any blackout periods in accordance with the provisions of Regulation BTR.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uration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pplicability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continues to apply to your transactions in the Company’s stock or the stock of other public companies engaged in business transactions with the Company even after your employment or directorship with the Company has terminated. If you are in possession of inside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5" w:name="page126"/>
    <w:bookmarkEnd w:id="125"/>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when your relationship with the Company concludes, you may not trade in the Company’s stock or the stock of such other company until the information has been publicly disseminated or is no longer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ndividual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esponsibility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the Company or any employee or director of the Company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See “Penalties”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enalties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Clearing Officer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committed to continuously reviewing and updating its policies and procedures. The Company therefore reserves the right to amend, alter or terminate this Policy at any time and for any reason. A current copy of the Company’s policies regarding insider trading may be obtained by contacting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302895</wp:posOffset>
            </wp:positionV>
            <wp:extent cx="62922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Marker Therapeutics,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________________________, have received and read a copy of the Marker Therapeutics, Inc. Insider Trading Policy. I</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hereby agree to comply with the specific requirements of the policy in all respects during my employment or other service relationship with Marker Therapeutics, Inc. I understand that this policy constitutes a material term of my employment or other service relationship with Marker Therapeutics, Inc. (or a subsidiary thereof) and that my failure to comply in all respects with the policy is a basis for termination for cause.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1457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1457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651510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-127635</wp:posOffset>
            </wp:positionV>
            <wp:extent cx="31457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Cell Therapy,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GeneMax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GeneMax Pharmaceuticals Canada,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Marker Therapeutics, Inc. on Form S-1 File No. 333-268979, on Form S-3, File No. 333-228059, No. 333-232122, No.333-258687, No. 333-283512, and No. 333-284233; and on Form S-8 File No. 333-223900, No. 333-228056, No.333-239136 and No. 333-266797 of our report dated March 31, 2025, relating to the financial statements of Marker Therapeutics, Inc. appearing in this Annual Report on Form 10-K of Marker Therapeutics, Inc. for the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Juan Vera, certify that:</w:t>
      </w:r>
    </w:p>
    <w:p>
      <w:pPr>
        <w:spacing w:after="0" w:line="225"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Marker Therapeutics, Inc.;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1457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Title:</w:t>
        <w:tab/>
        <w:t>President, Chief Executive Officer and Treasurer</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Juan Vera, certify that:</w:t>
      </w:r>
    </w:p>
    <w:p>
      <w:pPr>
        <w:spacing w:after="0" w:line="225"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Marker Therapeutics, Inc.;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1375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Treasurer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Marker Therapeutics, Inc. (the “Company”) on Form 10-K for the period ended December 31, 2024 as filed with the Securities and Exchange Commission on the date hereof (the “Report”), I, Juan Vera, Principal Executive Officer of the Company, certify, pursuant to 18 U.S.C. Section 1350, as adopted pursuant to Section 906 of the Sarbanes-Oxley Act of 2002, that:</w:t>
      </w:r>
    </w:p>
    <w:p>
      <w:pPr>
        <w:spacing w:after="0" w:line="131"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29914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Marker Therapeutics, Inc. (the “Company”) on Form 10-K for the period ended December 31, 2024 as filed with the Securities and Exchange Commission on the date hereof (the “Report”), I, Juan Vera, Principal Financial Officer of the Company, certify, pursuant to 18 U.S.C. Section 1350, as adopted pursuant to Section 906 of the Sarbanes-Oxley Act of 2002, that:</w:t>
      </w:r>
    </w:p>
    <w:p>
      <w:pPr>
        <w:spacing w:after="0" w:line="158"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29914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Juan Vera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o"/>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lvl w:ilvl="1">
      <w:lvlJc w:val="left"/>
      <w:lvlText w:val="o"/>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
      <w:numFmt w:val="bullet"/>
      <w:start w:val="1"/>
    </w:lvl>
    <w:lvl w:ilvl="1">
      <w:lvlJc w:val="left"/>
      <w:lvlText w:val="%2"/>
      <w:numFmt w:val="decimal"/>
      <w:start w:val="104"/>
    </w:lvl>
  </w:abstractNum>
  <w:abstractNum w:abstractNumId="59">
    <w:nsid w:val="1381823A"/>
    <w:multiLevelType w:val="hybridMultilevel"/>
    <w:lvl w:ilvl="0">
      <w:lvlJc w:val="left"/>
      <w:lvlText w:val="**"/>
      <w:numFmt w:val="bullet"/>
      <w:start w:val="1"/>
    </w:lvl>
    <w:lvl w:ilvl="1">
      <w:lvlJc w:val="left"/>
      <w:lvlText w:val="%2"/>
      <w:numFmt w:val="decimal"/>
      <w:start w:val="1"/>
    </w:lvl>
  </w:abstractNum>
  <w:abstractNum w:abstractNumId="60">
    <w:nsid w:val="5DB70AE5"/>
    <w:multiLevelType w:val="hybridMultilevel"/>
    <w:lvl w:ilvl="0">
      <w:lvlJc w:val="left"/>
      <w:lvlText w:val="***"/>
      <w:numFmt w:val="bullet"/>
      <w:start w:val="1"/>
    </w:lvl>
    <w:lvl w:ilvl="1">
      <w:lvlJc w:val="left"/>
      <w:lvlText w:val="%2"/>
      <w:numFmt w:val="decimal"/>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lvl w:ilvl="1">
      <w:lvlJc w:val="left"/>
      <w:lvlText w:val="\emdash "/>
      <w:numFmt w:val="bullet"/>
      <w:start w:val="1"/>
    </w:lvl>
  </w:abstractNum>
  <w:abstractNum w:abstractNumId="64">
    <w:nsid w:val="5F5E7FD0"/>
    <w:multiLevelType w:val="hybridMultilevel"/>
    <w:lvl w:ilvl="0">
      <w:lvlJc w:val="left"/>
      <w:lvlText w:val="&amp;"/>
      <w:numFmt w:val="bullet"/>
      <w:start w:val="1"/>
    </w:lvl>
  </w:abstractNum>
  <w:abstractNum w:abstractNumId="65">
    <w:nsid w:val="98A3148"/>
    <w:multiLevelType w:val="hybridMultilevel"/>
    <w:lvl w:ilvl="0">
      <w:lvlJc w:val="left"/>
      <w:lvlText w:val="%1."/>
      <w:numFmt w:val="upperLetter"/>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20"/>
    </w:lvl>
  </w:abstractNum>
  <w:abstractNum w:abstractNumId="68">
    <w:nsid w:val="42C296BD"/>
    <w:multiLevelType w:val="hybridMultilevel"/>
    <w:lvl w:ilvl="0">
      <w:lvlJc w:val="left"/>
      <w:lvlText w:val="%1."/>
      <w:numFmt w:val="upperLetter"/>
      <w:start w:val="1"/>
    </w:lvl>
  </w:abstractNum>
  <w:abstractNum w:abstractNumId="69">
    <w:nsid w:val="168E121F"/>
    <w:multiLevelType w:val="hybridMultilevel"/>
    <w:lvl w:ilvl="0">
      <w:lvlJc w:val="left"/>
      <w:lvlText w:val="%1."/>
      <w:numFmt w:val="upperLetter"/>
      <w:start w:val="3"/>
    </w:lvl>
    <w:lvl w:ilvl="1">
      <w:lvlJc w:val="left"/>
      <w:lvlText w:val="%2."/>
      <w:numFmt w:val="decimal"/>
      <w:start w:val="1"/>
    </w:lvl>
  </w:abstractNum>
  <w:abstractNum w:abstractNumId="70">
    <w:nsid w:val="1EBA5D23"/>
    <w:multiLevelType w:val="hybridMultilevel"/>
    <w:lvl w:ilvl="0">
      <w:lvlJc w:val="left"/>
      <w:lvlText w:val="%1."/>
      <w:numFmt w:val="upperLetter"/>
      <w:start w:val="5"/>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12" Type="http://schemas.openxmlformats.org/officeDocument/2006/relationships/hyperlink" Target="https://www.sec.gov/Archives/edgar/data/1094038/000114420418054209/tv504951_ex3-4.htm" TargetMode="External"/><Relationship Id="rId113" Type="http://schemas.openxmlformats.org/officeDocument/2006/relationships/hyperlink" Target="https://www.sec.gov/Archives/edgar/data/1094038/000119312522162322/d480537dex31.htm" TargetMode="External"/><Relationship Id="rId114" Type="http://schemas.openxmlformats.org/officeDocument/2006/relationships/hyperlink" Target="https://www.sec.gov/Archives/edgar/data/1094038/000110465923007019/tm234466d1_ex3-1.htm" TargetMode="External"/><Relationship Id="rId115" Type="http://schemas.openxmlformats.org/officeDocument/2006/relationships/hyperlink" Target="https://www.sec.gov/Archives/edgar/data/1094038/000114420418054209/tv504951_ex3-6.htm" TargetMode="External"/><Relationship Id="rId116" Type="http://schemas.openxmlformats.org/officeDocument/2006/relationships/hyperlink" Target="https://www.sec.gov/Archives/edgar/data/1094038/000141057824000297/mrkr-20231231xex4d0.htm" TargetMode="External"/><Relationship Id="rId117" Type="http://schemas.openxmlformats.org/officeDocument/2006/relationships/hyperlink" Target="https://www.sec.gov/Archives/edgar/data/1094038/000141057824000297/mrkr-20231231xex4d1.htm" TargetMode="External"/><Relationship Id="rId118" Type="http://schemas.openxmlformats.org/officeDocument/2006/relationships/hyperlink" Target="https://www.sec.gov/Archives/edgar/data/1094038/000110465924131322/tm2431905d1_ex4-1.htm" TargetMode="External"/><Relationship Id="rId119" Type="http://schemas.openxmlformats.org/officeDocument/2006/relationships/hyperlink" Target="https://www.sec.gov/Archives/edgar/data/1094038/000110465924131322/tm2431905d1_ex4-2.htm" TargetMode="External"/><Relationship Id="rId120" Type="http://schemas.openxmlformats.org/officeDocument/2006/relationships/hyperlink" Target="https://www.sec.gov/Archives/edgar/data/1094038/000114420419014350/tv514406_ex10-21.htm" TargetMode="External"/><Relationship Id="rId121" Type="http://schemas.openxmlformats.org/officeDocument/2006/relationships/hyperlink" Target="https://www.sec.gov/Archives/edgar/data/1094038/000114420419014350/tv514406_ex10-22.htm" TargetMode="External"/><Relationship Id="rId122" Type="http://schemas.openxmlformats.org/officeDocument/2006/relationships/hyperlink" Target="https://www.sec.gov/Archives/edgar/data/1094038/000114420419014350/tv514406_ex10-39.htm" TargetMode="External"/><Relationship Id="rId123" Type="http://schemas.openxmlformats.org/officeDocument/2006/relationships/hyperlink" Target="https://www.sec.gov/Archives/edgar/data/1094038/000110465920072918/tm2022347d1_ex99-1.htm" TargetMode="External"/><Relationship Id="rId124" Type="http://schemas.openxmlformats.org/officeDocument/2006/relationships/hyperlink" Target="https://www.sec.gov/Archives/edgar/data/1094038/000110465920123055/mrkr-20200930xex10d1.htm" TargetMode="External"/><Relationship Id="rId125" Type="http://schemas.openxmlformats.org/officeDocument/2006/relationships/hyperlink" Target="https://www.sec.gov/Archives/edgar/data/1094038/000110465924130002/tm2431560d1_ex10-1.htm" TargetMode="External"/><Relationship Id="rId126" Type="http://schemas.openxmlformats.org/officeDocument/2006/relationships/hyperlink" Target="https://www.sec.gov/Archives/edgar/data/1094038/000110465924131322/tm2431905d1_ex10-2.htm" TargetMode="External"/><Relationship Id="rId127" Type="http://schemas.openxmlformats.org/officeDocument/2006/relationships/hyperlink" Target="https://www.sec.gov/Archives/edgar/data/1094038/000110465924123679/tm2429546d2_ex1-1.htm" TargetMode="External"/><Relationship Id="rId128" Type="http://schemas.openxmlformats.org/officeDocument/2006/relationships/hyperlink" Target="https://www.sec.gov/Archives/edgar/data/1094038/000141057824000297/mrkr-20231231xex10d8.htm" TargetMode="External"/><Relationship Id="rId129" Type="http://schemas.openxmlformats.org/officeDocument/2006/relationships/hyperlink" Target="https://www.sec.gov/Archives/edgar/data/1094038/000141057824000297/mrkr-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2025-03-31T07:28:26Z</dcterms:created>
  <dcterms:modified xsi:type="dcterms:W3CDTF">2025-03-31T07:28:26Z</dcterms:modified>
</cp:coreProperties>
</file>