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Under Section 13 or 15(d) of the Securities Exchange Act of 1934 for the quarterly period ended June 30, 2022</w:t>
      </w:r>
    </w:p>
    <w:p>
      <w:pPr>
        <w:spacing w:after="0" w:line="154" w:lineRule="exact"/>
        <w:rPr>
          <w:sz w:val="24"/>
          <w:szCs w:val="24"/>
          <w:color w:val="auto"/>
        </w:rPr>
      </w:pPr>
    </w:p>
    <w:p>
      <w:pPr>
        <w:ind w:left="3720" w:right="1140" w:hanging="3712"/>
        <w:spacing w:after="0" w:line="469" w:lineRule="auto"/>
        <w:tabs>
          <w:tab w:leader="none" w:pos="26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-20955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36"/>
              <w:spacing w:after="0"/>
              <w:rPr>
                <w:sz w:val="20"/>
                <w:szCs w:val="20"/>
                <w:color w:val="auto"/>
              </w:rPr>
            </w:pPr>
            <w:r>
              <w:rPr>
                <w:rFonts w:ascii="Arial" w:cs="Arial" w:eastAsia="Arial" w:hAnsi="Arial"/>
                <w:sz w:val="16"/>
                <w:szCs w:val="16"/>
                <w:b w:val="1"/>
                <w:bCs w:val="1"/>
                <w:color w:val="auto"/>
              </w:rPr>
              <w:t>45-4497941</w:t>
            </w:r>
          </w:p>
        </w:tc>
        <w:tc>
          <w:tcPr>
            <w:tcW w:w="20" w:type="dxa"/>
            <w:vAlign w:val="bottom"/>
            <w:tcBorders>
              <w:bottom w:val="single" w:sz="8" w:color="auto"/>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60" w:type="dxa"/>
            <w:vAlign w:val="bottom"/>
            <w:gridSpan w:val="4"/>
          </w:tcPr>
          <w:p>
            <w:pPr>
              <w:jc w:val="center"/>
              <w:ind w:right="980"/>
              <w:spacing w:after="0"/>
              <w:rPr>
                <w:sz w:val="20"/>
                <w:szCs w:val="20"/>
                <w:color w:val="auto"/>
              </w:rPr>
            </w:pPr>
            <w:r>
              <w:rPr>
                <w:rFonts w:ascii="Arial" w:cs="Arial" w:eastAsia="Arial" w:hAnsi="Arial"/>
                <w:sz w:val="16"/>
                <w:szCs w:val="16"/>
                <w:color w:val="auto"/>
                <w:w w:val="95"/>
              </w:rPr>
              <w:t>(I.R.S. Employer Identification No.)</w:t>
            </w:r>
          </w:p>
        </w:tc>
      </w:tr>
      <w:tr>
        <w:trPr>
          <w:trHeight w:val="563"/>
        </w:trPr>
        <w:tc>
          <w:tcPr>
            <w:tcW w:w="20" w:type="dxa"/>
            <w:vAlign w:val="bottom"/>
          </w:tcPr>
          <w:p>
            <w:pPr>
              <w:spacing w:after="0"/>
              <w:rPr>
                <w:sz w:val="24"/>
                <w:szCs w:val="24"/>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b w:val="1"/>
                <w:bCs w:val="1"/>
                <w:color w:val="auto"/>
                <w:w w:val="90"/>
              </w:rPr>
              <w:t>3200 Southwest Freeway, Suite 2500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6"/>
                <w:szCs w:val="16"/>
                <w:b w:val="1"/>
                <w:bCs w:val="1"/>
                <w:color w:val="auto"/>
                <w:w w:val="87"/>
              </w:rPr>
              <w:t>Houston, Texas</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16"/>
              <w:spacing w:after="0"/>
              <w:rPr>
                <w:sz w:val="20"/>
                <w:szCs w:val="20"/>
                <w:color w:val="auto"/>
              </w:rPr>
            </w:pPr>
            <w:r>
              <w:rPr>
                <w:rFonts w:ascii="Arial" w:cs="Arial" w:eastAsia="Arial" w:hAnsi="Arial"/>
                <w:sz w:val="16"/>
                <w:szCs w:val="16"/>
                <w:b w:val="1"/>
                <w:bCs w:val="1"/>
                <w:color w:val="auto"/>
              </w:rPr>
              <w:t>77027</w:t>
            </w:r>
          </w:p>
        </w:tc>
        <w:tc>
          <w:tcPr>
            <w:tcW w:w="20" w:type="dxa"/>
            <w:vAlign w:val="bottom"/>
            <w:tcBorders>
              <w:bottom w:val="single" w:sz="8" w:color="auto"/>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color w:val="auto"/>
                <w:w w:val="93"/>
              </w:rPr>
              <w:t>(Address of principal executive offices)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2"/>
          </w:tcPr>
          <w:p>
            <w:pPr>
              <w:jc w:val="center"/>
              <w:ind w:right="1400"/>
              <w:spacing w:after="0"/>
              <w:rPr>
                <w:sz w:val="20"/>
                <w:szCs w:val="20"/>
                <w:color w:val="auto"/>
              </w:rPr>
            </w:pPr>
            <w:r>
              <w:rPr>
                <w:rFonts w:ascii="Arial" w:cs="Arial" w:eastAsia="Arial" w:hAnsi="Arial"/>
                <w:sz w:val="16"/>
                <w:szCs w:val="16"/>
                <w:color w:val="auto"/>
                <w:w w:val="95"/>
              </w:rPr>
              <w:t>(Zip Code)</w:t>
            </w:r>
          </w:p>
        </w:tc>
      </w:tr>
      <w:tr>
        <w:trPr>
          <w:trHeight w:val="557"/>
        </w:trPr>
        <w:tc>
          <w:tcPr>
            <w:tcW w:w="3820" w:type="dxa"/>
            <w:vAlign w:val="bottom"/>
            <w:gridSpan w:val="2"/>
          </w:tcPr>
          <w:p>
            <w:pPr>
              <w:jc w:val="center"/>
              <w:ind w:left="979"/>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20" w:type="dxa"/>
            <w:vAlign w:val="bottom"/>
            <w:tcBorders>
              <w:top w:val="single" w:sz="8" w:color="auto"/>
            </w:tcBorders>
            <w:gridSpan w:val="3"/>
          </w:tcPr>
          <w:p>
            <w:pPr>
              <w:jc w:val="center"/>
              <w:ind w:left="338"/>
              <w:spacing w:after="0"/>
              <w:rPr>
                <w:sz w:val="20"/>
                <w:szCs w:val="20"/>
                <w:color w:val="auto"/>
              </w:rPr>
            </w:pPr>
            <w:r>
              <w:rPr>
                <w:rFonts w:ascii="Arial" w:cs="Arial" w:eastAsia="Arial" w:hAnsi="Arial"/>
                <w:sz w:val="16"/>
                <w:szCs w:val="16"/>
                <w:color w:val="auto"/>
                <w:w w:val="90"/>
              </w:rPr>
              <w:t>(Issuer’s telephone number)</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8"/>
        </w:trPr>
        <w:tc>
          <w:tcPr>
            <w:tcW w:w="444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420" w:type="dxa"/>
            <w:vAlign w:val="bottom"/>
            <w:gridSpan w:val="3"/>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Trading Symbol(s)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8"/>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6"/>
                <w:szCs w:val="16"/>
                <w:color w:val="auto"/>
                <w:w w:val="97"/>
              </w:rPr>
              <w:t>MRKR</w:t>
            </w: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9"/>
                <w:szCs w:val="19"/>
                <w:color w:val="auto"/>
              </w:rPr>
            </w:pPr>
          </w:p>
        </w:tc>
      </w:tr>
    </w:tbl>
    <w:p>
      <w:pPr>
        <w:spacing w:after="0" w:line="19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209"/>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right="162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2022, the Company had 83,599,187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706755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2022 and December 31, 2021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Operations for the three and six months ended June 30, 2022 and 2021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Stockholders’ Equity for the three and six months ended June 30, 2022</w:t>
            </w: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and 2021</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9"/>
              </w:rPr>
              <w:t>Condensed Consolidated Statements of Cash Flows for the six months ended June 30, 2022 and 2021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25,821,708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deposits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627,629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29,276,036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45,982,202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13,740,158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net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9,303,544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23,043,702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52,319,738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68,135,134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4,735,251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11,134,913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deferred revenue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738,389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13,473,640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10,819,825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10,819,825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24,293,465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24,149,539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outstanding at June 30, 2022 and December 31,2021, respectively</w:t>
            </w: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Common stock, $0.001 par value, 300 million and 150 million shares authorized, 83.6 million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and 83.1 million shares issued and outstanding as of June 30, 2022 and December 31, 2021,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445,215,725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442,020,871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(417,273,051)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(398,118,355)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28,026,273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43,985,595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52,319,738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68,135,134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4"/>
                <w:szCs w:val="14"/>
                <w:color w:val="auto"/>
              </w:rPr>
            </w:pPr>
          </w:p>
        </w:tc>
        <w:tc>
          <w:tcPr>
            <w:tcW w:w="2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790,508</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1,754,830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6,555,299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13,581,365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12,993,064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3,515,183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7,248,184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10,070,482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10,909,185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20,829,549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19,690,172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(9,279,974)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(10,909,185)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(19,074,719)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(19,690,172)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Arbitration settlement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(118,880)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(9,244,188)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(10,906,782)</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(19,154,696)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(19,686,232)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8"/>
              </w:rPr>
              <w:t>Weighted average number of common shares outstanding, basic and</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83,592,043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83,030,470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83,351,184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69,823,729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For the Three Months Ended June 30, 2022</w:t>
      </w:r>
    </w:p>
    <w:p>
      <w:pPr>
        <w:spacing w:after="0" w:line="10" w:lineRule="exact"/>
        <w:rPr>
          <w:sz w:val="20"/>
          <w:szCs w:val="20"/>
          <w:color w:val="auto"/>
        </w:rPr>
      </w:pPr>
    </w:p>
    <w:tbl>
      <w:tblPr>
        <w:tblLayout w:type="fixed"/>
        <w:tblInd w:w="3600" w:type="dxa"/>
        <w:tblCellMar>
          <w:top w:w="0" w:type="dxa"/>
          <w:left w:w="0" w:type="dxa"/>
          <w:bottom w:w="0" w:type="dxa"/>
          <w:right w:w="0" w:type="dxa"/>
        </w:tblCellMar>
      </w:tblPr>
      <w:tr>
        <w:trPr>
          <w:trHeight w:val="119"/>
        </w:trPr>
        <w:tc>
          <w:tcPr>
            <w:tcW w:w="2180" w:type="dxa"/>
            <w:vAlign w:val="bottom"/>
            <w:tcBorders>
              <w:top w:val="single" w:sz="8" w:color="auto"/>
            </w:tcBorders>
            <w:gridSpan w:val="2"/>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tcBorders>
              <w:top w:val="single" w:sz="8" w:color="auto"/>
            </w:tcBorders>
          </w:tcPr>
          <w:p>
            <w:pPr>
              <w:jc w:val="center"/>
              <w:ind w:left="5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180" w:type="dxa"/>
            <w:vAlign w:val="bottom"/>
            <w:tcBorders>
              <w:bottom w:val="single" w:sz="8" w:color="auto"/>
            </w:tcBorders>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tcPr>
          <w:p>
            <w:pPr>
              <w:jc w:val="center"/>
              <w:ind w:left="5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0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16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Par value</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in Capital</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1280" w:type="dxa"/>
            <w:vAlign w:val="bottom"/>
          </w:tcPr>
          <w:p>
            <w:pPr>
              <w:jc w:val="center"/>
              <w:ind w:left="5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Balance at April 1, 2022</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Issuance common shares for cash, net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January 1, 2022</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Issuance common shares for cash, net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April 1,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 exercised for cash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January 1, 2021</w:t>
      </w:r>
    </w:p>
    <w:p>
      <w:pPr>
        <w:spacing w:after="0" w:line="27"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Issuance of common stock for cash (net of offering costs of $3.9 million) Stock options exercised for cash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83,451,187</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83,451</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443,651,176</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(408,028,863)</w:t>
            </w:r>
          </w:p>
        </w:tc>
        <w:tc>
          <w:tcPr>
            <w:tcW w:w="20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35,705,764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(9,244,188)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(9,244,188)</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83,599,187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83,599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445,215,725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(417,273,051)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28,026,273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June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442,020,871</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(398,118,355)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43,985,595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372,512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3,131,429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3,131,801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(19,154,696)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(19,154,696)</w:t>
            </w:r>
          </w:p>
        </w:tc>
        <w:tc>
          <w:tcPr>
            <w:tcW w:w="0" w:type="dxa"/>
            <w:vAlign w:val="bottom"/>
          </w:tcPr>
          <w:p>
            <w:pPr>
              <w:spacing w:after="0"/>
              <w:rPr>
                <w:sz w:val="1"/>
                <w:szCs w:val="1"/>
                <w:color w:val="auto"/>
              </w:rPr>
            </w:pP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83,599,187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83,599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445,215,725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(417,273,051)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28,026,273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 June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83,013,929</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83,014</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437,430,839</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(365,018,934)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72,494,919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(10,906,782)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(10,906,782)</w:t>
            </w:r>
          </w:p>
        </w:tc>
        <w:tc>
          <w:tcPr>
            <w:tcW w:w="0" w:type="dxa"/>
            <w:vAlign w:val="bottom"/>
          </w:tcPr>
          <w:p>
            <w:pPr>
              <w:spacing w:after="0"/>
              <w:rPr>
                <w:sz w:val="1"/>
                <w:szCs w:val="1"/>
                <w:color w:val="auto"/>
              </w:rPr>
            </w:pP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50,731</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383,533,326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(356,239,484)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27,344,573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52,520,475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52,552,758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(19,686,232)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(19,686,232)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-4525645</wp:posOffset>
            </wp:positionV>
            <wp:extent cx="629221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-4251325</wp:posOffset>
            </wp:positionV>
            <wp:extent cx="629221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-3539490</wp:posOffset>
            </wp:positionV>
            <wp:extent cx="629221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-3256915</wp:posOffset>
            </wp:positionV>
            <wp:extent cx="629221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-2982595</wp:posOffset>
            </wp:positionV>
            <wp:extent cx="629221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-2270760</wp:posOffset>
            </wp:positionV>
            <wp:extent cx="629221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-1988185</wp:posOffset>
            </wp:positionV>
            <wp:extent cx="629221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-1713865</wp:posOffset>
            </wp:positionV>
            <wp:extent cx="629221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-1002030</wp:posOffset>
            </wp:positionV>
            <wp:extent cx="629221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-582295</wp:posOffset>
            </wp:positionV>
            <wp:extent cx="62922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-307975</wp:posOffset>
            </wp:positionV>
            <wp:extent cx="62922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220"/>
            <w:col w:w="6320"/>
          </w:cols>
          <w:pgMar w:left="980" w:top="517" w:right="99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(19,154,696)</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(19,686,232)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1,156,113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3,131,801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Amortization on right-of-use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517,059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Prepaid expenses and deposits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(342,065)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(4,255,034)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party deferred revenue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(1,146,186)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(300,368)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(13,020,768)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(14,885,780)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(1,229,298)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construction in progress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(3,489,130)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(4,718,428)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52,552,758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equivlants and restricted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(17,675,623)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35,869,052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25,821,708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4,089,135</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Changes to right-of-use assets and lease liability due to close out of an operating lease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8,897</w:t>
            </w:r>
          </w:p>
        </w:tc>
        <w:tc>
          <w:tcPr>
            <w:tcW w:w="220" w:type="dxa"/>
            <w:vAlign w:val="bottom"/>
          </w:tcPr>
          <w:p>
            <w:pPr>
              <w:spacing w:after="0"/>
              <w:rPr>
                <w:sz w:val="20"/>
                <w:szCs w:val="20"/>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for the condensed consolidated statement of operations are not necessarily indicative of results to be expected for the year ending December 31, 2022 or for any future interim period. The condensed consolidated balance sheet at June 30, 2022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2021 and notes thereto included in the Company’s annual report on Form 10-K filed on March 17,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GOING CONCERN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2022, the Company had cash and cash equivalents of approximately $25.8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August 2021, the Company entered into a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From April 1, 2022 to the date of this filing, the Company sold 148,000 shares of its common stock under the ATM Agreement for net proceeds of $63,600.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$2.4 million of funds from the CPRIT grant.</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21, 2022, the Company entered into a binding services agreement (the “Agreement”), effective April 12, 2022, with Wilson Wolf Manufacturing Corporation (“Wilson Wolf”). Mr. John Wilson is a member of the Company’s board of directors and is serving as the CEO of Wilson Wolf, therefore Wilson Wolf is a related party.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and cash equivalents as of June 30, 2022 will enable the Company to fund its operating expenses and capital expenditure requirements through the second quarter of 2023.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development of its manufacturing capabilities and manufacturing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16, 2022, the Company received a notice from The Nasdaq Stock Market that the Company was not in compliance with Nasdaq’s Listing Rule 5450(a)(1), as the minimum bid price of its common stock had been below $1.00 per share for 30 consecutive business days. 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During the six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Prior Period Reclassification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reclassifications have been made to reclass certain non-cash capital expenditures on the condensed consolidated statements of cash flows from a cash outflow from investing activity to a non-cash investing activity. The Company has evaluated the materiality of this adjustment and concluded it was not material to the previously issued consolidated financial statements and had no impact to the reported condensed consolidated balance sheets, consolidated statements of operations or net loss per share.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2021, this immaterial adjustment had the effect of decreasing net cash used in operating activities and increasing net cash used in investing activities by $1.0 million from what was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Grant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FASB.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the Company received notice of a Product Development Research award totaling approximately $13.1 million from CPRIT to support the Phase 2 clinical trial of MT-401.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730-20-25-8, to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 The funds received from CPRIT will initially be recorded as a deferred credit in the Company’s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Restricted cash received from grants in advance of incurring qualifying costs is recorded as deferred revenue and recognized as revenue when qualifying costs are incurred. The Company recorded $1.8 million of grant income related to the CPRIT grant as revenue for the six months ended June 30, 2022. At June 30, 2022, there were no restricted cash or deferred revenue amounts on the Company’s condensed consolidated financial statements. At June 30, 2022, the Company recorded $0.6 million of grant income receivable, which represented grant income earned in advance of the next tranche of funds to be received from CPRIT.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six months ended June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4"/>
                <w:szCs w:val="14"/>
                <w:color w:val="auto"/>
              </w:rPr>
            </w:pPr>
          </w:p>
        </w:tc>
        <w:tc>
          <w:tcPr>
            <w:tcW w:w="21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18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(9,244,188)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(10,906,782)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(19,154,696)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(19,686,232)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83,592,043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83,030,470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83,351,184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69,823,729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 the Six Months Ended</w:t>
      </w:r>
    </w:p>
    <w:p>
      <w:pPr>
        <w:jc w:val="center"/>
        <w:ind w:left="77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368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4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18,482,000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20,830,000</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28,441,000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28,291,000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40" w:type="dxa"/>
            <w:vAlign w:val="bottom"/>
            <w:vMerge w:val="restart"/>
          </w:tcPr>
          <w:p>
            <w:pPr>
              <w:jc w:val="right"/>
              <w:ind w:right="2730"/>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June 30, 2022 and December 31, 2021,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18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20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$ 11,712,000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1,108,000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tcPr>
          <w:p>
            <w:pPr>
              <w:jc w:val="center"/>
              <w:spacing w:after="0"/>
              <w:rPr>
                <w:sz w:val="20"/>
                <w:szCs w:val="20"/>
                <w:color w:val="auto"/>
              </w:rPr>
            </w:pPr>
            <w:r>
              <w:rPr>
                <w:rFonts w:ascii="Arial" w:cs="Arial" w:eastAsia="Arial" w:hAnsi="Arial"/>
                <w:sz w:val="18"/>
                <w:szCs w:val="18"/>
                <w:color w:val="auto"/>
              </w:rPr>
              <w:t>life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3,897,000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3,173,000</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12,837,000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(3,896,000)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(2,740,000)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2,226,000</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$ 13,740,000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12,323,000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manufacturing facility, the Company has incurred costs pursuant to an agreement with a vendor to design, engineer, build and eventually install a second modular cleanrooms in a manufacturing facility. The completion of the facility’s construction occurred during April 2022 and the Company received its certificate of occupancy in May 2022, and as such was placed into service in June 2022. During the three months ended June 30, 2022, $3.1 million of the costs previously recorded as construction in progress were recorded to lab and manufacturing equipment and $0.9 million were recorded to leasehold improvements.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months ended June 30, 2022 and 2021 was approximately $0.6 million and $0.5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six months ended June 30, 2022 and 2021 was approximately $1.2 million and $1.0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$16,000 of property and equipment transactions are included in accounts payable and accrued liabilities as of June 30,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the Company had total operating lease liabilities of approximately $11.6 million and right-of-use assets of approximately $9.3 million, which were included in the condensed consolidated balance sheet.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quantitative information about the Company’s operating leases for the three and six months ended June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9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For the Three Months Ended</w:t>
            </w: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5960" w:type="dxa"/>
            <w:vAlign w:val="bottom"/>
          </w:tcPr>
          <w:p>
            <w:pPr>
              <w:spacing w:after="0"/>
              <w:rPr>
                <w:sz w:val="14"/>
                <w:szCs w:val="1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82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$ 425,000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$ 425,000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226,000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129,000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262,000</w:t>
            </w:r>
          </w:p>
        </w:tc>
      </w:tr>
      <w:tr>
        <w:trPr>
          <w:trHeight w:val="209"/>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$ 659,000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$ 554,000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$ 1,266,000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1,112,000</w:t>
            </w:r>
          </w:p>
        </w:tc>
      </w:tr>
      <w:tr>
        <w:trPr>
          <w:trHeight w:val="20"/>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336"/>
        </w:trPr>
        <w:tc>
          <w:tcPr>
            <w:tcW w:w="5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82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633,000</w:t>
            </w:r>
          </w:p>
        </w:tc>
        <w:tc>
          <w:tcPr>
            <w:tcW w:w="220" w:type="dxa"/>
            <w:vAlign w:val="bottom"/>
          </w:tcPr>
          <w:p>
            <w:pPr>
              <w:spacing w:after="0"/>
              <w:rPr>
                <w:sz w:val="20"/>
                <w:szCs w:val="20"/>
                <w:color w:val="auto"/>
              </w:rPr>
            </w:pP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477,000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remaining lease term as of June 30, 2022 and December 31, 2021 was approximately 8.0 years and 8.4 years, respectively. The weighted-average discount rate used to determine the operating lease liability as of June 30, 2022 and December 31, 2021 was approximately 5.7%.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2022</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Operating lease liabilities included in the Condensed Consolidated Balance Sheet at June 30, 2022</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June 30, 2022 and December 31, 2021,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1,767,000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1,565,000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2,055,000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Process development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Arbitration settlement fees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2,407,000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4,735,000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11,135,000</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DEFERRED REVENUE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21, 2022, the Company entered into a binding services agreement, effective April 12, 2022, with Wilson Wolf Manufacturing Corporation (“Wilson Wolf”). Wilson Wolf is in the business of creating products and services intended to simplify and expedite the transition of cell therapies and gene-modified cell therapies to mainstream society (the “Wilson Wolf Mission”). Pursuant to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 Wilson Wolf made a cash payment to the Company in the amount of $8.0 million, as consideration for certain training and research services allocated as follows:</w:t>
      </w:r>
    </w:p>
    <w:p>
      <w:pPr>
        <w:spacing w:after="0" w:line="170" w:lineRule="exact"/>
        <w:rPr>
          <w:sz w:val="20"/>
          <w:szCs w:val="20"/>
          <w:color w:val="auto"/>
        </w:rPr>
      </w:pPr>
    </w:p>
    <w:p>
      <w:pPr>
        <w:ind w:left="680" w:right="20" w:hanging="321"/>
        <w:spacing w:after="0" w:line="25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million for non-exclusive training of Wilson Wolf to make, use, and sell Marker’s cell culture non-proprietary media formulation that has been cleared in an FDA investigational new drug application;</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million for non-exclusive training of Wilson Wolf to replicate Marker’s quality management system inclusive of all underlying documents related thereto, none of which shall include unique information specific to the manufacture of Marker’s MultiTAA product candidates such as direct peptide stimulation;</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million as a prepaid expense for non-exclusive training of Wilson Wolf to be able to replicate Marker’s cGMP-compliant, linearly scalable, G-Rex based T-cell manufacturing process which Wilson Wolf shall use as it sees fit in pursuit of the Wilson Wolf Mission; and</w:t>
      </w:r>
    </w:p>
    <w:p>
      <w:pPr>
        <w:spacing w:after="0" w:line="1" w:lineRule="exact"/>
        <w:rPr>
          <w:rFonts w:ascii="Arial" w:cs="Arial" w:eastAsia="Arial" w:hAnsi="Arial"/>
          <w:sz w:val="18"/>
          <w:szCs w:val="18"/>
          <w:color w:val="auto"/>
        </w:rPr>
      </w:pPr>
    </w:p>
    <w:p>
      <w:pPr>
        <w:jc w:val="both"/>
        <w:ind w:left="680" w:hanging="321"/>
        <w:spacing w:after="0" w:line="27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$3.0 million for Marker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Marker will be solely owned by Wilson Wolf, and whereby Marker will make good faith efforts to complete the conduct of such work as soon as practicable within 18 months from the date of the agreement. Wilson Wolf has agreed to pay Marker an additional $1.0 million if the Work Direction is completed within one year from the onset of the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Agreement, in the event that Marker becomes insolvent, goes out of business, or an event other than force majeure occurs that cannot allow the Agreement to be fulfilled, Wilson Wolf will have right of first offer and right of first refusal for Marker’s manufacturing facility provided it is able and willing to meet whatever financial obligations are required to do so and provided further that such clause will not apply in the event of a merger, reorganization or consolidation of Marker with a third party that results in the outstanding voting securities of Marker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or the sale or other transfer of all or substantially all of Marker’s business or assets. Marker agrees to assist as needed to the extent permitted under any applicable law (including bankruptcy or insolvency statutes). Further, prior to Marker undertaking any financing that would encumber any of Marker’s assets necessary for Marker’s performance under this Agreement, Wilson Wolf shall have the first right to provide such financing on equal terms to what Marker can obtain elsewhere.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plans to recognize related party revenue over time in accordance with Accounting Standard Codification, or ASC, 606 Revenue from Contracts with Customers, as each of the training or and research services are provided to Wilson Wolf. Revenue will be recognized, using an output method based on progress toward satisfaction of the performance obligations. Additionally, in accordance the spirit of the standard expressed in ASC 606-50-1, the timing of the revenue recognition is expected to be approximately 12 months. For the three-month period ending June 30, 2022, the Company did not recognize any revenues pursuant to this agreement and therefore at June 30, 2022, the Company recorded an $8.0 million related party deferred revenue on its condensed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Authorized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the Company’s board of directors and stockholders approved a Certificate of Amendment (the “Amendment”) to the Company’s Certificate of Incorporation to increase the authorized shares of common stock of the Company from 150,000,000 shares to 300,000,000 shares. The Company filed the Amendment with the Secretary of State of Delaware on May 25,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Reverse Stock Split to be Effected at the Discretion of the Board of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 As of the date of this filing, the Company’s board of directors has not approved any reverse stock split.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Restricted Stock Units to Executives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upon the recommendation of the compensation committee and pursuant to the Company’s 2020 Equity Incentive Plan, the Company’s board of directors approved the issuance of a total of 372,512 shares of common stock subject to restricted stock units, which were immediately vested upon grant, to certain executives as performance bonuses for 2021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Stock Pursuant to ATM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2022, the Company sold 148,000 shares of its common stock under the ATM Agreement for net proceeds of $63,600.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June 30, 2022 and changes during the period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Total Intrinsic</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Warrants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17, 2022, pursuant to the Company’s 2020 Equity Incentive Plan, the compensation committee of the Company’s board of directors approved a total of 1,250,000 options to purchase the Company’s common stock as equity-based incentive awards to the Company’s executive officers. Each option award was granted with an exercise price of $0.46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395,000 options to purchase the Company’s common stock to non-executive employees of the Company as equity-based incentive awards. Each option award was granted with an exercise price of $0.46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above awards were in addition to 175,000 stock option awards issued during the three months ended March 31, 2022 to new employees upon their commencement of employment with the Company. Each option award was granted with an exercise price of $1.00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210,000 stock option awards issued during the three months ended June 30, 2022 to new employees upon their commencement of employment with the Company. Each option award was granted with an exercise price of $0.43 per share, the closing price of the Company’s common stock on the Nasdaq Global Market on April 1, 2022, with 25% of the option award vesting in one year and the remaining 75% vesting in 36 equal monthly installments thereafter over a three-year period, subject to such employee’s continued service on the applicable vesting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pursuant to the Company’s Non-Employee Director Compensation Policy, which had previously been approved by the Company’s board of directors, 400,000 stock option awards were issued during the three months ended June 30, 2022 to independent members of the board of directors of the Company. Each option award was granted with an exercise price of $0.3377 per share, the closing price of the Company’s common stock on the Nasdaq Global Market on May 24, 2022. Each option award will vest in one year subject to the director’s continuance of service through May 24,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six months ended June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7,686,233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2,430,000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(156,772)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9,959,461</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exercisable</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5,342,679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2022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term (years)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900" w:type="dxa"/>
            <w:vAlign w:val="bottom"/>
            <w:gridSpan w:val="5"/>
          </w:tcPr>
          <w:p>
            <w:pPr>
              <w:jc w:val="right"/>
              <w:ind w:right="115"/>
              <w:spacing w:after="0"/>
              <w:rPr>
                <w:sz w:val="20"/>
                <w:szCs w:val="20"/>
                <w:color w:val="auto"/>
              </w:rPr>
            </w:pPr>
            <w:r>
              <w:rPr>
                <w:rFonts w:ascii="Arial" w:cs="Arial" w:eastAsia="Arial" w:hAnsi="Arial"/>
                <w:sz w:val="14"/>
                <w:szCs w:val="14"/>
                <w:b w:val="1"/>
                <w:bCs w:val="1"/>
                <w:color w:val="auto"/>
                <w:w w:val="97"/>
              </w:rPr>
              <w:t>For the Six Months Ended</w:t>
            </w:r>
          </w:p>
        </w:tc>
      </w:t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732,000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709,000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1,485,000</w:t>
            </w:r>
          </w:p>
        </w:tc>
        <w:tc>
          <w:tcPr>
            <w:tcW w:w="16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1,405,000</w:t>
            </w: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1,624,000</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1,501,000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1,652,000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3,132,000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3,029,000</w:t>
            </w:r>
          </w:p>
        </w:tc>
      </w:tr>
      <w:tr>
        <w:trPr>
          <w:trHeight w:val="20"/>
        </w:trPr>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the total stock-based compensation cost related to unvested awards not yet recognized was $6.3 million. The expected weighted average period compensation costs to be recognized was approximately 1.9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GRANT INCOME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2021, the Company received $2.4 million advancement of funds in relation to the CPRIT grant. The Company recorded $1.8 million of grant income related to the CPRIT grant as revenue for the six months ended June 30, 2022. At June 30, 2022, there were no restricted cash or deferred revenue amounts on the Company’s condensed consolidated financial statements. At June 30, 2022, the Company recorded $0.6 million of grant income receivable, which represented grant income earned in advance of the next tranche of funds to be received from CPRIT.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 On March 9, 2022, the Company was notified that its motion to vacate the award was denied and the broker was awarded an additional $0.1 million in interest. Post judgment interest accrued at 1.02% until the judgement was paid. The Company paid the $2.5 million judgement on March 24,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six months ended June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040" w:type="dxa"/>
            <w:vAlign w:val="bottom"/>
            <w:gridSpan w:val="5"/>
          </w:tcPr>
          <w:p>
            <w:pPr>
              <w:jc w:val="right"/>
              <w:ind w:right="194"/>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Bio-Techne Corporation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Wilson Wolf Manufacturing Corporation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1,344,000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1,457,000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$0.1 million of related party transactions are included in accounts payable and accrued liabilities as of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May 2020 and July 2021, the Company entered into Clinical Supply Agreements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entered into a Clinical Site Agreement with BCM, which provided for BCM to conduct clinical trials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Wilson Wolf Manufacturing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currently utilizing Wilson Wolf Manufacturing Corporation for the purchases of cell culture devices called G-Rexes. Mr. John Wilson is a member of the Company’s board of directors and is serving as the CEO of Wilson Wolf Manufacturing Corporation. Wilson Wolf Manufacturing became a related party during fiscal year 2021 due to the amounts of the Company’s purchases and as such, $34,000 transactions for the period ended June 30, 2021 were included in the table above. Purchases from Wilson Wolf Manufacturing Corporation exclude amounts pertaining to the Related Party Deferred Revenue discussed in Note 9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2022, the Company implemented changes to the Company’s organizational structure as part of an operational cost reduction plan to conserve the Company’s available capital. In connection with these changes, the Company reduced headcount in its general and administrative function by approximately 23.5%, including the separation of the Company’s Chief Financial Officer. The Company estimates that the severance and termination-related costs will total approximately $0.7 million and will be recorded in the third quarter of 2022. The Company expects that the payment of these costs will be substantially complete in September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licensed the underlying technology for MultiTAA-specific T cell therapy from BCM in March 2018. BCM had utilized the therapy in seven exploratory clinical trials. In these studies, BCM treated over 150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three product candidates as part of our MultiTAA-specific T cell program for:</w:t>
      </w:r>
    </w:p>
    <w:p>
      <w:pPr>
        <w:spacing w:after="0" w:line="23"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or AML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current clinical development programs are:</w:t>
      </w:r>
    </w:p>
    <w:p>
      <w:pPr>
        <w:spacing w:after="0" w:line="225"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MT-401 for the treatment of post-transplant AML, currently in a Phase 2 clinical trial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MT-401-OTS for the treatment of AML, for which we expect to dose the first patient in a Phase 1 clinical trial in 2023</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MT-601 for the treatment of pancreatic cancer, for which we plan to submit an IND to the FDA in 2022 to initiate a Phase 1 trial in 2023</w:t>
      </w: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MT-601 for the treatment of lymphoma, for which we submitted an IND to the FDA to initiate a Phase 1 trial in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2200" cy="3343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MT-601 for the Treatment of Lymphoma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2022, we announced that the United States Food and Drug Administration had accepted our Investigational New Drug application for MT-601 for the treatment of patients with lymphoma. We intend to initiate a Phase 1 trial of MT-601 in patients with Hodgkin or non-Hodgkin lymphomas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MT-401 for the Treatment of AML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we provided the following program update for MT-401:</w:t>
      </w:r>
    </w:p>
    <w:p>
      <w:pPr>
        <w:spacing w:after="0" w:line="225" w:lineRule="exact"/>
        <w:rPr>
          <w:sz w:val="20"/>
          <w:szCs w:val="20"/>
          <w:color w:val="auto"/>
        </w:rPr>
      </w:pPr>
    </w:p>
    <w:p>
      <w:pPr>
        <w:ind w:left="4880" w:right="2600" w:hanging="4521"/>
        <w:spacing w:after="0" w:line="778"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Marker has enrolled 13 evaluable patients in total, including 6 in the Safety Lead-in cohorts.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 patients have been treated with MT-401 manufactured by a revised process and have completed dose-limiting toxicity (DLT) periods with no DLTs reported.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additional MRD+ patient was treated and became MRD- at 8 weeks after the first infusion.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MT-401-OTS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2022, we announced that we remain on track to dose the first patient in 2023 with MT-401-OTS, a scalable, off-the-shelf product candidate with the potential to match patients to treatment in under three days. The Company is in the process of developing a patient cell bank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in financial tables, other than per-share amounts, have been rounded to the nearest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791,000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791,000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(44,000)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10,070,000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10,909,000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(9,280,000)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(10,909,000)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1,629,000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(9,244,000)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(10,907,000)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1,663,000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common shares outstanding</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46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83,592,000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83,030,000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562,000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generate any revenue during the three months ended June 30, 2022 and 2021, respectively, from the sales or licensing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three months ended June 30, 2022, we recognized $0.8 million of revenue associated with the CPRIT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June 30, 2022 were $10.1 million compared to $10.9 million during the three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decreased by 11% to $6.6 million for the three months ended June 30, 2022, compared to $7.4 million for the three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$0.8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$0.8 million in process development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$0.6 million in sponsored research expenses from BCM agreements,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$0.3 million in technology licensing fees,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$0.1 million in other clinical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$0.1 million in recruiting expenses,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$0.6 million in headcount-related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$0.3 million in maintenance and repairs at our manufacturing facility,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$0.2 million in expenses related to our AML clinical trial.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were $3.5 million and $3.6 million for the three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$36,000 and $2,000 for the three months ended June 30, 2022 and 2021,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our net loss during the three months ended June 30, 2022 compared to the three months ended June 30, 2021 was due to the timing of process development expenses, lower costs associated with our BCM clinical supplies agreement and higher grant income, offset by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1,755,000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1,755,000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12,993,000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6,697,000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20,830,000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19,690,000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(19,075,000)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(19,690,000)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Loss on settlement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(119,000)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875 %</w:t>
            </w:r>
          </w:p>
        </w:tc>
        <w:tc>
          <w:tcPr>
            <w:tcW w:w="0" w:type="dxa"/>
            <w:vAlign w:val="bottom"/>
          </w:tcPr>
          <w:p>
            <w:pPr>
              <w:spacing w:after="0"/>
              <w:rPr>
                <w:sz w:val="1"/>
                <w:szCs w:val="1"/>
                <w:color w:val="auto"/>
              </w:rPr>
            </w:pPr>
          </w:p>
        </w:tc>
      </w:tr>
      <w:tr>
        <w:trPr>
          <w:trHeight w:val="24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(19,155,000)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(19,686,000)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531,000</w:t>
            </w:r>
          </w:p>
        </w:tc>
        <w:tc>
          <w:tcPr>
            <w:tcW w:w="1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Weighted average number of common shares outstanding</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83,351,000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69,824,000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13,527,000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generate any revenue during the six months ended June 30, 2022 and 2021, respectively, from the sales or licensing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six months ended June 30, 2022, we recognized $1.8 million of revenue associated with the CPRIT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six months ended June 30, 2022 were $20.8 million compared to $19.7 million during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increased by 5% to $13.6 million for the six months ended June 30, 2022, compared to $13.0 million for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$0.6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$1.0 million in headcount-related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$0.5 million in expenses related to our AML clinical trial.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$0.3 million in maintenance and repairs at our manufacturing facility,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$0.8 million in process development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$0.3 million in technology licensing fees,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$0.1 million in consulting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$7.2 million and $6.7 million for the six months ended June 30, 2022 and 2021,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$0.5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$0.3 million in headcount-related expenses, and</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$0.2 million in rent and related utility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year ended December 31, 2021.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judgement was paid. During the six months ended June 30, 2022, we recorded an additional $0.1 million of expense related to this matter. We paid the $2.5 million judgement on March 24,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$39,000 and $4,000 for the six months ended June 30, 2022 and 2021,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our net loss during the six months ended June 30, 2022 compared to the six months ended June 30, 2021 was due to the timing of process development expenses, lower costs associated with our BCM clinical supplies agreement and higher grant income, offset by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our cash, cash equivalents and restricted cash and working capital as of June 30, 2022 and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25,822,000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43,497,000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120"/>
              <w:spacing w:after="0"/>
              <w:rPr>
                <w:sz w:val="20"/>
                <w:szCs w:val="20"/>
                <w:color w:val="auto"/>
              </w:rPr>
            </w:pPr>
            <w:r>
              <w:rPr>
                <w:rFonts w:ascii="Arial" w:cs="Arial" w:eastAsia="Arial" w:hAnsi="Arial"/>
                <w:sz w:val="18"/>
                <w:szCs w:val="18"/>
                <w:color w:val="auto"/>
                <w:w w:val="93"/>
              </w:rPr>
              <w:t>15,802,000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33,081,000</w:t>
            </w:r>
          </w:p>
        </w:tc>
      </w:tr>
    </w:tbl>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21, 2022, the Company entered into a binding services agreement (the “Agreement”), effective April 12, 2022, with Wilson Wolf Manufacturing Corporation (“Wilson Wolf”). Mr. John Wilson is a member of the Company’s board of directors and is serving as the CEO of Wilson Wolf, therefore Wilson Wolf is a related party.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(13,021,000)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(14,886,000)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52,556,000</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(17,675,000)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35,869,000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six months ended June 30, 2022 was $13.0 million compared to $14.9 million for the same period last year. The changes in cash flow from operating activities during the six months ended June 30, 2022 were due to $19.2 million of net losses and a $1.3 million increase from changes in operating assets and liabilities. This was in addition to $3.1 million of stock-based compensation, $1.2 million of depreciation expense and $0.5 million right-of-use asset amortization and lease liability accretion.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during the six months ended June 30, 2021 was $14.9 million. The changes in cash flow used in operating activities during the six months ended June 30, 2021 were due to $19.7 million of net losses and a $0.2 million increase from changes in operating assets and liabilities. This was in addition to $3.0 million of stock-based compensation, $1.0 million of depreciation expense and $0.5 million right-of-use asset amortization and lease liability accretion.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$4.7 million for the purchase of property and equipment and construction in progress related to the manufacturing facility during the six months ended June 30, 2022. The increase mainly relates to purchases of equipment for the manufacturing and research facilities.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was $1.8 million for the purchase of property and equipment and construction in progress during the six months ended June 30, 2021. The increase relates to purchases of laboratory equipment for the manufacturing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$0.1 million during the six months ended June 30, 2022, due to sales of common stock under the ATM Agreement. Net cash provided by financing activities was $52.6 million during the six months ended June 30, 2021, due to the net proceeds received from the underwritten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CPRIT to support our Phase 2 clinical trial of MT-401. To date, we have received $2.4 million of funds from the CPRIT grant.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2022, we had working capital of $15.8 million, compared to working capital of $33.1 million as of December 31, 2021. Based on our revised clinical and research and development plans and our revised timing expectations related to the progress of our programs, we expect that our cash and cash equivalents as of June 30, 2022 will enable us to fund our operating expenses and capital expenditure requirements through the second quarter of 2023. We have based this estimate on assumptions that may prove to be wrong, and we could utilize our available capital resources sooner than we currently expect. Furthermore, our operating plans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development of our manufacturing capabilities and our manufacturing facility;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16, 2022, the Company received a notice from the Nasdaq Global Market that the Company was not in compliance with Nasdaq’s Listing Rule 5450(a)(1), as the minimum bid price of its common stock had been below $1.00 per share for 30 consecutive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business days. 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During the six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December 31, 2021, Aspire Capital had purchased 4,113,440 shares under the Purchase Agreement, providing aggregate proceeds to the Company of approximately $6.2 million. In consideration for entering into the Purchase Agreement, concurrently with the execution of the Purchase Agreement, the Company issued to Aspire Capital 345,357 shares of the Company’s common stock.</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2021, the Company entered into a Controlled Equity OfferingSM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Agents with indemnification and contribution rights. From April 1, 2022 to the date of this filing, the Company sold 148,000 shares of its common stock under the ATM Agreement for net proceeds of $63,600.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sources of revenue, other than grant income, to provide incoming cash flows to sustain our future operations. As outlined above, our ability to pursue our planned business activities is dependent upon our successful efforts to raise additional capital.</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2021.</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six months ended June 30, 2022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us before the Financial Industry Regulatory Authority, Inc., or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the Company was notified that its motion to vacate the award was denied and the broker was awarded an additional $0.1 million in interest. Post judgment interest accrued at 1.02% until the judgement was paid. During the three months ended June 30, 2022, we recorded an additional $0.1 million of expense related to this matter. We paid the $2.5 million judgement on March 24, 2022.</w:t>
      </w:r>
    </w:p>
    <w:p>
      <w:pPr>
        <w:spacing w:after="0" w:line="178"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17, 2022. There have been no material changes to the risk factors described in that report.</w:t>
      </w:r>
    </w:p>
    <w:p>
      <w:pPr>
        <w:spacing w:after="0" w:line="18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six months ended June 30, 2022.</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Organizational Restructuring</w:t>
      </w:r>
    </w:p>
    <w:p>
      <w:pPr>
        <w:spacing w:after="0" w:line="229" w:lineRule="exact"/>
        <w:rPr>
          <w:sz w:val="20"/>
          <w:szCs w:val="20"/>
          <w:color w:val="auto"/>
        </w:rPr>
      </w:pPr>
    </w:p>
    <w:p>
      <w:pPr>
        <w:jc w:val="both"/>
        <w:ind w:left="20"/>
        <w:spacing w:after="0" w:line="311" w:lineRule="auto"/>
        <w:rPr>
          <w:sz w:val="20"/>
          <w:szCs w:val="20"/>
          <w:color w:val="auto"/>
        </w:rPr>
      </w:pPr>
      <w:r>
        <w:rPr>
          <w:rFonts w:ascii="Arial" w:cs="Arial" w:eastAsia="Arial" w:hAnsi="Arial"/>
          <w:sz w:val="16"/>
          <w:szCs w:val="16"/>
          <w:color w:val="auto"/>
        </w:rPr>
        <w:t>In August 2022, we implemented changes to our organizational structure as part of an operational cost reduction plan to conserve our available capital. In connection with these changes, we reduced headcount in our general and administrative function by approximately 23.5%, including the separation of our Chief Financial Officer, Anthony Kim. We estimate that the severance and termination-related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costs will total approximately $0.7 million and will be recorded in the third quarter of 2022. We expect that the payment of these costs will be substantially complete in September of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of Anthony Kim</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On August 10, 2022, we terminated Anthony Kim, our Chief Financial Officer, as part of our capital conservation measures, effective September 30, 2022 (the “Separation Date”). In connection with his termination, we intend to enter into a separation agreement with Mr. Kim (the “Separation Agreement”) that will provide for the terms of Mr. Kim’s separation from employment. Such Separation Agreement has not yet been finalized. We will provide a description of the material terms of the Separation Agreement by filing a Current Report on Form 8-K after the information is determined or becomes available.</w:t>
      </w:r>
    </w:p>
    <w:p>
      <w:pPr>
        <w:spacing w:after="0" w:line="188"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On August 10, 2022, our board of directors appointed Michael Loiacono to serve as our principal financial and accounting officer, effective upon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6.</w:t>
            </w:r>
          </w:p>
        </w:tc>
        <w:tc>
          <w:tcPr>
            <w:tcW w:w="4060" w:type="dxa"/>
            <w:vAlign w:val="bottom"/>
            <w:tcBorders>
              <w:bottom w:val="single" w:sz="8" w:color="auto"/>
            </w:tcBorders>
            <w:gridSpan w:val="16"/>
          </w:tcPr>
          <w:p>
            <w:pPr>
              <w:ind w:left="180"/>
              <w:spacing w:after="0"/>
              <w:rPr>
                <w:sz w:val="20"/>
                <w:szCs w:val="20"/>
                <w:color w:val="auto"/>
              </w:rPr>
            </w:pPr>
            <w:r>
              <w:rPr>
                <w:rFonts w:ascii="Arial" w:cs="Arial" w:eastAsia="Arial" w:hAnsi="Arial"/>
                <w:sz w:val="18"/>
                <w:szCs w:val="18"/>
                <w:b w:val="1"/>
                <w:bCs w:val="1"/>
                <w:color w:val="auto"/>
              </w:rPr>
              <w:t>Exhibits</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20" w:type="dxa"/>
            <w:vAlign w:val="bottom"/>
            <w:gridSpan w:val="23"/>
          </w:tcPr>
          <w:p>
            <w:pPr>
              <w:spacing w:after="0"/>
              <w:rPr>
                <w:sz w:val="20"/>
                <w:szCs w:val="20"/>
                <w:color w:val="auto"/>
              </w:rPr>
            </w:pPr>
            <w:r>
              <w:rPr>
                <w:rFonts w:ascii="Arial" w:cs="Arial" w:eastAsia="Arial" w:hAnsi="Arial"/>
                <w:sz w:val="18"/>
                <w:szCs w:val="18"/>
                <w:color w:val="auto"/>
              </w:rPr>
              <w:t>The following exhibits are included with this Quarterly Report on Form 10-Q:</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gridSpan w:val="13"/>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9"/>
                <w:szCs w:val="9"/>
                <w:color w:val="auto"/>
              </w:rPr>
            </w:pPr>
          </w:p>
        </w:tc>
        <w:tc>
          <w:tcPr>
            <w:tcW w:w="620" w:type="dxa"/>
            <w:vAlign w:val="bottom"/>
            <w:vMerge w:val="restart"/>
          </w:tcPr>
          <w:p>
            <w:pPr>
              <w:jc w:val="center"/>
              <w:ind w:left="114"/>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8"/>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Certificate of Incorporation (Delaware).</w:t>
              </w:r>
            </w:hyperlink>
          </w:p>
        </w:tc>
        <w:tc>
          <w:tcPr>
            <w:tcW w:w="960" w:type="dxa"/>
            <w:vAlign w:val="bottom"/>
            <w:gridSpan w:val="7"/>
          </w:tcPr>
          <w:p>
            <w:pPr>
              <w:spacing w:after="0"/>
              <w:rPr>
                <w:sz w:val="24"/>
                <w:szCs w:val="24"/>
                <w:color w:val="auto"/>
              </w:rPr>
            </w:pPr>
          </w:p>
        </w:tc>
        <w:tc>
          <w:tcPr>
            <w:tcW w:w="620" w:type="dxa"/>
            <w:vAlign w:val="bottom"/>
          </w:tcPr>
          <w:p>
            <w:pPr>
              <w:jc w:val="center"/>
              <w:ind w:left="94"/>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rPr>
            </w:pPr>
            <w:hyperlink r:id="rId64">
              <w:r>
                <w:rPr>
                  <w:rFonts w:ascii="Arial" w:cs="Arial" w:eastAsia="Arial" w:hAnsi="Arial"/>
                  <w:sz w:val="18"/>
                  <w:szCs w:val="18"/>
                  <w:color w:val="0000EE"/>
                </w:rPr>
                <w:t>Certificate  of  Amendment  to  Certificate  of</w:t>
              </w:r>
            </w:hyperlink>
          </w:p>
        </w:tc>
        <w:tc>
          <w:tcPr>
            <w:tcW w:w="1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Incorporation.</w:t>
              </w:r>
            </w:hyperlink>
          </w:p>
        </w:tc>
        <w:tc>
          <w:tcPr>
            <w:tcW w:w="620" w:type="dxa"/>
            <w:vAlign w:val="bottom"/>
          </w:tcPr>
          <w:p>
            <w:pPr>
              <w:jc w:val="center"/>
              <w:ind w:left="94"/>
              <w:spacing w:after="0" w:line="196" w:lineRule="exact"/>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4"/>
              <w:spacing w:after="0" w:line="196" w:lineRule="exact"/>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4"/>
              <w:spacing w:after="0" w:line="196"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2"/>
              </w:rPr>
              <w:t>5/27/2022</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6"/>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Bylaws of Marker Therapeutics, Inc.</w:t>
              </w:r>
            </w:hyperlink>
          </w:p>
        </w:tc>
        <w:tc>
          <w:tcPr>
            <w:tcW w:w="1200" w:type="dxa"/>
            <w:vAlign w:val="bottom"/>
            <w:gridSpan w:val="9"/>
          </w:tcPr>
          <w:p>
            <w:pPr>
              <w:spacing w:after="0"/>
              <w:rPr>
                <w:sz w:val="24"/>
                <w:szCs w:val="24"/>
                <w:color w:val="auto"/>
              </w:rPr>
            </w:pPr>
          </w:p>
        </w:tc>
        <w:tc>
          <w:tcPr>
            <w:tcW w:w="620" w:type="dxa"/>
            <w:vAlign w:val="bottom"/>
          </w:tcPr>
          <w:p>
            <w:pPr>
              <w:jc w:val="center"/>
              <w:ind w:left="94"/>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4"/>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rPr>
            </w:pPr>
            <w:hyperlink r:id="rId66">
              <w:r>
                <w:rPr>
                  <w:rFonts w:ascii="Arial" w:cs="Arial" w:eastAsia="Arial" w:hAnsi="Arial"/>
                  <w:sz w:val="18"/>
                  <w:szCs w:val="18"/>
                  <w:color w:val="0000EE"/>
                </w:rPr>
                <w:t>Services Agreement, effective April 12, 2022,</w:t>
              </w:r>
            </w:hyperlink>
          </w:p>
        </w:tc>
        <w:tc>
          <w:tcPr>
            <w:tcW w:w="1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between Wilson Wolf Manufacturing Corporation</w:t>
              </w:r>
            </w:hyperlink>
          </w:p>
        </w:tc>
        <w:tc>
          <w:tcPr>
            <w:tcW w:w="1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and Marker Therapeutics, Inc.</w:t>
              </w:r>
            </w:hyperlink>
          </w:p>
        </w:tc>
        <w:tc>
          <w:tcPr>
            <w:tcW w:w="1680" w:type="dxa"/>
            <w:vAlign w:val="bottom"/>
            <w:gridSpan w:val="11"/>
          </w:tcPr>
          <w:p>
            <w:pPr>
              <w:spacing w:after="0"/>
              <w:rPr>
                <w:sz w:val="17"/>
                <w:szCs w:val="17"/>
                <w:color w:val="auto"/>
              </w:rPr>
            </w:pPr>
          </w:p>
        </w:tc>
        <w:tc>
          <w:tcPr>
            <w:tcW w:w="620" w:type="dxa"/>
            <w:vAlign w:val="bottom"/>
          </w:tcPr>
          <w:p>
            <w:pPr>
              <w:jc w:val="center"/>
              <w:ind w:left="94"/>
              <w:spacing w:after="0" w:line="196" w:lineRule="exact"/>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4"/>
              <w:spacing w:after="0" w:line="196" w:lineRule="exact"/>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4"/>
              <w:spacing w:after="0" w:line="196" w:lineRule="exact"/>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2"/>
              </w:rPr>
              <w:t>4/26/2022</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Marker Therapeutics, Inc. 2020 Equity Incentive</w:t>
            </w:r>
          </w:p>
        </w:tc>
        <w:tc>
          <w:tcPr>
            <w:tcW w:w="2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Plan, as amended</w:t>
            </w:r>
          </w:p>
        </w:tc>
        <w:tc>
          <w:tcPr>
            <w:tcW w:w="260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Certification of Chief Executive Officer Pursuant</w:t>
            </w:r>
          </w:p>
        </w:tc>
        <w:tc>
          <w:tcPr>
            <w:tcW w:w="2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6"/>
              </w:rPr>
              <w:t>to Rule 13a-14(a) or 15d-14(a) of the Securities</w:t>
            </w: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12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7"/>
              </w:rPr>
              <w:t>Certification of Chief Financial Officer Pursuant</w:t>
            </w:r>
          </w:p>
        </w:tc>
        <w:tc>
          <w:tcPr>
            <w:tcW w:w="2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6"/>
              </w:rPr>
              <w:t>to Rule 13a-14(a) or 15d-14(a) of the Securities</w:t>
            </w: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12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Certification of Chief Executive Officer Pursuant</w:t>
            </w:r>
          </w:p>
        </w:tc>
        <w:tc>
          <w:tcPr>
            <w:tcW w:w="2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2"/>
              </w:rPr>
              <w:t>to 18 U.S.C. 1350 as adopted pursuant to Section</w:t>
            </w:r>
          </w:p>
        </w:tc>
        <w:tc>
          <w:tcPr>
            <w:tcW w:w="1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9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Arial" w:cs="Arial" w:eastAsia="Arial" w:hAnsi="Arial"/>
                <w:sz w:val="18"/>
                <w:szCs w:val="18"/>
                <w:color w:val="0000EE"/>
              </w:rPr>
              <w:t>Certification  of  Chief  Financial  Officer  and</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Principal Financial Officer pursuant to 18 U.S.C.</w:t>
            </w: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1350 as adopted pursuant to Section 906 of the</w:t>
            </w:r>
          </w:p>
        </w:tc>
        <w:tc>
          <w:tcPr>
            <w:tcW w:w="20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Arial" w:cs="Arial" w:eastAsia="Arial" w:hAnsi="Arial"/>
                <w:sz w:val="18"/>
                <w:szCs w:val="18"/>
                <w:color w:val="0000EE"/>
              </w:rPr>
              <w:t>Sarbanes-Oxley Act of 2002.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6035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6035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 and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10.2</w:t>
      </w:r>
    </w:p>
    <w:p>
      <w:pPr>
        <w:spacing w:after="0" w:line="292" w:lineRule="exact"/>
        <w:rPr>
          <w:sz w:val="20"/>
          <w:szCs w:val="20"/>
          <w:color w:val="auto"/>
        </w:rPr>
      </w:pPr>
    </w:p>
    <w:p>
      <w:pPr>
        <w:ind w:left="2580"/>
        <w:spacing w:after="0"/>
        <w:rPr>
          <w:sz w:val="20"/>
          <w:szCs w:val="20"/>
          <w:color w:val="auto"/>
        </w:rPr>
      </w:pPr>
      <w:r>
        <w:rPr>
          <w:rFonts w:ascii="Arial" w:cs="Arial" w:eastAsia="Arial" w:hAnsi="Arial"/>
          <w:sz w:val="25"/>
          <w:szCs w:val="25"/>
          <w:b w:val="1"/>
          <w:bCs w:val="1"/>
          <w:color w:val="auto"/>
        </w:rPr>
        <w:t>MARKER THERAPEUTICS, INC.</w:t>
      </w:r>
    </w:p>
    <w:p>
      <w:pPr>
        <w:spacing w:after="0" w:line="38" w:lineRule="exact"/>
        <w:rPr>
          <w:sz w:val="20"/>
          <w:szCs w:val="20"/>
          <w:color w:val="auto"/>
        </w:rPr>
      </w:pPr>
    </w:p>
    <w:p>
      <w:pPr>
        <w:ind w:left="2600"/>
        <w:spacing w:after="0"/>
        <w:rPr>
          <w:sz w:val="20"/>
          <w:szCs w:val="20"/>
          <w:color w:val="auto"/>
        </w:rPr>
      </w:pPr>
      <w:r>
        <w:rPr>
          <w:rFonts w:ascii="Arial" w:cs="Arial" w:eastAsia="Arial" w:hAnsi="Arial"/>
          <w:sz w:val="25"/>
          <w:szCs w:val="25"/>
          <w:b w:val="1"/>
          <w:bCs w:val="1"/>
          <w:color w:val="auto"/>
        </w:rPr>
        <w:t>2020 EQUITY INCENTIVE PLAN</w:t>
      </w:r>
    </w:p>
    <w:p>
      <w:pPr>
        <w:spacing w:after="0" w:line="200" w:lineRule="exact"/>
        <w:rPr>
          <w:sz w:val="20"/>
          <w:szCs w:val="20"/>
          <w:color w:val="auto"/>
        </w:rPr>
      </w:pP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color w:val="auto"/>
        </w:rPr>
        <w:t>ADOPTED BY THE BOARD OF DIRECTORS: APRIL 14, 2020</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APPROVED BY THE STOCKHOLDERS: MAY 19, 2020</w:t>
      </w:r>
    </w:p>
    <w:p>
      <w:pPr>
        <w:jc w:val="center"/>
        <w:ind w:right="440"/>
        <w:spacing w:after="0"/>
        <w:rPr>
          <w:sz w:val="20"/>
          <w:szCs w:val="20"/>
          <w:color w:val="auto"/>
        </w:rPr>
      </w:pPr>
      <w:r>
        <w:rPr>
          <w:rFonts w:ascii="Arial" w:cs="Arial" w:eastAsia="Arial" w:hAnsi="Arial"/>
          <w:sz w:val="21"/>
          <w:szCs w:val="21"/>
          <w:b w:val="1"/>
          <w:bCs w:val="1"/>
          <w:color w:val="auto"/>
        </w:rPr>
        <w:t>AMENDED BY THE BOARD OF DIRECTORS: APRIL 5, 2022</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APPROVED BY THE STOCKHOLDERS: MAY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647065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81"/>
        </w:trPr>
        <w:tc>
          <w:tcPr>
            <w:tcW w:w="400" w:type="dxa"/>
            <w:vAlign w:val="bottom"/>
          </w:tcPr>
          <w:p>
            <w:pPr>
              <w:spacing w:after="0"/>
              <w:rPr>
                <w:sz w:val="24"/>
                <w:szCs w:val="24"/>
                <w:color w:val="auto"/>
              </w:rPr>
            </w:pPr>
          </w:p>
        </w:tc>
        <w:tc>
          <w:tcPr>
            <w:tcW w:w="8800" w:type="dxa"/>
            <w:vAlign w:val="bottom"/>
          </w:tcPr>
          <w:p>
            <w:pPr>
              <w:ind w:left="3400"/>
              <w:spacing w:after="0"/>
              <w:rPr>
                <w:sz w:val="20"/>
                <w:szCs w:val="20"/>
                <w:color w:val="auto"/>
              </w:rPr>
            </w:pPr>
            <w:r>
              <w:rPr>
                <w:rFonts w:ascii="Arial" w:cs="Arial" w:eastAsia="Arial" w:hAnsi="Arial"/>
                <w:sz w:val="22"/>
                <w:szCs w:val="22"/>
                <w:b w:val="1"/>
                <w:bCs w:val="1"/>
                <w:color w:val="auto"/>
              </w:rPr>
              <w:t>TABLE OF CONTENTS</w:t>
            </w:r>
          </w:p>
        </w:tc>
        <w:tc>
          <w:tcPr>
            <w:tcW w:w="720" w:type="dxa"/>
            <w:vAlign w:val="bottom"/>
          </w:tcPr>
          <w:p>
            <w:pPr>
              <w:spacing w:after="0"/>
              <w:rPr>
                <w:sz w:val="24"/>
                <w:szCs w:val="24"/>
                <w:color w:val="auto"/>
              </w:rPr>
            </w:pPr>
          </w:p>
        </w:tc>
      </w:tr>
      <w:tr>
        <w:trPr>
          <w:trHeight w:val="499"/>
        </w:trPr>
        <w:tc>
          <w:tcPr>
            <w:tcW w:w="4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1.</w:t>
            </w:r>
          </w:p>
        </w:tc>
        <w:tc>
          <w:tcPr>
            <w:tcW w:w="8800" w:type="dxa"/>
            <w:vAlign w:val="bottom"/>
          </w:tcPr>
          <w:p>
            <w:pPr>
              <w:ind w:left="100"/>
              <w:spacing w:after="0"/>
              <w:rPr>
                <w:sz w:val="20"/>
                <w:szCs w:val="20"/>
                <w:color w:val="auto"/>
              </w:rPr>
            </w:pPr>
            <w:r>
              <w:rPr>
                <w:rFonts w:ascii="Arial" w:cs="Arial" w:eastAsia="Arial" w:hAnsi="Arial"/>
                <w:sz w:val="22"/>
                <w:szCs w:val="22"/>
                <w:color w:val="auto"/>
              </w:rPr>
              <w:t>GENERAL.</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2.</w:t>
            </w:r>
          </w:p>
        </w:tc>
        <w:tc>
          <w:tcPr>
            <w:tcW w:w="8800" w:type="dxa"/>
            <w:vAlign w:val="bottom"/>
          </w:tcPr>
          <w:p>
            <w:pPr>
              <w:ind w:left="100"/>
              <w:spacing w:after="0"/>
              <w:rPr>
                <w:sz w:val="20"/>
                <w:szCs w:val="20"/>
                <w:color w:val="auto"/>
              </w:rPr>
            </w:pPr>
            <w:r>
              <w:rPr>
                <w:rFonts w:ascii="Arial" w:cs="Arial" w:eastAsia="Arial" w:hAnsi="Arial"/>
                <w:sz w:val="22"/>
                <w:szCs w:val="22"/>
                <w:color w:val="auto"/>
              </w:rPr>
              <w:t>SHARES SUBJECT TO THE PLAN.</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3.</w:t>
            </w:r>
          </w:p>
        </w:tc>
        <w:tc>
          <w:tcPr>
            <w:tcW w:w="8800" w:type="dxa"/>
            <w:vAlign w:val="bottom"/>
          </w:tcPr>
          <w:p>
            <w:pPr>
              <w:ind w:left="100"/>
              <w:spacing w:after="0"/>
              <w:rPr>
                <w:sz w:val="20"/>
                <w:szCs w:val="20"/>
                <w:color w:val="auto"/>
              </w:rPr>
            </w:pPr>
            <w:r>
              <w:rPr>
                <w:rFonts w:ascii="Arial" w:cs="Arial" w:eastAsia="Arial" w:hAnsi="Arial"/>
                <w:sz w:val="22"/>
                <w:szCs w:val="22"/>
                <w:color w:val="auto"/>
              </w:rPr>
              <w:t>ELIGIBILITY AND LIMITATIONS.</w:t>
            </w:r>
          </w:p>
        </w:tc>
        <w:tc>
          <w:tcPr>
            <w:tcW w:w="7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4.</w:t>
            </w:r>
          </w:p>
        </w:tc>
        <w:tc>
          <w:tcPr>
            <w:tcW w:w="8800" w:type="dxa"/>
            <w:vAlign w:val="bottom"/>
          </w:tcPr>
          <w:p>
            <w:pPr>
              <w:ind w:left="100"/>
              <w:spacing w:after="0"/>
              <w:rPr>
                <w:sz w:val="20"/>
                <w:szCs w:val="20"/>
                <w:color w:val="auto"/>
              </w:rPr>
            </w:pPr>
            <w:r>
              <w:rPr>
                <w:rFonts w:ascii="Arial" w:cs="Arial" w:eastAsia="Arial" w:hAnsi="Arial"/>
                <w:sz w:val="22"/>
                <w:szCs w:val="22"/>
                <w:color w:val="auto"/>
              </w:rPr>
              <w:t>OPTIONS AND STOCK APPRECIATION RIGHTS.</w:t>
            </w:r>
          </w:p>
        </w:tc>
        <w:tc>
          <w:tcPr>
            <w:tcW w:w="7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5.</w:t>
            </w:r>
          </w:p>
        </w:tc>
        <w:tc>
          <w:tcPr>
            <w:tcW w:w="8800" w:type="dxa"/>
            <w:vAlign w:val="bottom"/>
          </w:tcPr>
          <w:p>
            <w:pPr>
              <w:ind w:left="100"/>
              <w:spacing w:after="0"/>
              <w:rPr>
                <w:sz w:val="20"/>
                <w:szCs w:val="20"/>
                <w:color w:val="auto"/>
              </w:rPr>
            </w:pPr>
            <w:r>
              <w:rPr>
                <w:rFonts w:ascii="Arial" w:cs="Arial" w:eastAsia="Arial" w:hAnsi="Arial"/>
                <w:sz w:val="22"/>
                <w:szCs w:val="22"/>
                <w:color w:val="auto"/>
              </w:rPr>
              <w:t>AWARDS OTHER THAN OPTIONS AND STOCK APPRECIATION RIGHTS.</w:t>
            </w:r>
          </w:p>
        </w:tc>
        <w:tc>
          <w:tcPr>
            <w:tcW w:w="7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6.</w:t>
            </w:r>
          </w:p>
        </w:tc>
        <w:tc>
          <w:tcPr>
            <w:tcW w:w="8800" w:type="dxa"/>
            <w:vAlign w:val="bottom"/>
          </w:tcPr>
          <w:p>
            <w:pPr>
              <w:ind w:left="100"/>
              <w:spacing w:after="0"/>
              <w:rPr>
                <w:sz w:val="20"/>
                <w:szCs w:val="20"/>
                <w:color w:val="auto"/>
              </w:rPr>
            </w:pPr>
            <w:r>
              <w:rPr>
                <w:rFonts w:ascii="Arial" w:cs="Arial" w:eastAsia="Arial" w:hAnsi="Arial"/>
                <w:sz w:val="22"/>
                <w:szCs w:val="22"/>
                <w:color w:val="auto"/>
                <w:w w:val="96"/>
              </w:rPr>
              <w:t>ADJUSTMENTS UPON CHANGES IN COMMON STOCK; OTHER CORPORATE EVENTS.</w:t>
            </w:r>
          </w:p>
        </w:tc>
        <w:tc>
          <w:tcPr>
            <w:tcW w:w="7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7.</w:t>
            </w:r>
          </w:p>
        </w:tc>
        <w:tc>
          <w:tcPr>
            <w:tcW w:w="8800" w:type="dxa"/>
            <w:vAlign w:val="bottom"/>
          </w:tcPr>
          <w:p>
            <w:pPr>
              <w:ind w:left="100"/>
              <w:spacing w:after="0"/>
              <w:rPr>
                <w:sz w:val="20"/>
                <w:szCs w:val="20"/>
                <w:color w:val="auto"/>
              </w:rPr>
            </w:pPr>
            <w:r>
              <w:rPr>
                <w:rFonts w:ascii="Arial" w:cs="Arial" w:eastAsia="Arial" w:hAnsi="Arial"/>
                <w:sz w:val="22"/>
                <w:szCs w:val="22"/>
                <w:color w:val="auto"/>
              </w:rPr>
              <w:t>ADMINISTRATION.</w:t>
            </w:r>
          </w:p>
        </w:tc>
        <w:tc>
          <w:tcPr>
            <w:tcW w:w="7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8.</w:t>
            </w:r>
          </w:p>
        </w:tc>
        <w:tc>
          <w:tcPr>
            <w:tcW w:w="8800" w:type="dxa"/>
            <w:vAlign w:val="bottom"/>
          </w:tcPr>
          <w:p>
            <w:pPr>
              <w:ind w:left="100"/>
              <w:spacing w:after="0"/>
              <w:rPr>
                <w:sz w:val="20"/>
                <w:szCs w:val="20"/>
                <w:color w:val="auto"/>
              </w:rPr>
            </w:pPr>
            <w:r>
              <w:rPr>
                <w:rFonts w:ascii="Arial" w:cs="Arial" w:eastAsia="Arial" w:hAnsi="Arial"/>
                <w:sz w:val="22"/>
                <w:szCs w:val="22"/>
                <w:color w:val="auto"/>
              </w:rPr>
              <w:t>TAX WITHHOLDING</w:t>
            </w:r>
          </w:p>
        </w:tc>
        <w:tc>
          <w:tcPr>
            <w:tcW w:w="7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9.</w:t>
            </w:r>
          </w:p>
        </w:tc>
        <w:tc>
          <w:tcPr>
            <w:tcW w:w="8800" w:type="dxa"/>
            <w:vAlign w:val="bottom"/>
          </w:tcPr>
          <w:p>
            <w:pPr>
              <w:ind w:left="100"/>
              <w:spacing w:after="0"/>
              <w:rPr>
                <w:sz w:val="20"/>
                <w:szCs w:val="20"/>
                <w:color w:val="auto"/>
              </w:rPr>
            </w:pPr>
            <w:r>
              <w:rPr>
                <w:rFonts w:ascii="Arial" w:cs="Arial" w:eastAsia="Arial" w:hAnsi="Arial"/>
                <w:sz w:val="22"/>
                <w:szCs w:val="22"/>
                <w:color w:val="auto"/>
              </w:rPr>
              <w:t>MISCELLANEOUS.</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10.</w:t>
            </w:r>
          </w:p>
        </w:tc>
        <w:tc>
          <w:tcPr>
            <w:tcW w:w="8800" w:type="dxa"/>
            <w:vAlign w:val="bottom"/>
          </w:tcPr>
          <w:p>
            <w:pPr>
              <w:ind w:left="100"/>
              <w:spacing w:after="0"/>
              <w:rPr>
                <w:sz w:val="20"/>
                <w:szCs w:val="20"/>
                <w:color w:val="auto"/>
              </w:rPr>
            </w:pPr>
            <w:r>
              <w:rPr>
                <w:rFonts w:ascii="Arial" w:cs="Arial" w:eastAsia="Arial" w:hAnsi="Arial"/>
                <w:sz w:val="22"/>
                <w:szCs w:val="22"/>
                <w:color w:val="auto"/>
              </w:rPr>
              <w:t>COVENANTS OF THE COMPANY.</w:t>
            </w:r>
          </w:p>
        </w:tc>
        <w:tc>
          <w:tcPr>
            <w:tcW w:w="7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11.</w:t>
            </w:r>
          </w:p>
        </w:tc>
        <w:tc>
          <w:tcPr>
            <w:tcW w:w="880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12.</w:t>
            </w:r>
          </w:p>
        </w:tc>
        <w:tc>
          <w:tcPr>
            <w:tcW w:w="8800" w:type="dxa"/>
            <w:vAlign w:val="bottom"/>
          </w:tcPr>
          <w:p>
            <w:pPr>
              <w:ind w:left="100"/>
              <w:spacing w:after="0"/>
              <w:rPr>
                <w:sz w:val="20"/>
                <w:szCs w:val="20"/>
                <w:color w:val="auto"/>
              </w:rPr>
            </w:pPr>
            <w:r>
              <w:rPr>
                <w:rFonts w:ascii="Arial" w:cs="Arial" w:eastAsia="Arial" w:hAnsi="Arial"/>
                <w:sz w:val="22"/>
                <w:szCs w:val="22"/>
                <w:color w:val="auto"/>
              </w:rPr>
              <w:t>TERMINATION OF THE PLAN.</w:t>
            </w:r>
          </w:p>
        </w:tc>
        <w:tc>
          <w:tcPr>
            <w:tcW w:w="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400" w:type="dxa"/>
            <w:vAlign w:val="bottom"/>
          </w:tcPr>
          <w:p>
            <w:pPr>
              <w:spacing w:after="0"/>
              <w:rPr>
                <w:sz w:val="20"/>
                <w:szCs w:val="20"/>
                <w:color w:val="auto"/>
              </w:rPr>
            </w:pPr>
            <w:r>
              <w:rPr>
                <w:rFonts w:ascii="Arial" w:cs="Arial" w:eastAsia="Arial" w:hAnsi="Arial"/>
                <w:sz w:val="22"/>
                <w:szCs w:val="22"/>
                <w:color w:val="auto"/>
              </w:rPr>
              <w:t>13.</w:t>
            </w:r>
          </w:p>
        </w:tc>
        <w:tc>
          <w:tcPr>
            <w:tcW w:w="880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720" w:type="dxa"/>
            <w:vAlign w:val="bottom"/>
          </w:tcPr>
          <w:p>
            <w:pPr>
              <w:jc w:val="right"/>
              <w:spacing w:after="0"/>
              <w:rPr>
                <w:sz w:val="20"/>
                <w:szCs w:val="20"/>
                <w:color w:val="auto"/>
              </w:rPr>
            </w:pPr>
            <w:r>
              <w:rPr>
                <w:rFonts w:ascii="Arial" w:cs="Arial" w:eastAsia="Arial" w:hAnsi="Arial"/>
                <w:sz w:val="22"/>
                <w:szCs w:val="22"/>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3" w:name="page34"/>
    <w:bookmarkEnd w:id="33"/>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06" w:lineRule="exact"/>
        <w:rPr>
          <w:rFonts w:ascii="Arial" w:cs="Arial" w:eastAsia="Arial" w:hAnsi="Arial"/>
          <w:sz w:val="22"/>
          <w:szCs w:val="22"/>
          <w:b w:val="1"/>
          <w:bCs w:val="1"/>
          <w:color w:val="auto"/>
        </w:rPr>
      </w:pPr>
    </w:p>
    <w:p>
      <w:pPr>
        <w:jc w:val="both"/>
        <w:ind w:firstLine="656"/>
        <w:spacing w:after="0" w:line="247" w:lineRule="auto"/>
        <w:tabs>
          <w:tab w:leader="none" w:pos="1296" w:val="left"/>
        </w:tabs>
        <w:numPr>
          <w:ilvl w:val="1"/>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Successor to and Continuation of Prior Plans. </w:t>
      </w:r>
      <w:r>
        <w:rPr>
          <w:rFonts w:ascii="Arial" w:cs="Arial" w:eastAsia="Arial" w:hAnsi="Arial"/>
          <w:sz w:val="21"/>
          <w:szCs w:val="21"/>
          <w:color w:val="auto"/>
        </w:rPr>
        <w:t>The Plan is the successor to and continuation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w:t>
      </w:r>
    </w:p>
    <w:p>
      <w:pPr>
        <w:spacing w:after="0" w:line="177" w:lineRule="exact"/>
        <w:rPr>
          <w:rFonts w:ascii="Arial" w:cs="Arial" w:eastAsia="Arial" w:hAnsi="Arial"/>
          <w:sz w:val="21"/>
          <w:szCs w:val="21"/>
          <w:b w:val="1"/>
          <w:bCs w:val="1"/>
          <w:color w:val="auto"/>
        </w:rPr>
      </w:pPr>
    </w:p>
    <w:p>
      <w:pPr>
        <w:jc w:val="both"/>
        <w:ind w:firstLine="656"/>
        <w:spacing w:after="0" w:line="289" w:lineRule="auto"/>
        <w:tabs>
          <w:tab w:leader="none" w:pos="1296"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Plan Purpose. </w:t>
      </w:r>
      <w:r>
        <w:rPr>
          <w:rFonts w:ascii="Arial" w:cs="Arial" w:eastAsia="Arial" w:hAnsi="Arial"/>
          <w:sz w:val="19"/>
          <w:szCs w:val="19"/>
          <w:color w:val="auto"/>
        </w:rPr>
        <w:t>The Company, by means of the Plan, seeks to secure and retain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35" w:lineRule="exact"/>
        <w:rPr>
          <w:rFonts w:ascii="Arial" w:cs="Arial" w:eastAsia="Arial" w:hAnsi="Arial"/>
          <w:sz w:val="19"/>
          <w:szCs w:val="19"/>
          <w:b w:val="1"/>
          <w:bCs w:val="1"/>
          <w:color w:val="auto"/>
        </w:rPr>
      </w:pPr>
    </w:p>
    <w:p>
      <w:pPr>
        <w:jc w:val="both"/>
        <w:ind w:firstLine="656"/>
        <w:spacing w:after="0" w:line="243" w:lineRule="auto"/>
        <w:tabs>
          <w:tab w:leader="none" w:pos="1296"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(ii) Nonstatutory Stock Options; (iii) SARs; (iv) Restricted Stock Awards; (v) RSU Awards; (vi) Performance Awards; and (vii) Other Awards.</w:t>
      </w:r>
    </w:p>
    <w:p>
      <w:pPr>
        <w:spacing w:after="0" w:line="176" w:lineRule="exact"/>
        <w:rPr>
          <w:rFonts w:ascii="Arial" w:cs="Arial" w:eastAsia="Arial" w:hAnsi="Arial"/>
          <w:sz w:val="22"/>
          <w:szCs w:val="22"/>
          <w:b w:val="1"/>
          <w:bCs w:val="1"/>
          <w:color w:val="auto"/>
        </w:rPr>
      </w:pPr>
    </w:p>
    <w:p>
      <w:pPr>
        <w:jc w:val="both"/>
        <w:ind w:firstLine="656"/>
        <w:spacing w:after="0" w:line="239" w:lineRule="auto"/>
        <w:tabs>
          <w:tab w:leader="none" w:pos="1296"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Adoption Date. </w:t>
      </w:r>
      <w:r>
        <w:rPr>
          <w:rFonts w:ascii="Arial" w:cs="Arial" w:eastAsia="Arial" w:hAnsi="Arial"/>
          <w:sz w:val="22"/>
          <w:szCs w:val="22"/>
          <w:color w:val="auto"/>
        </w:rPr>
        <w:t>The Plan will come into existence on the Adoption Date. No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w:t>
      </w:r>
    </w:p>
    <w:p>
      <w:pPr>
        <w:spacing w:after="0" w:line="180" w:lineRule="exact"/>
        <w:rPr>
          <w:rFonts w:ascii="Arial" w:cs="Arial" w:eastAsia="Arial" w:hAnsi="Arial"/>
          <w:sz w:val="22"/>
          <w:szCs w:val="22"/>
          <w:b w:val="1"/>
          <w:bCs w:val="1"/>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06" w:lineRule="exact"/>
        <w:rPr>
          <w:rFonts w:ascii="Arial" w:cs="Arial" w:eastAsia="Arial" w:hAnsi="Arial"/>
          <w:sz w:val="22"/>
          <w:szCs w:val="22"/>
          <w:b w:val="1"/>
          <w:bCs w:val="1"/>
          <w:color w:val="auto"/>
        </w:rPr>
      </w:pPr>
    </w:p>
    <w:p>
      <w:pPr>
        <w:jc w:val="both"/>
        <w:ind w:firstLine="656"/>
        <w:spacing w:after="0" w:line="280" w:lineRule="auto"/>
        <w:tabs>
          <w:tab w:leader="none" w:pos="1296"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 Reserve. </w:t>
      </w:r>
      <w:r>
        <w:rPr>
          <w:rFonts w:ascii="Arial" w:cs="Arial" w:eastAsia="Arial" w:hAnsi="Arial"/>
          <w:sz w:val="19"/>
          <w:szCs w:val="19"/>
          <w:color w:val="auto"/>
        </w:rPr>
        <w:t>Subject to adjustment in accordance with Section 2(d) and any adjustments as</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to implement any Capitalization Adjustments, the aggregate number of shares of Common Stock that may be issued pursuant to Awards will not exceed the sum of (i) 8,500,000 new shares that were approved at the Company’s 2022 Annual Meeting of Stockholders; plus (ii) 3,260,000 shares that were approved in connection with the initial adoption of the Plan as of the Effective Date; plus (iii) the Prior Plans’ Available Reserve; plus (iv) the number of Returning Shares, if any, as such shares become available from time to time.</w:t>
      </w:r>
    </w:p>
    <w:p>
      <w:pPr>
        <w:spacing w:after="0" w:line="144"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1"/>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Fungible Share Counting. </w:t>
      </w:r>
      <w:r>
        <w:rPr>
          <w:rFonts w:ascii="Arial" w:cs="Arial" w:eastAsia="Arial" w:hAnsi="Arial"/>
          <w:sz w:val="21"/>
          <w:szCs w:val="21"/>
          <w:color w:val="auto"/>
        </w:rPr>
        <w:t>Subject to adjustment in accordance with Section 2(d), the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Arial" w:cs="Arial" w:eastAsia="Arial" w:hAnsi="Arial"/>
          <w:sz w:val="21"/>
          <w:szCs w:val="21"/>
          <w:b w:val="1"/>
          <w:bCs w:val="1"/>
          <w:i w:val="1"/>
          <w:iCs w:val="1"/>
          <w:color w:val="auto"/>
        </w:rPr>
        <w:t>Appreciation Award</w:t>
      </w:r>
      <w:r>
        <w:rPr>
          <w:rFonts w:ascii="Arial" w:cs="Arial" w:eastAsia="Arial" w:hAnsi="Arial"/>
          <w:sz w:val="21"/>
          <w:szCs w:val="21"/>
          <w:color w:val="auto"/>
        </w:rPr>
        <w:t>”); and (ii) 1.23 shares for each share of Common Stock issued pursuant to any Award (other than an Appreciation Award) (each, a “</w:t>
      </w:r>
      <w:r>
        <w:rPr>
          <w:rFonts w:ascii="Arial" w:cs="Arial" w:eastAsia="Arial" w:hAnsi="Arial"/>
          <w:sz w:val="21"/>
          <w:szCs w:val="21"/>
          <w:b w:val="1"/>
          <w:bCs w:val="1"/>
          <w:i w:val="1"/>
          <w:iCs w:val="1"/>
          <w:color w:val="auto"/>
        </w:rPr>
        <w:t>Full Value Award</w:t>
      </w:r>
      <w:r>
        <w:rPr>
          <w:rFonts w:ascii="Arial" w:cs="Arial" w:eastAsia="Arial" w:hAnsi="Arial"/>
          <w:sz w:val="21"/>
          <w:szCs w:val="21"/>
          <w:color w:val="auto"/>
        </w:rPr>
        <w:t>”).</w:t>
      </w:r>
    </w:p>
    <w:p>
      <w:pPr>
        <w:spacing w:after="0" w:line="170" w:lineRule="exact"/>
        <w:rPr>
          <w:rFonts w:ascii="Arial" w:cs="Arial" w:eastAsia="Arial" w:hAnsi="Arial"/>
          <w:sz w:val="21"/>
          <w:szCs w:val="21"/>
          <w:b w:val="1"/>
          <w:bCs w:val="1"/>
          <w:color w:val="auto"/>
        </w:rPr>
      </w:pPr>
    </w:p>
    <w:p>
      <w:pPr>
        <w:ind w:firstLine="656"/>
        <w:spacing w:after="0" w:line="256" w:lineRule="auto"/>
        <w:tabs>
          <w:tab w:leader="none" w:pos="1296"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Incentive Stock Option Limit. </w:t>
      </w:r>
      <w:r>
        <w:rPr>
          <w:rFonts w:ascii="Arial" w:cs="Arial" w:eastAsia="Arial" w:hAnsi="Arial"/>
          <w:sz w:val="22"/>
          <w:szCs w:val="22"/>
          <w:color w:val="auto"/>
        </w:rPr>
        <w:t>Notwithstanding anything to the contrary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2(a) and subject to any adjustments as necessary to implement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4" w:name="page35"/>
    <w:bookmarkEnd w:id="34"/>
    <w:p>
      <w:pPr>
        <w:ind w:right="20"/>
        <w:spacing w:after="0" w:line="251" w:lineRule="auto"/>
        <w:rPr>
          <w:sz w:val="20"/>
          <w:szCs w:val="20"/>
          <w:color w:val="auto"/>
        </w:rPr>
      </w:pPr>
      <w:r>
        <w:rPr>
          <w:rFonts w:ascii="Arial" w:cs="Arial" w:eastAsia="Arial" w:hAnsi="Arial"/>
          <w:sz w:val="22"/>
          <w:szCs w:val="22"/>
          <w:color w:val="auto"/>
        </w:rPr>
        <w:t>Capitalization Adjustments, the aggregate maximum number of shares of Common Stock that may be issued pursuant to the exercise of Incentive Stock Options is 57,818,394 shares.</w:t>
      </w:r>
    </w:p>
    <w:p>
      <w:pPr>
        <w:spacing w:after="0" w:line="16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 Operation.</w:t>
      </w:r>
    </w:p>
    <w:p>
      <w:pPr>
        <w:spacing w:after="0" w:line="206" w:lineRule="exact"/>
        <w:rPr>
          <w:rFonts w:ascii="Arial" w:cs="Arial" w:eastAsia="Arial" w:hAnsi="Arial"/>
          <w:sz w:val="22"/>
          <w:szCs w:val="22"/>
          <w:b w:val="1"/>
          <w:bCs w:val="1"/>
          <w:color w:val="auto"/>
        </w:rPr>
      </w:pPr>
    </w:p>
    <w:p>
      <w:pPr>
        <w:jc w:val="both"/>
        <w:ind w:left="80" w:firstLine="1305"/>
        <w:spacing w:after="0" w:line="234" w:lineRule="auto"/>
        <w:tabs>
          <w:tab w:leader="none" w:pos="1943" w:val="left"/>
        </w:tabs>
        <w:numPr>
          <w:ilvl w:val="1"/>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 Applies to Common Stock Issued Pursuant to Awards. </w:t>
      </w:r>
      <w:r>
        <w:rPr>
          <w:rFonts w:ascii="Arial" w:cs="Arial" w:eastAsia="Arial" w:hAnsi="Arial"/>
          <w:sz w:val="22"/>
          <w:szCs w:val="22"/>
          <w:color w:val="auto"/>
        </w:rPr>
        <w:t>For clarity, the Share</w:t>
      </w:r>
      <w:r>
        <w:rPr>
          <w:rFonts w:ascii="Arial" w:cs="Arial" w:eastAsia="Arial" w:hAnsi="Arial"/>
          <w:sz w:val="22"/>
          <w:szCs w:val="22"/>
          <w:b w:val="1"/>
          <w:bCs w:val="1"/>
          <w:color w:val="auto"/>
        </w:rPr>
        <w:t xml:space="preserve"> </w:t>
      </w:r>
      <w:r>
        <w:rPr>
          <w:rFonts w:ascii="Arial" w:cs="Arial" w:eastAsia="Arial" w:hAnsi="Arial"/>
          <w:sz w:val="22"/>
          <w:szCs w:val="22"/>
          <w:color w:val="auto"/>
        </w:rPr>
        <w:t>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6" w:lineRule="exact"/>
        <w:rPr>
          <w:rFonts w:ascii="Arial" w:cs="Arial" w:eastAsia="Arial" w:hAnsi="Arial"/>
          <w:sz w:val="22"/>
          <w:szCs w:val="22"/>
          <w:b w:val="1"/>
          <w:bCs w:val="1"/>
          <w:color w:val="auto"/>
        </w:rPr>
      </w:pPr>
    </w:p>
    <w:p>
      <w:pPr>
        <w:jc w:val="both"/>
        <w:ind w:left="80" w:firstLine="1305"/>
        <w:spacing w:after="0" w:line="276" w:lineRule="auto"/>
        <w:tabs>
          <w:tab w:leader="none" w:pos="1943" w:val="left"/>
        </w:tabs>
        <w:numPr>
          <w:ilvl w:val="1"/>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Actions that Do Not Constitute Issuance of Common Stock and Do Not Reduce Share Reserve. </w:t>
      </w:r>
      <w:r>
        <w:rPr>
          <w:rFonts w:ascii="Arial" w:cs="Arial" w:eastAsia="Arial" w:hAnsi="Arial"/>
          <w:sz w:val="19"/>
          <w:szCs w:val="19"/>
          <w:color w:val="auto"/>
        </w:rPr>
        <w:t>The following actions do not result in an issuance of shares under the Plan and accordingly do not</w:t>
      </w:r>
      <w:r>
        <w:rPr>
          <w:rFonts w:ascii="Arial" w:cs="Arial" w:eastAsia="Arial" w:hAnsi="Arial"/>
          <w:sz w:val="19"/>
          <w:szCs w:val="19"/>
          <w:b w:val="1"/>
          <w:bCs w:val="1"/>
          <w:color w:val="auto"/>
        </w:rPr>
        <w:t xml:space="preserve"> </w:t>
      </w:r>
      <w:r>
        <w:rPr>
          <w:rFonts w:ascii="Arial" w:cs="Arial" w:eastAsia="Arial" w:hAnsi="Arial"/>
          <w:sz w:val="19"/>
          <w:szCs w:val="19"/>
          <w:color w:val="auto"/>
        </w:rPr>
        <w:t>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w:t>
      </w:r>
    </w:p>
    <w:p>
      <w:pPr>
        <w:spacing w:after="0" w:line="149" w:lineRule="exact"/>
        <w:rPr>
          <w:rFonts w:ascii="Arial" w:cs="Arial" w:eastAsia="Arial" w:hAnsi="Arial"/>
          <w:sz w:val="19"/>
          <w:szCs w:val="19"/>
          <w:b w:val="1"/>
          <w:bCs w:val="1"/>
          <w:color w:val="auto"/>
        </w:rPr>
      </w:pPr>
    </w:p>
    <w:p>
      <w:pPr>
        <w:jc w:val="both"/>
        <w:ind w:left="80" w:firstLine="1305"/>
        <w:spacing w:after="0" w:line="275" w:lineRule="auto"/>
        <w:tabs>
          <w:tab w:leader="none" w:pos="1943" w:val="left"/>
        </w:tabs>
        <w:numPr>
          <w:ilvl w:val="1"/>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Reversion of Previously Issued Shares of Common Stock to Share 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w:t>
      </w:r>
    </w:p>
    <w:p>
      <w:pPr>
        <w:spacing w:after="0" w:line="149" w:lineRule="exact"/>
        <w:rPr>
          <w:rFonts w:ascii="Arial" w:cs="Arial" w:eastAsia="Arial" w:hAnsi="Arial"/>
          <w:sz w:val="19"/>
          <w:szCs w:val="19"/>
          <w:b w:val="1"/>
          <w:bCs w:val="1"/>
          <w:color w:val="auto"/>
        </w:rPr>
      </w:pPr>
    </w:p>
    <w:p>
      <w:pPr>
        <w:jc w:val="both"/>
        <w:ind w:left="80" w:firstLine="1305"/>
        <w:spacing w:after="0" w:line="247" w:lineRule="auto"/>
        <w:tabs>
          <w:tab w:leader="none" w:pos="1943" w:val="left"/>
        </w:tabs>
        <w:numPr>
          <w:ilvl w:val="1"/>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Shares Not Available For Subsequent Issuance. </w:t>
      </w:r>
      <w:r>
        <w:rPr>
          <w:rFonts w:ascii="Arial" w:cs="Arial" w:eastAsia="Arial" w:hAnsi="Arial"/>
          <w:sz w:val="21"/>
          <w:szCs w:val="21"/>
          <w:color w:val="auto"/>
        </w:rPr>
        <w:t>Any shares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reacquired or withheld (or not issued) by 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 w:name="page36"/>
    <w:bookmarkEnd w:id="35"/>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LIMITATIONS.</w:t>
      </w:r>
    </w:p>
    <w:p>
      <w:pPr>
        <w:spacing w:after="0" w:line="206" w:lineRule="exact"/>
        <w:rPr>
          <w:rFonts w:ascii="Arial" w:cs="Arial" w:eastAsia="Arial" w:hAnsi="Arial"/>
          <w:sz w:val="22"/>
          <w:szCs w:val="22"/>
          <w:b w:val="1"/>
          <w:bCs w:val="1"/>
          <w:color w:val="auto"/>
        </w:rPr>
      </w:pPr>
    </w:p>
    <w:p>
      <w:pPr>
        <w:ind w:firstLine="656"/>
        <w:spacing w:after="0" w:line="256" w:lineRule="auto"/>
        <w:tabs>
          <w:tab w:leader="none" w:pos="1296"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Subject to the terms of the Plan, Employees,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are eligible to receive Awards.</w:t>
      </w:r>
    </w:p>
    <w:p>
      <w:pPr>
        <w:spacing w:after="0" w:line="162"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Award Limitations.</w:t>
      </w:r>
    </w:p>
    <w:p>
      <w:pPr>
        <w:spacing w:after="0" w:line="206" w:lineRule="exact"/>
        <w:rPr>
          <w:rFonts w:ascii="Arial" w:cs="Arial" w:eastAsia="Arial" w:hAnsi="Arial"/>
          <w:sz w:val="22"/>
          <w:szCs w:val="22"/>
          <w:b w:val="1"/>
          <w:bCs w:val="1"/>
          <w:color w:val="auto"/>
        </w:rPr>
      </w:pPr>
    </w:p>
    <w:p>
      <w:pPr>
        <w:jc w:val="both"/>
        <w:ind w:firstLine="1304"/>
        <w:spacing w:after="0" w:line="243" w:lineRule="auto"/>
        <w:tabs>
          <w:tab w:leader="none" w:pos="1944" w:val="left"/>
        </w:tabs>
        <w:numPr>
          <w:ilvl w:val="2"/>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 Recipients. </w:t>
      </w:r>
      <w:r>
        <w:rPr>
          <w:rFonts w:ascii="Arial" w:cs="Arial" w:eastAsia="Arial" w:hAnsi="Arial"/>
          <w:sz w:val="22"/>
          <w:szCs w:val="22"/>
          <w:color w:val="auto"/>
        </w:rPr>
        <w:t>Incentive Stock Options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only to Employees of the Company or a “parent corporation” or “subsidiary corporation” thereof (as such terms are defined in Sections 424(e) and (f) of the Code).</w:t>
      </w:r>
    </w:p>
    <w:p>
      <w:pPr>
        <w:spacing w:after="0" w:line="176" w:lineRule="exact"/>
        <w:rPr>
          <w:rFonts w:ascii="Arial" w:cs="Arial" w:eastAsia="Arial" w:hAnsi="Arial"/>
          <w:sz w:val="22"/>
          <w:szCs w:val="22"/>
          <w:b w:val="1"/>
          <w:bCs w:val="1"/>
          <w:color w:val="auto"/>
        </w:rPr>
      </w:pPr>
    </w:p>
    <w:p>
      <w:pPr>
        <w:jc w:val="both"/>
        <w:ind w:firstLine="1304"/>
        <w:spacing w:after="0" w:line="278" w:lineRule="auto"/>
        <w:tabs>
          <w:tab w:leader="none" w:pos="1944" w:val="left"/>
        </w:tabs>
        <w:numPr>
          <w:ilvl w:val="2"/>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Incentive Stock Option $100,000 Limitation. </w:t>
      </w:r>
      <w:r>
        <w:rPr>
          <w:rFonts w:ascii="Arial" w:cs="Arial" w:eastAsia="Arial" w:hAnsi="Arial"/>
          <w:sz w:val="19"/>
          <w:szCs w:val="19"/>
          <w:color w:val="auto"/>
        </w:rPr>
        <w:t>To the extent that the aggregate Fair</w:t>
      </w:r>
      <w:r>
        <w:rPr>
          <w:rFonts w:ascii="Arial" w:cs="Arial" w:eastAsia="Arial" w:hAnsi="Arial"/>
          <w:sz w:val="19"/>
          <w:szCs w:val="19"/>
          <w:b w:val="1"/>
          <w:bCs w:val="1"/>
          <w:color w:val="auto"/>
        </w:rPr>
        <w:t xml:space="preserve"> </w:t>
      </w:r>
      <w:r>
        <w:rPr>
          <w:rFonts w:ascii="Arial" w:cs="Arial" w:eastAsia="Arial" w:hAnsi="Arial"/>
          <w:sz w:val="19"/>
          <w:szCs w:val="19"/>
          <w:color w:val="auto"/>
        </w:rPr>
        <w:t>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45" w:lineRule="exact"/>
        <w:rPr>
          <w:rFonts w:ascii="Arial" w:cs="Arial" w:eastAsia="Arial" w:hAnsi="Arial"/>
          <w:sz w:val="19"/>
          <w:szCs w:val="19"/>
          <w:b w:val="1"/>
          <w:bCs w:val="1"/>
          <w:color w:val="auto"/>
        </w:rPr>
      </w:pPr>
    </w:p>
    <w:p>
      <w:pPr>
        <w:jc w:val="both"/>
        <w:ind w:firstLine="1304"/>
        <w:spacing w:after="0" w:line="254" w:lineRule="auto"/>
        <w:tabs>
          <w:tab w:leader="none" w:pos="1944" w:val="left"/>
        </w:tabs>
        <w:numPr>
          <w:ilvl w:val="2"/>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on Incentive Stock Options Granted to Ten Percent Stockholders. </w:t>
      </w:r>
      <w:r>
        <w:rPr>
          <w:rFonts w:ascii="Arial" w:cs="Arial" w:eastAsia="Arial" w:hAnsi="Arial"/>
          <w:sz w:val="21"/>
          <w:szCs w:val="21"/>
          <w:color w:val="auto"/>
        </w:rPr>
        <w:t>A Ten</w:t>
      </w:r>
      <w:r>
        <w:rPr>
          <w:rFonts w:ascii="Arial" w:cs="Arial" w:eastAsia="Arial" w:hAnsi="Arial"/>
          <w:sz w:val="21"/>
          <w:szCs w:val="21"/>
          <w:b w:val="1"/>
          <w:bCs w:val="1"/>
          <w:color w:val="auto"/>
        </w:rPr>
        <w:t xml:space="preserve"> </w:t>
      </w:r>
      <w:r>
        <w:rPr>
          <w:rFonts w:ascii="Arial" w:cs="Arial" w:eastAsia="Arial" w:hAnsi="Arial"/>
          <w:sz w:val="21"/>
          <w:szCs w:val="21"/>
          <w:color w:val="auto"/>
        </w:rPr>
        <w:t>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65" w:lineRule="exact"/>
        <w:rPr>
          <w:rFonts w:ascii="Arial" w:cs="Arial" w:eastAsia="Arial" w:hAnsi="Arial"/>
          <w:sz w:val="21"/>
          <w:szCs w:val="21"/>
          <w:b w:val="1"/>
          <w:bCs w:val="1"/>
          <w:color w:val="auto"/>
        </w:rPr>
      </w:pPr>
    </w:p>
    <w:p>
      <w:pPr>
        <w:jc w:val="both"/>
        <w:ind w:firstLine="1304"/>
        <w:spacing w:after="0" w:line="236" w:lineRule="auto"/>
        <w:tabs>
          <w:tab w:leader="none" w:pos="1944" w:val="left"/>
        </w:tabs>
        <w:numPr>
          <w:ilvl w:val="2"/>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Nonstatutory Stock Options and SARs. </w:t>
      </w:r>
      <w:r>
        <w:rPr>
          <w:rFonts w:ascii="Arial" w:cs="Arial" w:eastAsia="Arial" w:hAnsi="Arial"/>
          <w:sz w:val="22"/>
          <w:szCs w:val="22"/>
          <w:color w:val="auto"/>
        </w:rPr>
        <w:t>Nonstatutory Stock Options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81" w:lineRule="exact"/>
        <w:rPr>
          <w:rFonts w:ascii="Arial" w:cs="Arial" w:eastAsia="Arial" w:hAnsi="Arial"/>
          <w:sz w:val="22"/>
          <w:szCs w:val="22"/>
          <w:b w:val="1"/>
          <w:bCs w:val="1"/>
          <w:color w:val="auto"/>
        </w:rPr>
      </w:pPr>
    </w:p>
    <w:p>
      <w:pPr>
        <w:jc w:val="both"/>
        <w:ind w:firstLine="1304"/>
        <w:spacing w:after="0" w:line="275" w:lineRule="auto"/>
        <w:tabs>
          <w:tab w:leader="none" w:pos="1944" w:val="left"/>
        </w:tabs>
        <w:numPr>
          <w:ilvl w:val="2"/>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and Dividend Equivalents. </w:t>
      </w:r>
      <w:r>
        <w:rPr>
          <w:rFonts w:ascii="Arial" w:cs="Arial" w:eastAsia="Arial" w:hAnsi="Arial"/>
          <w:sz w:val="19"/>
          <w:szCs w:val="19"/>
          <w:color w:val="auto"/>
        </w:rPr>
        <w:t>Dividends or dividend equivalents may be paid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as applicable, with respect to any shares of Common Stock subject to an Award, as determined by the Board and contained in the applicable Award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6" w:name="page37"/>
    <w:bookmarkEnd w:id="36"/>
    <w:p>
      <w:pPr>
        <w:spacing w:after="0"/>
        <w:rPr>
          <w:sz w:val="20"/>
          <w:szCs w:val="20"/>
          <w:color w:val="auto"/>
        </w:rPr>
      </w:pPr>
      <w:r>
        <w:rPr>
          <w:rFonts w:ascii="Arial" w:cs="Arial" w:eastAsia="Arial" w:hAnsi="Arial"/>
          <w:sz w:val="21"/>
          <w:szCs w:val="21"/>
          <w:color w:val="auto"/>
        </w:rPr>
        <w:t>the Company due to a failure to meet any vesting conditions under the terms of such Award Agreement.</w:t>
      </w:r>
    </w:p>
    <w:p>
      <w:pPr>
        <w:spacing w:after="0" w:line="212" w:lineRule="exact"/>
        <w:rPr>
          <w:sz w:val="20"/>
          <w:szCs w:val="20"/>
          <w:color w:val="auto"/>
        </w:rPr>
      </w:pPr>
    </w:p>
    <w:p>
      <w:pPr>
        <w:jc w:val="both"/>
        <w:ind w:firstLine="656"/>
        <w:spacing w:after="0" w:line="243" w:lineRule="auto"/>
        <w:tabs>
          <w:tab w:leader="none" w:pos="1296" w:val="left"/>
        </w:tabs>
        <w:numPr>
          <w:ilvl w:val="1"/>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Incentive Stock Option Limit. </w:t>
      </w:r>
      <w:r>
        <w:rPr>
          <w:rFonts w:ascii="Arial" w:cs="Arial" w:eastAsia="Arial" w:hAnsi="Arial"/>
          <w:sz w:val="22"/>
          <w:szCs w:val="22"/>
          <w:color w:val="auto"/>
        </w:rPr>
        <w:t>The aggregate maximum number of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that may be issued pursuant to the exercise of Incentive Stock Options is the number of shares specified in Section 2(c).</w:t>
      </w:r>
    </w:p>
    <w:p>
      <w:pPr>
        <w:spacing w:after="0" w:line="176" w:lineRule="exact"/>
        <w:rPr>
          <w:rFonts w:ascii="Arial" w:cs="Arial" w:eastAsia="Arial" w:hAnsi="Arial"/>
          <w:sz w:val="22"/>
          <w:szCs w:val="22"/>
          <w:b w:val="1"/>
          <w:bCs w:val="1"/>
          <w:color w:val="auto"/>
        </w:rPr>
      </w:pPr>
    </w:p>
    <w:p>
      <w:pPr>
        <w:jc w:val="both"/>
        <w:ind w:firstLine="656"/>
        <w:spacing w:after="0" w:line="280" w:lineRule="auto"/>
        <w:tabs>
          <w:tab w:leader="none" w:pos="1296"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Non-Employee Director Compensation Limit. </w:t>
      </w:r>
      <w:r>
        <w:rPr>
          <w:rFonts w:ascii="Arial" w:cs="Arial" w:eastAsia="Arial" w:hAnsi="Arial"/>
          <w:sz w:val="19"/>
          <w:szCs w:val="19"/>
          <w:color w:val="auto"/>
        </w:rPr>
        <w:t>The aggregate value of all compensation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or 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44" w:lineRule="exact"/>
        <w:rPr>
          <w:rFonts w:ascii="Arial" w:cs="Arial" w:eastAsia="Arial" w:hAnsi="Arial"/>
          <w:sz w:val="19"/>
          <w:szCs w:val="19"/>
          <w:b w:val="1"/>
          <w:bCs w:val="1"/>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OPTIONS AND STOCK APPRECIATION RIGHTS.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4" w:lineRule="exact"/>
        <w:rPr>
          <w:sz w:val="20"/>
          <w:szCs w:val="20"/>
          <w:color w:val="auto"/>
        </w:rPr>
      </w:pPr>
    </w:p>
    <w:p>
      <w:pPr>
        <w:jc w:val="both"/>
        <w:ind w:right="20" w:firstLine="656"/>
        <w:spacing w:after="0" w:line="243" w:lineRule="auto"/>
        <w:tabs>
          <w:tab w:leader="none" w:pos="1296"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Subject to Section 3(b) regarding Ten Percent Stockholders, no Option or SAR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exercisable after the expiration of ten years from the date of grant of such Award or such shorter period specified in the Award Agreement.</w:t>
      </w:r>
    </w:p>
    <w:p>
      <w:pPr>
        <w:spacing w:after="0" w:line="176" w:lineRule="exact"/>
        <w:rPr>
          <w:rFonts w:ascii="Arial" w:cs="Arial" w:eastAsia="Arial" w:hAnsi="Arial"/>
          <w:sz w:val="22"/>
          <w:szCs w:val="22"/>
          <w:b w:val="1"/>
          <w:bCs w:val="1"/>
          <w:color w:val="auto"/>
        </w:rPr>
      </w:pPr>
    </w:p>
    <w:p>
      <w:pPr>
        <w:jc w:val="both"/>
        <w:ind w:firstLine="656"/>
        <w:spacing w:after="0" w:line="280" w:lineRule="auto"/>
        <w:tabs>
          <w:tab w:leader="none" w:pos="129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or Strike Price. </w:t>
      </w:r>
      <w:r>
        <w:rPr>
          <w:rFonts w:ascii="Arial" w:cs="Arial" w:eastAsia="Arial" w:hAnsi="Arial"/>
          <w:sz w:val="19"/>
          <w:szCs w:val="19"/>
          <w:color w:val="auto"/>
        </w:rPr>
        <w:t>Subject to Section 3(b) regarding Ten Percent Stockholders, the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44" w:lineRule="exact"/>
        <w:rPr>
          <w:rFonts w:ascii="Arial" w:cs="Arial" w:eastAsia="Arial" w:hAnsi="Arial"/>
          <w:sz w:val="19"/>
          <w:szCs w:val="19"/>
          <w:b w:val="1"/>
          <w:bCs w:val="1"/>
          <w:color w:val="auto"/>
        </w:rPr>
      </w:pPr>
    </w:p>
    <w:p>
      <w:pPr>
        <w:jc w:val="both"/>
        <w:ind w:firstLine="656"/>
        <w:spacing w:after="0" w:line="280" w:lineRule="auto"/>
        <w:tabs>
          <w:tab w:leader="none" w:pos="129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Exercise Price for Options. </w:t>
      </w:r>
      <w:r>
        <w:rPr>
          <w:rFonts w:ascii="Arial" w:cs="Arial" w:eastAsia="Arial" w:hAnsi="Arial"/>
          <w:sz w:val="19"/>
          <w:szCs w:val="19"/>
          <w:color w:val="auto"/>
        </w:rPr>
        <w:t>In order to exercise an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 w:name="page38"/>
    <w:bookmarkEnd w:id="37"/>
    <w:p>
      <w:pPr>
        <w:spacing w:after="0" w:line="251" w:lineRule="auto"/>
        <w:rPr>
          <w:sz w:val="20"/>
          <w:szCs w:val="20"/>
          <w:color w:val="auto"/>
        </w:rPr>
      </w:pPr>
      <w:r>
        <w:rPr>
          <w:rFonts w:ascii="Arial" w:cs="Arial" w:eastAsia="Arial" w:hAnsi="Arial"/>
          <w:sz w:val="22"/>
          <w:szCs w:val="22"/>
          <w:color w:val="auto"/>
        </w:rPr>
        <w:t>determined by the Board, by one or more of the following methods of payment to the extent set forth in the Option Agreement:</w:t>
      </w:r>
    </w:p>
    <w:p>
      <w:pPr>
        <w:spacing w:after="0" w:line="173" w:lineRule="exact"/>
        <w:rPr>
          <w:sz w:val="20"/>
          <w:szCs w:val="20"/>
          <w:color w:val="auto"/>
        </w:rPr>
      </w:pPr>
    </w:p>
    <w:p>
      <w:pPr>
        <w:ind w:left="1960" w:hanging="575"/>
        <w:spacing w:after="0"/>
        <w:tabs>
          <w:tab w:leader="none" w:pos="1960"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by cash or check, bank draft or money order payable to the Company;</w:t>
      </w:r>
    </w:p>
    <w:p>
      <w:pPr>
        <w:spacing w:after="0" w:line="206" w:lineRule="exact"/>
        <w:rPr>
          <w:rFonts w:ascii="Arial" w:cs="Arial" w:eastAsia="Arial" w:hAnsi="Arial"/>
          <w:sz w:val="22"/>
          <w:szCs w:val="22"/>
          <w:b w:val="1"/>
          <w:bCs w:val="1"/>
          <w:color w:val="auto"/>
        </w:rPr>
      </w:pPr>
    </w:p>
    <w:p>
      <w:pPr>
        <w:jc w:val="both"/>
        <w:ind w:left="80" w:firstLine="1305"/>
        <w:spacing w:after="0" w:line="238" w:lineRule="auto"/>
        <w:tabs>
          <w:tab w:leader="none" w:pos="1943"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4" w:lineRule="exact"/>
        <w:rPr>
          <w:rFonts w:ascii="Arial" w:cs="Arial" w:eastAsia="Arial" w:hAnsi="Arial"/>
          <w:sz w:val="22"/>
          <w:szCs w:val="22"/>
          <w:b w:val="1"/>
          <w:bCs w:val="1"/>
          <w:color w:val="auto"/>
        </w:rPr>
      </w:pPr>
    </w:p>
    <w:p>
      <w:pPr>
        <w:jc w:val="both"/>
        <w:ind w:left="80" w:firstLine="1305"/>
        <w:spacing w:after="0" w:line="273" w:lineRule="auto"/>
        <w:tabs>
          <w:tab w:leader="none" w:pos="1943" w:val="left"/>
        </w:tabs>
        <w:numPr>
          <w:ilvl w:val="2"/>
          <w:numId w:val="20"/>
        </w:numPr>
        <w:rPr>
          <w:rFonts w:ascii="Arial" w:cs="Arial" w:eastAsia="Arial" w:hAnsi="Arial"/>
          <w:sz w:val="19"/>
          <w:szCs w:val="19"/>
          <w:b w:val="1"/>
          <w:bCs w:val="1"/>
          <w:color w:val="auto"/>
        </w:rPr>
      </w:pPr>
      <w:r>
        <w:rPr>
          <w:rFonts w:ascii="Arial" w:cs="Arial" w:eastAsia="Arial" w:hAnsi="Arial"/>
          <w:sz w:val="19"/>
          <w:szCs w:val="19"/>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w:t>
      </w:r>
    </w:p>
    <w:p>
      <w:pPr>
        <w:spacing w:after="0" w:line="1" w:lineRule="exact"/>
        <w:rPr>
          <w:rFonts w:ascii="Arial" w:cs="Arial" w:eastAsia="Arial" w:hAnsi="Arial"/>
          <w:sz w:val="19"/>
          <w:szCs w:val="19"/>
          <w:b w:val="1"/>
          <w:bCs w:val="1"/>
          <w:color w:val="auto"/>
        </w:rPr>
      </w:pPr>
    </w:p>
    <w:p>
      <w:pPr>
        <w:jc w:val="both"/>
        <w:ind w:left="80" w:firstLine="9"/>
        <w:spacing w:after="0" w:line="266" w:lineRule="auto"/>
        <w:tabs>
          <w:tab w:leader="none" w:pos="394" w:val="left"/>
        </w:tabs>
        <w:numPr>
          <w:ilvl w:val="0"/>
          <w:numId w:val="21"/>
        </w:numPr>
        <w:rPr>
          <w:rFonts w:ascii="Arial" w:cs="Arial" w:eastAsia="Arial" w:hAnsi="Arial"/>
          <w:sz w:val="19"/>
          <w:szCs w:val="19"/>
          <w:color w:val="auto"/>
        </w:rPr>
      </w:pPr>
      <w:r>
        <w:rPr>
          <w:rFonts w:ascii="Arial" w:cs="Arial" w:eastAsia="Arial" w:hAnsi="Arial"/>
          <w:sz w:val="19"/>
          <w:szCs w:val="19"/>
          <w:color w:val="auto"/>
        </w:rPr>
        <w:t>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w:t>
      </w:r>
    </w:p>
    <w:p>
      <w:pPr>
        <w:spacing w:after="0" w:line="2" w:lineRule="exact"/>
        <w:rPr>
          <w:rFonts w:ascii="Arial" w:cs="Arial" w:eastAsia="Arial" w:hAnsi="Arial"/>
          <w:sz w:val="19"/>
          <w:szCs w:val="19"/>
          <w:color w:val="auto"/>
        </w:rPr>
      </w:pPr>
    </w:p>
    <w:p>
      <w:pPr>
        <w:ind w:left="400" w:hanging="311"/>
        <w:spacing w:after="0"/>
        <w:tabs>
          <w:tab w:leader="none" w:pos="4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certificated shares are endorsed or accompanied by an executed assignment separate from certificate, and</w:t>
      </w:r>
    </w:p>
    <w:p>
      <w:pPr>
        <w:spacing w:after="0" w:line="24" w:lineRule="exact"/>
        <w:rPr>
          <w:rFonts w:ascii="Arial" w:cs="Arial" w:eastAsia="Arial" w:hAnsi="Arial"/>
          <w:sz w:val="19"/>
          <w:szCs w:val="19"/>
          <w:color w:val="auto"/>
        </w:rPr>
      </w:pPr>
    </w:p>
    <w:p>
      <w:pPr>
        <w:ind w:left="80" w:firstLine="9"/>
        <w:spacing w:after="0" w:line="236" w:lineRule="auto"/>
        <w:tabs>
          <w:tab w:leader="none" w:pos="39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such shares have been held by the Participant for any minimum period necessary to avoid adverse accounting treatment as a result of such delivery;</w:t>
      </w:r>
    </w:p>
    <w:p>
      <w:pPr>
        <w:spacing w:after="0" w:line="186" w:lineRule="exact"/>
        <w:rPr>
          <w:rFonts w:ascii="Arial" w:cs="Arial" w:eastAsia="Arial" w:hAnsi="Arial"/>
          <w:sz w:val="22"/>
          <w:szCs w:val="22"/>
          <w:color w:val="auto"/>
        </w:rPr>
      </w:pPr>
    </w:p>
    <w:p>
      <w:pPr>
        <w:jc w:val="both"/>
        <w:ind w:left="80" w:firstLine="1305"/>
        <w:spacing w:after="0" w:line="235" w:lineRule="auto"/>
        <w:tabs>
          <w:tab w:leader="none" w:pos="1943" w:val="left"/>
        </w:tabs>
        <w:numPr>
          <w:ilvl w:val="2"/>
          <w:numId w:val="22"/>
        </w:numPr>
        <w:rPr>
          <w:rFonts w:ascii="Arial" w:cs="Arial" w:eastAsia="Arial" w:hAnsi="Arial"/>
          <w:sz w:val="22"/>
          <w:szCs w:val="22"/>
          <w:b w:val="1"/>
          <w:bCs w:val="1"/>
          <w:color w:val="auto"/>
        </w:rPr>
      </w:pPr>
      <w:r>
        <w:rPr>
          <w:rFonts w:ascii="Arial" w:cs="Arial" w:eastAsia="Arial" w:hAnsi="Arial"/>
          <w:sz w:val="22"/>
          <w:szCs w:val="22"/>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7" w:lineRule="exact"/>
        <w:rPr>
          <w:rFonts w:ascii="Arial" w:cs="Arial" w:eastAsia="Arial" w:hAnsi="Arial"/>
          <w:sz w:val="22"/>
          <w:szCs w:val="22"/>
          <w:b w:val="1"/>
          <w:bCs w:val="1"/>
          <w:color w:val="auto"/>
        </w:rPr>
      </w:pPr>
    </w:p>
    <w:p>
      <w:pPr>
        <w:ind w:left="80" w:firstLine="1305"/>
        <w:spacing w:after="0" w:line="250" w:lineRule="auto"/>
        <w:tabs>
          <w:tab w:leader="none" w:pos="1943" w:val="left"/>
        </w:tabs>
        <w:numPr>
          <w:ilvl w:val="2"/>
          <w:numId w:val="22"/>
        </w:numPr>
        <w:rPr>
          <w:rFonts w:ascii="Arial" w:cs="Arial" w:eastAsia="Arial" w:hAnsi="Arial"/>
          <w:sz w:val="22"/>
          <w:szCs w:val="22"/>
          <w:b w:val="1"/>
          <w:bCs w:val="1"/>
          <w:color w:val="auto"/>
        </w:rPr>
      </w:pPr>
      <w:r>
        <w:rPr>
          <w:rFonts w:ascii="Arial" w:cs="Arial" w:eastAsia="Arial" w:hAnsi="Arial"/>
          <w:sz w:val="22"/>
          <w:szCs w:val="22"/>
          <w:color w:val="auto"/>
        </w:rPr>
        <w:t>in any other form of consideration that may be acceptable to the Board and permissible under Applicable Law.</w:t>
      </w:r>
    </w:p>
    <w:p>
      <w:pPr>
        <w:spacing w:after="0" w:line="168" w:lineRule="exact"/>
        <w:rPr>
          <w:rFonts w:ascii="Arial" w:cs="Arial" w:eastAsia="Arial" w:hAnsi="Arial"/>
          <w:sz w:val="22"/>
          <w:szCs w:val="22"/>
          <w:b w:val="1"/>
          <w:bCs w:val="1"/>
          <w:color w:val="auto"/>
        </w:rPr>
      </w:pPr>
    </w:p>
    <w:p>
      <w:pPr>
        <w:jc w:val="both"/>
        <w:ind w:firstLine="656"/>
        <w:spacing w:after="0" w:line="276" w:lineRule="auto"/>
        <w:tabs>
          <w:tab w:leader="none" w:pos="1296" w:val="left"/>
        </w:tabs>
        <w:numPr>
          <w:ilvl w:val="1"/>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49" w:lineRule="exact"/>
        <w:rPr>
          <w:rFonts w:ascii="Arial" w:cs="Arial" w:eastAsia="Arial" w:hAnsi="Arial"/>
          <w:sz w:val="19"/>
          <w:szCs w:val="19"/>
          <w:b w:val="1"/>
          <w:bCs w:val="1"/>
          <w:color w:val="auto"/>
        </w:rPr>
      </w:pPr>
    </w:p>
    <w:p>
      <w:pPr>
        <w:jc w:val="both"/>
        <w:ind w:firstLine="656"/>
        <w:spacing w:after="0" w:line="243" w:lineRule="auto"/>
        <w:tabs>
          <w:tab w:leader="none" w:pos="1296" w:val="left"/>
        </w:tabs>
        <w:numPr>
          <w:ilvl w:val="1"/>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Options and SARs may not be transferred to third party financial institutions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value. The Board may impose such additional limitations on the transferability of an Option or SAR as it determines. In the absence of any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 w:name="page39"/>
    <w:bookmarkEnd w:id="38"/>
    <w:p>
      <w:pPr>
        <w:jc w:val="both"/>
        <w:spacing w:after="0" w:line="238" w:lineRule="auto"/>
        <w:rPr>
          <w:sz w:val="20"/>
          <w:szCs w:val="20"/>
          <w:color w:val="auto"/>
        </w:rPr>
      </w:pPr>
      <w:r>
        <w:rPr>
          <w:rFonts w:ascii="Arial" w:cs="Arial" w:eastAsia="Arial" w:hAnsi="Arial"/>
          <w:sz w:val="22"/>
          <w:szCs w:val="22"/>
          <w:color w:val="auto"/>
        </w:rPr>
        <w:t xml:space="preserve">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if an Option is an Incentive Stock Option, such Option may be deemed to be a Nonstatutory</w:t>
      </w:r>
      <w:r>
        <w:rPr>
          <w:rFonts w:ascii="Arial" w:cs="Arial" w:eastAsia="Arial" w:hAnsi="Arial"/>
          <w:sz w:val="22"/>
          <w:szCs w:val="22"/>
          <w:i w:val="1"/>
          <w:iCs w:val="1"/>
          <w:color w:val="auto"/>
        </w:rPr>
        <w:t xml:space="preserve"> </w:t>
      </w:r>
      <w:r>
        <w:rPr>
          <w:rFonts w:ascii="Arial" w:cs="Arial" w:eastAsia="Arial" w:hAnsi="Arial"/>
          <w:sz w:val="22"/>
          <w:szCs w:val="22"/>
          <w:color w:val="auto"/>
        </w:rPr>
        <w:t>Stock Option as a result of such transfer:</w:t>
      </w:r>
    </w:p>
    <w:p>
      <w:pPr>
        <w:spacing w:after="0" w:line="179" w:lineRule="exact"/>
        <w:rPr>
          <w:sz w:val="20"/>
          <w:szCs w:val="20"/>
          <w:color w:val="auto"/>
        </w:rPr>
      </w:pPr>
    </w:p>
    <w:p>
      <w:pPr>
        <w:jc w:val="both"/>
        <w:ind w:left="80" w:firstLine="1305"/>
        <w:spacing w:after="0" w:line="278" w:lineRule="auto"/>
        <w:tabs>
          <w:tab w:leader="none" w:pos="1943"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w:t>
      </w:r>
      <w:r>
        <w:rPr>
          <w:rFonts w:ascii="Arial" w:cs="Arial" w:eastAsia="Arial" w:hAnsi="Arial"/>
          <w:sz w:val="19"/>
          <w:szCs w:val="19"/>
          <w:b w:val="1"/>
          <w:bCs w:val="1"/>
          <w:color w:val="auto"/>
        </w:rPr>
        <w:t xml:space="preserve"> </w:t>
      </w:r>
      <w:r>
        <w:rPr>
          <w:rFonts w:ascii="Arial" w:cs="Arial" w:eastAsia="Arial" w:hAnsi="Arial"/>
          <w:sz w:val="19"/>
          <w:szCs w:val="19"/>
          <w:color w:val="auto"/>
        </w:rPr>
        <w:t>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5" w:lineRule="exact"/>
        <w:rPr>
          <w:rFonts w:ascii="Arial" w:cs="Arial" w:eastAsia="Arial" w:hAnsi="Arial"/>
          <w:sz w:val="19"/>
          <w:szCs w:val="19"/>
          <w:b w:val="1"/>
          <w:bCs w:val="1"/>
          <w:color w:val="auto"/>
        </w:rPr>
      </w:pPr>
    </w:p>
    <w:p>
      <w:pPr>
        <w:jc w:val="both"/>
        <w:ind w:left="80" w:firstLine="1305"/>
        <w:spacing w:after="0" w:line="260" w:lineRule="auto"/>
        <w:tabs>
          <w:tab w:leader="none" w:pos="1943" w:val="left"/>
        </w:tabs>
        <w:numPr>
          <w:ilvl w:val="1"/>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Domestic Relations Orders. </w:t>
      </w:r>
      <w:r>
        <w:rPr>
          <w:rFonts w:ascii="Arial" w:cs="Arial" w:eastAsia="Arial" w:hAnsi="Arial"/>
          <w:sz w:val="21"/>
          <w:szCs w:val="21"/>
          <w:color w:val="auto"/>
        </w:rPr>
        <w:t>Notwithstanding the foregoing, subject to the execution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documentation in a format acceptable to the Company and subject to the approval of the Board or a duly authorized Officer, an Option or SAR may be transferred pursuant to a domestic relations order.</w:t>
      </w:r>
    </w:p>
    <w:p>
      <w:pPr>
        <w:spacing w:after="0" w:line="160"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Board may impose such restrictions on or conditions to the vesting and/or</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rFonts w:ascii="Arial" w:cs="Arial" w:eastAsia="Arial" w:hAnsi="Arial"/>
          <w:sz w:val="22"/>
          <w:szCs w:val="22"/>
          <w:b w:val="1"/>
          <w:bCs w:val="1"/>
          <w:color w:val="auto"/>
        </w:rPr>
      </w:pPr>
    </w:p>
    <w:p>
      <w:pPr>
        <w:jc w:val="both"/>
        <w:ind w:firstLine="656"/>
        <w:spacing w:after="0" w:line="278" w:lineRule="auto"/>
        <w:tabs>
          <w:tab w:leader="none" w:pos="129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for Cause. </w:t>
      </w:r>
      <w:r>
        <w:rPr>
          <w:rFonts w:ascii="Arial" w:cs="Arial" w:eastAsia="Arial" w:hAnsi="Arial"/>
          <w:sz w:val="19"/>
          <w:szCs w:val="19"/>
          <w:color w:val="auto"/>
        </w:rPr>
        <w:t>Except as explicitly otherwise provided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45" w:lineRule="exact"/>
        <w:rPr>
          <w:rFonts w:ascii="Arial" w:cs="Arial" w:eastAsia="Arial" w:hAnsi="Arial"/>
          <w:sz w:val="19"/>
          <w:szCs w:val="19"/>
          <w:b w:val="1"/>
          <w:bCs w:val="1"/>
          <w:color w:val="auto"/>
        </w:rPr>
      </w:pPr>
    </w:p>
    <w:p>
      <w:pPr>
        <w:jc w:val="both"/>
        <w:ind w:firstLine="656"/>
        <w:spacing w:after="0" w:line="280" w:lineRule="auto"/>
        <w:tabs>
          <w:tab w:leader="none" w:pos="129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Post-Termination Exercise Period Following Termination of Continuous Service for Reasons Other than Cause. </w:t>
      </w:r>
      <w:r>
        <w:rPr>
          <w:rFonts w:ascii="Arial" w:cs="Arial" w:eastAsia="Arial" w:hAnsi="Arial"/>
          <w:sz w:val="19"/>
          <w:szCs w:val="19"/>
          <w:color w:val="auto"/>
        </w:rPr>
        <w:t>Subject to Section 4(i), if a Participant’s Continuous Service terminates for any reason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50" w:lineRule="exact"/>
        <w:rPr>
          <w:rFonts w:ascii="Arial" w:cs="Arial" w:eastAsia="Arial" w:hAnsi="Arial"/>
          <w:sz w:val="19"/>
          <w:szCs w:val="19"/>
          <w:b w:val="1"/>
          <w:bCs w:val="1"/>
          <w:color w:val="auto"/>
        </w:rPr>
      </w:pPr>
    </w:p>
    <w:p>
      <w:pPr>
        <w:ind w:left="80" w:right="20" w:firstLine="1305"/>
        <w:spacing w:after="0" w:line="250" w:lineRule="auto"/>
        <w:tabs>
          <w:tab w:leader="none" w:pos="1943" w:val="left"/>
        </w:tabs>
        <w:numPr>
          <w:ilvl w:val="1"/>
          <w:numId w:val="24"/>
        </w:numPr>
        <w:rPr>
          <w:rFonts w:ascii="Arial" w:cs="Arial" w:eastAsia="Arial" w:hAnsi="Arial"/>
          <w:sz w:val="22"/>
          <w:szCs w:val="22"/>
          <w:b w:val="1"/>
          <w:bCs w:val="1"/>
          <w:color w:val="auto"/>
        </w:rPr>
      </w:pPr>
      <w:r>
        <w:rPr>
          <w:rFonts w:ascii="Arial" w:cs="Arial" w:eastAsia="Arial" w:hAnsi="Arial"/>
          <w:sz w:val="22"/>
          <w:szCs w:val="22"/>
          <w:color w:val="auto"/>
        </w:rPr>
        <w:t>three months following the date of such termination if such termination is a termination without Cause (other than any termination due to the Participant’s Disability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 w:name="page40"/>
    <w:bookmarkEnd w:id="39"/>
    <w:p>
      <w:pPr>
        <w:ind w:left="80" w:firstLine="1305"/>
        <w:spacing w:after="0" w:line="251" w:lineRule="auto"/>
        <w:tabs>
          <w:tab w:leader="none" w:pos="1943"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12 months following the date of such termination if such termination is due to the Participant’s Disability;</w:t>
      </w:r>
    </w:p>
    <w:p>
      <w:pPr>
        <w:spacing w:after="0" w:line="173" w:lineRule="exact"/>
        <w:rPr>
          <w:rFonts w:ascii="Arial" w:cs="Arial" w:eastAsia="Arial" w:hAnsi="Arial"/>
          <w:sz w:val="22"/>
          <w:szCs w:val="22"/>
          <w:b w:val="1"/>
          <w:bCs w:val="1"/>
          <w:color w:val="auto"/>
        </w:rPr>
      </w:pPr>
    </w:p>
    <w:p>
      <w:pPr>
        <w:ind w:left="80" w:firstLine="1305"/>
        <w:spacing w:after="0" w:line="250" w:lineRule="auto"/>
        <w:tabs>
          <w:tab w:leader="none" w:pos="1943"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18 months following the date of such termination if such termination is due to the Participant’s death; or</w:t>
      </w:r>
    </w:p>
    <w:p>
      <w:pPr>
        <w:spacing w:after="0" w:line="174" w:lineRule="exact"/>
        <w:rPr>
          <w:rFonts w:ascii="Arial" w:cs="Arial" w:eastAsia="Arial" w:hAnsi="Arial"/>
          <w:sz w:val="22"/>
          <w:szCs w:val="22"/>
          <w:b w:val="1"/>
          <w:bCs w:val="1"/>
          <w:color w:val="auto"/>
        </w:rPr>
      </w:pPr>
    </w:p>
    <w:p>
      <w:pPr>
        <w:jc w:val="both"/>
        <w:ind w:left="80" w:firstLine="1305"/>
        <w:spacing w:after="0"/>
        <w:tabs>
          <w:tab w:leader="none" w:pos="1943"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1" w:lineRule="exact"/>
        <w:rPr>
          <w:sz w:val="20"/>
          <w:szCs w:val="20"/>
          <w:color w:val="auto"/>
        </w:rPr>
      </w:pPr>
    </w:p>
    <w:p>
      <w:pPr>
        <w:jc w:val="both"/>
        <w:ind w:firstLine="656"/>
        <w:spacing w:after="0" w:line="272" w:lineRule="auto"/>
        <w:tabs>
          <w:tab w:leader="none" w:pos="129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Exercise; Extension of Exercisability. </w:t>
      </w:r>
      <w:r>
        <w:rPr>
          <w:rFonts w:ascii="Arial" w:cs="Arial" w:eastAsia="Arial" w:hAnsi="Arial"/>
          <w:sz w:val="19"/>
          <w:szCs w:val="19"/>
          <w:color w:val="auto"/>
        </w:rPr>
        <w:t>A Participant may not exercise an Option</w:t>
      </w:r>
      <w:r>
        <w:rPr>
          <w:rFonts w:ascii="Arial" w:cs="Arial" w:eastAsia="Arial" w:hAnsi="Arial"/>
          <w:sz w:val="19"/>
          <w:szCs w:val="19"/>
          <w:b w:val="1"/>
          <w:bCs w:val="1"/>
          <w:color w:val="auto"/>
        </w:rPr>
        <w:t xml:space="preserve"> </w:t>
      </w:r>
      <w:r>
        <w:rPr>
          <w:rFonts w:ascii="Arial" w:cs="Arial" w:eastAsia="Arial" w:hAnsi="Arial"/>
          <w:sz w:val="19"/>
          <w:szCs w:val="19"/>
          <w:color w:val="auto"/>
        </w:rPr>
        <w:t>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55" w:lineRule="exact"/>
        <w:rPr>
          <w:rFonts w:ascii="Arial" w:cs="Arial" w:eastAsia="Arial" w:hAnsi="Arial"/>
          <w:sz w:val="19"/>
          <w:szCs w:val="19"/>
          <w:b w:val="1"/>
          <w:bCs w:val="1"/>
          <w:color w:val="auto"/>
        </w:rPr>
      </w:pPr>
    </w:p>
    <w:p>
      <w:pPr>
        <w:jc w:val="both"/>
        <w:ind w:firstLine="656"/>
        <w:spacing w:after="0" w:line="273" w:lineRule="auto"/>
        <w:tabs>
          <w:tab w:leader="none" w:pos="129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Non-Exempt Employees</w:t>
      </w:r>
      <w:r>
        <w:rPr>
          <w:rFonts w:ascii="Arial" w:cs="Arial" w:eastAsia="Arial" w:hAnsi="Arial"/>
          <w:sz w:val="19"/>
          <w:szCs w:val="19"/>
          <w:color w:val="auto"/>
        </w:rPr>
        <w:t>. No Option or SAR, whether or not vested, granted to an Employee who</w:t>
      </w:r>
      <w:r>
        <w:rPr>
          <w:rFonts w:ascii="Arial" w:cs="Arial" w:eastAsia="Arial" w:hAnsi="Arial"/>
          <w:sz w:val="19"/>
          <w:szCs w:val="19"/>
          <w:b w:val="1"/>
          <w:bCs w:val="1"/>
          <w:color w:val="auto"/>
        </w:rPr>
        <w:t xml:space="preserve"> </w:t>
      </w:r>
      <w:r>
        <w:rPr>
          <w:rFonts w:ascii="Arial" w:cs="Arial" w:eastAsia="Arial" w:hAnsi="Arial"/>
          <w:sz w:val="19"/>
          <w:szCs w:val="19"/>
          <w:color w:val="auto"/>
        </w:rPr>
        <w:t>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ind w:firstLine="656"/>
        <w:spacing w:after="0" w:line="257" w:lineRule="auto"/>
        <w:tabs>
          <w:tab w:leader="none" w:pos="1296"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Whole Shares</w:t>
      </w:r>
      <w:r>
        <w:rPr>
          <w:rFonts w:ascii="Arial" w:cs="Arial" w:eastAsia="Arial" w:hAnsi="Arial"/>
          <w:sz w:val="22"/>
          <w:szCs w:val="22"/>
          <w:color w:val="auto"/>
        </w:rPr>
        <w:t>. Options and SARs may be exercised only with respect to whole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or their equivalents.</w:t>
      </w:r>
    </w:p>
    <w:p>
      <w:pPr>
        <w:spacing w:after="0" w:line="160" w:lineRule="exact"/>
        <w:rPr>
          <w:rFonts w:ascii="Arial" w:cs="Arial" w:eastAsia="Arial" w:hAnsi="Arial"/>
          <w:sz w:val="22"/>
          <w:szCs w:val="22"/>
          <w:b w:val="1"/>
          <w:bCs w:val="1"/>
          <w:color w:val="auto"/>
        </w:rPr>
      </w:pPr>
    </w:p>
    <w:p>
      <w:pPr>
        <w:ind w:left="660" w:hanging="652"/>
        <w:spacing w:after="0"/>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AWARDS OTHER THAN OPTIONS AND STOCK APPRECIATION RIGHTS.</w:t>
      </w:r>
    </w:p>
    <w:p>
      <w:pPr>
        <w:spacing w:after="0" w:line="206" w:lineRule="exact"/>
        <w:rPr>
          <w:rFonts w:ascii="Arial" w:cs="Arial" w:eastAsia="Arial" w:hAnsi="Arial"/>
          <w:sz w:val="22"/>
          <w:szCs w:val="22"/>
          <w:b w:val="1"/>
          <w:bCs w:val="1"/>
          <w:color w:val="auto"/>
        </w:rPr>
      </w:pPr>
    </w:p>
    <w:p>
      <w:pPr>
        <w:jc w:val="both"/>
        <w:ind w:firstLine="656"/>
        <w:spacing w:after="0" w:line="289" w:lineRule="auto"/>
        <w:tabs>
          <w:tab w:leader="none" w:pos="1296"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Awards and RSU Awards. </w:t>
      </w:r>
      <w:r>
        <w:rPr>
          <w:rFonts w:ascii="Arial" w:cs="Arial" w:eastAsia="Arial" w:hAnsi="Arial"/>
          <w:sz w:val="19"/>
          <w:szCs w:val="19"/>
          <w:color w:val="auto"/>
        </w:rPr>
        <w:t>Each Restricted Stock Award and RSU Award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35" w:lineRule="exact"/>
        <w:rPr>
          <w:rFonts w:ascii="Arial" w:cs="Arial" w:eastAsia="Arial" w:hAnsi="Arial"/>
          <w:sz w:val="19"/>
          <w:szCs w:val="19"/>
          <w:b w:val="1"/>
          <w:bCs w:val="1"/>
          <w:color w:val="auto"/>
        </w:rPr>
      </w:pPr>
    </w:p>
    <w:p>
      <w:pPr>
        <w:ind w:left="1960" w:hanging="575"/>
        <w:spacing w:after="0"/>
        <w:tabs>
          <w:tab w:leader="none" w:pos="1960" w:val="left"/>
        </w:tabs>
        <w:numPr>
          <w:ilvl w:val="2"/>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Form of Award.</w:t>
      </w:r>
    </w:p>
    <w:p>
      <w:pPr>
        <w:spacing w:after="0" w:line="212" w:lineRule="exact"/>
        <w:rPr>
          <w:rFonts w:ascii="Arial" w:cs="Arial" w:eastAsia="Arial" w:hAnsi="Arial"/>
          <w:sz w:val="22"/>
          <w:szCs w:val="22"/>
          <w:b w:val="1"/>
          <w:bCs w:val="1"/>
          <w:color w:val="auto"/>
        </w:rPr>
      </w:pPr>
    </w:p>
    <w:p>
      <w:pPr>
        <w:jc w:val="both"/>
        <w:ind w:firstLine="1952"/>
        <w:spacing w:after="0" w:line="248" w:lineRule="auto"/>
        <w:tabs>
          <w:tab w:leader="none" w:pos="2592" w:val="left"/>
        </w:tabs>
        <w:numPr>
          <w:ilvl w:val="3"/>
          <w:numId w:val="28"/>
        </w:numPr>
        <w:rPr>
          <w:rFonts w:ascii="Arial" w:cs="Arial" w:eastAsia="Arial" w:hAnsi="Arial"/>
          <w:sz w:val="21"/>
          <w:szCs w:val="21"/>
          <w:b w:val="1"/>
          <w:bCs w:val="1"/>
          <w:color w:val="auto"/>
        </w:rPr>
      </w:pPr>
      <w:r>
        <w:rPr>
          <w:rFonts w:ascii="Arial" w:cs="Arial" w:eastAsia="Arial" w:hAnsi="Arial"/>
          <w:sz w:val="21"/>
          <w:szCs w:val="21"/>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6" w:lineRule="exact"/>
        <w:rPr>
          <w:rFonts w:ascii="Arial" w:cs="Arial" w:eastAsia="Arial" w:hAnsi="Arial"/>
          <w:sz w:val="21"/>
          <w:szCs w:val="21"/>
          <w:b w:val="1"/>
          <w:bCs w:val="1"/>
          <w:color w:val="auto"/>
        </w:rPr>
      </w:pPr>
    </w:p>
    <w:p>
      <w:pPr>
        <w:jc w:val="both"/>
        <w:ind w:firstLine="1952"/>
        <w:spacing w:after="0" w:line="233" w:lineRule="auto"/>
        <w:tabs>
          <w:tab w:leader="none" w:pos="2592" w:val="left"/>
        </w:tabs>
        <w:numPr>
          <w:ilvl w:val="3"/>
          <w:numId w:val="28"/>
        </w:numPr>
        <w:rPr>
          <w:rFonts w:ascii="Arial" w:cs="Arial" w:eastAsia="Arial" w:hAnsi="Arial"/>
          <w:sz w:val="22"/>
          <w:szCs w:val="22"/>
          <w:b w:val="1"/>
          <w:bCs w:val="1"/>
          <w:color w:val="auto"/>
        </w:rPr>
      </w:pPr>
      <w:r>
        <w:rPr>
          <w:rFonts w:ascii="Arial" w:cs="Arial" w:eastAsia="Arial" w:hAnsi="Arial"/>
          <w:sz w:val="22"/>
          <w:szCs w:val="22"/>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6" w:lineRule="exact"/>
        <w:rPr>
          <w:rFonts w:ascii="Arial" w:cs="Arial" w:eastAsia="Arial" w:hAnsi="Arial"/>
          <w:sz w:val="22"/>
          <w:szCs w:val="22"/>
          <w:b w:val="1"/>
          <w:bCs w:val="1"/>
          <w:color w:val="auto"/>
        </w:rPr>
      </w:pPr>
    </w:p>
    <w:p>
      <w:pPr>
        <w:ind w:left="1960" w:hanging="575"/>
        <w:spacing w:after="0"/>
        <w:tabs>
          <w:tab w:leader="none" w:pos="1960" w:val="left"/>
        </w:tabs>
        <w:numPr>
          <w:ilvl w:val="2"/>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12" w:lineRule="exact"/>
        <w:rPr>
          <w:rFonts w:ascii="Arial" w:cs="Arial" w:eastAsia="Arial" w:hAnsi="Arial"/>
          <w:sz w:val="22"/>
          <w:szCs w:val="22"/>
          <w:b w:val="1"/>
          <w:bCs w:val="1"/>
          <w:color w:val="auto"/>
        </w:rPr>
      </w:pPr>
    </w:p>
    <w:p>
      <w:pPr>
        <w:jc w:val="both"/>
        <w:ind w:firstLine="1952"/>
        <w:spacing w:after="0" w:line="238" w:lineRule="auto"/>
        <w:tabs>
          <w:tab w:leader="none" w:pos="2592" w:val="left"/>
        </w:tabs>
        <w:numPr>
          <w:ilvl w:val="3"/>
          <w:numId w:val="28"/>
        </w:numPr>
        <w:rPr>
          <w:rFonts w:ascii="Arial" w:cs="Arial" w:eastAsia="Arial" w:hAnsi="Arial"/>
          <w:sz w:val="22"/>
          <w:szCs w:val="22"/>
          <w:b w:val="1"/>
          <w:bCs w:val="1"/>
          <w:color w:val="auto"/>
        </w:rPr>
      </w:pPr>
      <w:r>
        <w:rPr>
          <w:rFonts w:ascii="Arial" w:cs="Arial" w:eastAsia="Arial" w:hAnsi="Arial"/>
          <w:sz w:val="22"/>
          <w:szCs w:val="22"/>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84" w:lineRule="exact"/>
        <w:rPr>
          <w:rFonts w:ascii="Arial" w:cs="Arial" w:eastAsia="Arial" w:hAnsi="Arial"/>
          <w:sz w:val="22"/>
          <w:szCs w:val="22"/>
          <w:b w:val="1"/>
          <w:bCs w:val="1"/>
          <w:color w:val="auto"/>
        </w:rPr>
      </w:pPr>
    </w:p>
    <w:p>
      <w:pPr>
        <w:jc w:val="both"/>
        <w:ind w:firstLine="1952"/>
        <w:spacing w:after="0" w:line="246" w:lineRule="auto"/>
        <w:tabs>
          <w:tab w:leader="none" w:pos="2592" w:val="left"/>
        </w:tabs>
        <w:numPr>
          <w:ilvl w:val="3"/>
          <w:numId w:val="28"/>
        </w:numPr>
        <w:rPr>
          <w:rFonts w:ascii="Arial" w:cs="Arial" w:eastAsia="Arial" w:hAnsi="Arial"/>
          <w:sz w:val="21"/>
          <w:szCs w:val="21"/>
          <w:b w:val="1"/>
          <w:bCs w:val="1"/>
          <w:color w:val="auto"/>
        </w:rPr>
      </w:pPr>
      <w:r>
        <w:rPr>
          <w:rFonts w:ascii="Arial" w:cs="Arial" w:eastAsia="Arial" w:hAnsi="Arial"/>
          <w:sz w:val="21"/>
          <w:szCs w:val="21"/>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1" w:name="page42"/>
    <w:bookmarkEnd w:id="41"/>
    <w:p>
      <w:pPr>
        <w:jc w:val="both"/>
        <w:ind w:left="72" w:firstLine="1305"/>
        <w:spacing w:after="0" w:line="289" w:lineRule="auto"/>
        <w:tabs>
          <w:tab w:leader="none" w:pos="1935" w:val="left"/>
        </w:tabs>
        <w:numPr>
          <w:ilvl w:val="2"/>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The Board may impose such restrictions on or conditions to the vesting of a</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36" w:lineRule="exact"/>
        <w:rPr>
          <w:rFonts w:ascii="Arial" w:cs="Arial" w:eastAsia="Arial" w:hAnsi="Arial"/>
          <w:sz w:val="19"/>
          <w:szCs w:val="19"/>
          <w:b w:val="1"/>
          <w:bCs w:val="1"/>
          <w:color w:val="auto"/>
        </w:rPr>
      </w:pPr>
    </w:p>
    <w:p>
      <w:pPr>
        <w:jc w:val="both"/>
        <w:ind w:left="72" w:firstLine="1305"/>
        <w:spacing w:after="0" w:line="276" w:lineRule="auto"/>
        <w:tabs>
          <w:tab w:leader="none" w:pos="1935" w:val="left"/>
        </w:tabs>
        <w:numPr>
          <w:ilvl w:val="2"/>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Except as otherwise provided in the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49" w:lineRule="exact"/>
        <w:rPr>
          <w:rFonts w:ascii="Arial" w:cs="Arial" w:eastAsia="Arial" w:hAnsi="Arial"/>
          <w:sz w:val="19"/>
          <w:szCs w:val="19"/>
          <w:b w:val="1"/>
          <w:bCs w:val="1"/>
          <w:color w:val="auto"/>
        </w:rPr>
      </w:pPr>
    </w:p>
    <w:p>
      <w:pPr>
        <w:jc w:val="both"/>
        <w:ind w:left="72" w:firstLine="1305"/>
        <w:spacing w:after="0" w:line="300" w:lineRule="auto"/>
        <w:tabs>
          <w:tab w:leader="none" w:pos="1935" w:val="left"/>
        </w:tabs>
        <w:numPr>
          <w:ilvl w:val="2"/>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and Dividend Equivalents. </w:t>
      </w:r>
      <w:r>
        <w:rPr>
          <w:rFonts w:ascii="Arial" w:cs="Arial" w:eastAsia="Arial" w:hAnsi="Arial"/>
          <w:sz w:val="19"/>
          <w:szCs w:val="19"/>
          <w:color w:val="auto"/>
        </w:rPr>
        <w:t>Subject to Section 3(b)(v), dividends or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may be paid or credited, as applicable, with respect to any shares of Common Stock subject to a Restricted Stock Award or RSU Award, as determined by the Board and specified in the Award Agreement.</w:t>
      </w:r>
    </w:p>
    <w:p>
      <w:pPr>
        <w:spacing w:after="0" w:line="125" w:lineRule="exact"/>
        <w:rPr>
          <w:rFonts w:ascii="Arial" w:cs="Arial" w:eastAsia="Arial" w:hAnsi="Arial"/>
          <w:sz w:val="19"/>
          <w:szCs w:val="19"/>
          <w:b w:val="1"/>
          <w:bCs w:val="1"/>
          <w:color w:val="auto"/>
        </w:rPr>
      </w:pPr>
    </w:p>
    <w:p>
      <w:pPr>
        <w:jc w:val="both"/>
        <w:ind w:left="72" w:firstLine="1305"/>
        <w:spacing w:after="0" w:line="289" w:lineRule="auto"/>
        <w:tabs>
          <w:tab w:leader="none" w:pos="1935" w:val="left"/>
        </w:tabs>
        <w:numPr>
          <w:ilvl w:val="2"/>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Settlement of RSU Awards</w:t>
      </w:r>
      <w:r>
        <w:rPr>
          <w:rFonts w:ascii="Arial" w:cs="Arial" w:eastAsia="Arial" w:hAnsi="Arial"/>
          <w:sz w:val="19"/>
          <w:szCs w:val="19"/>
          <w:color w:val="auto"/>
        </w:rPr>
        <w:t>. A RSU Award may be settled by the issuance of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35" w:lineRule="exact"/>
        <w:rPr>
          <w:rFonts w:ascii="Arial" w:cs="Arial" w:eastAsia="Arial" w:hAnsi="Arial"/>
          <w:sz w:val="19"/>
          <w:szCs w:val="19"/>
          <w:b w:val="1"/>
          <w:bCs w:val="1"/>
          <w:color w:val="auto"/>
        </w:rPr>
      </w:pPr>
    </w:p>
    <w:p>
      <w:pPr>
        <w:jc w:val="both"/>
        <w:ind w:left="-8" w:firstLine="656"/>
        <w:spacing w:after="0" w:line="239" w:lineRule="auto"/>
        <w:tabs>
          <w:tab w:leader="none" w:pos="1288"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Awards</w:t>
      </w:r>
      <w:r>
        <w:rPr>
          <w:rFonts w:ascii="Arial" w:cs="Arial" w:eastAsia="Arial" w:hAnsi="Arial"/>
          <w:sz w:val="22"/>
          <w:szCs w:val="22"/>
          <w:color w:val="auto"/>
        </w:rPr>
        <w:t>. With respect to any Performance Award, the length of any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the Performance Goals to be achieved during the Performance Period, the other terms and conditions of such Award, and the measure of whether and to what degree such Performance Goals have been attained will be determined by the Board.</w:t>
      </w:r>
    </w:p>
    <w:p>
      <w:pPr>
        <w:spacing w:after="0" w:line="180" w:lineRule="exact"/>
        <w:rPr>
          <w:rFonts w:ascii="Arial" w:cs="Arial" w:eastAsia="Arial" w:hAnsi="Arial"/>
          <w:sz w:val="22"/>
          <w:szCs w:val="22"/>
          <w:b w:val="1"/>
          <w:bCs w:val="1"/>
          <w:color w:val="auto"/>
        </w:rPr>
      </w:pPr>
    </w:p>
    <w:p>
      <w:pPr>
        <w:jc w:val="both"/>
        <w:ind w:left="-8" w:firstLine="656"/>
        <w:spacing w:after="0" w:line="234" w:lineRule="auto"/>
        <w:tabs>
          <w:tab w:leader="none" w:pos="1288"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Other Awards</w:t>
      </w:r>
      <w:r>
        <w:rPr>
          <w:rFonts w:ascii="Arial" w:cs="Arial" w:eastAsia="Arial" w:hAnsi="Arial"/>
          <w:sz w:val="22"/>
          <w:szCs w:val="22"/>
          <w:color w:val="auto"/>
        </w:rPr>
        <w:t>. Other forms of Awards valued in whole or in part by reference to,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6" w:lineRule="exact"/>
        <w:rPr>
          <w:rFonts w:ascii="Arial" w:cs="Arial" w:eastAsia="Arial" w:hAnsi="Arial"/>
          <w:sz w:val="22"/>
          <w:szCs w:val="22"/>
          <w:b w:val="1"/>
          <w:bCs w:val="1"/>
          <w:color w:val="auto"/>
        </w:rPr>
      </w:pPr>
    </w:p>
    <w:p>
      <w:pPr>
        <w:ind w:left="652" w:hanging="652"/>
        <w:spacing w:after="0"/>
        <w:tabs>
          <w:tab w:leader="none" w:pos="652"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COMMON STOCK; OTHER CORPORATE EVENTS.</w:t>
      </w:r>
    </w:p>
    <w:p>
      <w:pPr>
        <w:spacing w:after="0" w:line="206" w:lineRule="exact"/>
        <w:rPr>
          <w:rFonts w:ascii="Arial" w:cs="Arial" w:eastAsia="Arial" w:hAnsi="Arial"/>
          <w:sz w:val="22"/>
          <w:szCs w:val="22"/>
          <w:b w:val="1"/>
          <w:bCs w:val="1"/>
          <w:color w:val="auto"/>
        </w:rPr>
      </w:pPr>
    </w:p>
    <w:p>
      <w:pPr>
        <w:ind w:left="-8" w:right="20" w:firstLine="656"/>
        <w:spacing w:after="0" w:line="256" w:lineRule="auto"/>
        <w:tabs>
          <w:tab w:leader="none" w:pos="1288" w:val="left"/>
        </w:tabs>
        <w:numPr>
          <w:ilvl w:val="1"/>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Capitalization Adjustments</w:t>
      </w:r>
      <w:r>
        <w:rPr>
          <w:rFonts w:ascii="Arial" w:cs="Arial" w:eastAsia="Arial" w:hAnsi="Arial"/>
          <w:sz w:val="22"/>
          <w:szCs w:val="22"/>
          <w:color w:val="auto"/>
        </w:rPr>
        <w:t>. In the event of a Capitalization Adjustment, the Board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appropriately and proportionately adjust: (i) the class(es) and maximum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9"/>
          <w:szCs w:val="19"/>
          <w:color w:val="auto"/>
        </w:rPr>
        <w:t>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52" w:lineRule="exact"/>
        <w:rPr>
          <w:sz w:val="20"/>
          <w:szCs w:val="20"/>
          <w:color w:val="auto"/>
        </w:rPr>
      </w:pPr>
    </w:p>
    <w:p>
      <w:pPr>
        <w:jc w:val="both"/>
        <w:ind w:firstLine="656"/>
        <w:spacing w:after="0" w:line="245" w:lineRule="auto"/>
        <w:tabs>
          <w:tab w:leader="none" w:pos="1296"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Dissolution or Liquidation</w:t>
      </w:r>
      <w:r>
        <w:rPr>
          <w:rFonts w:ascii="Arial" w:cs="Arial" w:eastAsia="Arial" w:hAnsi="Arial"/>
          <w:sz w:val="21"/>
          <w:szCs w:val="21"/>
          <w:color w:val="auto"/>
        </w:rPr>
        <w:t>. Except as otherwise provided in the Award Agreement, in the event</w:t>
      </w:r>
      <w:r>
        <w:rPr>
          <w:rFonts w:ascii="Arial" w:cs="Arial" w:eastAsia="Arial" w:hAnsi="Arial"/>
          <w:sz w:val="21"/>
          <w:szCs w:val="21"/>
          <w:b w:val="1"/>
          <w:bCs w:val="1"/>
          <w:color w:val="auto"/>
        </w:rPr>
        <w:t xml:space="preserve"> </w:t>
      </w:r>
      <w:r>
        <w:rPr>
          <w:rFonts w:ascii="Arial" w:cs="Arial" w:eastAsia="Arial" w:hAnsi="Arial"/>
          <w:sz w:val="21"/>
          <w:szCs w:val="21"/>
          <w:color w:val="auto"/>
        </w:rPr>
        <w:t>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0"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Transaction. </w:t>
      </w:r>
      <w:r>
        <w:rPr>
          <w:rFonts w:ascii="Arial" w:cs="Arial" w:eastAsia="Arial" w:hAnsi="Arial"/>
          <w:sz w:val="22"/>
          <w:szCs w:val="22"/>
          <w:color w:val="auto"/>
        </w:rPr>
        <w:t>The following provisions will apply to Awards in the event of a</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180" w:lineRule="exact"/>
        <w:rPr>
          <w:rFonts w:ascii="Arial" w:cs="Arial" w:eastAsia="Arial" w:hAnsi="Arial"/>
          <w:sz w:val="22"/>
          <w:szCs w:val="22"/>
          <w:b w:val="1"/>
          <w:bCs w:val="1"/>
          <w:color w:val="auto"/>
        </w:rPr>
      </w:pPr>
    </w:p>
    <w:p>
      <w:pPr>
        <w:jc w:val="both"/>
        <w:ind w:left="80" w:firstLine="1305"/>
        <w:spacing w:after="0" w:line="245" w:lineRule="auto"/>
        <w:tabs>
          <w:tab w:leader="none" w:pos="1943" w:val="left"/>
        </w:tabs>
        <w:numPr>
          <w:ilvl w:val="1"/>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Awards May Be Assumed. </w:t>
      </w:r>
      <w:r>
        <w:rPr>
          <w:rFonts w:ascii="Arial" w:cs="Arial" w:eastAsia="Arial" w:hAnsi="Arial"/>
          <w:sz w:val="21"/>
          <w:szCs w:val="21"/>
          <w:color w:val="auto"/>
        </w:rPr>
        <w:t>In the event of a Corporate Transaction, any surviving</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7" w:lineRule="exact"/>
        <w:rPr>
          <w:rFonts w:ascii="Arial" w:cs="Arial" w:eastAsia="Arial" w:hAnsi="Arial"/>
          <w:sz w:val="21"/>
          <w:szCs w:val="21"/>
          <w:b w:val="1"/>
          <w:bCs w:val="1"/>
          <w:color w:val="auto"/>
        </w:rPr>
      </w:pPr>
    </w:p>
    <w:p>
      <w:pPr>
        <w:jc w:val="both"/>
        <w:ind w:left="80" w:firstLine="1305"/>
        <w:spacing w:after="0" w:line="236" w:lineRule="auto"/>
        <w:tabs>
          <w:tab w:leader="none" w:pos="1943"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Awards Held by Current Participants. </w:t>
      </w:r>
      <w:r>
        <w:rPr>
          <w:rFonts w:ascii="Arial" w:cs="Arial" w:eastAsia="Arial" w:hAnsi="Arial"/>
          <w:sz w:val="22"/>
          <w:szCs w:val="22"/>
          <w:color w:val="auto"/>
        </w:rPr>
        <w:t>In the event of a Corporate Transaction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22"/>
          <w:szCs w:val="22"/>
          <w:b w:val="1"/>
          <w:bCs w:val="1"/>
          <w:i w:val="1"/>
          <w:iCs w:val="1"/>
          <w:color w:val="auto"/>
        </w:rPr>
        <w:t>Current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Participants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3" w:name="page44"/>
    <w:bookmarkEnd w:id="43"/>
    <w:p>
      <w:pPr>
        <w:jc w:val="both"/>
        <w:ind w:left="80"/>
        <w:spacing w:after="0" w:line="271" w:lineRule="auto"/>
        <w:rPr>
          <w:sz w:val="20"/>
          <w:szCs w:val="20"/>
          <w:color w:val="auto"/>
        </w:rPr>
      </w:pPr>
      <w:r>
        <w:rPr>
          <w:rFonts w:ascii="Arial" w:cs="Arial" w:eastAsia="Arial" w:hAnsi="Arial"/>
          <w:sz w:val="19"/>
          <w:szCs w:val="19"/>
          <w:color w:val="auto"/>
        </w:rPr>
        <w:t>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200" w:lineRule="exact"/>
        <w:rPr>
          <w:sz w:val="20"/>
          <w:szCs w:val="20"/>
          <w:color w:val="auto"/>
        </w:rPr>
      </w:pPr>
    </w:p>
    <w:p>
      <w:pPr>
        <w:spacing w:after="0" w:line="205" w:lineRule="exact"/>
        <w:rPr>
          <w:sz w:val="20"/>
          <w:szCs w:val="20"/>
          <w:color w:val="auto"/>
        </w:rPr>
      </w:pPr>
    </w:p>
    <w:p>
      <w:pPr>
        <w:jc w:val="both"/>
        <w:ind w:left="80" w:firstLine="1305"/>
        <w:spacing w:after="0" w:line="278" w:lineRule="auto"/>
        <w:tabs>
          <w:tab w:leader="none" w:pos="1943"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Held by Persons other than Current Participants. </w:t>
      </w:r>
      <w:r>
        <w:rPr>
          <w:rFonts w:ascii="Arial" w:cs="Arial" w:eastAsia="Arial" w:hAnsi="Arial"/>
          <w:sz w:val="19"/>
          <w:szCs w:val="19"/>
          <w:color w:val="auto"/>
        </w:rPr>
        <w:t>In the event of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45" w:lineRule="exact"/>
        <w:rPr>
          <w:rFonts w:ascii="Arial" w:cs="Arial" w:eastAsia="Arial" w:hAnsi="Arial"/>
          <w:sz w:val="19"/>
          <w:szCs w:val="19"/>
          <w:b w:val="1"/>
          <w:bCs w:val="1"/>
          <w:color w:val="auto"/>
        </w:rPr>
      </w:pPr>
    </w:p>
    <w:p>
      <w:pPr>
        <w:jc w:val="both"/>
        <w:ind w:left="80" w:firstLine="1305"/>
        <w:spacing w:after="0" w:line="247" w:lineRule="auto"/>
        <w:tabs>
          <w:tab w:leader="none" w:pos="1943" w:val="left"/>
        </w:tabs>
        <w:numPr>
          <w:ilvl w:val="1"/>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for Awards in Lieu of Exercise. </w:t>
      </w:r>
      <w:r>
        <w:rPr>
          <w:rFonts w:ascii="Arial" w:cs="Arial" w:eastAsia="Arial" w:hAnsi="Arial"/>
          <w:sz w:val="21"/>
          <w:szCs w:val="21"/>
          <w:color w:val="auto"/>
        </w:rPr>
        <w:t>Notwithstanding the foregoing, in the event an</w:t>
      </w:r>
      <w:r>
        <w:rPr>
          <w:rFonts w:ascii="Arial" w:cs="Arial" w:eastAsia="Arial" w:hAnsi="Arial"/>
          <w:sz w:val="21"/>
          <w:szCs w:val="21"/>
          <w:b w:val="1"/>
          <w:bCs w:val="1"/>
          <w:color w:val="auto"/>
        </w:rPr>
        <w:t xml:space="preserve"> </w:t>
      </w:r>
      <w:r>
        <w:rPr>
          <w:rFonts w:ascii="Arial" w:cs="Arial" w:eastAsia="Arial" w:hAnsi="Arial"/>
          <w:sz w:val="21"/>
          <w:szCs w:val="21"/>
          <w:color w:val="auto"/>
        </w:rPr>
        <w:t>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7" w:lineRule="exact"/>
        <w:rPr>
          <w:rFonts w:ascii="Arial" w:cs="Arial" w:eastAsia="Arial" w:hAnsi="Arial"/>
          <w:sz w:val="21"/>
          <w:szCs w:val="21"/>
          <w:b w:val="1"/>
          <w:bCs w:val="1"/>
          <w:color w:val="auto"/>
        </w:rPr>
      </w:pPr>
    </w:p>
    <w:p>
      <w:pPr>
        <w:jc w:val="both"/>
        <w:ind w:firstLine="656"/>
        <w:spacing w:after="0" w:line="251" w:lineRule="auto"/>
        <w:tabs>
          <w:tab w:leader="none" w:pos="1296"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Appointment of Stockholder Representative. </w:t>
      </w:r>
      <w:r>
        <w:rPr>
          <w:rFonts w:ascii="Arial" w:cs="Arial" w:eastAsia="Arial" w:hAnsi="Arial"/>
          <w:sz w:val="21"/>
          <w:szCs w:val="21"/>
          <w:color w:val="auto"/>
        </w:rPr>
        <w:t>As a condition to the receipt of an Award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68"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No Restriction on Right to Undertake Transactions</w:t>
      </w:r>
      <w:r>
        <w:rPr>
          <w:rFonts w:ascii="Arial" w:cs="Arial" w:eastAsia="Arial" w:hAnsi="Arial"/>
          <w:sz w:val="22"/>
          <w:szCs w:val="22"/>
          <w:color w:val="auto"/>
        </w:rPr>
        <w:t>. The grant of any Award under the Plan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issuance of shares pursuant to any Award does not affect or restrict in any way the right or power of the Company or the stockholders of the Company to make or authorize any adjustment, recapitalization, reorganization or other change in the Company’s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9"/>
          <w:szCs w:val="19"/>
          <w:color w:val="auto"/>
        </w:rPr>
        <w:t>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4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06" w:lineRule="exact"/>
        <w:rPr>
          <w:rFonts w:ascii="Arial" w:cs="Arial" w:eastAsia="Arial" w:hAnsi="Arial"/>
          <w:sz w:val="22"/>
          <w:szCs w:val="22"/>
          <w:b w:val="1"/>
          <w:bCs w:val="1"/>
          <w:color w:val="auto"/>
        </w:rPr>
      </w:pPr>
    </w:p>
    <w:p>
      <w:pPr>
        <w:ind w:firstLine="656"/>
        <w:spacing w:after="0" w:line="280" w:lineRule="auto"/>
        <w:tabs>
          <w:tab w:leader="none" w:pos="1296" w:val="left"/>
        </w:tabs>
        <w:numPr>
          <w:ilvl w:val="1"/>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Administration by Board. </w:t>
      </w:r>
      <w:r>
        <w:rPr>
          <w:rFonts w:ascii="Arial" w:cs="Arial" w:eastAsia="Arial" w:hAnsi="Arial"/>
          <w:sz w:val="21"/>
          <w:szCs w:val="21"/>
          <w:color w:val="auto"/>
        </w:rPr>
        <w:t>The Board will administer the Plan unless and until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delegates administration of the Plan to a Committee or Committees, as provided in subsection (c) below.</w:t>
      </w:r>
    </w:p>
    <w:p>
      <w:pPr>
        <w:spacing w:after="0" w:line="138" w:lineRule="exact"/>
        <w:rPr>
          <w:rFonts w:ascii="Arial" w:cs="Arial" w:eastAsia="Arial" w:hAnsi="Arial"/>
          <w:sz w:val="21"/>
          <w:szCs w:val="21"/>
          <w:b w:val="1"/>
          <w:bCs w:val="1"/>
          <w:color w:val="auto"/>
        </w:rPr>
      </w:pPr>
    </w:p>
    <w:p>
      <w:pPr>
        <w:ind w:firstLine="656"/>
        <w:spacing w:after="0" w:line="256" w:lineRule="auto"/>
        <w:tabs>
          <w:tab w:leader="none" w:pos="1296" w:val="left"/>
        </w:tabs>
        <w:numPr>
          <w:ilvl w:val="1"/>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Powers of Board. </w:t>
      </w:r>
      <w:r>
        <w:rPr>
          <w:rFonts w:ascii="Arial" w:cs="Arial" w:eastAsia="Arial" w:hAnsi="Arial"/>
          <w:sz w:val="22"/>
          <w:szCs w:val="22"/>
          <w:color w:val="auto"/>
        </w:rPr>
        <w:t>The Board will have the power, subject to, and within the limitations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provisions of the Plan:</w:t>
      </w:r>
    </w:p>
    <w:p>
      <w:pPr>
        <w:spacing w:after="0" w:line="168" w:lineRule="exact"/>
        <w:rPr>
          <w:rFonts w:ascii="Arial" w:cs="Arial" w:eastAsia="Arial" w:hAnsi="Arial"/>
          <w:sz w:val="22"/>
          <w:szCs w:val="22"/>
          <w:b w:val="1"/>
          <w:bCs w:val="1"/>
          <w:color w:val="auto"/>
        </w:rPr>
      </w:pPr>
    </w:p>
    <w:p>
      <w:pPr>
        <w:jc w:val="both"/>
        <w:ind w:firstLine="1304"/>
        <w:spacing w:after="0" w:line="279" w:lineRule="auto"/>
        <w:tabs>
          <w:tab w:leader="none" w:pos="1944" w:val="left"/>
        </w:tabs>
        <w:numPr>
          <w:ilvl w:val="2"/>
          <w:numId w:val="35"/>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50" w:lineRule="exact"/>
        <w:rPr>
          <w:rFonts w:ascii="Arial" w:cs="Arial" w:eastAsia="Arial" w:hAnsi="Arial"/>
          <w:sz w:val="19"/>
          <w:szCs w:val="19"/>
          <w:b w:val="1"/>
          <w:bCs w:val="1"/>
          <w:color w:val="auto"/>
        </w:rPr>
      </w:pPr>
    </w:p>
    <w:p>
      <w:pPr>
        <w:jc w:val="both"/>
        <w:ind w:firstLine="1304"/>
        <w:spacing w:after="0" w:line="238" w:lineRule="auto"/>
        <w:tabs>
          <w:tab w:leader="none" w:pos="1944" w:val="left"/>
        </w:tabs>
        <w:numPr>
          <w:ilvl w:val="2"/>
          <w:numId w:val="35"/>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4" w:lineRule="exact"/>
        <w:rPr>
          <w:rFonts w:ascii="Arial" w:cs="Arial" w:eastAsia="Arial" w:hAnsi="Arial"/>
          <w:sz w:val="22"/>
          <w:szCs w:val="22"/>
          <w:b w:val="1"/>
          <w:bCs w:val="1"/>
          <w:color w:val="auto"/>
        </w:rPr>
      </w:pPr>
    </w:p>
    <w:p>
      <w:pPr>
        <w:ind w:left="1960" w:hanging="656"/>
        <w:spacing w:after="0"/>
        <w:tabs>
          <w:tab w:leader="none" w:pos="1960" w:val="left"/>
        </w:tabs>
        <w:numPr>
          <w:ilvl w:val="2"/>
          <w:numId w:val="35"/>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06" w:lineRule="exact"/>
        <w:rPr>
          <w:rFonts w:ascii="Arial" w:cs="Arial" w:eastAsia="Arial" w:hAnsi="Arial"/>
          <w:sz w:val="22"/>
          <w:szCs w:val="22"/>
          <w:b w:val="1"/>
          <w:bCs w:val="1"/>
          <w:color w:val="auto"/>
        </w:rPr>
      </w:pPr>
    </w:p>
    <w:p>
      <w:pPr>
        <w:jc w:val="both"/>
        <w:ind w:firstLine="1304"/>
        <w:spacing w:after="0"/>
        <w:tabs>
          <w:tab w:leader="none" w:pos="1944" w:val="left"/>
        </w:tabs>
        <w:numPr>
          <w:ilvl w:val="2"/>
          <w:numId w:val="35"/>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6" w:lineRule="exact"/>
        <w:rPr>
          <w:rFonts w:ascii="Arial" w:cs="Arial" w:eastAsia="Arial" w:hAnsi="Arial"/>
          <w:sz w:val="22"/>
          <w:szCs w:val="22"/>
          <w:b w:val="1"/>
          <w:bCs w:val="1"/>
          <w:color w:val="auto"/>
        </w:rPr>
      </w:pPr>
    </w:p>
    <w:p>
      <w:pPr>
        <w:jc w:val="both"/>
        <w:ind w:firstLine="1304"/>
        <w:spacing w:after="0" w:line="282" w:lineRule="auto"/>
        <w:tabs>
          <w:tab w:leader="none" w:pos="1944" w:val="left"/>
        </w:tabs>
        <w:numPr>
          <w:ilvl w:val="2"/>
          <w:numId w:val="35"/>
        </w:numPr>
        <w:rPr>
          <w:rFonts w:ascii="Arial" w:cs="Arial" w:eastAsia="Arial" w:hAnsi="Arial"/>
          <w:sz w:val="19"/>
          <w:szCs w:val="19"/>
          <w:b w:val="1"/>
          <w:bCs w:val="1"/>
          <w:color w:val="auto"/>
        </w:rPr>
      </w:pPr>
      <w:r>
        <w:rPr>
          <w:rFonts w:ascii="Arial" w:cs="Arial" w:eastAsia="Arial" w:hAnsi="Arial"/>
          <w:sz w:val="19"/>
          <w:szCs w:val="19"/>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47" w:lineRule="exact"/>
        <w:rPr>
          <w:rFonts w:ascii="Arial" w:cs="Arial" w:eastAsia="Arial" w:hAnsi="Arial"/>
          <w:sz w:val="19"/>
          <w:szCs w:val="19"/>
          <w:b w:val="1"/>
          <w:bCs w:val="1"/>
          <w:color w:val="auto"/>
        </w:rPr>
      </w:pPr>
    </w:p>
    <w:p>
      <w:pPr>
        <w:jc w:val="both"/>
        <w:ind w:firstLine="1304"/>
        <w:spacing w:after="0"/>
        <w:tabs>
          <w:tab w:leader="none" w:pos="1944" w:val="left"/>
        </w:tabs>
        <w:numPr>
          <w:ilvl w:val="2"/>
          <w:numId w:val="35"/>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5" w:name="page46"/>
    <w:bookmarkEnd w:id="45"/>
    <w:p>
      <w:pPr>
        <w:jc w:val="both"/>
        <w:ind w:firstLine="1304"/>
        <w:spacing w:after="0" w:line="249" w:lineRule="auto"/>
        <w:tabs>
          <w:tab w:leader="none" w:pos="1944" w:val="left"/>
        </w:tabs>
        <w:numPr>
          <w:ilvl w:val="1"/>
          <w:numId w:val="36"/>
        </w:numPr>
        <w:rPr>
          <w:rFonts w:ascii="Arial" w:cs="Arial" w:eastAsia="Arial" w:hAnsi="Arial"/>
          <w:sz w:val="21"/>
          <w:szCs w:val="21"/>
          <w:b w:val="1"/>
          <w:bCs w:val="1"/>
          <w:color w:val="auto"/>
        </w:rPr>
      </w:pPr>
      <w:r>
        <w:rPr>
          <w:rFonts w:ascii="Arial" w:cs="Arial" w:eastAsia="Arial" w:hAnsi="Arial"/>
          <w:sz w:val="21"/>
          <w:szCs w:val="21"/>
          <w:color w:val="auto"/>
        </w:rPr>
        <w:t>To amend the Plan in any respect the Board deems necessary or advisable; provided, however</w:t>
      </w:r>
      <w:r>
        <w:rPr>
          <w:rFonts w:ascii="Arial" w:cs="Arial" w:eastAsia="Arial" w:hAnsi="Arial"/>
          <w:sz w:val="21"/>
          <w:szCs w:val="21"/>
          <w:i w:val="1"/>
          <w:iCs w:val="1"/>
          <w:color w:val="auto"/>
        </w:rPr>
        <w:t>,</w:t>
      </w:r>
      <w:r>
        <w:rPr>
          <w:rFonts w:ascii="Arial" w:cs="Arial" w:eastAsia="Arial" w:hAnsi="Arial"/>
          <w:sz w:val="21"/>
          <w:szCs w:val="21"/>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8" w:lineRule="exact"/>
        <w:rPr>
          <w:rFonts w:ascii="Arial" w:cs="Arial" w:eastAsia="Arial" w:hAnsi="Arial"/>
          <w:sz w:val="21"/>
          <w:szCs w:val="21"/>
          <w:b w:val="1"/>
          <w:bCs w:val="1"/>
          <w:color w:val="auto"/>
        </w:rPr>
      </w:pPr>
    </w:p>
    <w:p>
      <w:pPr>
        <w:ind w:left="1960" w:hanging="656"/>
        <w:spacing w:after="0"/>
        <w:tabs>
          <w:tab w:leader="none" w:pos="1960"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stockholder approval.</w:t>
      </w:r>
    </w:p>
    <w:p>
      <w:pPr>
        <w:spacing w:after="0" w:line="206" w:lineRule="exact"/>
        <w:rPr>
          <w:rFonts w:ascii="Arial" w:cs="Arial" w:eastAsia="Arial" w:hAnsi="Arial"/>
          <w:sz w:val="22"/>
          <w:szCs w:val="22"/>
          <w:b w:val="1"/>
          <w:bCs w:val="1"/>
          <w:color w:val="auto"/>
        </w:rPr>
      </w:pPr>
    </w:p>
    <w:p>
      <w:pPr>
        <w:jc w:val="both"/>
        <w:ind w:firstLine="1304"/>
        <w:spacing w:after="0" w:line="235" w:lineRule="auto"/>
        <w:tabs>
          <w:tab w:leader="none" w:pos="1944"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a Participant’s rights under any Award will not be Materially Impaired by any such amendment unless (1) the Company requests the consent of the affected Participant, and (2) such Participant consents in writing.</w:t>
      </w:r>
    </w:p>
    <w:p>
      <w:pPr>
        <w:spacing w:after="0" w:line="187" w:lineRule="exact"/>
        <w:rPr>
          <w:rFonts w:ascii="Arial" w:cs="Arial" w:eastAsia="Arial" w:hAnsi="Arial"/>
          <w:sz w:val="22"/>
          <w:szCs w:val="22"/>
          <w:b w:val="1"/>
          <w:bCs w:val="1"/>
          <w:color w:val="auto"/>
        </w:rPr>
      </w:pPr>
    </w:p>
    <w:p>
      <w:pPr>
        <w:jc w:val="both"/>
        <w:ind w:firstLine="1304"/>
        <w:spacing w:after="0"/>
        <w:tabs>
          <w:tab w:leader="none" w:pos="1944"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86" w:lineRule="exact"/>
        <w:rPr>
          <w:rFonts w:ascii="Arial" w:cs="Arial" w:eastAsia="Arial" w:hAnsi="Arial"/>
          <w:sz w:val="22"/>
          <w:szCs w:val="22"/>
          <w:b w:val="1"/>
          <w:bCs w:val="1"/>
          <w:color w:val="auto"/>
        </w:rPr>
      </w:pPr>
    </w:p>
    <w:p>
      <w:pPr>
        <w:jc w:val="both"/>
        <w:ind w:firstLine="1304"/>
        <w:spacing w:after="0" w:line="249" w:lineRule="auto"/>
        <w:tabs>
          <w:tab w:leader="none" w:pos="1944" w:val="left"/>
        </w:tabs>
        <w:numPr>
          <w:ilvl w:val="1"/>
          <w:numId w:val="36"/>
        </w:numPr>
        <w:rPr>
          <w:rFonts w:ascii="Arial" w:cs="Arial" w:eastAsia="Arial" w:hAnsi="Arial"/>
          <w:sz w:val="21"/>
          <w:szCs w:val="21"/>
          <w:b w:val="1"/>
          <w:bCs w:val="1"/>
          <w:color w:val="auto"/>
        </w:rPr>
      </w:pPr>
      <w:r>
        <w:rPr>
          <w:rFonts w:ascii="Arial" w:cs="Arial" w:eastAsia="Arial" w:hAnsi="Arial"/>
          <w:sz w:val="21"/>
          <w:szCs w:val="21"/>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2" w:lineRule="exact"/>
        <w:rPr>
          <w:rFonts w:ascii="Arial" w:cs="Arial" w:eastAsia="Arial" w:hAnsi="Arial"/>
          <w:sz w:val="21"/>
          <w:szCs w:val="21"/>
          <w:b w:val="1"/>
          <w:bCs w:val="1"/>
          <w:color w:val="auto"/>
        </w:rPr>
      </w:pPr>
    </w:p>
    <w:p>
      <w:pPr>
        <w:ind w:left="1300" w:hanging="644"/>
        <w:spacing w:after="0"/>
        <w:tabs>
          <w:tab w:leader="none" w:pos="13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06" w:lineRule="exact"/>
        <w:rPr>
          <w:rFonts w:ascii="Arial" w:cs="Arial" w:eastAsia="Arial" w:hAnsi="Arial"/>
          <w:sz w:val="22"/>
          <w:szCs w:val="22"/>
          <w:b w:val="1"/>
          <w:bCs w:val="1"/>
          <w:color w:val="auto"/>
        </w:rPr>
      </w:pPr>
    </w:p>
    <w:p>
      <w:pPr>
        <w:jc w:val="both"/>
        <w:ind w:firstLine="1304"/>
        <w:spacing w:after="0" w:line="273" w:lineRule="auto"/>
        <w:tabs>
          <w:tab w:leader="none" w:pos="1944"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Board may delegate some or all of the administration of the Plan to a</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55" w:lineRule="exact"/>
        <w:rPr>
          <w:rFonts w:ascii="Arial" w:cs="Arial" w:eastAsia="Arial" w:hAnsi="Arial"/>
          <w:sz w:val="19"/>
          <w:szCs w:val="19"/>
          <w:b w:val="1"/>
          <w:bCs w:val="1"/>
          <w:color w:val="auto"/>
        </w:rPr>
      </w:pPr>
    </w:p>
    <w:p>
      <w:pPr>
        <w:jc w:val="both"/>
        <w:ind w:firstLine="1304"/>
        <w:spacing w:after="0" w:line="243" w:lineRule="auto"/>
        <w:tabs>
          <w:tab w:leader="none" w:pos="1944"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Rule 16b-3 Compliance. </w:t>
      </w:r>
      <w:r>
        <w:rPr>
          <w:rFonts w:ascii="Arial" w:cs="Arial" w:eastAsia="Arial" w:hAnsi="Arial"/>
          <w:sz w:val="22"/>
          <w:szCs w:val="22"/>
          <w:color w:val="auto"/>
        </w:rPr>
        <w:t>To the extent an Award is intended to qualify for the exemption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Section 16(b) of the Exchange Act that is available under Rule 16b-3 of the Exchange Act, the Award will be granted by the Board or a Committee that consists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6" w:name="page47"/>
    <w:bookmarkEnd w:id="46"/>
    <w:p>
      <w:pPr>
        <w:jc w:val="both"/>
        <w:spacing w:after="0" w:line="258" w:lineRule="auto"/>
        <w:rPr>
          <w:sz w:val="20"/>
          <w:szCs w:val="20"/>
          <w:color w:val="auto"/>
        </w:rPr>
      </w:pPr>
      <w:r>
        <w:rPr>
          <w:rFonts w:ascii="Arial" w:cs="Arial" w:eastAsia="Arial" w:hAnsi="Arial"/>
          <w:sz w:val="21"/>
          <w:szCs w:val="21"/>
          <w:color w:val="auto"/>
        </w:rPr>
        <w:t>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61" w:lineRule="exact"/>
        <w:rPr>
          <w:sz w:val="20"/>
          <w:szCs w:val="20"/>
          <w:color w:val="auto"/>
        </w:rPr>
      </w:pPr>
    </w:p>
    <w:p>
      <w:pPr>
        <w:jc w:val="both"/>
        <w:ind w:firstLine="656"/>
        <w:spacing w:after="0" w:line="243" w:lineRule="auto"/>
        <w:tabs>
          <w:tab w:leader="none" w:pos="1296" w:val="left"/>
        </w:tabs>
        <w:numPr>
          <w:ilvl w:val="1"/>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Board’s Decision. </w:t>
      </w:r>
      <w:r>
        <w:rPr>
          <w:rFonts w:ascii="Arial" w:cs="Arial" w:eastAsia="Arial" w:hAnsi="Arial"/>
          <w:sz w:val="22"/>
          <w:szCs w:val="22"/>
          <w:color w:val="auto"/>
        </w:rPr>
        <w:t>All determinations, interpretations and constructions made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or any Committee in good faith will not be subject to review by any person and will be final, binding and conclusive on all persons.</w:t>
      </w:r>
    </w:p>
    <w:p>
      <w:pPr>
        <w:spacing w:after="0" w:line="176" w:lineRule="exact"/>
        <w:rPr>
          <w:rFonts w:ascii="Arial" w:cs="Arial" w:eastAsia="Arial" w:hAnsi="Arial"/>
          <w:sz w:val="22"/>
          <w:szCs w:val="22"/>
          <w:b w:val="1"/>
          <w:bCs w:val="1"/>
          <w:color w:val="auto"/>
        </w:rPr>
      </w:pPr>
    </w:p>
    <w:p>
      <w:pPr>
        <w:ind w:left="1380" w:hanging="724"/>
        <w:spacing w:after="0"/>
        <w:tabs>
          <w:tab w:leader="none" w:pos="1380"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Cancellation and Re-Grant of Awards</w:t>
      </w:r>
      <w:r>
        <w:rPr>
          <w:rFonts w:ascii="Arial" w:cs="Arial" w:eastAsia="Arial" w:hAnsi="Arial"/>
          <w:sz w:val="19"/>
          <w:szCs w:val="19"/>
          <w:color w:val="auto"/>
        </w:rPr>
        <w:t>.  Neither the Board nor any Committee will have the</w:t>
      </w:r>
    </w:p>
    <w:p>
      <w:pPr>
        <w:spacing w:after="0" w:line="48" w:lineRule="exact"/>
        <w:rPr>
          <w:rFonts w:ascii="Arial" w:cs="Arial" w:eastAsia="Arial" w:hAnsi="Arial"/>
          <w:sz w:val="19"/>
          <w:szCs w:val="19"/>
          <w:b w:val="1"/>
          <w:bCs w:val="1"/>
          <w:color w:val="auto"/>
        </w:rPr>
      </w:pPr>
    </w:p>
    <w:p>
      <w:pPr>
        <w:jc w:val="both"/>
        <w:spacing w:after="0" w:line="246" w:lineRule="auto"/>
        <w:rPr>
          <w:rFonts w:ascii="Arial" w:cs="Arial" w:eastAsia="Arial" w:hAnsi="Arial"/>
          <w:sz w:val="19"/>
          <w:szCs w:val="19"/>
          <w:b w:val="1"/>
          <w:bCs w:val="1"/>
          <w:color w:val="auto"/>
        </w:rPr>
      </w:pPr>
      <w:r>
        <w:rPr>
          <w:rFonts w:ascii="Arial" w:cs="Arial" w:eastAsia="Arial" w:hAnsi="Arial"/>
          <w:sz w:val="21"/>
          <w:szCs w:val="21"/>
          <w:color w:val="auto"/>
        </w:rPr>
        <w:t>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73" w:lineRule="exact"/>
        <w:rPr>
          <w:rFonts w:ascii="Arial" w:cs="Arial" w:eastAsia="Arial" w:hAnsi="Arial"/>
          <w:sz w:val="19"/>
          <w:szCs w:val="19"/>
          <w:b w:val="1"/>
          <w:bCs w:val="1"/>
          <w:color w:val="auto"/>
        </w:rPr>
      </w:pPr>
    </w:p>
    <w:p>
      <w:pPr>
        <w:jc w:val="both"/>
        <w:ind w:firstLine="656"/>
        <w:spacing w:after="0" w:line="273" w:lineRule="auto"/>
        <w:tabs>
          <w:tab w:leader="none" w:pos="1350"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98" w:lineRule="exact"/>
        <w:rPr>
          <w:rFonts w:ascii="Arial" w:cs="Arial" w:eastAsia="Arial" w:hAnsi="Arial"/>
          <w:sz w:val="19"/>
          <w:szCs w:val="19"/>
          <w:b w:val="1"/>
          <w:bCs w:val="1"/>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06" w:lineRule="exact"/>
        <w:rPr>
          <w:rFonts w:ascii="Arial" w:cs="Arial" w:eastAsia="Arial" w:hAnsi="Arial"/>
          <w:sz w:val="22"/>
          <w:szCs w:val="22"/>
          <w:b w:val="1"/>
          <w:bCs w:val="1"/>
          <w:color w:val="auto"/>
        </w:rPr>
      </w:pPr>
    </w:p>
    <w:p>
      <w:pPr>
        <w:ind w:firstLine="656"/>
        <w:spacing w:after="0" w:line="234" w:lineRule="auto"/>
        <w:tabs>
          <w:tab w:leader="none" w:pos="1296"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Authorization. </w:t>
      </w:r>
      <w:r>
        <w:rPr>
          <w:rFonts w:ascii="Arial" w:cs="Arial" w:eastAsia="Arial" w:hAnsi="Arial"/>
          <w:sz w:val="22"/>
          <w:szCs w:val="22"/>
          <w:color w:val="auto"/>
        </w:rPr>
        <w:t>As a condition to acceptance of any Award under the Plan,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6" w:lineRule="exact"/>
        <w:rPr>
          <w:rFonts w:ascii="Arial" w:cs="Arial" w:eastAsia="Arial" w:hAnsi="Arial"/>
          <w:sz w:val="22"/>
          <w:szCs w:val="22"/>
          <w:b w:val="1"/>
          <w:bCs w:val="1"/>
          <w:color w:val="auto"/>
        </w:rPr>
      </w:pPr>
    </w:p>
    <w:p>
      <w:pPr>
        <w:jc w:val="both"/>
        <w:ind w:firstLine="656"/>
        <w:spacing w:after="0" w:line="239" w:lineRule="auto"/>
        <w:tabs>
          <w:tab w:leader="none" w:pos="1296"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Satisfaction of Withholding Obligation. </w:t>
      </w:r>
      <w:r>
        <w:rPr>
          <w:rFonts w:ascii="Arial" w:cs="Arial" w:eastAsia="Arial" w:hAnsi="Arial"/>
          <w:sz w:val="22"/>
          <w:szCs w:val="22"/>
          <w:color w:val="auto"/>
        </w:rPr>
        <w:t>To the extent permitted by the terms of an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Company may, in its sole discretion, satisfy any U.S. federal, state, local and/or foreign tax or social insurance withholding obligation relating to an Award by any of the following means or by a combination of such means: (i) causing the Participant to tender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9"/>
          <w:szCs w:val="19"/>
          <w:color w:val="auto"/>
        </w:rPr>
        <w:t>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42" w:lineRule="exact"/>
        <w:rPr>
          <w:sz w:val="20"/>
          <w:szCs w:val="20"/>
          <w:color w:val="auto"/>
        </w:rPr>
      </w:pPr>
    </w:p>
    <w:p>
      <w:pPr>
        <w:jc w:val="both"/>
        <w:ind w:firstLine="656"/>
        <w:spacing w:after="0" w:line="270" w:lineRule="auto"/>
        <w:tabs>
          <w:tab w:leader="none" w:pos="1296" w:val="left"/>
        </w:tabs>
        <w:numPr>
          <w:ilvl w:val="1"/>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No Liability to Claims. </w:t>
      </w:r>
      <w:r>
        <w:rPr>
          <w:rFonts w:ascii="Arial" w:cs="Arial" w:eastAsia="Arial" w:hAnsi="Arial"/>
          <w:sz w:val="19"/>
          <w:szCs w:val="19"/>
          <w:color w:val="auto"/>
        </w:rPr>
        <w:t>Except as required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spacing w:after="0" w:line="4" w:lineRule="exact"/>
        <w:rPr>
          <w:rFonts w:ascii="Arial" w:cs="Arial" w:eastAsia="Arial" w:hAnsi="Arial"/>
          <w:sz w:val="19"/>
          <w:szCs w:val="19"/>
          <w:b w:val="1"/>
          <w:bCs w:val="1"/>
          <w:color w:val="auto"/>
        </w:rPr>
      </w:pPr>
    </w:p>
    <w:p>
      <w:pPr>
        <w:jc w:val="both"/>
        <w:ind w:firstLine="8"/>
        <w:spacing w:after="0" w:line="242" w:lineRule="auto"/>
        <w:tabs>
          <w:tab w:leader="none" w:pos="273" w:val="left"/>
        </w:tabs>
        <w:numPr>
          <w:ilvl w:val="0"/>
          <w:numId w:val="41"/>
        </w:numPr>
        <w:rPr>
          <w:rFonts w:ascii="Arial" w:cs="Arial" w:eastAsia="Arial" w:hAnsi="Arial"/>
          <w:sz w:val="21"/>
          <w:szCs w:val="21"/>
          <w:color w:val="auto"/>
        </w:rPr>
      </w:pPr>
      <w:r>
        <w:rPr>
          <w:rFonts w:ascii="Arial" w:cs="Arial" w:eastAsia="Arial" w:hAnsi="Arial"/>
          <w:sz w:val="21"/>
          <w:szCs w:val="21"/>
          <w:color w:val="auto"/>
        </w:rPr>
        <w:t>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6" w:lineRule="exact"/>
        <w:rPr>
          <w:rFonts w:ascii="Arial" w:cs="Arial" w:eastAsia="Arial" w:hAnsi="Arial"/>
          <w:sz w:val="21"/>
          <w:szCs w:val="21"/>
          <w:color w:val="auto"/>
        </w:rPr>
      </w:pPr>
    </w:p>
    <w:p>
      <w:pPr>
        <w:jc w:val="both"/>
        <w:ind w:firstLine="656"/>
        <w:spacing w:after="0" w:line="237" w:lineRule="auto"/>
        <w:tabs>
          <w:tab w:leader="none" w:pos="1296"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Indemnification. </w:t>
      </w:r>
      <w:r>
        <w:rPr>
          <w:rFonts w:ascii="Arial" w:cs="Arial" w:eastAsia="Arial" w:hAnsi="Arial"/>
          <w:sz w:val="22"/>
          <w:szCs w:val="22"/>
          <w:color w:val="auto"/>
        </w:rPr>
        <w:t>As a condition to accepting an Award under the Plan,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8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ind w:firstLine="656"/>
        <w:spacing w:after="0" w:line="334" w:lineRule="auto"/>
        <w:tabs>
          <w:tab w:leader="none" w:pos="1296" w:val="left"/>
        </w:tabs>
        <w:numPr>
          <w:ilvl w:val="1"/>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Source of Shares. </w:t>
      </w:r>
      <w:r>
        <w:rPr>
          <w:rFonts w:ascii="Arial" w:cs="Arial" w:eastAsia="Arial" w:hAnsi="Arial"/>
          <w:sz w:val="19"/>
          <w:szCs w:val="19"/>
          <w:color w:val="auto"/>
        </w:rPr>
        <w:t>The stock issuable under the Plan will be shares of authorized but unissued or</w:t>
      </w:r>
      <w:r>
        <w:rPr>
          <w:rFonts w:ascii="Arial" w:cs="Arial" w:eastAsia="Arial" w:hAnsi="Arial"/>
          <w:sz w:val="19"/>
          <w:szCs w:val="19"/>
          <w:b w:val="1"/>
          <w:bCs w:val="1"/>
          <w:color w:val="auto"/>
        </w:rPr>
        <w:t xml:space="preserve"> </w:t>
      </w:r>
      <w:r>
        <w:rPr>
          <w:rFonts w:ascii="Arial" w:cs="Arial" w:eastAsia="Arial" w:hAnsi="Arial"/>
          <w:sz w:val="19"/>
          <w:szCs w:val="19"/>
          <w:color w:val="auto"/>
        </w:rPr>
        <w:t>reacquired Common Stock, including shares repurchased by the Company on the open market or otherwise.</w:t>
      </w:r>
    </w:p>
    <w:p>
      <w:pPr>
        <w:spacing w:after="0" w:line="93" w:lineRule="exact"/>
        <w:rPr>
          <w:rFonts w:ascii="Arial" w:cs="Arial" w:eastAsia="Arial" w:hAnsi="Arial"/>
          <w:sz w:val="19"/>
          <w:szCs w:val="19"/>
          <w:b w:val="1"/>
          <w:bCs w:val="1"/>
          <w:color w:val="auto"/>
        </w:rPr>
      </w:pPr>
    </w:p>
    <w:p>
      <w:pPr>
        <w:ind w:firstLine="656"/>
        <w:spacing w:after="0" w:line="256" w:lineRule="auto"/>
        <w:tabs>
          <w:tab w:leader="none" w:pos="1296"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pursuant to Awards will constitute general funds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8" w:name="page49"/>
    <w:bookmarkEnd w:id="48"/>
    <w:p>
      <w:pPr>
        <w:jc w:val="both"/>
        <w:ind w:firstLine="656"/>
        <w:spacing w:after="0" w:line="246" w:lineRule="auto"/>
        <w:tabs>
          <w:tab w:leader="none" w:pos="1296"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Awards. </w:t>
      </w:r>
      <w:r>
        <w:rPr>
          <w:rFonts w:ascii="Arial" w:cs="Arial" w:eastAsia="Arial" w:hAnsi="Arial"/>
          <w:sz w:val="21"/>
          <w:szCs w:val="21"/>
          <w:color w:val="auto"/>
        </w:rPr>
        <w:t>Corporate action constituting a grant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5" w:lineRule="exact"/>
        <w:rPr>
          <w:rFonts w:ascii="Arial" w:cs="Arial" w:eastAsia="Arial" w:hAnsi="Arial"/>
          <w:sz w:val="21"/>
          <w:szCs w:val="21"/>
          <w:b w:val="1"/>
          <w:bCs w:val="1"/>
          <w:color w:val="auto"/>
        </w:rPr>
      </w:pPr>
    </w:p>
    <w:p>
      <w:pPr>
        <w:jc w:val="both"/>
        <w:ind w:firstLine="656"/>
        <w:spacing w:after="0" w:line="289"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Stockholder Rights. </w:t>
      </w:r>
      <w:r>
        <w:rPr>
          <w:rFonts w:ascii="Arial" w:cs="Arial" w:eastAsia="Arial" w:hAnsi="Arial"/>
          <w:sz w:val="19"/>
          <w:szCs w:val="19"/>
          <w:color w:val="auto"/>
        </w:rPr>
        <w:t>No Participant will be deemed to be the holder of, or to have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35" w:lineRule="exact"/>
        <w:rPr>
          <w:rFonts w:ascii="Arial" w:cs="Arial" w:eastAsia="Arial" w:hAnsi="Arial"/>
          <w:sz w:val="19"/>
          <w:szCs w:val="19"/>
          <w:b w:val="1"/>
          <w:bCs w:val="1"/>
          <w:color w:val="auto"/>
        </w:rPr>
      </w:pPr>
    </w:p>
    <w:p>
      <w:pPr>
        <w:jc w:val="both"/>
        <w:ind w:firstLine="656"/>
        <w:spacing w:after="0" w:line="272"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98" w:lineRule="exact"/>
        <w:rPr>
          <w:rFonts w:ascii="Arial" w:cs="Arial" w:eastAsia="Arial" w:hAnsi="Arial"/>
          <w:sz w:val="19"/>
          <w:szCs w:val="19"/>
          <w:b w:val="1"/>
          <w:bCs w:val="1"/>
          <w:color w:val="auto"/>
        </w:rPr>
      </w:pPr>
    </w:p>
    <w:p>
      <w:pPr>
        <w:jc w:val="both"/>
        <w:ind w:firstLine="656"/>
        <w:spacing w:after="0" w:line="245" w:lineRule="auto"/>
        <w:tabs>
          <w:tab w:leader="none" w:pos="1296"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Time Commitment</w:t>
      </w:r>
      <w:r>
        <w:rPr>
          <w:rFonts w:ascii="Arial" w:cs="Arial" w:eastAsia="Arial" w:hAnsi="Arial"/>
          <w:sz w:val="21"/>
          <w:szCs w:val="21"/>
          <w:color w:val="auto"/>
        </w:rPr>
        <w:t>. In the event a Participant’s regular level of time commitment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9" w:name="page50"/>
    <w:bookmarkEnd w:id="49"/>
    <w:p>
      <w:pPr>
        <w:jc w:val="both"/>
        <w:ind w:firstLine="656"/>
        <w:spacing w:after="0" w:line="289"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Execution of Additional Documents. </w:t>
      </w:r>
      <w:r>
        <w:rPr>
          <w:rFonts w:ascii="Arial" w:cs="Arial" w:eastAsia="Arial" w:hAnsi="Arial"/>
          <w:sz w:val="19"/>
          <w:szCs w:val="19"/>
          <w:color w:val="auto"/>
        </w:rPr>
        <w:t>As a condition to accepting an Award under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36" w:lineRule="exact"/>
        <w:rPr>
          <w:rFonts w:ascii="Arial" w:cs="Arial" w:eastAsia="Arial" w:hAnsi="Arial"/>
          <w:sz w:val="19"/>
          <w:szCs w:val="19"/>
          <w:b w:val="1"/>
          <w:bCs w:val="1"/>
          <w:color w:val="auto"/>
        </w:rPr>
      </w:pPr>
    </w:p>
    <w:p>
      <w:pPr>
        <w:jc w:val="both"/>
        <w:ind w:firstLine="656"/>
        <w:spacing w:after="0" w:line="247" w:lineRule="auto"/>
        <w:tabs>
          <w:tab w:leader="none" w:pos="129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Electronic Delivery and Participation</w:t>
      </w:r>
      <w:r>
        <w:rPr>
          <w:rFonts w:ascii="Arial" w:cs="Arial" w:eastAsia="Arial" w:hAnsi="Arial"/>
          <w:sz w:val="21"/>
          <w:szCs w:val="21"/>
          <w:color w:val="auto"/>
        </w:rPr>
        <w:t>. Any reference herein or in an Award Agreement to a</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1" w:lineRule="exact"/>
        <w:rPr>
          <w:rFonts w:ascii="Arial" w:cs="Arial" w:eastAsia="Arial" w:hAnsi="Arial"/>
          <w:sz w:val="21"/>
          <w:szCs w:val="21"/>
          <w:b w:val="1"/>
          <w:bCs w:val="1"/>
          <w:color w:val="auto"/>
        </w:rPr>
      </w:pPr>
    </w:p>
    <w:p>
      <w:pPr>
        <w:jc w:val="both"/>
        <w:ind w:firstLine="656"/>
        <w:spacing w:after="0" w:line="273"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Clawback/Recovery</w:t>
      </w:r>
      <w:r>
        <w:rPr>
          <w:rFonts w:ascii="Arial" w:cs="Arial" w:eastAsia="Arial" w:hAnsi="Arial"/>
          <w:sz w:val="19"/>
          <w:szCs w:val="19"/>
          <w:color w:val="auto"/>
        </w:rPr>
        <w:t>. All Awards granted under the Plan will be subject to recoupment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55" w:lineRule="exact"/>
        <w:rPr>
          <w:rFonts w:ascii="Arial" w:cs="Arial" w:eastAsia="Arial" w:hAnsi="Arial"/>
          <w:sz w:val="19"/>
          <w:szCs w:val="19"/>
          <w:b w:val="1"/>
          <w:bCs w:val="1"/>
          <w:color w:val="auto"/>
        </w:rPr>
      </w:pPr>
    </w:p>
    <w:p>
      <w:pPr>
        <w:jc w:val="both"/>
        <w:ind w:firstLine="656"/>
        <w:spacing w:after="0" w:line="283"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A Participant will not be issued any shares in respect of an Award</w:t>
      </w:r>
      <w:r>
        <w:rPr>
          <w:rFonts w:ascii="Arial" w:cs="Arial" w:eastAsia="Arial" w:hAnsi="Arial"/>
          <w:sz w:val="19"/>
          <w:szCs w:val="19"/>
          <w:b w:val="1"/>
          <w:bCs w:val="1"/>
          <w:color w:val="auto"/>
        </w:rPr>
        <w:t xml:space="preserve"> </w:t>
      </w:r>
      <w:r>
        <w:rPr>
          <w:rFonts w:ascii="Arial" w:cs="Arial" w:eastAsia="Arial" w:hAnsi="Arial"/>
          <w:sz w:val="19"/>
          <w:szCs w:val="19"/>
          <w:color w:val="auto"/>
        </w:rPr>
        <w:t>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42" w:lineRule="exact"/>
        <w:rPr>
          <w:rFonts w:ascii="Arial" w:cs="Arial" w:eastAsia="Arial" w:hAnsi="Arial"/>
          <w:sz w:val="19"/>
          <w:szCs w:val="19"/>
          <w:b w:val="1"/>
          <w:bCs w:val="1"/>
          <w:color w:val="auto"/>
        </w:rPr>
      </w:pPr>
    </w:p>
    <w:p>
      <w:pPr>
        <w:jc w:val="both"/>
        <w:ind w:firstLine="656"/>
        <w:spacing w:after="0" w:line="280"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or Assignment of Awards; Issued Shares. </w:t>
      </w:r>
      <w:r>
        <w:rPr>
          <w:rFonts w:ascii="Arial" w:cs="Arial" w:eastAsia="Arial" w:hAnsi="Arial"/>
          <w:sz w:val="19"/>
          <w:szCs w:val="19"/>
          <w:color w:val="auto"/>
        </w:rPr>
        <w:t>Except as expressly provided in the Plan or</w:t>
      </w:r>
      <w:r>
        <w:rPr>
          <w:rFonts w:ascii="Arial" w:cs="Arial" w:eastAsia="Arial" w:hAnsi="Arial"/>
          <w:sz w:val="19"/>
          <w:szCs w:val="19"/>
          <w:b w:val="1"/>
          <w:bCs w:val="1"/>
          <w:color w:val="auto"/>
        </w:rPr>
        <w:t xml:space="preserve"> </w:t>
      </w:r>
      <w:r>
        <w:rPr>
          <w:rFonts w:ascii="Arial" w:cs="Arial" w:eastAsia="Arial" w:hAnsi="Arial"/>
          <w:sz w:val="19"/>
          <w:szCs w:val="19"/>
          <w:color w:val="auto"/>
        </w:rPr>
        <w:t>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44" w:lineRule="exact"/>
        <w:rPr>
          <w:rFonts w:ascii="Arial" w:cs="Arial" w:eastAsia="Arial" w:hAnsi="Arial"/>
          <w:sz w:val="19"/>
          <w:szCs w:val="19"/>
          <w:b w:val="1"/>
          <w:bCs w:val="1"/>
          <w:color w:val="auto"/>
        </w:rPr>
      </w:pPr>
    </w:p>
    <w:p>
      <w:pPr>
        <w:ind w:firstLine="656"/>
        <w:spacing w:after="0" w:line="256" w:lineRule="auto"/>
        <w:tabs>
          <w:tab w:leader="none" w:pos="12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any Award granted under the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upon grant, vesting or settlement, shall not be included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22"/>
          <w:szCs w:val="22"/>
          <w:color w:val="auto"/>
        </w:rPr>
        <w:t>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sz w:val="20"/>
          <w:szCs w:val="20"/>
          <w:color w:val="auto"/>
        </w:rPr>
      </w:pPr>
    </w:p>
    <w:p>
      <w:pPr>
        <w:jc w:val="both"/>
        <w:ind w:firstLine="656"/>
        <w:spacing w:after="0" w:line="237" w:lineRule="auto"/>
        <w:tabs>
          <w:tab w:leader="none" w:pos="1296"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81" w:lineRule="exact"/>
        <w:rPr>
          <w:rFonts w:ascii="Arial" w:cs="Arial" w:eastAsia="Arial" w:hAnsi="Arial"/>
          <w:sz w:val="22"/>
          <w:szCs w:val="22"/>
          <w:b w:val="1"/>
          <w:bCs w:val="1"/>
          <w:color w:val="auto"/>
        </w:rPr>
      </w:pPr>
    </w:p>
    <w:p>
      <w:pPr>
        <w:jc w:val="both"/>
        <w:ind w:firstLine="656"/>
        <w:spacing w:after="0" w:line="271" w:lineRule="auto"/>
        <w:tabs>
          <w:tab w:leader="none" w:pos="1296"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Unless otherwise expressly provided for in an Award Agreement,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56" w:lineRule="exact"/>
        <w:rPr>
          <w:rFonts w:ascii="Arial" w:cs="Arial" w:eastAsia="Arial" w:hAnsi="Arial"/>
          <w:sz w:val="19"/>
          <w:szCs w:val="19"/>
          <w:b w:val="1"/>
          <w:bCs w:val="1"/>
          <w:color w:val="auto"/>
        </w:rPr>
      </w:pPr>
    </w:p>
    <w:p>
      <w:pPr>
        <w:jc w:val="both"/>
        <w:ind w:firstLine="656"/>
        <w:spacing w:after="0" w:line="239" w:lineRule="auto"/>
        <w:tabs>
          <w:tab w:leader="none" w:pos="1296"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CHOICE OF LAW. </w:t>
      </w:r>
      <w:r>
        <w:rPr>
          <w:rFonts w:ascii="Arial" w:cs="Arial" w:eastAsia="Arial" w:hAnsi="Arial"/>
          <w:sz w:val="22"/>
          <w:szCs w:val="22"/>
          <w:color w:val="auto"/>
        </w:rPr>
        <w:t>This Plan and any controversy arising out of or relating to this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and construed in accordance with, the internal laws of the State of Delaware, without regard to conflict of law principles that would result in any application of any law other than the law of the State of Delaware.</w:t>
      </w:r>
    </w:p>
    <w:p>
      <w:pPr>
        <w:spacing w:after="0" w:line="180" w:lineRule="exact"/>
        <w:rPr>
          <w:rFonts w:ascii="Arial" w:cs="Arial" w:eastAsia="Arial" w:hAnsi="Arial"/>
          <w:sz w:val="22"/>
          <w:szCs w:val="22"/>
          <w:b w:val="1"/>
          <w:bCs w:val="1"/>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OF THE COMPANY.</w:t>
      </w:r>
    </w:p>
    <w:p>
      <w:pPr>
        <w:spacing w:after="0" w:line="206" w:lineRule="exact"/>
        <w:rPr>
          <w:rFonts w:ascii="Arial" w:cs="Arial" w:eastAsia="Arial" w:hAnsi="Arial"/>
          <w:sz w:val="22"/>
          <w:szCs w:val="22"/>
          <w:b w:val="1"/>
          <w:bCs w:val="1"/>
          <w:color w:val="auto"/>
        </w:rPr>
      </w:pPr>
    </w:p>
    <w:p>
      <w:pPr>
        <w:jc w:val="both"/>
        <w:ind w:firstLine="656"/>
        <w:spacing w:after="0" w:line="276" w:lineRule="auto"/>
        <w:tabs>
          <w:tab w:leader="none" w:pos="1296"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The Company will seek to obtain from each regulatory commission or</w:t>
      </w:r>
      <w:r>
        <w:rPr>
          <w:rFonts w:ascii="Arial" w:cs="Arial" w:eastAsia="Arial" w:hAnsi="Arial"/>
          <w:sz w:val="19"/>
          <w:szCs w:val="19"/>
          <w:b w:val="1"/>
          <w:bCs w:val="1"/>
          <w:color w:val="auto"/>
        </w:rPr>
        <w:t xml:space="preserve"> </w:t>
      </w:r>
      <w:r>
        <w:rPr>
          <w:rFonts w:ascii="Arial" w:cs="Arial" w:eastAsia="Arial" w:hAnsi="Arial"/>
          <w:sz w:val="19"/>
          <w:szCs w:val="19"/>
          <w:color w:val="auto"/>
        </w:rPr>
        <w:t>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1" w:name="page52"/>
    <w:bookmarkEnd w:id="51"/>
    <w:p>
      <w:pPr>
        <w:jc w:val="both"/>
        <w:spacing w:after="0" w:line="297" w:lineRule="auto"/>
        <w:rPr>
          <w:sz w:val="20"/>
          <w:szCs w:val="20"/>
          <w:color w:val="auto"/>
        </w:rPr>
      </w:pPr>
      <w:r>
        <w:rPr>
          <w:rFonts w:ascii="Arial" w:cs="Arial" w:eastAsia="Arial" w:hAnsi="Arial"/>
          <w:sz w:val="19"/>
          <w:szCs w:val="19"/>
          <w:color w:val="auto"/>
        </w:rPr>
        <w:t>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2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THE PLAN.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2" w:name="page53"/>
    <w:bookmarkEnd w:id="52"/>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As used in the Plan, the following definitions apply to the capitalized terms indicated below:</w:t>
      </w:r>
    </w:p>
    <w:p>
      <w:pPr>
        <w:spacing w:after="0" w:line="206" w:lineRule="exact"/>
        <w:rPr>
          <w:rFonts w:ascii="Arial" w:cs="Arial" w:eastAsia="Arial" w:hAnsi="Arial"/>
          <w:sz w:val="22"/>
          <w:szCs w:val="22"/>
          <w:b w:val="1"/>
          <w:bCs w:val="1"/>
          <w:color w:val="auto"/>
        </w:rPr>
      </w:pPr>
    </w:p>
    <w:p>
      <w:pPr>
        <w:ind w:right="20" w:firstLine="656"/>
        <w:spacing w:after="0" w:line="250" w:lineRule="auto"/>
        <w:tabs>
          <w:tab w:leader="none" w:pos="1391"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Acquiring Entity</w:t>
      </w:r>
      <w:r>
        <w:rPr>
          <w:rFonts w:ascii="Arial" w:cs="Arial" w:eastAsia="Arial" w:hAnsi="Arial"/>
          <w:sz w:val="22"/>
          <w:szCs w:val="22"/>
          <w:color w:val="auto"/>
        </w:rPr>
        <w:t>” means the surviving or acquiring corporation (or its parent company) in connection with a Corporate Transaction.</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1"/>
          <w:numId w:val="4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Adoption Date</w:t>
      </w:r>
      <w:r>
        <w:rPr>
          <w:rFonts w:ascii="Arial" w:cs="Arial" w:eastAsia="Arial" w:hAnsi="Arial"/>
          <w:sz w:val="21"/>
          <w:szCs w:val="21"/>
          <w:color w:val="auto"/>
        </w:rPr>
        <w:t>” means the date the Plan is first approved by the Board or Compensation</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Committee.</w:t>
      </w:r>
    </w:p>
    <w:p>
      <w:pPr>
        <w:spacing w:after="0" w:line="188" w:lineRule="exact"/>
        <w:rPr>
          <w:rFonts w:ascii="Arial" w:cs="Arial" w:eastAsia="Arial" w:hAnsi="Arial"/>
          <w:sz w:val="21"/>
          <w:szCs w:val="21"/>
          <w:b w:val="1"/>
          <w:bCs w:val="1"/>
          <w:color w:val="auto"/>
        </w:rPr>
      </w:pPr>
    </w:p>
    <w:p>
      <w:pPr>
        <w:jc w:val="both"/>
        <w:ind w:firstLine="656"/>
        <w:spacing w:after="0" w:line="257" w:lineRule="auto"/>
        <w:tabs>
          <w:tab w:leader="none" w:pos="1296" w:val="left"/>
        </w:tabs>
        <w:numPr>
          <w:ilvl w:val="1"/>
          <w:numId w:val="4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69" w:lineRule="exact"/>
        <w:rPr>
          <w:rFonts w:ascii="Arial" w:cs="Arial" w:eastAsia="Arial" w:hAnsi="Arial"/>
          <w:sz w:val="21"/>
          <w:szCs w:val="21"/>
          <w:b w:val="1"/>
          <w:bCs w:val="1"/>
          <w:color w:val="auto"/>
        </w:rPr>
      </w:pPr>
    </w:p>
    <w:p>
      <w:pPr>
        <w:jc w:val="both"/>
        <w:ind w:firstLine="656"/>
        <w:spacing w:after="0" w:line="248" w:lineRule="auto"/>
        <w:tabs>
          <w:tab w:leader="none" w:pos="1296" w:val="left"/>
        </w:tabs>
        <w:numPr>
          <w:ilvl w:val="1"/>
          <w:numId w:val="4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Law</w:t>
      </w:r>
      <w:r>
        <w:rPr>
          <w:rFonts w:ascii="Arial" w:cs="Arial" w:eastAsia="Arial" w:hAnsi="Arial"/>
          <w:sz w:val="21"/>
          <w:szCs w:val="21"/>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6" w:lineRule="exact"/>
        <w:rPr>
          <w:rFonts w:ascii="Arial" w:cs="Arial" w:eastAsia="Arial" w:hAnsi="Arial"/>
          <w:sz w:val="21"/>
          <w:szCs w:val="21"/>
          <w:b w:val="1"/>
          <w:bCs w:val="1"/>
          <w:color w:val="auto"/>
        </w:rPr>
      </w:pPr>
    </w:p>
    <w:p>
      <w:pPr>
        <w:jc w:val="both"/>
        <w:ind w:firstLine="656"/>
        <w:spacing w:after="0"/>
        <w:tabs>
          <w:tab w:leader="none" w:pos="1296"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8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1"/>
          <w:numId w:val="4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Award Agreement</w:t>
      </w:r>
      <w:r>
        <w:rPr>
          <w:rFonts w:ascii="Arial" w:cs="Arial" w:eastAsia="Arial" w:hAnsi="Arial"/>
          <w:sz w:val="21"/>
          <w:szCs w:val="21"/>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3" w:lineRule="exact"/>
        <w:rPr>
          <w:rFonts w:ascii="Arial" w:cs="Arial" w:eastAsia="Arial" w:hAnsi="Arial"/>
          <w:sz w:val="21"/>
          <w:szCs w:val="21"/>
          <w:b w:val="1"/>
          <w:bCs w:val="1"/>
          <w:color w:val="auto"/>
        </w:rPr>
      </w:pPr>
    </w:p>
    <w:p>
      <w:pPr>
        <w:jc w:val="both"/>
        <w:ind w:firstLine="656"/>
        <w:spacing w:after="0" w:line="297" w:lineRule="auto"/>
        <w:tabs>
          <w:tab w:leader="none" w:pos="1296"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33" w:lineRule="exact"/>
        <w:rPr>
          <w:rFonts w:ascii="Arial" w:cs="Arial" w:eastAsia="Arial" w:hAnsi="Arial"/>
          <w:sz w:val="19"/>
          <w:szCs w:val="19"/>
          <w:b w:val="1"/>
          <w:bCs w:val="1"/>
          <w:color w:val="auto"/>
        </w:rPr>
      </w:pPr>
    </w:p>
    <w:p>
      <w:pPr>
        <w:jc w:val="both"/>
        <w:ind w:firstLine="656"/>
        <w:spacing w:after="0" w:line="277" w:lineRule="auto"/>
        <w:tabs>
          <w:tab w:leader="none" w:pos="1296" w:val="left"/>
        </w:tabs>
        <w:numPr>
          <w:ilvl w:val="1"/>
          <w:numId w:val="49"/>
        </w:numPr>
        <w:rPr>
          <w:rFonts w:ascii="Arial" w:cs="Arial" w:eastAsia="Arial" w:hAnsi="Arial"/>
          <w:sz w:val="19"/>
          <w:szCs w:val="19"/>
          <w:b w:val="1"/>
          <w:b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3" w:name="page54"/>
    <w:bookmarkEnd w:id="53"/>
    <w:p>
      <w:pPr>
        <w:ind w:right="20"/>
        <w:spacing w:after="0" w:line="251" w:lineRule="auto"/>
        <w:rPr>
          <w:sz w:val="20"/>
          <w:szCs w:val="20"/>
          <w:color w:val="auto"/>
        </w:rPr>
      </w:pPr>
      <w:r>
        <w:rPr>
          <w:rFonts w:ascii="Arial" w:cs="Arial" w:eastAsia="Arial" w:hAnsi="Arial"/>
          <w:sz w:val="22"/>
          <w:szCs w:val="22"/>
          <w:color w:val="auto"/>
        </w:rPr>
        <w:t>thereto). Notwithstanding the foregoing, the conversion of any convertible securities of the Company will not be treated as a Capitalization Adjustment.</w:t>
      </w:r>
    </w:p>
    <w:p>
      <w:pPr>
        <w:spacing w:after="0" w:line="173" w:lineRule="exact"/>
        <w:rPr>
          <w:sz w:val="20"/>
          <w:szCs w:val="20"/>
          <w:color w:val="auto"/>
        </w:rPr>
      </w:pPr>
    </w:p>
    <w:p>
      <w:pPr>
        <w:jc w:val="both"/>
        <w:ind w:firstLine="656"/>
        <w:spacing w:after="0" w:line="272" w:lineRule="auto"/>
        <w:tabs>
          <w:tab w:leader="none" w:pos="1296" w:val="left"/>
        </w:tabs>
        <w:numPr>
          <w:ilvl w:val="1"/>
          <w:numId w:val="5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55" w:lineRule="exact"/>
        <w:rPr>
          <w:rFonts w:ascii="Arial" w:cs="Arial" w:eastAsia="Arial" w:hAnsi="Arial"/>
          <w:sz w:val="19"/>
          <w:szCs w:val="19"/>
          <w:b w:val="1"/>
          <w:bCs w:val="1"/>
          <w:color w:val="auto"/>
        </w:rPr>
      </w:pPr>
    </w:p>
    <w:p>
      <w:pPr>
        <w:jc w:val="both"/>
        <w:ind w:firstLine="656"/>
        <w:spacing w:after="0" w:line="238" w:lineRule="auto"/>
        <w:tabs>
          <w:tab w:leader="none" w:pos="1296" w:val="left"/>
        </w:tabs>
        <w:numPr>
          <w:ilvl w:val="1"/>
          <w:numId w:val="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4" w:lineRule="exact"/>
        <w:rPr>
          <w:rFonts w:ascii="Arial" w:cs="Arial" w:eastAsia="Arial" w:hAnsi="Arial"/>
          <w:sz w:val="22"/>
          <w:szCs w:val="22"/>
          <w:b w:val="1"/>
          <w:bCs w:val="1"/>
          <w:color w:val="auto"/>
        </w:rPr>
      </w:pPr>
    </w:p>
    <w:p>
      <w:pPr>
        <w:jc w:val="both"/>
        <w:ind w:left="80" w:firstLine="1305"/>
        <w:spacing w:after="0" w:line="271" w:lineRule="auto"/>
        <w:tabs>
          <w:tab w:leader="none" w:pos="1943" w:val="left"/>
        </w:tabs>
        <w:numPr>
          <w:ilvl w:val="2"/>
          <w:numId w:val="50"/>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9"/>
          <w:szCs w:val="19"/>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60" w:lineRule="exact"/>
        <w:rPr>
          <w:rFonts w:ascii="Arial" w:cs="Arial" w:eastAsia="Arial" w:hAnsi="Arial"/>
          <w:sz w:val="19"/>
          <w:szCs w:val="19"/>
          <w:b w:val="1"/>
          <w:bCs w:val="1"/>
          <w:color w:val="auto"/>
        </w:rPr>
      </w:pPr>
    </w:p>
    <w:p>
      <w:pPr>
        <w:jc w:val="both"/>
        <w:ind w:left="80" w:firstLine="1305"/>
        <w:spacing w:after="0" w:line="273" w:lineRule="auto"/>
        <w:tabs>
          <w:tab w:leader="none" w:pos="1943" w:val="left"/>
        </w:tabs>
        <w:numPr>
          <w:ilvl w:val="2"/>
          <w:numId w:val="50"/>
        </w:numPr>
        <w:rPr>
          <w:rFonts w:ascii="Arial" w:cs="Arial" w:eastAsia="Arial" w:hAnsi="Arial"/>
          <w:sz w:val="19"/>
          <w:szCs w:val="19"/>
          <w:b w:val="1"/>
          <w:bCs w:val="1"/>
          <w:color w:val="auto"/>
        </w:rPr>
      </w:pPr>
      <w:r>
        <w:rPr>
          <w:rFonts w:ascii="Arial" w:cs="Arial" w:eastAsia="Arial" w:hAnsi="Arial"/>
          <w:sz w:val="19"/>
          <w:szCs w:val="19"/>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w:t>
      </w:r>
    </w:p>
    <w:p>
      <w:pPr>
        <w:spacing w:after="0" w:line="1" w:lineRule="exact"/>
        <w:rPr>
          <w:rFonts w:ascii="Arial" w:cs="Arial" w:eastAsia="Arial" w:hAnsi="Arial"/>
          <w:sz w:val="19"/>
          <w:szCs w:val="19"/>
          <w:b w:val="1"/>
          <w:bCs w:val="1"/>
          <w:color w:val="auto"/>
        </w:rPr>
      </w:pPr>
    </w:p>
    <w:p>
      <w:pPr>
        <w:ind w:left="440" w:hanging="351"/>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4" w:name="page55"/>
    <w:bookmarkEnd w:id="54"/>
    <w:p>
      <w:pPr>
        <w:jc w:val="both"/>
        <w:spacing w:after="0" w:line="236" w:lineRule="auto"/>
        <w:rPr>
          <w:sz w:val="20"/>
          <w:szCs w:val="20"/>
          <w:color w:val="auto"/>
        </w:rPr>
      </w:pPr>
      <w:r>
        <w:rPr>
          <w:rFonts w:ascii="Arial" w:cs="Arial" w:eastAsia="Arial" w:hAnsi="Arial"/>
          <w:sz w:val="22"/>
          <w:szCs w:val="22"/>
          <w:color w:val="auto"/>
        </w:rPr>
        <w:t>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8" w:lineRule="exact"/>
        <w:rPr>
          <w:sz w:val="20"/>
          <w:szCs w:val="20"/>
          <w:color w:val="auto"/>
        </w:rPr>
      </w:pPr>
    </w:p>
    <w:p>
      <w:pPr>
        <w:jc w:val="both"/>
        <w:ind w:left="80" w:right="20" w:firstLine="1305"/>
        <w:spacing w:after="0"/>
        <w:tabs>
          <w:tab w:leader="none" w:pos="1943"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6" w:lineRule="exact"/>
        <w:rPr>
          <w:rFonts w:ascii="Arial" w:cs="Arial" w:eastAsia="Arial" w:hAnsi="Arial"/>
          <w:sz w:val="22"/>
          <w:szCs w:val="22"/>
          <w:b w:val="1"/>
          <w:bCs w:val="1"/>
          <w:color w:val="auto"/>
        </w:rPr>
      </w:pPr>
    </w:p>
    <w:p>
      <w:pPr>
        <w:jc w:val="both"/>
        <w:ind w:left="80" w:firstLine="1305"/>
        <w:spacing w:after="0" w:line="279" w:lineRule="auto"/>
        <w:tabs>
          <w:tab w:leader="none" w:pos="1943"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50" w:lineRule="exact"/>
        <w:rPr>
          <w:rFonts w:ascii="Arial" w:cs="Arial" w:eastAsia="Arial" w:hAnsi="Arial"/>
          <w:sz w:val="19"/>
          <w:szCs w:val="19"/>
          <w:b w:val="1"/>
          <w:bCs w:val="1"/>
          <w:color w:val="auto"/>
        </w:rPr>
      </w:pPr>
    </w:p>
    <w:p>
      <w:pPr>
        <w:jc w:val="both"/>
        <w:ind w:left="80" w:firstLine="1305"/>
        <w:spacing w:after="0" w:line="282" w:lineRule="auto"/>
        <w:tabs>
          <w:tab w:leader="none" w:pos="1943"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individuals who, on the date the Plan is adopted by the Board, are members of the Board (the “</w:t>
      </w:r>
      <w:r>
        <w:rPr>
          <w:rFonts w:ascii="Arial" w:cs="Arial" w:eastAsia="Arial" w:hAnsi="Arial"/>
          <w:sz w:val="19"/>
          <w:szCs w:val="19"/>
          <w:b w:val="1"/>
          <w:bCs w:val="1"/>
          <w:i w:val="1"/>
          <w:iCs w:val="1"/>
          <w:color w:val="auto"/>
        </w:rPr>
        <w:t>Incumbent Board</w:t>
      </w:r>
      <w:r>
        <w:rPr>
          <w:rFonts w:ascii="Arial" w:cs="Arial" w:eastAsia="Arial" w:hAnsi="Arial"/>
          <w:sz w:val="19"/>
          <w:szCs w:val="19"/>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4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91" w:lineRule="exact"/>
        <w:rPr>
          <w:sz w:val="20"/>
          <w:szCs w:val="20"/>
          <w:color w:val="auto"/>
        </w:rPr>
      </w:pPr>
    </w:p>
    <w:p>
      <w:pPr>
        <w:ind w:firstLine="656"/>
        <w:spacing w:after="0" w:line="250"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including any applicable regulations and guidance thereunder.</w:t>
      </w:r>
    </w:p>
    <w:p>
      <w:pPr>
        <w:spacing w:after="0" w:line="174" w:lineRule="exact"/>
        <w:rPr>
          <w:rFonts w:ascii="Arial" w:cs="Arial" w:eastAsia="Arial" w:hAnsi="Arial"/>
          <w:sz w:val="22"/>
          <w:szCs w:val="22"/>
          <w:b w:val="1"/>
          <w:bCs w:val="1"/>
          <w:color w:val="auto"/>
        </w:rPr>
      </w:pPr>
    </w:p>
    <w:p>
      <w:pPr>
        <w:ind w:firstLine="656"/>
        <w:spacing w:after="0" w:line="328" w:lineRule="auto"/>
        <w:tabs>
          <w:tab w:leader="none" w:pos="1350"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and any other committee of Directors to whom authority has been delegated by the Board or Compensation Committee in accordance with the Plan.</w:t>
      </w:r>
    </w:p>
    <w:p>
      <w:pPr>
        <w:spacing w:after="0" w:line="104" w:lineRule="exact"/>
        <w:rPr>
          <w:rFonts w:ascii="Arial" w:cs="Arial" w:eastAsia="Arial" w:hAnsi="Arial"/>
          <w:sz w:val="19"/>
          <w:szCs w:val="19"/>
          <w:b w:val="1"/>
          <w:bCs w:val="1"/>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of the Company.</w:t>
      </w:r>
    </w:p>
    <w:p>
      <w:pPr>
        <w:spacing w:after="0" w:line="20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means </w:t>
      </w:r>
      <w:r>
        <w:rPr>
          <w:rFonts w:ascii="Arial" w:cs="Arial" w:eastAsia="Arial" w:hAnsi="Arial"/>
          <w:sz w:val="22"/>
          <w:szCs w:val="22"/>
          <w:b w:val="1"/>
          <w:bCs w:val="1"/>
          <w:color w:val="auto"/>
        </w:rPr>
        <w:t>Marker Therapeutics, Inc.,</w:t>
      </w:r>
      <w:r>
        <w:rPr>
          <w:rFonts w:ascii="Arial" w:cs="Arial" w:eastAsia="Arial" w:hAnsi="Arial"/>
          <w:sz w:val="22"/>
          <w:szCs w:val="22"/>
          <w:color w:val="auto"/>
        </w:rPr>
        <w:t xml:space="preserve"> a Delaware corporation.</w:t>
      </w:r>
    </w:p>
    <w:p>
      <w:pPr>
        <w:spacing w:after="0" w:line="21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5" w:name="page56"/>
    <w:bookmarkEnd w:id="55"/>
    <w:p>
      <w:pPr>
        <w:jc w:val="both"/>
        <w:ind w:firstLine="656"/>
        <w:spacing w:after="0" w:line="247" w:lineRule="auto"/>
        <w:tabs>
          <w:tab w:leader="none" w:pos="1296" w:val="left"/>
        </w:tabs>
        <w:numPr>
          <w:ilvl w:val="0"/>
          <w:numId w:val="5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7" w:lineRule="exact"/>
        <w:rPr>
          <w:rFonts w:ascii="Arial" w:cs="Arial" w:eastAsia="Arial" w:hAnsi="Arial"/>
          <w:sz w:val="21"/>
          <w:szCs w:val="21"/>
          <w:b w:val="1"/>
          <w:bCs w:val="1"/>
          <w:color w:val="auto"/>
        </w:rPr>
      </w:pPr>
    </w:p>
    <w:p>
      <w:pPr>
        <w:jc w:val="both"/>
        <w:ind w:firstLine="656"/>
        <w:spacing w:after="0" w:line="270" w:lineRule="auto"/>
        <w:tabs>
          <w:tab w:leader="none" w:pos="1296"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ind w:firstLine="656"/>
        <w:spacing w:after="0" w:line="250" w:lineRule="auto"/>
        <w:tabs>
          <w:tab w:leader="none" w:pos="1296"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ind w:left="80" w:firstLine="1305"/>
        <w:spacing w:after="0" w:line="250" w:lineRule="auto"/>
        <w:tabs>
          <w:tab w:leader="none" w:pos="1943"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of the consolidated assets of the Company and its Subsidiaries;</w:t>
      </w:r>
    </w:p>
    <w:p>
      <w:pPr>
        <w:spacing w:after="0" w:line="174" w:lineRule="exact"/>
        <w:rPr>
          <w:rFonts w:ascii="Arial" w:cs="Arial" w:eastAsia="Arial" w:hAnsi="Arial"/>
          <w:sz w:val="22"/>
          <w:szCs w:val="22"/>
          <w:b w:val="1"/>
          <w:bCs w:val="1"/>
          <w:color w:val="auto"/>
        </w:rPr>
      </w:pPr>
    </w:p>
    <w:p>
      <w:pPr>
        <w:ind w:left="1960" w:hanging="575"/>
        <w:spacing w:after="0"/>
        <w:tabs>
          <w:tab w:leader="none" w:pos="1960"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a sale or other disposition of at least 50% of the outstanding securities of the Company;</w:t>
      </w:r>
    </w:p>
    <w:p>
      <w:pPr>
        <w:spacing w:after="0" w:line="240" w:lineRule="exact"/>
        <w:rPr>
          <w:rFonts w:ascii="Arial" w:cs="Arial" w:eastAsia="Arial" w:hAnsi="Arial"/>
          <w:sz w:val="19"/>
          <w:szCs w:val="19"/>
          <w:b w:val="1"/>
          <w:bCs w:val="1"/>
          <w:color w:val="auto"/>
        </w:rPr>
      </w:pPr>
    </w:p>
    <w:p>
      <w:pPr>
        <w:ind w:left="80" w:right="20" w:firstLine="1305"/>
        <w:spacing w:after="0" w:line="250" w:lineRule="auto"/>
        <w:tabs>
          <w:tab w:leader="none" w:pos="1943"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not the surviving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jc w:val="both"/>
        <w:ind w:left="80" w:firstLine="1305"/>
        <w:spacing w:after="0" w:line="252" w:lineRule="auto"/>
        <w:tabs>
          <w:tab w:leader="none" w:pos="1943" w:val="left"/>
        </w:tabs>
        <w:numPr>
          <w:ilvl w:val="1"/>
          <w:numId w:val="55"/>
        </w:numPr>
        <w:rPr>
          <w:rFonts w:ascii="Arial" w:cs="Arial" w:eastAsia="Arial" w:hAnsi="Arial"/>
          <w:sz w:val="21"/>
          <w:szCs w:val="21"/>
          <w:b w:val="1"/>
          <w:bCs w:val="1"/>
          <w:color w:val="auto"/>
        </w:rPr>
      </w:pPr>
      <w:r>
        <w:rPr>
          <w:rFonts w:ascii="Arial" w:cs="Arial" w:eastAsia="Arial" w:hAnsi="Arial"/>
          <w:sz w:val="21"/>
          <w:szCs w:val="21"/>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4" w:lineRule="exact"/>
        <w:rPr>
          <w:rFonts w:ascii="Arial" w:cs="Arial" w:eastAsia="Arial" w:hAnsi="Arial"/>
          <w:sz w:val="21"/>
          <w:szCs w:val="21"/>
          <w:b w:val="1"/>
          <w:bCs w:val="1"/>
          <w:color w:val="auto"/>
        </w:rPr>
      </w:pPr>
    </w:p>
    <w:p>
      <w:pPr>
        <w:ind w:left="1300" w:hanging="644"/>
        <w:spacing w:after="0"/>
        <w:tabs>
          <w:tab w:leader="none" w:pos="130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determine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determined</w:t>
      </w:r>
      <w:r>
        <w:rPr>
          <w:rFonts w:ascii="Arial" w:cs="Arial" w:eastAsia="Arial" w:hAnsi="Arial"/>
          <w:sz w:val="22"/>
          <w:szCs w:val="22"/>
          <w:color w:val="auto"/>
        </w:rPr>
        <w:t>” means as determined by the Board or the Committee (or its designee) in its sole discretion.</w:t>
      </w:r>
    </w:p>
    <w:p>
      <w:pPr>
        <w:spacing w:after="0" w:line="174"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5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Disability</w:t>
      </w:r>
      <w:r>
        <w:rPr>
          <w:rFonts w:ascii="Arial" w:cs="Arial" w:eastAsia="Arial" w:hAnsi="Arial"/>
          <w:sz w:val="21"/>
          <w:szCs w:val="21"/>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8" w:lineRule="exact"/>
        <w:rPr>
          <w:rFonts w:ascii="Arial" w:cs="Arial" w:eastAsia="Arial" w:hAnsi="Arial"/>
          <w:sz w:val="21"/>
          <w:szCs w:val="21"/>
          <w:b w:val="1"/>
          <w:bCs w:val="1"/>
          <w:color w:val="auto"/>
        </w:rPr>
      </w:pPr>
    </w:p>
    <w:p>
      <w:pPr>
        <w:ind w:firstLine="656"/>
        <w:spacing w:after="0" w:line="250" w:lineRule="auto"/>
        <w:tabs>
          <w:tab w:leader="none" w:pos="1364"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of the annual meeting of stockholders of the Company held in 2020 provided this Plan is approved by the Company’s stockholders at such meeting.</w:t>
      </w:r>
    </w:p>
    <w:p>
      <w:pPr>
        <w:spacing w:after="0" w:line="174" w:lineRule="exact"/>
        <w:rPr>
          <w:rFonts w:ascii="Arial" w:cs="Arial" w:eastAsia="Arial" w:hAnsi="Arial"/>
          <w:sz w:val="22"/>
          <w:szCs w:val="22"/>
          <w:b w:val="1"/>
          <w:bCs w:val="1"/>
          <w:color w:val="auto"/>
        </w:rPr>
      </w:pPr>
    </w:p>
    <w:p>
      <w:pPr>
        <w:jc w:val="both"/>
        <w:ind w:firstLine="656"/>
        <w:spacing w:after="0"/>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8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means the Company or the Affiliate of the Company that employs the Participant.</w:t>
      </w:r>
    </w:p>
    <w:p>
      <w:pPr>
        <w:spacing w:after="0" w:line="240" w:lineRule="exact"/>
        <w:rPr>
          <w:rFonts w:ascii="Arial" w:cs="Arial" w:eastAsia="Arial" w:hAnsi="Arial"/>
          <w:sz w:val="19"/>
          <w:szCs w:val="19"/>
          <w:b w:val="1"/>
          <w:bCs w:val="1"/>
          <w:color w:val="auto"/>
        </w:rPr>
      </w:pPr>
    </w:p>
    <w:p>
      <w:pPr>
        <w:ind w:left="1300" w:hanging="644"/>
        <w:spacing w:after="0"/>
        <w:tabs>
          <w:tab w:leader="none" w:pos="130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5" w:lineRule="exact"/>
        <w:rPr>
          <w:sz w:val="20"/>
          <w:szCs w:val="20"/>
          <w:color w:val="auto"/>
        </w:rPr>
      </w:pPr>
    </w:p>
    <w:p>
      <w:pPr>
        <w:jc w:val="both"/>
        <w:ind w:firstLine="656"/>
        <w:spacing w:after="0" w:line="273" w:lineRule="auto"/>
        <w:tabs>
          <w:tab w:leader="none" w:pos="1296"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7" w:name="page58"/>
    <w:bookmarkEnd w:id="57"/>
    <w:p>
      <w:pPr>
        <w:ind w:firstLine="656"/>
        <w:spacing w:after="0" w:line="329" w:lineRule="auto"/>
        <w:tabs>
          <w:tab w:leader="none" w:pos="1350"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unless otherwise determined by the Board, the value of the Common Stock (as determined on a per share or aggregate basis, as applicable) determined as follows:</w:t>
      </w:r>
    </w:p>
    <w:p>
      <w:pPr>
        <w:spacing w:after="0" w:line="103" w:lineRule="exact"/>
        <w:rPr>
          <w:rFonts w:ascii="Arial" w:cs="Arial" w:eastAsia="Arial" w:hAnsi="Arial"/>
          <w:sz w:val="19"/>
          <w:szCs w:val="19"/>
          <w:b w:val="1"/>
          <w:bCs w:val="1"/>
          <w:color w:val="auto"/>
        </w:rPr>
      </w:pPr>
    </w:p>
    <w:p>
      <w:pPr>
        <w:jc w:val="both"/>
        <w:ind w:left="80" w:firstLine="1305"/>
        <w:spacing w:after="0" w:line="238" w:lineRule="auto"/>
        <w:tabs>
          <w:tab w:leader="none" w:pos="1943" w:val="left"/>
        </w:tabs>
        <w:numPr>
          <w:ilvl w:val="2"/>
          <w:numId w:val="58"/>
        </w:numPr>
        <w:rPr>
          <w:rFonts w:ascii="Arial" w:cs="Arial" w:eastAsia="Arial" w:hAnsi="Arial"/>
          <w:sz w:val="22"/>
          <w:szCs w:val="22"/>
          <w:b w:val="1"/>
          <w:bCs w:val="1"/>
          <w:color w:val="auto"/>
        </w:rPr>
      </w:pPr>
      <w:r>
        <w:rPr>
          <w:rFonts w:ascii="Arial" w:cs="Arial" w:eastAsia="Arial" w:hAnsi="Arial"/>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4" w:lineRule="exact"/>
        <w:rPr>
          <w:rFonts w:ascii="Arial" w:cs="Arial" w:eastAsia="Arial" w:hAnsi="Arial"/>
          <w:sz w:val="22"/>
          <w:szCs w:val="22"/>
          <w:b w:val="1"/>
          <w:bCs w:val="1"/>
          <w:color w:val="auto"/>
        </w:rPr>
      </w:pPr>
    </w:p>
    <w:p>
      <w:pPr>
        <w:ind w:left="80" w:firstLine="1305"/>
        <w:spacing w:after="0" w:line="328" w:lineRule="auto"/>
        <w:tabs>
          <w:tab w:leader="none" w:pos="1943" w:val="left"/>
        </w:tabs>
        <w:numPr>
          <w:ilvl w:val="2"/>
          <w:numId w:val="58"/>
        </w:numPr>
        <w:rPr>
          <w:rFonts w:ascii="Arial" w:cs="Arial" w:eastAsia="Arial" w:hAnsi="Arial"/>
          <w:sz w:val="19"/>
          <w:szCs w:val="19"/>
          <w:b w:val="1"/>
          <w:bCs w:val="1"/>
          <w:color w:val="auto"/>
        </w:rPr>
      </w:pPr>
      <w:r>
        <w:rPr>
          <w:rFonts w:ascii="Arial" w:cs="Arial" w:eastAsia="Arial" w:hAnsi="Arial"/>
          <w:sz w:val="19"/>
          <w:szCs w:val="19"/>
          <w:color w:val="auto"/>
        </w:rPr>
        <w:t>If there is no closing sales price for the Common Stock on the date of determination, then the Fair Market Value will be the closing selling price on the last preceding date for which such quotation exists.</w:t>
      </w:r>
    </w:p>
    <w:p>
      <w:pPr>
        <w:spacing w:after="0" w:line="104" w:lineRule="exact"/>
        <w:rPr>
          <w:rFonts w:ascii="Arial" w:cs="Arial" w:eastAsia="Arial" w:hAnsi="Arial"/>
          <w:sz w:val="19"/>
          <w:szCs w:val="19"/>
          <w:b w:val="1"/>
          <w:bCs w:val="1"/>
          <w:color w:val="auto"/>
        </w:rPr>
      </w:pPr>
    </w:p>
    <w:p>
      <w:pPr>
        <w:jc w:val="both"/>
        <w:ind w:left="80" w:firstLine="1305"/>
        <w:spacing w:after="0"/>
        <w:tabs>
          <w:tab w:leader="none" w:pos="1943" w:val="left"/>
        </w:tabs>
        <w:numPr>
          <w:ilvl w:val="2"/>
          <w:numId w:val="58"/>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86" w:lineRule="exact"/>
        <w:rPr>
          <w:rFonts w:ascii="Arial" w:cs="Arial" w:eastAsia="Arial" w:hAnsi="Arial"/>
          <w:sz w:val="22"/>
          <w:szCs w:val="22"/>
          <w:b w:val="1"/>
          <w:bCs w:val="1"/>
          <w:color w:val="auto"/>
        </w:rPr>
      </w:pPr>
    </w:p>
    <w:p>
      <w:pPr>
        <w:jc w:val="both"/>
        <w:ind w:firstLine="656"/>
        <w:spacing w:after="0" w:line="234" w:lineRule="auto"/>
        <w:tabs>
          <w:tab w:leader="none" w:pos="1296"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Body</w:t>
      </w:r>
      <w:r>
        <w:rPr>
          <w:rFonts w:ascii="Arial" w:cs="Arial" w:eastAsia="Arial" w:hAnsi="Arial"/>
          <w:sz w:val="22"/>
          <w:szCs w:val="22"/>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6" w:lineRule="exact"/>
        <w:rPr>
          <w:rFonts w:ascii="Arial" w:cs="Arial" w:eastAsia="Arial" w:hAnsi="Arial"/>
          <w:sz w:val="22"/>
          <w:szCs w:val="22"/>
          <w:b w:val="1"/>
          <w:bCs w:val="1"/>
          <w:color w:val="auto"/>
        </w:rPr>
      </w:pPr>
    </w:p>
    <w:p>
      <w:pPr>
        <w:jc w:val="both"/>
        <w:ind w:firstLine="656"/>
        <w:spacing w:after="0" w:line="252" w:lineRule="auto"/>
        <w:tabs>
          <w:tab w:leader="none" w:pos="1377" w:val="left"/>
        </w:tabs>
        <w:numPr>
          <w:ilvl w:val="1"/>
          <w:numId w:val="5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3" w:lineRule="exact"/>
        <w:rPr>
          <w:rFonts w:ascii="Arial" w:cs="Arial" w:eastAsia="Arial" w:hAnsi="Arial"/>
          <w:sz w:val="21"/>
          <w:szCs w:val="21"/>
          <w:b w:val="1"/>
          <w:bCs w:val="1"/>
          <w:color w:val="auto"/>
        </w:rPr>
      </w:pPr>
    </w:p>
    <w:p>
      <w:pPr>
        <w:ind w:firstLine="656"/>
        <w:spacing w:after="0" w:line="274" w:lineRule="auto"/>
        <w:tabs>
          <w:tab w:leader="none" w:pos="1296" w:val="left"/>
        </w:tabs>
        <w:numPr>
          <w:ilvl w:val="1"/>
          <w:numId w:val="5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Incentive Stock Option</w:t>
      </w:r>
      <w:r>
        <w:rPr>
          <w:rFonts w:ascii="Arial" w:cs="Arial" w:eastAsia="Arial" w:hAnsi="Arial"/>
          <w:sz w:val="21"/>
          <w:szCs w:val="21"/>
          <w:color w:val="auto"/>
        </w:rPr>
        <w:t>” means an option granted pursuant to Section 4 of the Plan that is intended to be, and qualifies as, an “incentive stock option” within the meaning of Section 422 of the Code.</w:t>
      </w:r>
    </w:p>
    <w:p>
      <w:pPr>
        <w:spacing w:after="0" w:line="150" w:lineRule="exact"/>
        <w:rPr>
          <w:rFonts w:ascii="Arial" w:cs="Arial" w:eastAsia="Arial" w:hAnsi="Arial"/>
          <w:sz w:val="21"/>
          <w:szCs w:val="21"/>
          <w:b w:val="1"/>
          <w:bCs w:val="1"/>
          <w:color w:val="auto"/>
        </w:rPr>
      </w:pPr>
    </w:p>
    <w:p>
      <w:pPr>
        <w:jc w:val="both"/>
        <w:ind w:firstLine="656"/>
        <w:spacing w:after="0" w:line="270" w:lineRule="auto"/>
        <w:tabs>
          <w:tab w:leader="none" w:pos="1296"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Materially Impair</w:t>
      </w:r>
      <w:r>
        <w:rPr>
          <w:rFonts w:ascii="Arial" w:cs="Arial" w:eastAsia="Arial" w:hAnsi="Arial"/>
          <w:sz w:val="19"/>
          <w:szCs w:val="19"/>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w:t>
      </w:r>
    </w:p>
    <w:p>
      <w:pPr>
        <w:spacing w:after="0" w:line="4" w:lineRule="exact"/>
        <w:rPr>
          <w:rFonts w:ascii="Arial" w:cs="Arial" w:eastAsia="Arial" w:hAnsi="Arial"/>
          <w:sz w:val="19"/>
          <w:szCs w:val="19"/>
          <w:b w:val="1"/>
          <w:bCs w:val="1"/>
          <w:color w:val="auto"/>
        </w:rPr>
      </w:pPr>
    </w:p>
    <w:p>
      <w:pPr>
        <w:jc w:val="both"/>
        <w:ind w:right="20" w:firstLine="8"/>
        <w:spacing w:after="0" w:line="234" w:lineRule="auto"/>
        <w:tabs>
          <w:tab w:leader="none" w:pos="294" w:val="left"/>
        </w:tabs>
        <w:numPr>
          <w:ilvl w:val="0"/>
          <w:numId w:val="59"/>
        </w:numPr>
        <w:rPr>
          <w:rFonts w:ascii="Arial" w:cs="Arial" w:eastAsia="Arial" w:hAnsi="Arial"/>
          <w:sz w:val="22"/>
          <w:szCs w:val="22"/>
          <w:color w:val="auto"/>
        </w:rPr>
      </w:pPr>
      <w:r>
        <w:rPr>
          <w:rFonts w:ascii="Arial" w:cs="Arial" w:eastAsia="Arial" w:hAnsi="Arial"/>
          <w:sz w:val="22"/>
          <w:szCs w:val="22"/>
          <w:color w:val="auto"/>
        </w:rPr>
        <w:t>imposition of reasonable restrictions on the minimum number of shares subject to an Option that may be exercised, (ii) to maintain the qualified status of the Award as an Incentive Stock Option under Section 422 of the Code; (iii) to change the terms of an Incentive Stock Option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8" w:name="page59"/>
    <w:bookmarkEnd w:id="58"/>
    <w:p>
      <w:pPr>
        <w:jc w:val="both"/>
        <w:spacing w:after="0" w:line="297" w:lineRule="auto"/>
        <w:rPr>
          <w:sz w:val="20"/>
          <w:szCs w:val="20"/>
          <w:color w:val="auto"/>
        </w:rPr>
      </w:pPr>
      <w:r>
        <w:rPr>
          <w:rFonts w:ascii="Arial" w:cs="Arial" w:eastAsia="Arial" w:hAnsi="Arial"/>
          <w:sz w:val="19"/>
          <w:szCs w:val="19"/>
          <w:color w:val="auto"/>
        </w:rPr>
        <w:t>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34" w:lineRule="exact"/>
        <w:rPr>
          <w:sz w:val="20"/>
          <w:szCs w:val="20"/>
          <w:color w:val="auto"/>
        </w:rPr>
      </w:pPr>
    </w:p>
    <w:p>
      <w:pPr>
        <w:jc w:val="both"/>
        <w:ind w:firstLine="656"/>
        <w:spacing w:after="0" w:line="246" w:lineRule="auto"/>
        <w:tabs>
          <w:tab w:leader="none" w:pos="1296" w:val="left"/>
        </w:tabs>
        <w:numPr>
          <w:ilvl w:val="0"/>
          <w:numId w:val="6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Non-Employee Director</w:t>
      </w:r>
      <w:r>
        <w:rPr>
          <w:rFonts w:ascii="Arial" w:cs="Arial" w:eastAsia="Arial" w:hAnsi="Arial"/>
          <w:sz w:val="21"/>
          <w:szCs w:val="21"/>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21"/>
          <w:szCs w:val="21"/>
          <w:b w:val="1"/>
          <w:bCs w:val="1"/>
          <w:i w:val="1"/>
          <w:iCs w:val="1"/>
          <w:color w:val="auto"/>
        </w:rPr>
        <w:t>Regulation S-K</w:t>
      </w:r>
      <w:r>
        <w:rPr>
          <w:rFonts w:ascii="Arial" w:cs="Arial" w:eastAsia="Arial" w:hAnsi="Arial"/>
          <w:sz w:val="21"/>
          <w:szCs w:val="21"/>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9" w:lineRule="exact"/>
        <w:rPr>
          <w:rFonts w:ascii="Arial" w:cs="Arial" w:eastAsia="Arial" w:hAnsi="Arial"/>
          <w:sz w:val="21"/>
          <w:szCs w:val="21"/>
          <w:b w:val="1"/>
          <w:bCs w:val="1"/>
          <w:color w:val="auto"/>
        </w:rPr>
      </w:pPr>
    </w:p>
    <w:p>
      <w:pPr>
        <w:ind w:right="20" w:firstLine="656"/>
        <w:spacing w:after="0" w:line="250"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4 of the Plan that does not qualify as an Incentive Stock Option.</w:t>
      </w:r>
    </w:p>
    <w:p>
      <w:pPr>
        <w:spacing w:after="0" w:line="174"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within the meaning of Section 16 of the Exchange Act.</w:t>
      </w:r>
    </w:p>
    <w:p>
      <w:pPr>
        <w:spacing w:after="0" w:line="174" w:lineRule="exact"/>
        <w:rPr>
          <w:rFonts w:ascii="Arial" w:cs="Arial" w:eastAsia="Arial" w:hAnsi="Arial"/>
          <w:sz w:val="22"/>
          <w:szCs w:val="22"/>
          <w:b w:val="1"/>
          <w:bCs w:val="1"/>
          <w:color w:val="auto"/>
        </w:rPr>
      </w:pPr>
    </w:p>
    <w:p>
      <w:pPr>
        <w:ind w:right="20" w:firstLine="656"/>
        <w:spacing w:after="0" w:line="250"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shares of Common Stock granted pursuant to the Plan.</w:t>
      </w:r>
    </w:p>
    <w:p>
      <w:pPr>
        <w:spacing w:after="0" w:line="174" w:lineRule="exact"/>
        <w:rPr>
          <w:rFonts w:ascii="Arial" w:cs="Arial" w:eastAsia="Arial" w:hAnsi="Arial"/>
          <w:sz w:val="22"/>
          <w:szCs w:val="22"/>
          <w:b w:val="1"/>
          <w:bCs w:val="1"/>
          <w:color w:val="auto"/>
        </w:rPr>
      </w:pPr>
    </w:p>
    <w:p>
      <w:pPr>
        <w:jc w:val="both"/>
        <w:ind w:firstLine="656"/>
        <w:spacing w:after="0" w:line="236"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Agreement</w:t>
      </w:r>
      <w:r>
        <w:rPr>
          <w:rFonts w:ascii="Arial" w:cs="Arial" w:eastAsia="Arial" w:hAnsi="Arial"/>
          <w:sz w:val="22"/>
          <w:szCs w:val="22"/>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87"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w:t>
      </w:r>
      <w:r>
        <w:rPr>
          <w:rFonts w:ascii="Arial" w:cs="Arial" w:eastAsia="Arial" w:hAnsi="Arial"/>
          <w:sz w:val="22"/>
          <w:szCs w:val="22"/>
          <w:color w:val="auto"/>
        </w:rPr>
        <w:t>” means an award based in whole or in part by reference to the Common Stock which is granted pursuant to the terms and conditions of Section 5(c).</w:t>
      </w:r>
    </w:p>
    <w:p>
      <w:pPr>
        <w:spacing w:after="0" w:line="174" w:lineRule="exact"/>
        <w:rPr>
          <w:rFonts w:ascii="Arial" w:cs="Arial" w:eastAsia="Arial" w:hAnsi="Arial"/>
          <w:sz w:val="22"/>
          <w:szCs w:val="22"/>
          <w:b w:val="1"/>
          <w:bCs w:val="1"/>
          <w:color w:val="auto"/>
        </w:rPr>
      </w:pPr>
    </w:p>
    <w:p>
      <w:pPr>
        <w:jc w:val="both"/>
        <w:ind w:firstLine="656"/>
        <w:spacing w:after="0"/>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 Agreement</w:t>
      </w:r>
      <w:r>
        <w:rPr>
          <w:rFonts w:ascii="Arial" w:cs="Arial" w:eastAsia="Arial" w:hAnsi="Arial"/>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86" w:lineRule="exact"/>
        <w:rPr>
          <w:rFonts w:ascii="Arial" w:cs="Arial" w:eastAsia="Arial" w:hAnsi="Arial"/>
          <w:sz w:val="22"/>
          <w:szCs w:val="22"/>
          <w:b w:val="1"/>
          <w:bCs w:val="1"/>
          <w:color w:val="auto"/>
        </w:rPr>
      </w:pPr>
    </w:p>
    <w:p>
      <w:pPr>
        <w:jc w:val="both"/>
        <w:ind w:firstLine="656"/>
        <w:spacing w:after="0" w:line="287" w:lineRule="auto"/>
        <w:tabs>
          <w:tab w:leader="none" w:pos="1296"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Own,</w:t>
      </w:r>
      <w:r>
        <w:rPr>
          <w:rFonts w:ascii="Arial" w:cs="Arial" w:eastAsia="Arial" w:hAnsi="Arial"/>
          <w:sz w:val="19"/>
          <w:szCs w:val="19"/>
          <w:color w:val="auto"/>
        </w:rPr>
        <w:t>” “</w:t>
      </w:r>
      <w:r>
        <w:rPr>
          <w:rFonts w:ascii="Arial" w:cs="Arial" w:eastAsia="Arial" w:hAnsi="Arial"/>
          <w:sz w:val="19"/>
          <w:szCs w:val="19"/>
          <w:b w:val="1"/>
          <w:bCs w:val="1"/>
          <w:i w:val="1"/>
          <w:iCs w:val="1"/>
          <w:color w:val="auto"/>
        </w:rPr>
        <w:t>Owned,</w:t>
      </w:r>
      <w:r>
        <w:rPr>
          <w:rFonts w:ascii="Arial" w:cs="Arial" w:eastAsia="Arial" w:hAnsi="Arial"/>
          <w:sz w:val="19"/>
          <w:szCs w:val="19"/>
          <w:color w:val="auto"/>
        </w:rPr>
        <w:t>” “</w:t>
      </w:r>
      <w:r>
        <w:rPr>
          <w:rFonts w:ascii="Arial" w:cs="Arial" w:eastAsia="Arial" w:hAnsi="Arial"/>
          <w:sz w:val="19"/>
          <w:szCs w:val="19"/>
          <w:b w:val="1"/>
          <w:bCs w:val="1"/>
          <w:i w:val="1"/>
          <w:iCs w:val="1"/>
          <w:color w:val="auto"/>
        </w:rPr>
        <w:t>Owner,</w:t>
      </w:r>
      <w:r>
        <w:rPr>
          <w:rFonts w:ascii="Arial" w:cs="Arial" w:eastAsia="Arial" w:hAnsi="Arial"/>
          <w:sz w:val="19"/>
          <w:szCs w:val="19"/>
          <w:color w:val="auto"/>
        </w:rPr>
        <w:t>” “</w:t>
      </w:r>
      <w:r>
        <w:rPr>
          <w:rFonts w:ascii="Arial" w:cs="Arial" w:eastAsia="Arial" w:hAnsi="Arial"/>
          <w:sz w:val="19"/>
          <w:szCs w:val="19"/>
          <w:b w:val="1"/>
          <w:bCs w:val="1"/>
          <w:i w:val="1"/>
          <w:iCs w:val="1"/>
          <w:color w:val="auto"/>
        </w:rPr>
        <w:t>Ownership</w:t>
      </w:r>
      <w:r>
        <w:rPr>
          <w:rFonts w:ascii="Arial" w:cs="Arial" w:eastAsia="Arial" w:hAnsi="Arial"/>
          <w:sz w:val="19"/>
          <w:szCs w:val="19"/>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9" w:name="page60"/>
    <w:bookmarkEnd w:id="59"/>
    <w:p>
      <w:pPr>
        <w:ind w:firstLine="656"/>
        <w:spacing w:after="0" w:line="251" w:lineRule="auto"/>
        <w:tabs>
          <w:tab w:leader="none" w:pos="1296"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Director or Consultant to whom an Award is granted pursuant to the Plan or, if applicable, such other person who holds an outstanding Award.</w:t>
      </w:r>
    </w:p>
    <w:p>
      <w:pPr>
        <w:spacing w:after="0" w:line="173" w:lineRule="exact"/>
        <w:rPr>
          <w:rFonts w:ascii="Arial" w:cs="Arial" w:eastAsia="Arial" w:hAnsi="Arial"/>
          <w:sz w:val="22"/>
          <w:szCs w:val="22"/>
          <w:b w:val="1"/>
          <w:bCs w:val="1"/>
          <w:color w:val="auto"/>
        </w:rPr>
      </w:pPr>
    </w:p>
    <w:p>
      <w:pPr>
        <w:jc w:val="both"/>
        <w:ind w:firstLine="656"/>
        <w:spacing w:after="0" w:line="277" w:lineRule="auto"/>
        <w:tabs>
          <w:tab w:leader="none" w:pos="1296"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51" w:lineRule="exact"/>
        <w:rPr>
          <w:rFonts w:ascii="Arial" w:cs="Arial" w:eastAsia="Arial" w:hAnsi="Arial"/>
          <w:sz w:val="19"/>
          <w:szCs w:val="19"/>
          <w:b w:val="1"/>
          <w:bCs w:val="1"/>
          <w:color w:val="auto"/>
        </w:rPr>
      </w:pPr>
    </w:p>
    <w:p>
      <w:pPr>
        <w:jc w:val="both"/>
        <w:ind w:firstLine="656"/>
        <w:spacing w:after="0" w:line="297" w:lineRule="auto"/>
        <w:tabs>
          <w:tab w:leader="none" w:pos="1350"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33" w:lineRule="exact"/>
        <w:rPr>
          <w:rFonts w:ascii="Arial" w:cs="Arial" w:eastAsia="Arial" w:hAnsi="Arial"/>
          <w:sz w:val="19"/>
          <w:szCs w:val="19"/>
          <w:b w:val="1"/>
          <w:bCs w:val="1"/>
          <w:color w:val="auto"/>
        </w:rPr>
      </w:pPr>
    </w:p>
    <w:p>
      <w:pPr>
        <w:jc w:val="both"/>
        <w:ind w:firstLine="656"/>
        <w:spacing w:after="0" w:line="269" w:lineRule="auto"/>
        <w:tabs>
          <w:tab w:leader="none" w:pos="1296"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0" w:name="page61"/>
    <w:bookmarkEnd w:id="60"/>
    <w:p>
      <w:pPr>
        <w:jc w:val="both"/>
        <w:spacing w:after="0" w:line="241" w:lineRule="auto"/>
        <w:rPr>
          <w:sz w:val="20"/>
          <w:szCs w:val="20"/>
          <w:color w:val="auto"/>
        </w:rPr>
      </w:pPr>
      <w:r>
        <w:rPr>
          <w:rFonts w:ascii="Arial" w:cs="Arial" w:eastAsia="Arial" w:hAnsi="Arial"/>
          <w:sz w:val="22"/>
          <w:szCs w:val="22"/>
          <w:color w:val="auto"/>
        </w:rPr>
        <w:t>Performance Period. Partial achievement of the specified criteria may result in the payment or vesting corresponding to the degree of achievement as specified in the Award Agreement or the written terms of a Performance Cash Award.</w:t>
      </w:r>
    </w:p>
    <w:p>
      <w:pPr>
        <w:spacing w:after="0" w:line="183" w:lineRule="exact"/>
        <w:rPr>
          <w:sz w:val="20"/>
          <w:szCs w:val="20"/>
          <w:color w:val="auto"/>
        </w:rPr>
      </w:pPr>
    </w:p>
    <w:p>
      <w:pPr>
        <w:jc w:val="both"/>
        <w:ind w:firstLine="656"/>
        <w:spacing w:after="0" w:line="238"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Marker Therapeutics, Inc. 2020 Equity Incentive Plan, as amended.</w:t>
      </w:r>
    </w:p>
    <w:p>
      <w:pPr>
        <w:spacing w:after="0" w:line="206" w:lineRule="exact"/>
        <w:rPr>
          <w:rFonts w:ascii="Arial" w:cs="Arial" w:eastAsia="Arial" w:hAnsi="Arial"/>
          <w:sz w:val="22"/>
          <w:szCs w:val="22"/>
          <w:b w:val="1"/>
          <w:bCs w:val="1"/>
          <w:color w:val="auto"/>
        </w:rPr>
      </w:pPr>
    </w:p>
    <w:p>
      <w:pPr>
        <w:jc w:val="both"/>
        <w:ind w:firstLine="656"/>
        <w:spacing w:after="0"/>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person, persons, and/or third-party administrator designated by the Company to administer the day to day operations of the Plan and the Company’s other equity incentive programs.</w:t>
      </w:r>
    </w:p>
    <w:p>
      <w:pPr>
        <w:spacing w:after="0" w:line="186" w:lineRule="exact"/>
        <w:rPr>
          <w:rFonts w:ascii="Arial" w:cs="Arial" w:eastAsia="Arial" w:hAnsi="Arial"/>
          <w:sz w:val="22"/>
          <w:szCs w:val="22"/>
          <w:b w:val="1"/>
          <w:bCs w:val="1"/>
          <w:color w:val="auto"/>
        </w:rPr>
      </w:pPr>
    </w:p>
    <w:p>
      <w:pPr>
        <w:ind w:right="20" w:firstLine="656"/>
        <w:spacing w:after="0" w:line="328" w:lineRule="auto"/>
        <w:tabs>
          <w:tab w:leader="none" w:pos="1296"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Post-Termination Exercise Period</w:t>
      </w:r>
      <w:r>
        <w:rPr>
          <w:rFonts w:ascii="Arial" w:cs="Arial" w:eastAsia="Arial" w:hAnsi="Arial"/>
          <w:sz w:val="19"/>
          <w:szCs w:val="19"/>
          <w:color w:val="auto"/>
        </w:rPr>
        <w:t>” means the period following termination of a Participant’s Continuous Service within which an Option or SAR is exercisable, as specified in Section 4(h).</w:t>
      </w:r>
    </w:p>
    <w:p>
      <w:pPr>
        <w:spacing w:after="0" w:line="104" w:lineRule="exact"/>
        <w:rPr>
          <w:rFonts w:ascii="Arial" w:cs="Arial" w:eastAsia="Arial" w:hAnsi="Arial"/>
          <w:sz w:val="19"/>
          <w:szCs w:val="19"/>
          <w:b w:val="1"/>
          <w:bCs w:val="1"/>
          <w:color w:val="auto"/>
        </w:rPr>
      </w:pPr>
    </w:p>
    <w:p>
      <w:pPr>
        <w:ind w:firstLine="656"/>
        <w:spacing w:after="0" w:line="250"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Plans’ Available Reserve</w:t>
      </w:r>
      <w:r>
        <w:rPr>
          <w:rFonts w:ascii="Arial" w:cs="Arial" w:eastAsia="Arial" w:hAnsi="Arial"/>
          <w:sz w:val="22"/>
          <w:szCs w:val="22"/>
          <w:color w:val="auto"/>
        </w:rPr>
        <w:t>” means the number of shares available for the grant of new awards under the Prior Plans as of immediately prior to the Effective Date.</w:t>
      </w:r>
    </w:p>
    <w:p>
      <w:pPr>
        <w:spacing w:after="0" w:line="174" w:lineRule="exact"/>
        <w:rPr>
          <w:rFonts w:ascii="Arial" w:cs="Arial" w:eastAsia="Arial" w:hAnsi="Arial"/>
          <w:sz w:val="22"/>
          <w:szCs w:val="22"/>
          <w:b w:val="1"/>
          <w:bCs w:val="1"/>
          <w:color w:val="auto"/>
        </w:rPr>
      </w:pPr>
    </w:p>
    <w:p>
      <w:pPr>
        <w:ind w:firstLine="656"/>
        <w:spacing w:after="0" w:line="250"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Plans</w:t>
      </w:r>
      <w:r>
        <w:rPr>
          <w:rFonts w:ascii="Arial" w:cs="Arial" w:eastAsia="Arial" w:hAnsi="Arial"/>
          <w:sz w:val="22"/>
          <w:szCs w:val="22"/>
          <w:color w:val="auto"/>
        </w:rPr>
        <w:t>” mean the TapImmune Inc. 2014 Omnibus Stock Ownership Plan and the Tap Immune Inc. 2009 Stock Incentive Plan, each as amended.</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means the document containing the Plan information specified in Section 10(a) of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Securities Act.</w:t>
      </w:r>
    </w:p>
    <w:p>
      <w:pPr>
        <w:spacing w:after="0" w:line="188" w:lineRule="exact"/>
        <w:rPr>
          <w:sz w:val="20"/>
          <w:szCs w:val="20"/>
          <w:color w:val="auto"/>
        </w:rPr>
      </w:pPr>
    </w:p>
    <w:p>
      <w:pPr>
        <w:ind w:firstLine="656"/>
        <w:spacing w:after="0" w:line="250" w:lineRule="auto"/>
        <w:tabs>
          <w:tab w:leader="none" w:pos="1296"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RSA</w:t>
      </w:r>
      <w:r>
        <w:rPr>
          <w:rFonts w:ascii="Arial" w:cs="Arial" w:eastAsia="Arial" w:hAnsi="Arial"/>
          <w:sz w:val="22"/>
          <w:szCs w:val="22"/>
          <w:color w:val="auto"/>
        </w:rPr>
        <w:t>” means an Award of shares of Common Stock which is granted pursuant to the terms and conditions of Section 5(a).</w:t>
      </w:r>
    </w:p>
    <w:p>
      <w:pPr>
        <w:spacing w:after="0" w:line="174"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Award Agreement</w:t>
      </w:r>
      <w:r>
        <w:rPr>
          <w:rFonts w:ascii="Arial" w:cs="Arial" w:eastAsia="Arial" w:hAnsi="Arial"/>
          <w:sz w:val="21"/>
          <w:szCs w:val="21"/>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6" w:lineRule="exact"/>
        <w:rPr>
          <w:rFonts w:ascii="Arial" w:cs="Arial" w:eastAsia="Arial" w:hAnsi="Arial"/>
          <w:sz w:val="21"/>
          <w:szCs w:val="21"/>
          <w:b w:val="1"/>
          <w:bCs w:val="1"/>
          <w:color w:val="auto"/>
        </w:rPr>
      </w:pPr>
    </w:p>
    <w:p>
      <w:pPr>
        <w:jc w:val="both"/>
        <w:ind w:firstLine="656"/>
        <w:spacing w:after="0" w:line="246" w:lineRule="auto"/>
        <w:tabs>
          <w:tab w:leader="none" w:pos="1296"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Returning Shares</w:t>
      </w:r>
      <w:r>
        <w:rPr>
          <w:rFonts w:ascii="Arial" w:cs="Arial" w:eastAsia="Arial" w:hAnsi="Arial"/>
          <w:sz w:val="21"/>
          <w:szCs w:val="21"/>
          <w:color w:val="auto"/>
        </w:rPr>
        <w:t>”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1" w:name="page62"/>
    <w:bookmarkEnd w:id="61"/>
    <w:p>
      <w:pPr>
        <w:ind w:firstLine="656"/>
        <w:spacing w:after="0" w:line="329" w:lineRule="auto"/>
        <w:tabs>
          <w:tab w:leader="none" w:pos="1296"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or “</w:t>
      </w:r>
      <w:r>
        <w:rPr>
          <w:rFonts w:ascii="Arial" w:cs="Arial" w:eastAsia="Arial" w:hAnsi="Arial"/>
          <w:sz w:val="19"/>
          <w:szCs w:val="19"/>
          <w:b w:val="1"/>
          <w:bCs w:val="1"/>
          <w:i w:val="1"/>
          <w:iCs w:val="1"/>
          <w:color w:val="auto"/>
        </w:rPr>
        <w:t>RSU</w:t>
      </w:r>
      <w:r>
        <w:rPr>
          <w:rFonts w:ascii="Arial" w:cs="Arial" w:eastAsia="Arial" w:hAnsi="Arial"/>
          <w:sz w:val="19"/>
          <w:szCs w:val="19"/>
          <w:color w:val="auto"/>
        </w:rPr>
        <w:t>” means an Award of restricted stock units representing the right to receive an issuance of shares of Common Stock which is granted pursuant to the terms and conditions of Section 5(a).</w:t>
      </w:r>
    </w:p>
    <w:p>
      <w:pPr>
        <w:spacing w:after="0" w:line="103"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RSU Award Agreement</w:t>
      </w:r>
      <w:r>
        <w:rPr>
          <w:rFonts w:ascii="Arial" w:cs="Arial" w:eastAsia="Arial" w:hAnsi="Arial"/>
          <w:sz w:val="21"/>
          <w:szCs w:val="21"/>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8" w:lineRule="exact"/>
        <w:rPr>
          <w:rFonts w:ascii="Arial" w:cs="Arial" w:eastAsia="Arial" w:hAnsi="Arial"/>
          <w:sz w:val="21"/>
          <w:szCs w:val="21"/>
          <w:b w:val="1"/>
          <w:bCs w:val="1"/>
          <w:color w:val="auto"/>
        </w:rPr>
      </w:pPr>
    </w:p>
    <w:p>
      <w:pPr>
        <w:ind w:firstLine="656"/>
        <w:spacing w:after="0" w:line="250" w:lineRule="auto"/>
        <w:tabs>
          <w:tab w:leader="none" w:pos="129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405</w:t>
      </w:r>
      <w:r>
        <w:rPr>
          <w:rFonts w:ascii="Arial" w:cs="Arial" w:eastAsia="Arial" w:hAnsi="Arial"/>
          <w:sz w:val="22"/>
          <w:szCs w:val="22"/>
          <w:color w:val="auto"/>
        </w:rPr>
        <w:t>” means Rule 405 promulgated under the Securities Act.</w:t>
      </w:r>
    </w:p>
    <w:p>
      <w:pPr>
        <w:spacing w:after="0" w:line="20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means Section 409A of the Code and the regulations and other guidance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thereunder.</w:t>
      </w:r>
    </w:p>
    <w:p>
      <w:pPr>
        <w:spacing w:after="0" w:line="188" w:lineRule="exact"/>
        <w:rPr>
          <w:rFonts w:ascii="Arial" w:cs="Arial" w:eastAsia="Arial" w:hAnsi="Arial"/>
          <w:sz w:val="21"/>
          <w:szCs w:val="21"/>
          <w:b w:val="1"/>
          <w:bCs w:val="1"/>
          <w:color w:val="auto"/>
        </w:rPr>
      </w:pPr>
    </w:p>
    <w:p>
      <w:pPr>
        <w:jc w:val="both"/>
        <w:ind w:firstLine="656"/>
        <w:spacing w:after="0" w:line="238" w:lineRule="auto"/>
        <w:tabs>
          <w:tab w:leader="none" w:pos="129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 Change in Control</w:t>
      </w:r>
      <w:r>
        <w:rPr>
          <w:rFonts w:ascii="Arial" w:cs="Arial" w:eastAsia="Arial" w:hAnsi="Arial"/>
          <w:sz w:val="22"/>
          <w:szCs w:val="22"/>
          <w:color w:val="auto"/>
        </w:rPr>
        <w:t>” means a change in the ownership or effective control of the Company, or in the ownership of a substantial portion of the Company’s assets, as provided in Section 409A(a)(2) (A)(v) of the Code and Treasury Regulations Section 1.409A-3(i)(5) (without regard to any alternative definition thereunder).</w:t>
      </w:r>
    </w:p>
    <w:p>
      <w:pPr>
        <w:spacing w:after="0" w:line="18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means the number of shares available for issuance under the Plan as set forth 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Section 2(a).</w:t>
      </w:r>
    </w:p>
    <w:p>
      <w:pPr>
        <w:spacing w:after="0" w:line="188" w:lineRule="exact"/>
        <w:rPr>
          <w:rFonts w:ascii="Arial" w:cs="Arial" w:eastAsia="Arial" w:hAnsi="Arial"/>
          <w:sz w:val="19"/>
          <w:szCs w:val="19"/>
          <w:b w:val="1"/>
          <w:bCs w:val="1"/>
          <w:color w:val="auto"/>
        </w:rPr>
      </w:pPr>
    </w:p>
    <w:p>
      <w:pPr>
        <w:ind w:firstLine="656"/>
        <w:spacing w:after="0" w:line="250" w:lineRule="auto"/>
        <w:tabs>
          <w:tab w:leader="none" w:pos="129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Common Stock that is granted pursuant to the terms and conditions of Section 4.</w:t>
      </w:r>
    </w:p>
    <w:p>
      <w:pPr>
        <w:spacing w:after="0" w:line="174" w:lineRule="exact"/>
        <w:rPr>
          <w:rFonts w:ascii="Arial" w:cs="Arial" w:eastAsia="Arial" w:hAnsi="Arial"/>
          <w:sz w:val="22"/>
          <w:szCs w:val="22"/>
          <w:b w:val="1"/>
          <w:bCs w:val="1"/>
          <w:color w:val="auto"/>
        </w:rPr>
      </w:pPr>
    </w:p>
    <w:p>
      <w:pPr>
        <w:jc w:val="both"/>
        <w:ind w:firstLine="656"/>
        <w:spacing w:after="0" w:line="236" w:lineRule="auto"/>
        <w:tabs>
          <w:tab w:leader="none" w:pos="1413"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 Agreement</w:t>
      </w:r>
      <w:r>
        <w:rPr>
          <w:rFonts w:ascii="Arial" w:cs="Arial" w:eastAsia="Arial" w:hAnsi="Arial"/>
          <w:sz w:val="22"/>
          <w:szCs w:val="22"/>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87" w:lineRule="exact"/>
        <w:rPr>
          <w:rFonts w:ascii="Arial" w:cs="Arial" w:eastAsia="Arial" w:hAnsi="Arial"/>
          <w:sz w:val="22"/>
          <w:szCs w:val="22"/>
          <w:b w:val="1"/>
          <w:bCs w:val="1"/>
          <w:color w:val="auto"/>
        </w:rPr>
      </w:pPr>
    </w:p>
    <w:p>
      <w:pPr>
        <w:jc w:val="both"/>
        <w:ind w:firstLine="656"/>
        <w:spacing w:after="0" w:line="234" w:lineRule="auto"/>
        <w:tabs>
          <w:tab w:leader="none" w:pos="129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2" w:name="page63"/>
    <w:bookmarkEnd w:id="62"/>
    <w:p>
      <w:pPr>
        <w:jc w:val="both"/>
        <w:ind w:firstLine="656"/>
        <w:spacing w:after="0" w:line="241" w:lineRule="auto"/>
        <w:tabs>
          <w:tab w:leader="none" w:pos="1296"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 424(d) of the Code) stock possessing more than 10% of the total combined voting power of all classes of stock of the Company or any Affiliate.</w:t>
      </w:r>
    </w:p>
    <w:p>
      <w:pPr>
        <w:spacing w:after="0" w:line="183" w:lineRule="exact"/>
        <w:rPr>
          <w:rFonts w:ascii="Arial" w:cs="Arial" w:eastAsia="Arial" w:hAnsi="Arial"/>
          <w:sz w:val="22"/>
          <w:szCs w:val="22"/>
          <w:b w:val="1"/>
          <w:bCs w:val="1"/>
          <w:color w:val="auto"/>
        </w:rPr>
      </w:pPr>
    </w:p>
    <w:p>
      <w:pPr>
        <w:jc w:val="both"/>
        <w:ind w:firstLine="656"/>
        <w:spacing w:after="0"/>
        <w:tabs>
          <w:tab w:leader="none" w:pos="1296"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Date:August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Date:August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Title:Chief Financial Officer (Principal Financial and Accounting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ended June 30,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Date:August 11, 2022</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888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ended June 30,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Date:August 11, 2022</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888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lvl w:ilvl="1">
      <w:lvlJc w:val="left"/>
      <w:lvlText w:val="(%2)"/>
      <w:numFmt w:val="lowerLetter"/>
      <w:start w:val="1"/>
    </w:lvl>
  </w:abstractNum>
  <w:abstractNum w:abstractNumId="14">
    <w:nsid w:val="153EA438"/>
    <w:multiLevelType w:val="hybridMultilevel"/>
    <w:lvl w:ilvl="0">
      <w:lvlJc w:val="left"/>
      <w:lvlText w:val="(%1)"/>
      <w:numFmt w:val="lowerLetter"/>
      <w:start w:val="4"/>
    </w:lvl>
    <w:lvl w:ilvl="1">
      <w:lvlJc w:val="left"/>
      <w:lvlText w:val="(%2)"/>
      <w:numFmt w:val="lowerRoman"/>
      <w:start w:val="1"/>
    </w:lvl>
  </w:abstractNum>
  <w:abstractNum w:abstractNumId="15">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70A64E2A"/>
    <w:multiLevelType w:val="hybridMultilevel"/>
    <w:lvl w:ilvl="0">
      <w:lvlJc w:val="left"/>
      <w:lvlText w:val="%1"/>
      <w:numFmt w:val="decimal"/>
      <w:start w:val="1"/>
    </w:lvl>
    <w:lvl w:ilvl="1">
      <w:lvlJc w:val="left"/>
      <w:lvlText w:val="(%2)"/>
      <w:numFmt w:val="lowerLetter"/>
      <w:start w:val="3"/>
    </w:lvl>
  </w:abstractNum>
  <w:abstractNum w:abstractNumId="17">
    <w:nsid w:val="6A2342EC"/>
    <w:multiLevelType w:val="hybridMultilevel"/>
    <w:lvl w:ilvl="0">
      <w:lvlJc w:val="left"/>
      <w:lvlText w:val="%1."/>
      <w:numFmt w:val="decimal"/>
      <w:start w:val="4"/>
    </w:lvl>
    <w:lvl w:ilvl="1">
      <w:lvlJc w:val="left"/>
      <w:lvlText w:val="%2"/>
      <w:numFmt w:val="lowerLetter"/>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2CD89A32"/>
    <w:multiLevelType w:val="hybridMultilevel"/>
    <w:lvl w:ilvl="0">
      <w:lvlJc w:val="left"/>
      <w:lvlText w:val="(%1)"/>
      <w:numFmt w:val="decimal"/>
      <w:start w:val="4"/>
    </w:lvl>
    <w:lvl w:ilvl="1">
      <w:lvlJc w:val="left"/>
      <w:lvlText w:val="(%2)"/>
      <w:numFmt w:val="lowerLetter"/>
      <w:start w:val="3"/>
    </w:lvl>
    <w:lvl w:ilvl="2">
      <w:lvlJc w:val="left"/>
      <w:lvlText w:val="(%3)"/>
      <w:numFmt w:val="lowerRoman"/>
      <w:start w:val="4"/>
    </w:lvl>
  </w:abstractNum>
  <w:abstractNum w:abstractNumId="22">
    <w:nsid w:val="57E4CCAF"/>
    <w:multiLevelType w:val="hybridMultilevel"/>
    <w:lvl w:ilvl="0">
      <w:lvlJc w:val="left"/>
      <w:lvlText w:val="%1"/>
      <w:numFmt w:val="lowerLetter"/>
      <w:start w:val="1"/>
    </w:lvl>
    <w:lvl w:ilvl="1">
      <w:lvlJc w:val="left"/>
      <w:lvlText w:val="(%2)"/>
      <w:numFmt w:val="lowerRoman"/>
      <w:start w:val="1"/>
    </w:lvl>
  </w:abstractNum>
  <w:abstractNum w:abstractNumId="23">
    <w:nsid w:val="7A6D8D3C"/>
    <w:multiLevelType w:val="hybridMultilevel"/>
    <w:lvl w:ilvl="0">
      <w:lvlJc w:val="left"/>
      <w:lvlText w:val="(%1)"/>
      <w:numFmt w:val="lowerLetter"/>
      <w:start w:val="6"/>
    </w:lvl>
    <w:lvl w:ilvl="1">
      <w:lvlJc w:val="left"/>
      <w:lvlText w:val="(%2)"/>
      <w:numFmt w:val="lowerRoman"/>
      <w:start w:val="1"/>
    </w:lvl>
  </w:abstractNum>
  <w:abstractNum w:abstractNumId="24">
    <w:nsid w:val="4B588F54"/>
    <w:multiLevelType w:val="hybridMultilevel"/>
    <w:lvl w:ilvl="0">
      <w:lvlJc w:val="left"/>
      <w:lvlText w:val="(%1)"/>
      <w:numFmt w:val="lowerRoman"/>
      <w:start w:val="2"/>
    </w:lvl>
  </w:abstractNum>
  <w:abstractNum w:abstractNumId="25">
    <w:nsid w:val="542289EC"/>
    <w:multiLevelType w:val="hybridMultilevel"/>
    <w:lvl w:ilvl="0">
      <w:lvlJc w:val="left"/>
      <w:lvlText w:val="(%1)"/>
      <w:numFmt w:val="lowerLetter"/>
      <w:start w:val="9"/>
    </w:lvl>
  </w:abstractNum>
  <w:abstractNum w:abstractNumId="26">
    <w:nsid w:val="6DE91B18"/>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27">
    <w:nsid w:val="38437F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
    <w:nsid w:val="684A48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
    <w:nsid w:val="579478FE"/>
    <w:multiLevelType w:val="hybridMultilevel"/>
    <w:lvl w:ilvl="0">
      <w:lvlJc w:val="left"/>
      <w:lvlText w:val="(%1)"/>
      <w:numFmt w:val="lowerLetter"/>
      <w:start w:val="2"/>
    </w:lvl>
    <w:lvl w:ilvl="1">
      <w:lvlJc w:val="left"/>
      <w:lvlText w:val="(%2)"/>
      <w:numFmt w:val="lowerRoman"/>
      <w:start w:val="1"/>
    </w:lvl>
  </w:abstractNum>
  <w:abstractNum w:abstractNumId="32">
    <w:nsid w:val="749ABB43"/>
    <w:multiLevelType w:val="hybridMultilevel"/>
    <w:lvl w:ilvl="0">
      <w:lvlJc w:val="left"/>
      <w:lvlText w:val="%1"/>
      <w:numFmt w:val="lowerLetter"/>
      <w:start w:val="1"/>
    </w:lvl>
    <w:lvl w:ilvl="1">
      <w:lvlJc w:val="left"/>
      <w:lvlText w:val="(%2)"/>
      <w:numFmt w:val="lowerRoman"/>
      <w:start w:val="3"/>
    </w:lvl>
  </w:abstractNum>
  <w:abstractNum w:abstractNumId="33">
    <w:nsid w:val="3DC240FB"/>
    <w:multiLevelType w:val="hybridMultilevel"/>
    <w:lvl w:ilvl="0">
      <w:lvlJc w:val="left"/>
      <w:lvlText w:val="(%1)"/>
      <w:numFmt w:val="lowerLetter"/>
      <w:start w:val="4"/>
    </w:lvl>
    <w:lvl w:ilvl="1">
      <w:lvlJc w:val="left"/>
      <w:lvlText w:val="%2"/>
      <w:numFmt w:val="lowerRoman"/>
      <w:start w:val="1"/>
    </w:lvl>
  </w:abstractNum>
  <w:abstractNum w:abstractNumId="34">
    <w:nsid w:val="1BA026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5">
    <w:nsid w:val="79A1DEAA"/>
    <w:multiLevelType w:val="hybridMultilevel"/>
    <w:lvl w:ilvl="0">
      <w:lvlJc w:val="left"/>
      <w:lvlText w:val="%1"/>
      <w:numFmt w:val="lowerLetter"/>
      <w:start w:val="1"/>
    </w:lvl>
    <w:lvl w:ilvl="1">
      <w:lvlJc w:val="left"/>
      <w:lvlText w:val="(%2)"/>
      <w:numFmt w:val="lowerRoman"/>
      <w:start w:val="7"/>
    </w:lvl>
  </w:abstractNum>
  <w:abstractNum w:abstractNumId="36">
    <w:nsid w:val="75C6C33A"/>
    <w:multiLevelType w:val="hybridMultilevel"/>
    <w:lvl w:ilvl="0">
      <w:lvlJc w:val="left"/>
      <w:lvlText w:val="(%1)"/>
      <w:numFmt w:val="lowerLetter"/>
      <w:start w:val="3"/>
    </w:lvl>
    <w:lvl w:ilvl="1">
      <w:lvlJc w:val="left"/>
      <w:lvlText w:val="(%2)"/>
      <w:numFmt w:val="lowerRoman"/>
      <w:start w:val="1"/>
    </w:lvl>
  </w:abstractNum>
  <w:abstractNum w:abstractNumId="37">
    <w:nsid w:val="12E685FB"/>
    <w:multiLevelType w:val="hybridMultilevel"/>
    <w:lvl w:ilvl="0">
      <w:lvlJc w:val="left"/>
      <w:lvlText w:val="%1"/>
      <w:numFmt w:val="decimal"/>
      <w:start w:val="1"/>
    </w:lvl>
    <w:lvl w:ilvl="1">
      <w:lvlJc w:val="left"/>
      <w:lvlText w:val="(%2)"/>
      <w:numFmt w:val="lowerLetter"/>
      <w:start w:val="4"/>
    </w:lvl>
  </w:abstractNum>
  <w:abstractNum w:abstractNumId="38">
    <w:nsid w:val="70C6A529"/>
    <w:multiLevelType w:val="hybridMultilevel"/>
    <w:lvl w:ilvl="0">
      <w:lvlJc w:val="left"/>
      <w:lvlText w:val="%1."/>
      <w:numFmt w:val="decimal"/>
      <w:start w:val="8"/>
    </w:lvl>
    <w:lvl w:ilvl="1">
      <w:lvlJc w:val="left"/>
      <w:lvlText w:val="(%2)"/>
      <w:numFmt w:val="lowerLetter"/>
      <w:start w:val="1"/>
    </w:lvl>
  </w:abstractNum>
  <w:abstractNum w:abstractNumId="39">
    <w:nsid w:val="520EEDD1"/>
    <w:multiLevelType w:val="hybridMultilevel"/>
    <w:lvl w:ilvl="0">
      <w:lvlJc w:val="left"/>
      <w:lvlText w:val="%1"/>
      <w:numFmt w:val="lowerLetter"/>
      <w:start w:val="1"/>
    </w:lvl>
    <w:lvl w:ilvl="1">
      <w:lvlJc w:val="left"/>
      <w:lvlText w:val="(%2)"/>
      <w:numFmt w:val="lowerLetter"/>
      <w:start w:val="3"/>
    </w:lvl>
  </w:abstractNum>
  <w:abstractNum w:abstractNumId="40">
    <w:nsid w:val="374A3FE6"/>
    <w:multiLevelType w:val="hybridMultilevel"/>
    <w:lvl w:ilvl="0">
      <w:lvlJc w:val="left"/>
      <w:lvlText w:val="(%1)"/>
      <w:numFmt w:val="lowerLetter"/>
      <w:start w:val="9"/>
    </w:lvl>
    <w:lvl w:ilvl="1">
      <w:lvlJc w:val="left"/>
      <w:lvlText w:val="(%2)"/>
      <w:numFmt w:val="lowerLetter"/>
      <w:start w:val="4"/>
    </w:lvl>
  </w:abstractNum>
  <w:abstractNum w:abstractNumId="41">
    <w:nsid w:val="4F4EF005"/>
    <w:multiLevelType w:val="hybridMultilevel"/>
    <w:lvl w:ilvl="0">
      <w:lvlJc w:val="left"/>
      <w:lvlText w:val="%1."/>
      <w:numFmt w:val="decimal"/>
      <w:start w:val="9"/>
    </w:lvl>
    <w:lvl w:ilvl="1">
      <w:lvlJc w:val="left"/>
      <w:lvlText w:val="(%2)"/>
      <w:numFmt w:val="lowerLetter"/>
      <w:start w:val="1"/>
    </w:lvl>
  </w:abstractNum>
  <w:abstractNum w:abstractNumId="42">
    <w:nsid w:val="23F9C13C"/>
    <w:multiLevelType w:val="hybridMultilevel"/>
    <w:lvl w:ilvl="0">
      <w:lvlJc w:val="left"/>
      <w:lvlText w:val="(%1)"/>
      <w:numFmt w:val="lowerLetter"/>
      <w:start w:val="3"/>
    </w:lvl>
  </w:abstractNum>
  <w:abstractNum w:abstractNumId="43">
    <w:nsid w:val="649BB77C"/>
    <w:multiLevelType w:val="hybridMultilevel"/>
    <w:lvl w:ilvl="0">
      <w:lvlJc w:val="left"/>
      <w:lvlText w:val="(%1)"/>
      <w:numFmt w:val="lowerLetter"/>
      <w:start w:val="7"/>
    </w:lvl>
  </w:abstractNum>
  <w:abstractNum w:abstractNumId="44">
    <w:nsid w:val="275AC794"/>
    <w:multiLevelType w:val="hybridMultilevel"/>
    <w:lvl w:ilvl="0">
      <w:lvlJc w:val="left"/>
      <w:lvlText w:val="%1"/>
      <w:numFmt w:val="decimal"/>
      <w:start w:val="1"/>
    </w:lvl>
    <w:lvl w:ilvl="1">
      <w:lvlJc w:val="left"/>
      <w:lvlText w:val="(%2)"/>
      <w:numFmt w:val="lowerLetter"/>
      <w:start w:val="13"/>
    </w:lvl>
  </w:abstractNum>
  <w:abstractNum w:abstractNumId="45">
    <w:nsid w:val="39386575"/>
    <w:multiLevelType w:val="hybridMultilevel"/>
    <w:lvl w:ilvl="0">
      <w:lvlJc w:val="left"/>
      <w:lvlText w:val="%1."/>
      <w:numFmt w:val="decimal"/>
      <w:start w:val="10"/>
    </w:lvl>
    <w:lvl w:ilvl="1">
      <w:lvlJc w:val="left"/>
      <w:lvlText w:val="(%2)"/>
      <w:numFmt w:val="lowerLetter"/>
      <w:start w:val="1"/>
    </w:lvl>
  </w:abstractNum>
  <w:abstractNum w:abstractNumId="46">
    <w:nsid w:val="1CF10FD8"/>
    <w:multiLevelType w:val="hybridMultilevel"/>
    <w:lvl w:ilvl="0">
      <w:lvlJc w:val="left"/>
      <w:lvlText w:val="%1."/>
      <w:numFmt w:val="decimal"/>
      <w:start w:val="11"/>
    </w:lvl>
  </w:abstractNum>
  <w:abstractNum w:abstractNumId="47">
    <w:nsid w:val="180115BE"/>
    <w:multiLevelType w:val="hybridMultilevel"/>
    <w:lvl w:ilvl="0">
      <w:lvlJc w:val="left"/>
      <w:lvlText w:val="%1."/>
      <w:numFmt w:val="decimal"/>
      <w:start w:val="12"/>
    </w:lvl>
  </w:abstractNum>
  <w:abstractNum w:abstractNumId="48">
    <w:nsid w:val="235BA861"/>
    <w:multiLevelType w:val="hybridMultilevel"/>
    <w:lvl w:ilvl="0">
      <w:lvlJc w:val="left"/>
      <w:lvlText w:val="%1."/>
      <w:numFmt w:val="decimal"/>
      <w:start w:val="13"/>
    </w:lvl>
    <w:lvl w:ilvl="1">
      <w:lvlJc w:val="left"/>
      <w:lvlText w:val="(%2)"/>
      <w:numFmt w:val="lowerLetter"/>
      <w:start w:val="1"/>
    </w:lvl>
  </w:abstractNum>
  <w:abstractNum w:abstractNumId="49">
    <w:nsid w:val="47398C89"/>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50">
    <w:nsid w:val="354FE9F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1">
    <w:nsid w:val="15B5AF5C"/>
    <w:multiLevelType w:val="hybridMultilevel"/>
    <w:lvl w:ilvl="0">
      <w:lvlJc w:val="left"/>
      <w:lvlText w:val="(%1)"/>
      <w:numFmt w:val="lowerRoman"/>
      <w:start w:val="3"/>
    </w:lvl>
  </w:abstractNum>
  <w:abstractNum w:abstractNumId="52">
    <w:nsid w:val="741226BB"/>
    <w:multiLevelType w:val="hybridMultilevel"/>
    <w:lvl w:ilvl="0">
      <w:lvlJc w:val="left"/>
      <w:lvlText w:val="(%1)"/>
      <w:numFmt w:val="lowerLetter"/>
      <w:start w:val="11"/>
    </w:lvl>
  </w:abstractNum>
  <w:abstractNum w:abstractNumId="53">
    <w:nsid w:val="D34B6A8"/>
    <w:multiLevelType w:val="hybridMultilevel"/>
    <w:lvl w:ilvl="0">
      <w:lvlJc w:val="left"/>
      <w:lvlText w:val="(%1)"/>
      <w:numFmt w:val="lowerLetter"/>
      <w:start w:val="16"/>
    </w:lvl>
    <w:lvl w:ilvl="1">
      <w:lvlJc w:val="left"/>
      <w:lvlText w:val="(%2)"/>
      <w:numFmt w:val="lowerRoman"/>
      <w:start w:val="1"/>
    </w:lvl>
  </w:abstractNum>
  <w:abstractNum w:abstractNumId="54">
    <w:nsid w:val="10233C99"/>
    <w:multiLevelType w:val="hybridMultilevel"/>
    <w:lvl w:ilvl="0">
      <w:lvlJc w:val="left"/>
      <w:lvlText w:val="%1"/>
      <w:numFmt w:val="lowerLetter"/>
      <w:start w:val="1"/>
    </w:lvl>
    <w:lvl w:ilvl="1">
      <w:lvlJc w:val="left"/>
      <w:lvlText w:val="(%2)"/>
      <w:numFmt w:val="lowerRoman"/>
      <w:start w:val="4"/>
    </w:lvl>
  </w:abstractNum>
  <w:abstractNum w:abstractNumId="55">
    <w:nsid w:val="3F6AB60F"/>
    <w:multiLevelType w:val="hybridMultilevel"/>
    <w:lvl w:ilvl="0">
      <w:lvlJc w:val="left"/>
      <w:lvlText w:val="(%1)"/>
      <w:numFmt w:val="lowerLetter"/>
      <w:start w:val="19"/>
    </w:lvl>
    <w:lvl w:ilvl="1">
      <w:lvlJc w:val="left"/>
      <w:lvlText w:val="%2"/>
      <w:numFmt w:val="lowerRoman"/>
      <w:start w:val="1"/>
    </w:lvl>
  </w:abstractNum>
  <w:abstractNum w:abstractNumId="56">
    <w:nsid w:val="61574095"/>
    <w:multiLevelType w:val="hybridMultilevel"/>
    <w:lvl w:ilvl="0">
      <w:lvlJc w:val="left"/>
      <w:lvlText w:val="(%1)"/>
      <w:numFmt w:val="lowerLetter"/>
      <w:start w:val="27"/>
    </w:lvl>
  </w:abstractNum>
  <w:abstractNum w:abstractNumId="57">
    <w:nsid w:val="7E0C57B1"/>
    <w:multiLevelType w:val="hybridMultilevel"/>
    <w:lvl w:ilvl="0">
      <w:lvlJc w:val="left"/>
      <w:lvlText w:val="%1"/>
      <w:numFmt w:val="lowerLetter"/>
      <w:start w:val="1"/>
    </w:lvl>
    <w:lvl w:ilvl="1">
      <w:lvlJc w:val="left"/>
      <w:lvlText w:val="(%2)"/>
      <w:numFmt w:val="lowerLetter"/>
      <w:start w:val="28"/>
    </w:lvl>
    <w:lvl w:ilvl="2">
      <w:lvlJc w:val="left"/>
      <w:lvlText w:val="(%3)"/>
      <w:numFmt w:val="lowerRoman"/>
      <w:start w:val="1"/>
    </w:lvl>
  </w:abstractNum>
  <w:abstractNum w:abstractNumId="58">
    <w:nsid w:val="77AE35E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9">
    <w:nsid w:val="579BE4F1"/>
    <w:multiLevelType w:val="hybridMultilevel"/>
    <w:lvl w:ilvl="0">
      <w:lvlJc w:val="left"/>
      <w:lvlText w:val="(%1)"/>
      <w:numFmt w:val="lowerLetter"/>
      <w:start w:val="33"/>
    </w:lvl>
  </w:abstractNum>
  <w:abstractNum w:abstractNumId="60">
    <w:nsid w:val="310C50B3"/>
    <w:multiLevelType w:val="hybridMultilevel"/>
    <w:lvl w:ilvl="0">
      <w:lvlJc w:val="left"/>
      <w:lvlText w:val="(%1)"/>
      <w:numFmt w:val="lowerLetter"/>
      <w:start w:val="42"/>
    </w:lvl>
  </w:abstractNum>
  <w:abstractNum w:abstractNumId="61">
    <w:nsid w:val="5FF87E05"/>
    <w:multiLevelType w:val="hybridMultilevel"/>
    <w:lvl w:ilvl="0">
      <w:lvlJc w:val="left"/>
      <w:lvlText w:val="(%1)"/>
      <w:numFmt w:val="lowerLetter"/>
      <w:start w:val="46"/>
    </w:lvl>
  </w:abstractNum>
  <w:abstractNum w:abstractNumId="62">
    <w:nsid w:val="2F305DEF"/>
    <w:multiLevelType w:val="hybridMultilevel"/>
    <w:lvl w:ilvl="0">
      <w:lvlJc w:val="left"/>
      <w:lvlText w:val="(%1)"/>
      <w:numFmt w:val="lowerLetter"/>
      <w:start w:val="53"/>
    </w:lvl>
  </w:abstractNum>
  <w:abstractNum w:abstractNumId="63">
    <w:nsid w:val="25A70BF7"/>
    <w:multiLevelType w:val="hybridMultilevel"/>
    <w:lvl w:ilvl="0">
      <w:lvlJc w:val="left"/>
      <w:lvlText w:val="(%1)"/>
      <w:numFmt w:val="lowerLetter"/>
      <w:start w:val="56"/>
    </w:lvl>
  </w:abstractNum>
  <w:abstractNum w:abstractNumId="64">
    <w:nsid w:val="1DBABF00"/>
    <w:multiLevelType w:val="hybridMultilevel"/>
    <w:lvl w:ilvl="0">
      <w:lvlJc w:val="left"/>
      <w:lvlText w:val="(%1)"/>
      <w:numFmt w:val="lowerLetter"/>
      <w:start w:val="67"/>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63" Type="http://schemas.openxmlformats.org/officeDocument/2006/relationships/hyperlink" Target="https://www.sec.gov/Archives/edgar/data/1094038/000114420418054209/tv504951_ex3-4.htm" TargetMode="External"/><Relationship Id="rId64" Type="http://schemas.openxmlformats.org/officeDocument/2006/relationships/hyperlink" Target="https://www.sec.gov/Archives/edgar/data/1094038/000119312522162322/d480537dex31.htm" TargetMode="External"/><Relationship Id="rId65" Type="http://schemas.openxmlformats.org/officeDocument/2006/relationships/hyperlink" Target="https://www.sec.gov/Archives/edgar/data/1094038/000114420418054209/tv504951_ex3-6.htm" TargetMode="External"/><Relationship Id="rId66" Type="http://schemas.openxmlformats.org/officeDocument/2006/relationships/hyperlink" Target="https://www.sec.gov/Archives/edgar/data/1094038/000110465922049970/tm221348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2022-08-11T21:41:06Z</dcterms:created>
  <dcterms:modified xsi:type="dcterms:W3CDTF">2022-08-11T21:41:06Z</dcterms:modified>
</cp:coreProperties>
</file>