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186055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254635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5"/>
        <w:spacing w:after="0"/>
        <w:rPr>
          <w:sz w:val="20"/>
          <w:szCs w:val="20"/>
          <w:color w:val="auto"/>
        </w:rPr>
      </w:pPr>
      <w:r>
        <w:rPr>
          <w:rFonts w:ascii="Arial" w:cs="Arial" w:eastAsia="Arial" w:hAnsi="Arial"/>
          <w:sz w:val="27"/>
          <w:szCs w:val="27"/>
          <w:b w:val="1"/>
          <w:bCs w:val="1"/>
          <w:color w:val="auto"/>
        </w:rPr>
        <w:t>UNITED STATES</w:t>
      </w:r>
    </w:p>
    <w:p>
      <w:pPr>
        <w:spacing w:after="0" w:line="24" w:lineRule="exact"/>
        <w:rPr>
          <w:sz w:val="24"/>
          <w:szCs w:val="24"/>
          <w:color w:val="auto"/>
        </w:rPr>
      </w:pPr>
    </w:p>
    <w:p>
      <w:pPr>
        <w:jc w:val="center"/>
        <w:ind w:right="-5"/>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5"/>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ind w:right="-5"/>
        <w:spacing w:after="0"/>
        <w:rPr>
          <w:sz w:val="20"/>
          <w:szCs w:val="20"/>
          <w:color w:val="auto"/>
        </w:rPr>
      </w:pPr>
      <w:r>
        <w:rPr>
          <w:rFonts w:ascii="Arial" w:cs="Arial" w:eastAsia="Arial" w:hAnsi="Arial"/>
          <w:sz w:val="27"/>
          <w:szCs w:val="27"/>
          <w:b w:val="1"/>
          <w:bCs w:val="1"/>
          <w:color w:val="auto"/>
        </w:rPr>
        <w:t>FORM 10-K</w:t>
      </w:r>
    </w:p>
    <w:p>
      <w:pPr>
        <w:spacing w:after="0" w:line="125" w:lineRule="exact"/>
        <w:rPr>
          <w:sz w:val="24"/>
          <w:szCs w:val="24"/>
          <w:color w:val="auto"/>
        </w:rPr>
      </w:pPr>
    </w:p>
    <w:p>
      <w:pPr>
        <w:ind w:left="326" w:hanging="326"/>
        <w:spacing w:after="0"/>
        <w:tabs>
          <w:tab w:leader="none" w:pos="326" w:val="left"/>
        </w:tabs>
        <w:numPr>
          <w:ilvl w:val="0"/>
          <w:numId w:val="1"/>
        </w:numPr>
        <w:rPr>
          <w:rFonts w:ascii="Arial" w:cs="Arial" w:eastAsia="Arial" w:hAnsi="Arial"/>
          <w:sz w:val="14"/>
          <w:szCs w:val="14"/>
          <w:color w:val="auto"/>
        </w:rPr>
      </w:pPr>
      <w:r>
        <w:rPr>
          <w:rFonts w:ascii="Arial" w:cs="Arial" w:eastAsia="Arial" w:hAnsi="Arial"/>
          <w:sz w:val="14"/>
          <w:szCs w:val="14"/>
          <w:color w:val="auto"/>
        </w:rPr>
        <w:t>ANNUAL REPORT PURSUANT TO SECTION 13 OR 15(d) OF THE SECURITIES EXCHANGE ACT OF 1934</w:t>
      </w:r>
    </w:p>
    <w:p>
      <w:pPr>
        <w:spacing w:after="0" w:line="83" w:lineRule="exact"/>
        <w:rPr>
          <w:rFonts w:ascii="Arial" w:cs="Arial" w:eastAsia="Arial" w:hAnsi="Arial"/>
          <w:sz w:val="14"/>
          <w:szCs w:val="14"/>
          <w:color w:val="auto"/>
        </w:rPr>
      </w:pPr>
    </w:p>
    <w:p>
      <w:pPr>
        <w:ind w:left="3706"/>
        <w:spacing w:after="0"/>
        <w:rPr>
          <w:rFonts w:ascii="Arial" w:cs="Arial" w:eastAsia="Arial" w:hAnsi="Arial"/>
          <w:sz w:val="14"/>
          <w:szCs w:val="14"/>
          <w:color w:val="auto"/>
        </w:rPr>
      </w:pPr>
      <w:r>
        <w:rPr>
          <w:rFonts w:ascii="Arial" w:cs="Arial" w:eastAsia="Arial" w:hAnsi="Arial"/>
          <w:sz w:val="14"/>
          <w:szCs w:val="14"/>
          <w:b w:val="1"/>
          <w:bCs w:val="1"/>
          <w:color w:val="auto"/>
        </w:rPr>
        <w:t>For the Fiscal Year Ended December 31, 2020</w:t>
      </w:r>
    </w:p>
    <w:p>
      <w:pPr>
        <w:spacing w:after="0" w:line="109" w:lineRule="exact"/>
        <w:rPr>
          <w:sz w:val="24"/>
          <w:szCs w:val="24"/>
          <w:color w:val="auto"/>
        </w:rPr>
      </w:pPr>
    </w:p>
    <w:p>
      <w:pPr>
        <w:jc w:val="center"/>
        <w:ind w:right="-325"/>
        <w:spacing w:after="0"/>
        <w:rPr>
          <w:sz w:val="20"/>
          <w:szCs w:val="20"/>
          <w:color w:val="auto"/>
        </w:rPr>
      </w:pPr>
      <w:r>
        <w:rPr>
          <w:rFonts w:ascii="Arial" w:cs="Arial" w:eastAsia="Arial" w:hAnsi="Arial"/>
          <w:sz w:val="14"/>
          <w:szCs w:val="14"/>
          <w:b w:val="1"/>
          <w:bCs w:val="1"/>
          <w:color w:val="auto"/>
        </w:rPr>
        <w:t>OR</w:t>
      </w:r>
    </w:p>
    <w:p>
      <w:pPr>
        <w:spacing w:after="0" w:line="140" w:lineRule="exact"/>
        <w:rPr>
          <w:sz w:val="24"/>
          <w:szCs w:val="24"/>
          <w:color w:val="auto"/>
        </w:rPr>
      </w:pPr>
    </w:p>
    <w:p>
      <w:pPr>
        <w:ind w:left="326" w:right="2960" w:hanging="326"/>
        <w:spacing w:after="0" w:line="341" w:lineRule="auto"/>
        <w:tabs>
          <w:tab w:leader="none" w:pos="326" w:val="left"/>
        </w:tabs>
        <w:numPr>
          <w:ilvl w:val="0"/>
          <w:numId w:val="2"/>
        </w:numPr>
        <w:rPr>
          <w:rFonts w:ascii="Arial" w:cs="Arial" w:eastAsia="Arial" w:hAnsi="Arial"/>
          <w:sz w:val="14"/>
          <w:szCs w:val="14"/>
          <w:color w:val="auto"/>
        </w:rPr>
      </w:pPr>
      <w:r>
        <w:rPr>
          <w:rFonts w:ascii="Arial" w:cs="Arial" w:eastAsia="Arial" w:hAnsi="Arial"/>
          <w:sz w:val="14"/>
          <w:szCs w:val="14"/>
          <w:color w:val="auto"/>
        </w:rPr>
        <w:t>TRANSITION REPORT PURSUANT TO SECTION 13 OR 15(d) OF THE SECURITIES EXCHANGE ACT OF 1934 For the transition period from _______________ to ______________.</w:t>
      </w:r>
    </w:p>
    <w:p>
      <w:pPr>
        <w:jc w:val="center"/>
        <w:ind w:right="-5"/>
        <w:spacing w:after="0"/>
        <w:rPr>
          <w:sz w:val="20"/>
          <w:szCs w:val="20"/>
          <w:color w:val="auto"/>
        </w:rPr>
      </w:pPr>
      <w:r>
        <w:rPr>
          <w:rFonts w:ascii="Arial" w:cs="Arial" w:eastAsia="Arial" w:hAnsi="Arial"/>
          <w:sz w:val="14"/>
          <w:szCs w:val="14"/>
          <w:b w:val="1"/>
          <w:bCs w:val="1"/>
          <w:color w:val="auto"/>
        </w:rPr>
        <w:t>Commission File Number: 001-37939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2044700</wp:posOffset>
            </wp:positionH>
            <wp:positionV relativeFrom="paragraph">
              <wp:posOffset>57785</wp:posOffset>
            </wp:positionV>
            <wp:extent cx="2400300" cy="540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0300"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5"/>
        <w:spacing w:after="0"/>
        <w:rPr>
          <w:sz w:val="20"/>
          <w:szCs w:val="20"/>
          <w:color w:val="auto"/>
        </w:rPr>
      </w:pPr>
      <w:r>
        <w:rPr>
          <w:rFonts w:ascii="Arial" w:cs="Arial" w:eastAsia="Arial" w:hAnsi="Arial"/>
          <w:sz w:val="27"/>
          <w:szCs w:val="27"/>
          <w:b w:val="1"/>
          <w:bCs w:val="1"/>
          <w:u w:val="single" w:color="auto"/>
          <w:color w:val="auto"/>
        </w:rPr>
        <w:t>MARKER THERAPEUTICS, INC.</w:t>
      </w:r>
    </w:p>
    <w:p>
      <w:pPr>
        <w:spacing w:after="0" w:line="21" w:lineRule="exact"/>
        <w:rPr>
          <w:sz w:val="24"/>
          <w:szCs w:val="24"/>
          <w:color w:val="auto"/>
        </w:rPr>
      </w:pPr>
    </w:p>
    <w:p>
      <w:pPr>
        <w:jc w:val="center"/>
        <w:ind w:right="-5"/>
        <w:spacing w:after="0"/>
        <w:rPr>
          <w:sz w:val="20"/>
          <w:szCs w:val="20"/>
          <w:color w:val="auto"/>
        </w:rPr>
      </w:pPr>
      <w:r>
        <w:rPr>
          <w:rFonts w:ascii="Arial" w:cs="Arial" w:eastAsia="Arial" w:hAnsi="Arial"/>
          <w:sz w:val="14"/>
          <w:szCs w:val="14"/>
          <w:color w:val="auto"/>
        </w:rPr>
        <w:t>(Exact name of registrant as specified in its charter)</w:t>
      </w:r>
    </w:p>
    <w:p>
      <w:pPr>
        <w:spacing w:after="0" w:line="49" w:lineRule="exact"/>
        <w:rPr>
          <w:sz w:val="24"/>
          <w:szCs w:val="24"/>
          <w:color w:val="auto"/>
        </w:rPr>
      </w:pPr>
    </w:p>
    <w:tbl>
      <w:tblPr>
        <w:tblLayout w:type="fixed"/>
        <w:tblInd w:w="6"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vMerge w:val="restart"/>
          </w:tcPr>
          <w:p>
            <w:pPr>
              <w:ind w:left="1840"/>
              <w:spacing w:after="0"/>
              <w:rPr>
                <w:sz w:val="20"/>
                <w:szCs w:val="20"/>
                <w:color w:val="auto"/>
              </w:rPr>
            </w:pPr>
            <w:r>
              <w:rPr>
                <w:rFonts w:ascii="Arial" w:cs="Arial" w:eastAsia="Arial" w:hAnsi="Arial"/>
                <w:sz w:val="14"/>
                <w:szCs w:val="14"/>
                <w:color w:val="auto"/>
                <w:w w:val="96"/>
              </w:rPr>
              <w:t>(State or</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900" w:type="dxa"/>
            <w:vAlign w:val="bottom"/>
            <w:gridSpan w:val="3"/>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45-4497941</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1480" w:type="dxa"/>
            <w:vAlign w:val="bottom"/>
            <w:gridSpan w:val="4"/>
          </w:tcPr>
          <w:p>
            <w:pPr>
              <w:spacing w:after="0" w:line="123" w:lineRule="exact"/>
              <w:rPr>
                <w:sz w:val="20"/>
                <w:szCs w:val="20"/>
                <w:color w:val="auto"/>
              </w:rPr>
            </w:pPr>
            <w:r>
              <w:rPr>
                <w:rFonts w:ascii="Arial" w:cs="Arial" w:eastAsia="Arial" w:hAnsi="Arial"/>
                <w:sz w:val="14"/>
                <w:szCs w:val="14"/>
                <w:color w:val="auto"/>
              </w:rPr>
              <w:t>other jurisdiction of</w:t>
            </w:r>
          </w:p>
        </w:tc>
        <w:tc>
          <w:tcPr>
            <w:tcW w:w="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300" w:type="dxa"/>
            <w:vAlign w:val="bottom"/>
            <w:gridSpan w:val="3"/>
          </w:tcPr>
          <w:p>
            <w:pPr>
              <w:jc w:val="center"/>
              <w:ind w:right="1280"/>
              <w:spacing w:after="0" w:line="123" w:lineRule="exact"/>
              <w:rPr>
                <w:sz w:val="20"/>
                <w:szCs w:val="20"/>
                <w:color w:val="auto"/>
              </w:rPr>
            </w:pPr>
            <w:r>
              <w:rPr>
                <w:rFonts w:ascii="Arial" w:cs="Arial" w:eastAsia="Arial" w:hAnsi="Arial"/>
                <w:sz w:val="14"/>
                <w:szCs w:val="14"/>
                <w:color w:val="auto"/>
                <w:w w:val="97"/>
              </w:rPr>
              <w:t>(IRS Employer Identification No.)</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60" w:type="dxa"/>
            <w:vAlign w:val="bottom"/>
            <w:gridSpan w:val="5"/>
          </w:tcPr>
          <w:p>
            <w:pPr>
              <w:jc w:val="center"/>
              <w:ind w:left="1408"/>
              <w:spacing w:after="0"/>
              <w:rPr>
                <w:sz w:val="20"/>
                <w:szCs w:val="20"/>
                <w:color w:val="auto"/>
              </w:rPr>
            </w:pPr>
            <w:r>
              <w:rPr>
                <w:rFonts w:ascii="Arial" w:cs="Arial" w:eastAsia="Arial" w:hAnsi="Arial"/>
                <w:sz w:val="14"/>
                <w:szCs w:val="14"/>
                <w:color w:val="auto"/>
                <w:w w:val="95"/>
              </w:rPr>
              <w:t>incorporation)</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3860" w:type="dxa"/>
            <w:vAlign w:val="bottom"/>
            <w:gridSpan w:val="5"/>
          </w:tcPr>
          <w:p>
            <w:pPr>
              <w:jc w:val="center"/>
              <w:ind w:left="1408"/>
              <w:spacing w:after="0"/>
              <w:rPr>
                <w:sz w:val="20"/>
                <w:szCs w:val="20"/>
                <w:color w:val="auto"/>
              </w:rPr>
            </w:pPr>
            <w:r>
              <w:rPr>
                <w:rFonts w:ascii="Arial" w:cs="Arial" w:eastAsia="Arial" w:hAnsi="Arial"/>
                <w:sz w:val="14"/>
                <w:szCs w:val="14"/>
                <w:b w:val="1"/>
                <w:bCs w:val="1"/>
                <w:color w:val="auto"/>
                <w:w w:val="91"/>
              </w:rPr>
              <w:t>3200 Southwest Freeway, Suite 2500</w:t>
            </w:r>
          </w:p>
        </w:tc>
        <w:tc>
          <w:tcPr>
            <w:tcW w:w="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77027</w:t>
            </w: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60" w:type="dxa"/>
            <w:vAlign w:val="bottom"/>
            <w:gridSpan w:val="5"/>
          </w:tcPr>
          <w:p>
            <w:pPr>
              <w:jc w:val="center"/>
              <w:ind w:left="1408"/>
              <w:spacing w:after="0" w:line="153" w:lineRule="exact"/>
              <w:rPr>
                <w:sz w:val="20"/>
                <w:szCs w:val="20"/>
                <w:color w:val="auto"/>
              </w:rPr>
            </w:pPr>
            <w:r>
              <w:rPr>
                <w:rFonts w:ascii="Arial" w:cs="Arial" w:eastAsia="Arial" w:hAnsi="Arial"/>
                <w:sz w:val="14"/>
                <w:szCs w:val="14"/>
                <w:b w:val="1"/>
                <w:bCs w:val="1"/>
                <w:color w:val="auto"/>
                <w:w w:val="90"/>
              </w:rPr>
              <w:t>Houston, Texas</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60" w:type="dxa"/>
            <w:vAlign w:val="bottom"/>
            <w:gridSpan w:val="5"/>
          </w:tcPr>
          <w:p>
            <w:pPr>
              <w:jc w:val="center"/>
              <w:ind w:left="1388"/>
              <w:spacing w:after="0"/>
              <w:rPr>
                <w:sz w:val="20"/>
                <w:szCs w:val="20"/>
                <w:color w:val="auto"/>
              </w:rPr>
            </w:pPr>
            <w:r>
              <w:rPr>
                <w:rFonts w:ascii="Arial" w:cs="Arial" w:eastAsia="Arial" w:hAnsi="Arial"/>
                <w:sz w:val="14"/>
                <w:szCs w:val="14"/>
                <w:color w:val="auto"/>
                <w:w w:val="95"/>
              </w:rPr>
              <w:t>(Address of principal executive offices)</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40" w:type="dxa"/>
            <w:vAlign w:val="bottom"/>
            <w:gridSpan w:val="2"/>
          </w:tcPr>
          <w:p>
            <w:pPr>
              <w:jc w:val="center"/>
              <w:ind w:right="1920"/>
              <w:spacing w:after="0"/>
              <w:rPr>
                <w:sz w:val="20"/>
                <w:szCs w:val="20"/>
                <w:color w:val="auto"/>
              </w:rPr>
            </w:pPr>
            <w:r>
              <w:rPr>
                <w:rFonts w:ascii="Arial" w:cs="Arial" w:eastAsia="Arial" w:hAnsi="Arial"/>
                <w:sz w:val="14"/>
                <w:szCs w:val="14"/>
                <w:color w:val="auto"/>
                <w:w w:val="95"/>
              </w:rPr>
              <w:t>(Zip code)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u w:val="single" w:color="auto"/>
                <w:color w:val="auto"/>
              </w:rPr>
              <w:t>(713)</w:t>
            </w:r>
            <w:r>
              <w:rPr>
                <w:rFonts w:ascii="Arial" w:cs="Arial" w:eastAsia="Arial" w:hAnsi="Arial"/>
                <w:sz w:val="14"/>
                <w:szCs w:val="14"/>
                <w:b w:val="1"/>
                <w:bCs w:val="1"/>
                <w:color w:val="auto"/>
              </w:rPr>
              <w:t xml:space="preserve"> 400-6400</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40" w:type="dxa"/>
            <w:vAlign w:val="bottom"/>
            <w:gridSpan w:val="4"/>
          </w:tcPr>
          <w:p>
            <w:pPr>
              <w:jc w:val="center"/>
              <w:ind w:right="600"/>
              <w:spacing w:after="0"/>
              <w:rPr>
                <w:sz w:val="20"/>
                <w:szCs w:val="20"/>
                <w:color w:val="auto"/>
              </w:rPr>
            </w:pPr>
            <w:r>
              <w:rPr>
                <w:rFonts w:ascii="Arial" w:cs="Arial" w:eastAsia="Arial" w:hAnsi="Arial"/>
                <w:sz w:val="14"/>
                <w:szCs w:val="14"/>
                <w:color w:val="auto"/>
                <w:w w:val="92"/>
              </w:rPr>
              <w:t>(Telephone Number)</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880" w:type="dxa"/>
            <w:vAlign w:val="bottom"/>
            <w:gridSpan w:val="6"/>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gridSpan w:val="5"/>
          </w:tcPr>
          <w:p>
            <w:pPr>
              <w:jc w:val="center"/>
              <w:ind w:right="260"/>
              <w:spacing w:after="0"/>
              <w:rPr>
                <w:sz w:val="20"/>
                <w:szCs w:val="20"/>
                <w:color w:val="auto"/>
              </w:rPr>
            </w:pPr>
            <w:r>
              <w:rPr>
                <w:rFonts w:ascii="Arial" w:cs="Arial" w:eastAsia="Arial" w:hAnsi="Arial"/>
                <w:sz w:val="14"/>
                <w:szCs w:val="14"/>
                <w:color w:val="auto"/>
                <w:w w:val="92"/>
              </w:rPr>
              <w:t>Title of each class</w:t>
            </w:r>
          </w:p>
        </w:tc>
        <w:tc>
          <w:tcPr>
            <w:tcW w:w="820" w:type="dxa"/>
            <w:vAlign w:val="bottom"/>
          </w:tcPr>
          <w:p>
            <w:pPr>
              <w:spacing w:after="0"/>
              <w:rPr>
                <w:sz w:val="19"/>
                <w:szCs w:val="19"/>
                <w:color w:val="auto"/>
              </w:rPr>
            </w:pPr>
          </w:p>
        </w:tc>
        <w:tc>
          <w:tcPr>
            <w:tcW w:w="2220" w:type="dxa"/>
            <w:vAlign w:val="bottom"/>
            <w:gridSpan w:val="3"/>
          </w:tcPr>
          <w:p>
            <w:pPr>
              <w:jc w:val="center"/>
              <w:ind w:right="1060"/>
              <w:spacing w:after="0"/>
              <w:rPr>
                <w:sz w:val="20"/>
                <w:szCs w:val="20"/>
                <w:color w:val="auto"/>
              </w:rPr>
            </w:pPr>
            <w:r>
              <w:rPr>
                <w:rFonts w:ascii="Arial" w:cs="Arial" w:eastAsia="Arial" w:hAnsi="Arial"/>
                <w:sz w:val="14"/>
                <w:szCs w:val="14"/>
                <w:color w:val="auto"/>
                <w:w w:val="94"/>
              </w:rPr>
              <w:t>Trading Symbol(s)</w:t>
            </w:r>
          </w:p>
        </w:tc>
        <w:tc>
          <w:tcPr>
            <w:tcW w:w="3300" w:type="dxa"/>
            <w:vAlign w:val="bottom"/>
            <w:gridSpan w:val="3"/>
          </w:tcPr>
          <w:p>
            <w:pPr>
              <w:jc w:val="center"/>
              <w:spacing w:after="0"/>
              <w:rPr>
                <w:sz w:val="20"/>
                <w:szCs w:val="20"/>
                <w:color w:val="auto"/>
              </w:rPr>
            </w:pPr>
            <w:r>
              <w:rPr>
                <w:rFonts w:ascii="Arial" w:cs="Arial" w:eastAsia="Arial" w:hAnsi="Arial"/>
                <w:sz w:val="14"/>
                <w:szCs w:val="14"/>
                <w:color w:val="auto"/>
                <w:w w:val="91"/>
              </w:rPr>
              <w:t>Name of each exchange on which registered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tcBorders>
              <w:top w:val="single" w:sz="8" w:color="auto"/>
            </w:tcBorders>
            <w:gridSpan w:val="4"/>
          </w:tcPr>
          <w:p>
            <w:pPr>
              <w:jc w:val="center"/>
              <w:ind w:right="40"/>
              <w:spacing w:after="0"/>
              <w:rPr>
                <w:sz w:val="20"/>
                <w:szCs w:val="20"/>
                <w:color w:val="auto"/>
              </w:rPr>
            </w:pPr>
            <w:r>
              <w:rPr>
                <w:rFonts w:ascii="Arial" w:cs="Arial" w:eastAsia="Arial" w:hAnsi="Arial"/>
                <w:sz w:val="14"/>
                <w:szCs w:val="14"/>
                <w:color w:val="auto"/>
                <w:w w:val="91"/>
              </w:rPr>
              <w:t>Common Stock, par value $0.001 per share</w:t>
            </w:r>
          </w:p>
        </w:tc>
        <w:tc>
          <w:tcPr>
            <w:tcW w:w="2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gridSpan w:val="2"/>
          </w:tcPr>
          <w:p>
            <w:pPr>
              <w:jc w:val="center"/>
              <w:ind w:right="820"/>
              <w:spacing w:after="0"/>
              <w:rPr>
                <w:sz w:val="20"/>
                <w:szCs w:val="20"/>
                <w:color w:val="auto"/>
              </w:rPr>
            </w:pPr>
            <w:r>
              <w:rPr>
                <w:rFonts w:ascii="Arial" w:cs="Arial" w:eastAsia="Arial" w:hAnsi="Arial"/>
                <w:sz w:val="14"/>
                <w:szCs w:val="14"/>
                <w:color w:val="auto"/>
              </w:rPr>
              <w:t>MRKR</w:t>
            </w:r>
          </w:p>
        </w:tc>
        <w:tc>
          <w:tcPr>
            <w:tcW w:w="24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gridSpan w:val="2"/>
          </w:tcPr>
          <w:p>
            <w:pPr>
              <w:jc w:val="center"/>
              <w:ind w:right="660"/>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2"/>
        </w:trPr>
        <w:tc>
          <w:tcPr>
            <w:tcW w:w="3880" w:type="dxa"/>
            <w:vAlign w:val="bottom"/>
            <w:gridSpan w:val="6"/>
          </w:tcPr>
          <w:p>
            <w:pPr>
              <w:jc w:val="center"/>
              <w:ind w:right="220"/>
              <w:spacing w:after="0"/>
              <w:rPr>
                <w:sz w:val="20"/>
                <w:szCs w:val="20"/>
                <w:color w:val="auto"/>
              </w:rPr>
            </w:pPr>
            <w:r>
              <w:rPr>
                <w:rFonts w:ascii="Arial" w:cs="Arial" w:eastAsia="Arial" w:hAnsi="Arial"/>
                <w:sz w:val="14"/>
                <w:szCs w:val="14"/>
                <w:color w:val="auto"/>
                <w:w w:val="92"/>
              </w:rPr>
              <w:t xml:space="preserve">Securities registered pursuant to Section 12(g) of the Act: </w:t>
            </w:r>
            <w:r>
              <w:rPr>
                <w:rFonts w:ascii="Arial" w:cs="Arial" w:eastAsia="Arial" w:hAnsi="Arial"/>
                <w:sz w:val="14"/>
                <w:szCs w:val="14"/>
                <w:b w:val="1"/>
                <w:bCs w:val="1"/>
                <w:color w:val="auto"/>
                <w:w w:val="92"/>
              </w:rPr>
              <w:t>None</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ind w:left="6" w:right="2480"/>
        <w:spacing w:after="0" w:line="234"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of Section 15(d)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32" w:lineRule="exact"/>
        <w:rPr>
          <w:sz w:val="24"/>
          <w:szCs w:val="24"/>
          <w:color w:val="auto"/>
        </w:rPr>
      </w:pPr>
    </w:p>
    <w:p>
      <w:pPr>
        <w:jc w:val="both"/>
        <w:ind w:left="6" w:right="20"/>
        <w:spacing w:after="0" w:line="181" w:lineRule="exact"/>
        <w:rPr>
          <w:sz w:val="20"/>
          <w:szCs w:val="20"/>
          <w:color w:val="auto"/>
        </w:rPr>
      </w:pPr>
      <w:r>
        <w:rPr>
          <w:rFonts w:ascii="Arial" w:cs="Arial" w:eastAsia="Arial" w:hAnsi="Arial"/>
          <w:sz w:val="13"/>
          <w:szCs w:val="13"/>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31" w:lineRule="exact"/>
        <w:rPr>
          <w:sz w:val="24"/>
          <w:szCs w:val="24"/>
          <w:color w:val="auto"/>
        </w:rPr>
      </w:pPr>
    </w:p>
    <w:p>
      <w:pPr>
        <w:jc w:val="both"/>
        <w:ind w:left="6"/>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31" w:lineRule="exact"/>
        <w:rPr>
          <w:sz w:val="24"/>
          <w:szCs w:val="24"/>
          <w:color w:val="auto"/>
        </w:rPr>
      </w:pPr>
    </w:p>
    <w:p>
      <w:pPr>
        <w:jc w:val="both"/>
        <w:ind w:left="6"/>
        <w:spacing w:after="0" w:line="290" w:lineRule="auto"/>
        <w:rPr>
          <w:sz w:val="20"/>
          <w:szCs w:val="20"/>
          <w:color w:val="auto"/>
        </w:rPr>
      </w:pPr>
      <w:r>
        <w:rPr>
          <w:rFonts w:ascii="Arial" w:cs="Arial" w:eastAsia="Arial" w:hAnsi="Arial"/>
          <w:sz w:val="13"/>
          <w:szCs w:val="13"/>
          <w:color w:val="auto"/>
        </w:rPr>
        <w:t>Indicate by checkmark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1026" w:type="dxa"/>
        <w:tblCellMar>
          <w:top w:w="0" w:type="dxa"/>
          <w:left w:w="0" w:type="dxa"/>
          <w:bottom w:w="0" w:type="dxa"/>
          <w:right w:w="0" w:type="dxa"/>
        </w:tblCellMar>
      </w:tblPr>
      <w:tr>
        <w:trPr>
          <w:trHeight w:val="188"/>
        </w:trPr>
        <w:tc>
          <w:tcPr>
            <w:tcW w:w="19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080" w:type="dxa"/>
            <w:vAlign w:val="bottom"/>
          </w:tcPr>
          <w:p>
            <w:pPr>
              <w:ind w:left="66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340" w:type="dxa"/>
            <w:vAlign w:val="bottom"/>
          </w:tcPr>
          <w:p>
            <w:pPr>
              <w:ind w:left="240"/>
              <w:spacing w:after="0"/>
              <w:rPr>
                <w:sz w:val="20"/>
                <w:szCs w:val="20"/>
                <w:color w:val="auto"/>
              </w:rPr>
            </w:pPr>
            <w:r>
              <w:rPr>
                <w:rFonts w:ascii="Arial" w:cs="Arial" w:eastAsia="Arial" w:hAnsi="Arial"/>
                <w:sz w:val="14"/>
                <w:szCs w:val="14"/>
                <w:color w:val="auto"/>
              </w:rPr>
              <w:t>Accelerated filer</w:t>
            </w:r>
          </w:p>
        </w:tc>
        <w:tc>
          <w:tcPr>
            <w:tcW w:w="1660" w:type="dxa"/>
            <w:vAlign w:val="bottom"/>
          </w:tcPr>
          <w:p>
            <w:pPr>
              <w:ind w:left="15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175"/>
        </w:trPr>
        <w:tc>
          <w:tcPr>
            <w:tcW w:w="1960" w:type="dxa"/>
            <w:vAlign w:val="bottom"/>
          </w:tcPr>
          <w:p>
            <w:pPr>
              <w:spacing w:after="0"/>
              <w:rPr>
                <w:sz w:val="20"/>
                <w:szCs w:val="20"/>
                <w:color w:val="auto"/>
              </w:rPr>
            </w:pPr>
            <w:r>
              <w:rPr>
                <w:rFonts w:ascii="Arial" w:cs="Arial" w:eastAsia="Arial" w:hAnsi="Arial"/>
                <w:sz w:val="14"/>
                <w:szCs w:val="14"/>
                <w:color w:val="auto"/>
              </w:rPr>
              <w:t>Non-accelerated filer</w:t>
            </w:r>
          </w:p>
        </w:tc>
        <w:tc>
          <w:tcPr>
            <w:tcW w:w="1080" w:type="dxa"/>
            <w:vAlign w:val="bottom"/>
          </w:tcPr>
          <w:p>
            <w:pPr>
              <w:ind w:left="660"/>
              <w:spacing w:after="0" w:line="176" w:lineRule="exact"/>
              <w:rPr>
                <w:sz w:val="20"/>
                <w:szCs w:val="20"/>
                <w:color w:val="auto"/>
              </w:rPr>
            </w:pPr>
            <w:r>
              <w:rPr>
                <w:rFonts w:ascii="Arial Unicode MS" w:cs="Arial Unicode MS" w:eastAsia="Arial Unicode MS" w:hAnsi="Arial Unicode MS"/>
                <w:sz w:val="14"/>
                <w:szCs w:val="14"/>
                <w:color w:val="auto"/>
              </w:rPr>
              <w:t>⌧</w:t>
            </w:r>
          </w:p>
        </w:tc>
        <w:tc>
          <w:tcPr>
            <w:tcW w:w="3340" w:type="dxa"/>
            <w:vAlign w:val="bottom"/>
          </w:tcPr>
          <w:p>
            <w:pPr>
              <w:ind w:left="240"/>
              <w:spacing w:after="0"/>
              <w:rPr>
                <w:sz w:val="20"/>
                <w:szCs w:val="20"/>
                <w:color w:val="auto"/>
              </w:rPr>
            </w:pPr>
            <w:r>
              <w:rPr>
                <w:rFonts w:ascii="Arial" w:cs="Arial" w:eastAsia="Arial" w:hAnsi="Arial"/>
                <w:sz w:val="14"/>
                <w:szCs w:val="14"/>
                <w:color w:val="auto"/>
              </w:rPr>
              <w:t>Smaller reporting company</w:t>
            </w:r>
          </w:p>
        </w:tc>
        <w:tc>
          <w:tcPr>
            <w:tcW w:w="1660" w:type="dxa"/>
            <w:vAlign w:val="bottom"/>
          </w:tcPr>
          <w:p>
            <w:pPr>
              <w:ind w:left="1540"/>
              <w:spacing w:after="0" w:line="176" w:lineRule="exact"/>
              <w:rPr>
                <w:sz w:val="20"/>
                <w:szCs w:val="20"/>
                <w:color w:val="auto"/>
              </w:rPr>
            </w:pPr>
            <w:r>
              <w:rPr>
                <w:rFonts w:ascii="Arial Unicode MS" w:cs="Arial Unicode MS" w:eastAsia="Arial Unicode MS" w:hAnsi="Arial Unicode MS"/>
                <w:sz w:val="14"/>
                <w:szCs w:val="14"/>
                <w:color w:val="auto"/>
                <w:w w:val="96"/>
              </w:rPr>
              <w:t>☒</w:t>
            </w:r>
          </w:p>
        </w:tc>
      </w:tr>
      <w:tr>
        <w:trPr>
          <w:trHeight w:val="226"/>
        </w:trPr>
        <w:tc>
          <w:tcPr>
            <w:tcW w:w="1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340" w:type="dxa"/>
            <w:vAlign w:val="bottom"/>
          </w:tcPr>
          <w:p>
            <w:pPr>
              <w:ind w:left="240"/>
              <w:spacing w:after="0"/>
              <w:rPr>
                <w:sz w:val="20"/>
                <w:szCs w:val="20"/>
                <w:color w:val="auto"/>
              </w:rPr>
            </w:pPr>
            <w:r>
              <w:rPr>
                <w:rFonts w:ascii="Arial" w:cs="Arial" w:eastAsia="Arial" w:hAnsi="Arial"/>
                <w:sz w:val="14"/>
                <w:szCs w:val="14"/>
                <w:color w:val="auto"/>
              </w:rPr>
              <w:t>Emerging growth company</w:t>
            </w:r>
          </w:p>
        </w:tc>
        <w:tc>
          <w:tcPr>
            <w:tcW w:w="1660" w:type="dxa"/>
            <w:vAlign w:val="bottom"/>
          </w:tcPr>
          <w:p>
            <w:pPr>
              <w:ind w:left="15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bl>
    <w:p>
      <w:pPr>
        <w:spacing w:after="0" w:line="45" w:lineRule="exact"/>
        <w:rPr>
          <w:sz w:val="24"/>
          <w:szCs w:val="24"/>
          <w:color w:val="auto"/>
        </w:rPr>
      </w:pPr>
    </w:p>
    <w:p>
      <w:pPr>
        <w:jc w:val="both"/>
        <w:ind w:left="6"/>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31" w:lineRule="exact"/>
        <w:rPr>
          <w:sz w:val="24"/>
          <w:szCs w:val="24"/>
          <w:color w:val="auto"/>
        </w:rPr>
      </w:pPr>
    </w:p>
    <w:p>
      <w:pPr>
        <w:jc w:val="both"/>
        <w:ind w:left="6" w:right="20"/>
        <w:spacing w:after="0" w:line="18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18" w:lineRule="exact"/>
        <w:rPr>
          <w:sz w:val="24"/>
          <w:szCs w:val="24"/>
          <w:color w:val="auto"/>
        </w:rPr>
      </w:pPr>
    </w:p>
    <w:p>
      <w:pPr>
        <w:ind w:left="6"/>
        <w:spacing w:after="0" w:line="188" w:lineRule="exact"/>
        <w:rPr>
          <w:sz w:val="20"/>
          <w:szCs w:val="20"/>
          <w:color w:val="auto"/>
        </w:rPr>
      </w:pPr>
      <w:r>
        <w:rPr>
          <w:rFonts w:ascii="Arial" w:cs="Arial" w:eastAsia="Arial" w:hAnsi="Arial"/>
          <w:sz w:val="14"/>
          <w:szCs w:val="14"/>
          <w:color w:val="auto"/>
        </w:rPr>
        <w:t xml:space="preserve">Indicate by checkmark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69" w:lineRule="exact"/>
        <w:rPr>
          <w:sz w:val="24"/>
          <w:szCs w:val="24"/>
          <w:color w:val="auto"/>
        </w:rPr>
      </w:pPr>
    </w:p>
    <w:p>
      <w:pPr>
        <w:jc w:val="both"/>
        <w:ind w:left="6" w:right="20"/>
        <w:spacing w:after="0" w:line="290"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as of June 30, 2020 (the last day of the registrant’s most recently completed second fiscal quarter) based on the closing sale price of $2.07 as reported on the Nasdaq Capital Market as of that date was approximately $64,600,000.</w:t>
      </w:r>
    </w:p>
    <w:p>
      <w:pPr>
        <w:spacing w:after="0" w:line="3" w:lineRule="exact"/>
        <w:rPr>
          <w:sz w:val="24"/>
          <w:szCs w:val="24"/>
          <w:color w:val="auto"/>
        </w:rPr>
      </w:pPr>
    </w:p>
    <w:p>
      <w:pPr>
        <w:ind w:left="6"/>
        <w:spacing w:after="0"/>
        <w:rPr>
          <w:sz w:val="20"/>
          <w:szCs w:val="20"/>
          <w:color w:val="auto"/>
        </w:rPr>
      </w:pPr>
      <w:r>
        <w:rPr>
          <w:rFonts w:ascii="Arial" w:cs="Arial" w:eastAsia="Arial" w:hAnsi="Arial"/>
          <w:sz w:val="14"/>
          <w:szCs w:val="14"/>
          <w:color w:val="auto"/>
        </w:rPr>
        <w:t>The registrant had 50,731,072 shares of common stock outstanding as of March 1, 2021.</w:t>
      </w:r>
    </w:p>
    <w:p>
      <w:pPr>
        <w:spacing w:after="0" w:line="65" w:lineRule="exact"/>
        <w:rPr>
          <w:sz w:val="24"/>
          <w:szCs w:val="24"/>
          <w:color w:val="auto"/>
        </w:rPr>
      </w:pPr>
    </w:p>
    <w:p>
      <w:pPr>
        <w:ind w:left="3906"/>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4"/>
          <w:szCs w:val="24"/>
          <w:color w:val="auto"/>
        </w:rPr>
      </w:pPr>
    </w:p>
    <w:p>
      <w:pPr>
        <w:jc w:val="both"/>
        <w:ind w:left="6"/>
        <w:spacing w:after="0" w:line="233" w:lineRule="auto"/>
        <w:rPr>
          <w:sz w:val="20"/>
          <w:szCs w:val="20"/>
          <w:color w:val="auto"/>
        </w:rPr>
      </w:pPr>
      <w:r>
        <w:rPr>
          <w:rFonts w:ascii="Arial" w:cs="Arial" w:eastAsia="Arial" w:hAnsi="Arial"/>
          <w:sz w:val="14"/>
          <w:szCs w:val="14"/>
          <w:color w:val="auto"/>
        </w:rPr>
        <w:t>Portions of the registrant’s proxy statement relating to registrant’s 2021 Annual Meeting of Stockholders (the “Proxy Statement”) to be filed with the Securities and Exchange Commission pursuant to Regulation 14A, not later than 120 days after the close of the registrant’s fiscal year, are incorporated by reference in Part III of this Annual Report on Form 10-K. Except with respect to information specifically incorporated by reference in this Annual Report on Form 10-K, the Proxy Statement is not deemed to be filed as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463550</wp:posOffset>
            </wp:positionV>
            <wp:extent cx="649795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43815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86360</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6"/>
          </w:cols>
          <w:pgMar w:left="834" w:top="665" w:right="8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9180" w:type="dxa"/>
            <w:vAlign w:val="bottom"/>
            <w:gridSpan w:val="6"/>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18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220" w:type="dxa"/>
            <w:vAlign w:val="bottom"/>
            <w:vMerge w:val="restart"/>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Part I</w:t>
              </w:r>
            </w:hyperlink>
          </w:p>
        </w:tc>
        <w:tc>
          <w:tcPr>
            <w:tcW w:w="796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FORWARD LOOKING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02"/>
        </w:trPr>
        <w:tc>
          <w:tcPr>
            <w:tcW w:w="122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w:t>
              </w:r>
            </w:hyperlink>
          </w:p>
        </w:tc>
        <w:tc>
          <w:tcPr>
            <w:tcW w:w="7960" w:type="dxa"/>
            <w:vAlign w:val="bottom"/>
            <w:gridSpan w:val="5"/>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Business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22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1a.</w:t>
              </w:r>
            </w:hyperlink>
          </w:p>
        </w:tc>
        <w:tc>
          <w:tcPr>
            <w:tcW w:w="7960" w:type="dxa"/>
            <w:vAlign w:val="bottom"/>
            <w:gridSpan w:val="5"/>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Risk Factors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220" w:type="dxa"/>
            <w:vAlign w:val="bottom"/>
          </w:tcPr>
          <w:p>
            <w:pPr>
              <w:spacing w:after="0"/>
              <w:rPr>
                <w:rFonts w:ascii="Arial" w:cs="Arial" w:eastAsia="Arial" w:hAnsi="Arial"/>
                <w:sz w:val="18"/>
                <w:szCs w:val="18"/>
                <w:color w:val="0000EE"/>
              </w:rPr>
            </w:pPr>
            <w:hyperlink w:anchor="page77">
              <w:r>
                <w:rPr>
                  <w:rFonts w:ascii="Arial" w:cs="Arial" w:eastAsia="Arial" w:hAnsi="Arial"/>
                  <w:sz w:val="18"/>
                  <w:szCs w:val="18"/>
                  <w:u w:val="single" w:color="auto"/>
                  <w:color w:val="0000EE"/>
                </w:rPr>
                <w:t>Item 1b</w:t>
              </w:r>
              <w:r>
                <w:rPr>
                  <w:rFonts w:ascii="Arial" w:cs="Arial" w:eastAsia="Arial" w:hAnsi="Arial"/>
                  <w:sz w:val="18"/>
                  <w:szCs w:val="18"/>
                  <w:color w:val="0000EE"/>
                </w:rPr>
                <w:t>.</w:t>
              </w:r>
            </w:hyperlink>
          </w:p>
        </w:tc>
        <w:tc>
          <w:tcPr>
            <w:tcW w:w="7960" w:type="dxa"/>
            <w:vAlign w:val="bottom"/>
            <w:gridSpan w:val="5"/>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Unresolved Staff Comments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220" w:type="dxa"/>
            <w:vAlign w:val="bottom"/>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Item 2.</w:t>
              </w:r>
            </w:hyperlink>
          </w:p>
        </w:tc>
        <w:tc>
          <w:tcPr>
            <w:tcW w:w="7960" w:type="dxa"/>
            <w:vAlign w:val="bottom"/>
            <w:gridSpan w:val="5"/>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Properties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220" w:type="dxa"/>
            <w:vAlign w:val="bottom"/>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Item 3.</w:t>
              </w:r>
            </w:hyperlink>
          </w:p>
        </w:tc>
        <w:tc>
          <w:tcPr>
            <w:tcW w:w="7960" w:type="dxa"/>
            <w:vAlign w:val="bottom"/>
            <w:gridSpan w:val="5"/>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Legal Proceedings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2"/>
        </w:trPr>
        <w:tc>
          <w:tcPr>
            <w:tcW w:w="1220" w:type="dxa"/>
            <w:vAlign w:val="bottom"/>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Item 4.</w:t>
              </w:r>
            </w:hyperlink>
          </w:p>
        </w:tc>
        <w:tc>
          <w:tcPr>
            <w:tcW w:w="7960" w:type="dxa"/>
            <w:vAlign w:val="bottom"/>
            <w:gridSpan w:val="5"/>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Mine Safety Disclosure</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4"/>
        </w:trPr>
        <w:tc>
          <w:tcPr>
            <w:tcW w:w="1220" w:type="dxa"/>
            <w:vAlign w:val="bottom"/>
          </w:tcPr>
          <w:p>
            <w:pPr>
              <w:spacing w:after="0"/>
              <w:rPr>
                <w:rFonts w:ascii="Arial" w:cs="Arial" w:eastAsia="Arial" w:hAnsi="Arial"/>
                <w:sz w:val="18"/>
                <w:szCs w:val="18"/>
                <w:b w:val="1"/>
                <w:bCs w:val="1"/>
                <w:u w:val="single" w:color="auto"/>
                <w:color w:val="0000EE"/>
              </w:rPr>
            </w:pPr>
            <w:hyperlink w:anchor="page78">
              <w:r>
                <w:rPr>
                  <w:rFonts w:ascii="Arial" w:cs="Arial" w:eastAsia="Arial" w:hAnsi="Arial"/>
                  <w:sz w:val="18"/>
                  <w:szCs w:val="18"/>
                  <w:b w:val="1"/>
                  <w:bCs w:val="1"/>
                  <w:u w:val="single" w:color="auto"/>
                  <w:color w:val="0000EE"/>
                </w:rPr>
                <w:t>Part II</w:t>
              </w:r>
            </w:hyperlink>
          </w:p>
        </w:tc>
        <w:tc>
          <w:tcPr>
            <w:tcW w:w="7960" w:type="dxa"/>
            <w:vAlign w:val="bottom"/>
            <w:gridSpan w:val="5"/>
            <w:vMerge w:val="restart"/>
          </w:tcPr>
          <w:p>
            <w:pPr>
              <w:spacing w:after="0"/>
              <w:rPr>
                <w:rFonts w:ascii="Arial" w:cs="Arial" w:eastAsia="Arial" w:hAnsi="Arial"/>
                <w:sz w:val="18"/>
                <w:szCs w:val="18"/>
                <w:color w:val="0000EE"/>
                <w:w w:val="97"/>
              </w:rPr>
            </w:pPr>
            <w:hyperlink w:anchor="page78">
              <w:r>
                <w:rPr>
                  <w:rFonts w:ascii="Arial" w:cs="Arial" w:eastAsia="Arial" w:hAnsi="Arial"/>
                  <w:sz w:val="18"/>
                  <w:szCs w:val="18"/>
                  <w:color w:val="0000EE"/>
                  <w:w w:val="97"/>
                </w:rPr>
                <w:t>Market For Registrant’s Common Equity, Related Stockholder Matters And Issuer Purchases Of Equity</w:t>
              </w:r>
            </w:hyperlink>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7960" w:type="dxa"/>
            <w:vAlign w:val="bottom"/>
            <w:gridSpan w:val="5"/>
            <w:vMerge w:val="continue"/>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line="196" w:lineRule="exact"/>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Item 5.</w:t>
              </w:r>
            </w:hyperlink>
          </w:p>
        </w:tc>
        <w:tc>
          <w:tcPr>
            <w:tcW w:w="7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78">
              <w:r>
                <w:rPr>
                  <w:rFonts w:ascii="Arial" w:cs="Arial" w:eastAsia="Arial" w:hAnsi="Arial"/>
                  <w:sz w:val="18"/>
                  <w:szCs w:val="18"/>
                  <w:color w:val="0000EE"/>
                  <w:w w:val="91"/>
                </w:rPr>
                <w:t>Securities</w:t>
              </w:r>
            </w:hyperlink>
          </w:p>
        </w:tc>
        <w:tc>
          <w:tcPr>
            <w:tcW w:w="6700" w:type="dxa"/>
            <w:vAlign w:val="bottom"/>
            <w:tcBorders>
              <w:top w:val="single" w:sz="8" w:color="0000EE"/>
            </w:tcBorders>
            <w:gridSpan w:val="3"/>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2"/>
        </w:trPr>
        <w:tc>
          <w:tcPr>
            <w:tcW w:w="1220" w:type="dxa"/>
            <w:vAlign w:val="bottom"/>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Item 6.</w:t>
              </w:r>
            </w:hyperlink>
          </w:p>
        </w:tc>
        <w:tc>
          <w:tcPr>
            <w:tcW w:w="7960" w:type="dxa"/>
            <w:vAlign w:val="bottom"/>
            <w:gridSpan w:val="5"/>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Selected Financial Data</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220" w:type="dxa"/>
            <w:vAlign w:val="bottom"/>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Item 7.</w:t>
              </w:r>
            </w:hyperlink>
          </w:p>
        </w:tc>
        <w:tc>
          <w:tcPr>
            <w:tcW w:w="7960" w:type="dxa"/>
            <w:vAlign w:val="bottom"/>
            <w:gridSpan w:val="5"/>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220" w:type="dxa"/>
            <w:vAlign w:val="bottom"/>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Item 7a.</w:t>
              </w:r>
            </w:hyperlink>
          </w:p>
        </w:tc>
        <w:tc>
          <w:tcPr>
            <w:tcW w:w="7960" w:type="dxa"/>
            <w:vAlign w:val="bottom"/>
            <w:gridSpan w:val="5"/>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Quantitative And Qualitative Disclosures About Market Risk</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1220" w:type="dxa"/>
            <w:vAlign w:val="bottom"/>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Item 8.</w:t>
              </w:r>
            </w:hyperlink>
          </w:p>
        </w:tc>
        <w:tc>
          <w:tcPr>
            <w:tcW w:w="7960" w:type="dxa"/>
            <w:vAlign w:val="bottom"/>
            <w:gridSpan w:val="5"/>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1220" w:type="dxa"/>
            <w:vAlign w:val="bottom"/>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Item 9.</w:t>
              </w:r>
            </w:hyperlink>
          </w:p>
        </w:tc>
        <w:tc>
          <w:tcPr>
            <w:tcW w:w="7960" w:type="dxa"/>
            <w:vAlign w:val="bottom"/>
            <w:gridSpan w:val="5"/>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Changes In And Disagreements With Accountants On Accounting And Financial Disclosure</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1220" w:type="dxa"/>
            <w:vAlign w:val="bottom"/>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Item 9a.</w:t>
              </w:r>
            </w:hyperlink>
          </w:p>
        </w:tc>
        <w:tc>
          <w:tcPr>
            <w:tcW w:w="7960" w:type="dxa"/>
            <w:vAlign w:val="bottom"/>
            <w:gridSpan w:val="5"/>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Controls And Procedures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2"/>
        </w:trPr>
        <w:tc>
          <w:tcPr>
            <w:tcW w:w="1220" w:type="dxa"/>
            <w:vAlign w:val="bottom"/>
          </w:tcPr>
          <w:p>
            <w:pPr>
              <w:spacing w:after="0"/>
              <w:rPr>
                <w:rFonts w:ascii="Arial" w:cs="Arial" w:eastAsia="Arial" w:hAnsi="Arial"/>
                <w:sz w:val="18"/>
                <w:szCs w:val="18"/>
                <w:color w:val="0000EE"/>
              </w:rPr>
            </w:pPr>
            <w:hyperlink w:anchor="page89">
              <w:r>
                <w:rPr>
                  <w:rFonts w:ascii="Arial" w:cs="Arial" w:eastAsia="Arial" w:hAnsi="Arial"/>
                  <w:sz w:val="18"/>
                  <w:szCs w:val="18"/>
                  <w:u w:val="single" w:color="auto"/>
                  <w:color w:val="0000EE"/>
                </w:rPr>
                <w:t>Item 9b</w:t>
              </w:r>
              <w:r>
                <w:rPr>
                  <w:rFonts w:ascii="Arial" w:cs="Arial" w:eastAsia="Arial" w:hAnsi="Arial"/>
                  <w:sz w:val="18"/>
                  <w:szCs w:val="18"/>
                  <w:color w:val="0000EE"/>
                </w:rPr>
                <w:t>.</w:t>
              </w:r>
            </w:hyperlink>
          </w:p>
        </w:tc>
        <w:tc>
          <w:tcPr>
            <w:tcW w:w="7960" w:type="dxa"/>
            <w:vAlign w:val="bottom"/>
            <w:gridSpan w:val="5"/>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Other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0"/>
        </w:trPr>
        <w:tc>
          <w:tcPr>
            <w:tcW w:w="1220" w:type="dxa"/>
            <w:vAlign w:val="bottom"/>
          </w:tcPr>
          <w:p>
            <w:pPr>
              <w:spacing w:after="0"/>
              <w:rPr>
                <w:rFonts w:ascii="Arial" w:cs="Arial" w:eastAsia="Arial" w:hAnsi="Arial"/>
                <w:sz w:val="18"/>
                <w:szCs w:val="18"/>
                <w:b w:val="1"/>
                <w:bCs w:val="1"/>
                <w:u w:val="single" w:color="auto"/>
                <w:color w:val="0000EE"/>
              </w:rPr>
            </w:pPr>
            <w:hyperlink w:anchor="page90">
              <w:r>
                <w:rPr>
                  <w:rFonts w:ascii="Arial" w:cs="Arial" w:eastAsia="Arial" w:hAnsi="Arial"/>
                  <w:sz w:val="18"/>
                  <w:szCs w:val="18"/>
                  <w:b w:val="1"/>
                  <w:bCs w:val="1"/>
                  <w:u w:val="single" w:color="auto"/>
                  <w:color w:val="0000EE"/>
                </w:rPr>
                <w:t>Part III</w:t>
              </w:r>
            </w:hyperlink>
          </w:p>
        </w:tc>
        <w:tc>
          <w:tcPr>
            <w:tcW w:w="7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rFonts w:ascii="Arial" w:cs="Arial" w:eastAsia="Arial" w:hAnsi="Arial"/>
                <w:sz w:val="18"/>
                <w:szCs w:val="18"/>
                <w:color w:val="0000EE"/>
              </w:rPr>
            </w:pPr>
            <w:hyperlink w:anchor="page90">
              <w:r>
                <w:rPr>
                  <w:rFonts w:ascii="Arial" w:cs="Arial" w:eastAsia="Arial" w:hAnsi="Arial"/>
                  <w:sz w:val="18"/>
                  <w:szCs w:val="18"/>
                  <w:u w:val="single" w:color="auto"/>
                  <w:color w:val="0000EE"/>
                </w:rPr>
                <w:t>Item 10</w:t>
              </w:r>
              <w:r>
                <w:rPr>
                  <w:rFonts w:ascii="Arial" w:cs="Arial" w:eastAsia="Arial" w:hAnsi="Arial"/>
                  <w:sz w:val="18"/>
                  <w:szCs w:val="18"/>
                  <w:color w:val="0000EE"/>
                </w:rPr>
                <w:t>.</w:t>
              </w:r>
            </w:hyperlink>
          </w:p>
        </w:tc>
        <w:tc>
          <w:tcPr>
            <w:tcW w:w="7960" w:type="dxa"/>
            <w:vAlign w:val="bottom"/>
            <w:gridSpan w:val="5"/>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Directors, Executive Officers And Corporate Governance</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1220" w:type="dxa"/>
            <w:vAlign w:val="bottom"/>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Item 11.</w:t>
              </w:r>
            </w:hyperlink>
          </w:p>
        </w:tc>
        <w:tc>
          <w:tcPr>
            <w:tcW w:w="7960" w:type="dxa"/>
            <w:vAlign w:val="bottom"/>
            <w:gridSpan w:val="5"/>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Executive Compensation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1220" w:type="dxa"/>
            <w:vAlign w:val="bottom"/>
          </w:tcPr>
          <w:p>
            <w:pPr>
              <w:spacing w:after="0"/>
              <w:rPr>
                <w:rFonts w:ascii="Arial" w:cs="Arial" w:eastAsia="Arial" w:hAnsi="Arial"/>
                <w:sz w:val="18"/>
                <w:szCs w:val="18"/>
                <w:color w:val="0000EE"/>
              </w:rPr>
            </w:pPr>
            <w:hyperlink w:anchor="page90">
              <w:r>
                <w:rPr>
                  <w:rFonts w:ascii="Arial" w:cs="Arial" w:eastAsia="Arial" w:hAnsi="Arial"/>
                  <w:sz w:val="18"/>
                  <w:szCs w:val="18"/>
                  <w:u w:val="single" w:color="auto"/>
                  <w:color w:val="0000EE"/>
                </w:rPr>
                <w:t>Item 12</w:t>
              </w:r>
              <w:r>
                <w:rPr>
                  <w:rFonts w:ascii="Arial" w:cs="Arial" w:eastAsia="Arial" w:hAnsi="Arial"/>
                  <w:sz w:val="18"/>
                  <w:szCs w:val="18"/>
                  <w:color w:val="0000EE"/>
                </w:rPr>
                <w:t>.</w:t>
              </w:r>
            </w:hyperlink>
          </w:p>
        </w:tc>
        <w:tc>
          <w:tcPr>
            <w:tcW w:w="7960" w:type="dxa"/>
            <w:vAlign w:val="bottom"/>
            <w:gridSpan w:val="5"/>
          </w:tcPr>
          <w:p>
            <w:pPr>
              <w:spacing w:after="0"/>
              <w:rPr>
                <w:rFonts w:ascii="Arial" w:cs="Arial" w:eastAsia="Arial" w:hAnsi="Arial"/>
                <w:sz w:val="18"/>
                <w:szCs w:val="18"/>
                <w:u w:val="single" w:color="auto"/>
                <w:color w:val="0000EE"/>
                <w:w w:val="98"/>
              </w:rPr>
            </w:pPr>
            <w:hyperlink w:anchor="page90">
              <w:r>
                <w:rPr>
                  <w:rFonts w:ascii="Arial" w:cs="Arial" w:eastAsia="Arial" w:hAnsi="Arial"/>
                  <w:sz w:val="18"/>
                  <w:szCs w:val="18"/>
                  <w:u w:val="single" w:color="auto"/>
                  <w:color w:val="0000EE"/>
                  <w:w w:val="98"/>
                </w:rPr>
                <w:t>Security Ownership Of Certain Beneficial Owners And Management And Related Stockholder Matters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1220" w:type="dxa"/>
            <w:vAlign w:val="bottom"/>
          </w:tcPr>
          <w:p>
            <w:pPr>
              <w:spacing w:after="0"/>
              <w:rPr>
                <w:rFonts w:ascii="Arial" w:cs="Arial" w:eastAsia="Arial" w:hAnsi="Arial"/>
                <w:sz w:val="18"/>
                <w:szCs w:val="18"/>
                <w:color w:val="0000EE"/>
              </w:rPr>
            </w:pPr>
            <w:hyperlink w:anchor="page90">
              <w:r>
                <w:rPr>
                  <w:rFonts w:ascii="Arial" w:cs="Arial" w:eastAsia="Arial" w:hAnsi="Arial"/>
                  <w:sz w:val="18"/>
                  <w:szCs w:val="18"/>
                  <w:u w:val="single" w:color="auto"/>
                  <w:color w:val="0000EE"/>
                </w:rPr>
                <w:t>Item 13</w:t>
              </w:r>
              <w:r>
                <w:rPr>
                  <w:rFonts w:ascii="Arial" w:cs="Arial" w:eastAsia="Arial" w:hAnsi="Arial"/>
                  <w:sz w:val="18"/>
                  <w:szCs w:val="18"/>
                  <w:color w:val="0000EE"/>
                </w:rPr>
                <w:t>.</w:t>
              </w:r>
            </w:hyperlink>
          </w:p>
        </w:tc>
        <w:tc>
          <w:tcPr>
            <w:tcW w:w="7960" w:type="dxa"/>
            <w:vAlign w:val="bottom"/>
            <w:gridSpan w:val="5"/>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Certain Relationships And Related Transactions, And Director Independence</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2"/>
        </w:trPr>
        <w:tc>
          <w:tcPr>
            <w:tcW w:w="1220" w:type="dxa"/>
            <w:vAlign w:val="bottom"/>
          </w:tcPr>
          <w:p>
            <w:pPr>
              <w:spacing w:after="0"/>
              <w:rPr>
                <w:rFonts w:ascii="Arial" w:cs="Arial" w:eastAsia="Arial" w:hAnsi="Arial"/>
                <w:sz w:val="18"/>
                <w:szCs w:val="18"/>
                <w:color w:val="0000EE"/>
              </w:rPr>
            </w:pPr>
            <w:hyperlink w:anchor="page90">
              <w:r>
                <w:rPr>
                  <w:rFonts w:ascii="Arial" w:cs="Arial" w:eastAsia="Arial" w:hAnsi="Arial"/>
                  <w:sz w:val="18"/>
                  <w:szCs w:val="18"/>
                  <w:u w:val="single" w:color="auto"/>
                  <w:color w:val="0000EE"/>
                </w:rPr>
                <w:t>Item 14</w:t>
              </w:r>
              <w:r>
                <w:rPr>
                  <w:rFonts w:ascii="Arial" w:cs="Arial" w:eastAsia="Arial" w:hAnsi="Arial"/>
                  <w:sz w:val="18"/>
                  <w:szCs w:val="18"/>
                  <w:color w:val="0000EE"/>
                </w:rPr>
                <w:t>.</w:t>
              </w:r>
            </w:hyperlink>
          </w:p>
        </w:tc>
        <w:tc>
          <w:tcPr>
            <w:tcW w:w="7960" w:type="dxa"/>
            <w:vAlign w:val="bottom"/>
            <w:gridSpan w:val="5"/>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Principal Accounting Fees And Services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0"/>
        </w:trPr>
        <w:tc>
          <w:tcPr>
            <w:tcW w:w="1220" w:type="dxa"/>
            <w:vAlign w:val="bottom"/>
          </w:tcPr>
          <w:p>
            <w:pPr>
              <w:spacing w:after="0"/>
              <w:rPr>
                <w:rFonts w:ascii="Arial" w:cs="Arial" w:eastAsia="Arial" w:hAnsi="Arial"/>
                <w:sz w:val="18"/>
                <w:szCs w:val="18"/>
                <w:b w:val="1"/>
                <w:bCs w:val="1"/>
                <w:u w:val="single" w:color="auto"/>
                <w:color w:val="0000EE"/>
              </w:rPr>
            </w:pPr>
            <w:hyperlink w:anchor="page91">
              <w:r>
                <w:rPr>
                  <w:rFonts w:ascii="Arial" w:cs="Arial" w:eastAsia="Arial" w:hAnsi="Arial"/>
                  <w:sz w:val="18"/>
                  <w:szCs w:val="18"/>
                  <w:b w:val="1"/>
                  <w:bCs w:val="1"/>
                  <w:u w:val="single" w:color="auto"/>
                  <w:color w:val="0000EE"/>
                </w:rPr>
                <w:t>Part IV</w:t>
              </w:r>
            </w:hyperlink>
          </w:p>
        </w:tc>
        <w:tc>
          <w:tcPr>
            <w:tcW w:w="7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rFonts w:ascii="Arial" w:cs="Arial" w:eastAsia="Arial" w:hAnsi="Arial"/>
                <w:sz w:val="18"/>
                <w:szCs w:val="18"/>
                <w:color w:val="0000EE"/>
              </w:rPr>
            </w:pPr>
            <w:hyperlink w:anchor="page91">
              <w:r>
                <w:rPr>
                  <w:rFonts w:ascii="Arial" w:cs="Arial" w:eastAsia="Arial" w:hAnsi="Arial"/>
                  <w:sz w:val="18"/>
                  <w:szCs w:val="18"/>
                  <w:u w:val="single" w:color="auto"/>
                  <w:color w:val="0000EE"/>
                </w:rPr>
                <w:t>Item 15</w:t>
              </w:r>
              <w:r>
                <w:rPr>
                  <w:rFonts w:ascii="Arial" w:cs="Arial" w:eastAsia="Arial" w:hAnsi="Arial"/>
                  <w:sz w:val="18"/>
                  <w:szCs w:val="18"/>
                  <w:color w:val="0000EE"/>
                </w:rPr>
                <w:t>.</w:t>
              </w:r>
            </w:hyperlink>
          </w:p>
        </w:tc>
        <w:tc>
          <w:tcPr>
            <w:tcW w:w="7960" w:type="dxa"/>
            <w:vAlign w:val="bottom"/>
            <w:gridSpan w:val="5"/>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Exhibits, Financial Statement Schedules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1220" w:type="dxa"/>
            <w:vAlign w:val="bottom"/>
          </w:tcPr>
          <w:p>
            <w:pPr>
              <w:spacing w:after="0"/>
              <w:rPr>
                <w:rFonts w:ascii="Arial" w:cs="Arial" w:eastAsia="Arial" w:hAnsi="Arial"/>
                <w:sz w:val="18"/>
                <w:szCs w:val="18"/>
                <w:color w:val="0000EE"/>
              </w:rPr>
            </w:pPr>
            <w:hyperlink w:anchor="page95">
              <w:r>
                <w:rPr>
                  <w:rFonts w:ascii="Arial" w:cs="Arial" w:eastAsia="Arial" w:hAnsi="Arial"/>
                  <w:sz w:val="18"/>
                  <w:szCs w:val="18"/>
                  <w:u w:val="single" w:color="auto"/>
                  <w:color w:val="0000EE"/>
                </w:rPr>
                <w:t>Item 16</w:t>
              </w:r>
              <w:r>
                <w:rPr>
                  <w:rFonts w:ascii="Arial" w:cs="Arial" w:eastAsia="Arial" w:hAnsi="Arial"/>
                  <w:sz w:val="18"/>
                  <w:szCs w:val="18"/>
                  <w:color w:val="0000EE"/>
                </w:rPr>
                <w:t>.</w:t>
              </w:r>
            </w:hyperlink>
          </w:p>
        </w:tc>
        <w:tc>
          <w:tcPr>
            <w:tcW w:w="7960" w:type="dxa"/>
            <w:vAlign w:val="bottom"/>
            <w:gridSpan w:val="5"/>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Form 10-K Summary</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annual report contains forward-looking statements within the meaning of the Private Securities Litigation Reform Act of 1995 that involve substantial risks and uncertainties. The forward-looking statements are contained principally in Part I, Item 1: "Business," Part I, Item 1A: "Risk Factors," and Part 2, Item 7: "Management's Discussion and Analysis of Financial Condition and Results of Operations," but are also contained elsewhere in this annual report. Any statements contained herein that are not statements of historical fact may be deemed to be forward-looking statements. In some cases, you can identify forward-looking statements by terminology such as “may”, “will”, “should”, “expect”, “plan”, “intend”, “anticipate”, “believe”, “estimate”, “predict”, “potential” or “continue”, the negative of such terms or other comparable terminology. These statements speak only as of the date of this Annual Report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Forward-looking statements in this annual report include statements as to:</w:t>
      </w:r>
    </w:p>
    <w:p>
      <w:pPr>
        <w:spacing w:after="0" w:line="179" w:lineRule="exact"/>
        <w:rPr>
          <w:sz w:val="20"/>
          <w:szCs w:val="20"/>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progress and results of clinical trials of MultiTAA-specific T cell therapies and our other product candidates, including statements regarding the timing of initiation and completion of preclinical studies or clinical trials or related preparatory work, the period during which the results of the trials will become available and our research and development programs;</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any submission of filings for regulatory approval of product candidates and our ability to obtain and maintain regulatory approvals for product candidates for any indication;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benefits, activity, effectiveness and safety of our product candidates;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market acceptance and opportunity for and clinical utility of product candidates, if approved for commercial use;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capabilities and strategy, including the ease, scalability and commercial viability of our manufacturing methods and processes;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scope of any approved indications for product candidates;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and our ability to maintain our relationships and collaborations with the Baylor College of Medicine and other potential collaboration or strategic relationships;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use the MultiTAA-specific T cell platform to develop future product candidates;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capital requirements and our needs for or ability to obtain additional funding;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recruit and retain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protect and enforce our intellectual property position for our product candidates, and the scope of such protection;</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 and the development of and projections relating to our competitors or our industry;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You should refer to "Item 1A. Risk Factors" in this annual report for a discussion of important factors that may cause our actual results to differ materially from those expressed or implied by our forward-looking statements. Such risks and uncertainties may be amplified by the COVID-19 pandemic and its potential impact on our business and the global economy.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should read this annual report and the documents that we reference in this annual report and have filed as exhibits to this annual report completely and with the understanding that our actual future results may be materially different from what we expect. We qualify all of our forward-looking statements by these cautionary statements.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this report all references to (i) “Marker” “we,” “us,” “our” or the “Company” mean Marker Therapeutics, Inc. and its wholly-owned subsidiaries, Marker Cell Therapy, Inc. and GeneMax Pharmaceuticals, Inc., which wholly owns GeneMax Pharmaceuticals Canada Inc., unless the context otherwise requires; (ii) “SEC” refers to the Securities and Exchange Commission; (iii) “Securities Act” refers to the United States </w:t>
      </w:r>
      <w:r>
        <w:rPr>
          <w:rFonts w:ascii="Arial" w:cs="Arial" w:eastAsia="Arial" w:hAnsi="Arial"/>
          <w:sz w:val="17"/>
          <w:szCs w:val="17"/>
          <w:i w:val="1"/>
          <w:iCs w:val="1"/>
          <w:color w:val="auto"/>
        </w:rPr>
        <w:t>Securities Act of 1933</w:t>
      </w:r>
      <w:r>
        <w:rPr>
          <w:rFonts w:ascii="Arial" w:cs="Arial" w:eastAsia="Arial" w:hAnsi="Arial"/>
          <w:sz w:val="17"/>
          <w:szCs w:val="17"/>
          <w:color w:val="auto"/>
        </w:rPr>
        <w:t xml:space="preserve">, as amended; (iv) “Exchange Act” refers to the United States </w:t>
      </w:r>
      <w:r>
        <w:rPr>
          <w:rFonts w:ascii="Arial" w:cs="Arial" w:eastAsia="Arial" w:hAnsi="Arial"/>
          <w:sz w:val="17"/>
          <w:szCs w:val="17"/>
          <w:i w:val="1"/>
          <w:iCs w:val="1"/>
          <w:color w:val="auto"/>
        </w:rPr>
        <w:t>Securities Exchange Act of 1934</w:t>
      </w:r>
      <w:r>
        <w:rPr>
          <w:rFonts w:ascii="Arial" w:cs="Arial" w:eastAsia="Arial" w:hAnsi="Arial"/>
          <w:sz w:val="17"/>
          <w:szCs w:val="17"/>
          <w:color w:val="auto"/>
        </w:rPr>
        <w:t>, as amended; and (v) all dollar amounts refer to United States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a clinical-stage immuno-oncology company specializing in the development and commercialization of novel T cell-based immunotherapies and innovative peptide-based vaccines for the treatment of hematological malignancies and solid tumor indications. We developed our lead product candidates from our MultiTAA-specific T cell technology, which is based on the selective expansion of non-engineered, tumor-specific T cells that recognize tumor associated antigens, or TAAs, which are tumor targets, and then kill tumor cells expressing those targets. These T cells are designed to recognize multiple tumor targets to produce broad spectrum anti-tumor activity. We are advancing two pipelines of product candidates as part of our MultiTAA-specific T cell program: the autologous T cells for the treatment of lymphoma, multiple myeloma, or MM, and selected solid tumors and the allogeneic T cells for the treatment of acute myeloid leukemia, or AML, and acute lymphoblastic leukemia, or ALL. Because we do not genetically engineer the MultiTAA-specific T cell therapies, we believe that our product candidates are easier and less expensive to manufacture, have lower toxicities than current engineered chimeric antigen receptor, or CAR-T, and T cell receptor-based therapies and may provide patients with meaningful clinical benefit. We are also developing innovative peptide-based immunotherapeutic vaccines for the treatment of metastatic solid tumors.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pursuing post-transplant AML as the lead indication for our first company-sponsored MultiTAA-specific T cell program. In April 2020, the FDA granted orphan drug designation to MT-401 for the treatment of AML after receiving an allogeneic stem cell transplant. The MultiTAA-specific T cell therapy has been well tolerated in an ongoing Phase 1 clinical trial in AML and myelodysplastic syndrome, or MDS, conducted by our strategic partner Baylor College of Medicine, or BCM. As reported in a recent publication by Lulla et al., 11 of the 17 patients in the adjuvant disease setting dosed with the MultiTAA-specific T cell therapy after receiving an allogeneic hematopoietic stem cell transplant, or HSCT, never relapsed [median leukemia-free survival, or LFS, not reached at a median follow-up of 1.9 years], with 11 of 15 patients remaining alive (estimated two-year overall survival of 77%) at a median follow-up of 1.9 years post-infusion which compares favorably with HSCT outcomes for risk-matched AML/MDS patients post-HSCT [median LFS of nine to 15 months and two-year survival probability of 42%]. Additionally, eight patients were treated for active disease that was resistant to salvage therapy post-HSCT with a median of five prior lines of therapy (range: four to 10). One of the eight patients crossed over from the adjuvant group while two patients enrolled twice, but all three patients had active AML that failed another line of salvage therapy after their first MultiTAA-specific T cell infusion. Two of the eight patients achieved objective responses with one complete response and one partial response, with six patients continuing with stable disease.</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submitted an investigational new drug, or IND, application to the United States Food and Drug Administration, or the FDA, to initiate a Phase 2 clinical trial of MultiTAA-specific T cell therapy, which we refer to as MT-401 (zedenoleucel), in post-allogeneic HSCT patients with AML in both the adjuvant and active disease setting. The dose administered in this multicenter trial is the approximate flat dose equivalent of the current maximum tolerated dose from the ongoing Phase 1 trial. In the adjuvant setting, patients will be randomized to either MultiTAA-specific T cell therapy at approximately 90 days post-transplant versus standard of care observation, while the active disease patients will receive MT-401 following relapse post-transplant as part of a single-arm group. We expect to complete the safety lead-in portion of the trial in the first half of 2021. We anticipate that we will initiate the remainder of the Phase 2 trial in the third quarter of 2021 and complete enrollment of 20 patients in that phase of the trial in the fourth quarter of 2021 in order to report results from the active disease arm of the trial in the first quarter of 2022. We expect to begin manufacturing MT-401 for the Phase 2 trial at our cGMP manufacturing facility in the third quarter of 2021.</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reported interim data for an ongoing Phase 1/2 clinical trial of the MultiTAA-specific T cell therapy for the treatment of pancreatic adenocarcinoma being conducted by BCM. In this trial, we have observed a clinical benefit correlated with the post-infusion detection of tumor-reactive T cells in patient peripheral blood and within tumor biopsy samples in patients in the tumor-resection arm of the trial. These T cells exhibited activity against both targeted antigens and non-targeted TAAs, indicating induction of antigen spreading. To date, we have not observed any cytokine release syndrome or neurotoxicity in this trial.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also evaluating the MultiTAA-specific T cell therapies in a Phase 2 clinical trial for the treatment of breast cancer and in Phase 1 clinical trials for the treatment of ALL, lymphoma, MM and sarcoma, all of which are being conducted by BCM. As of December 2020, the MultiTAA-specific T cell therapies have been generally well tolerated by all of the patients enrolled in clinical trials in hematological and solid tumor indications with no incidents of cytokine release syndrome or neurotoxicity, which are frequently associated with CAR-T therapies. Our ongoing clinical trials may be also affected by the COVID-19 pandemic. Based on our observations in clinical trials in AML, pancreatic cancer, lymphoma, ALL and MM, we believe that the MultiTAA-specific T cell therapies have the potential to mediate a meaningful anti-tumor effect, as well as significant in vivo expansion of T cells. We may initiate additional Phase 2 clinical trials investigating other indications in addition to our planned Phase 2 trial in post-transplant AML patients.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clinical-stage pipeline, including clinical trials being conducted by BCM and other partners,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1009015</wp:posOffset>
            </wp:positionH>
            <wp:positionV relativeFrom="paragraph">
              <wp:posOffset>151765</wp:posOffset>
            </wp:positionV>
            <wp:extent cx="4286250" cy="17659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86250"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Program Updates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Initiation of Phase 2 Clinical Trial of MT-401 (zedenoleucel) for the Treatment of Post-Transplant AML</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January 2021, we announced that the FDA lifted the partial clinical hold on the Phase 2 clinical trial investigating the safety and efficacy of MT-401 for the treatment of patients with AML post-transplant, permitting us to initiate the trial with the safety lead-in portion that is expected to enroll approximately six patients. Three patients will be dosed with MT-401 manufactured with the legacy reagent used in the Phase 1 trial, and three patients will be dosed with MT-401 manufactured using a new reagent from an alternative supplier. We anticipate using this supplier for clinical and commercial manufacturing of MT-401. We expect to complete the safety lead-in portion of the trial in the first half of 2021, and we continue to work to identify clinical trial sites.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January 2021, the United States Adopted Names, orUSAN, Council and the World Health Organization International Nonproprietary Name, or WHO INN, Expert Committee adopted “zedenoleucel” as the non-proprietary name for MT-401. The USAN Council previously accepted “zelenoleucel” as the non-proprietary name for MT-401. The USAN Council forwarded the name to the WHO INN Expert Committee for additional review and clearance. The WHO INN Expert Committee revised the name to zedenoleucel to avoid a conflict with the existing INN selenomethothionine (75Se) and could evoke that the substance is selenium-labelled. The USAN Council agreed with the WHO INN Expert Committee’s revision of the name from “zelenoleucel” to “zedenoleucel.”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goal is to be the leader in the development and commercialization of transformative immunotherapies for the treatment of hematological malignancies and solid tumors. We are developing a portfolio of highly differentiated T cell therapies utilizing the MultiTAA-specific T cell platform that we believe have the potential to significantly disrupt the current cell therapy landscape, while substantially improving survival and quality of life for patients with cancers.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The key elements of our strategy include:</w:t>
      </w:r>
    </w:p>
    <w:p>
      <w:pPr>
        <w:spacing w:after="0" w:line="225"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Expedite clinical development, regulatory approval, and commercialization of our lead product candidates.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results of the Phase 1 clinical trials of the MultiTAA-specific T cell therapies conducted at BCM, we plan to advance our lead product candidates into Phase 2 clinical trials and facilitate the initiation of company-sponsored clinical trials. We are pursuing post-transplant AML as the lead indication for the MultiTAA-specific T cell program. We expect to complete the safety lead-in portion of our Phase 2 trial in post-transplant AML in the first half of 2021.</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plan to initiate in the future additional clinical trials in other tumor types based on emerging data. We expect our current Good Manufacturing Practices, or cGMP, manufacturing facility in Houston, Texas will be fully operational to support our clinical manufacturing in the first half of 2021. Until that time, we anticipate that clinical product manufacturing will be conducted at BCM’s Good Manufacturing Practices, or GMP, cell manufacturing facility.</w:t>
      </w:r>
    </w:p>
    <w:p>
      <w:pPr>
        <w:spacing w:after="0" w:line="187" w:lineRule="exact"/>
        <w:rPr>
          <w:sz w:val="20"/>
          <w:szCs w:val="20"/>
          <w:color w:val="auto"/>
        </w:rPr>
      </w:pPr>
    </w:p>
    <w:p>
      <w:pPr>
        <w:ind w:left="340" w:hanging="332"/>
        <w:spacing w:after="0" w:line="277" w:lineRule="auto"/>
        <w:tabs>
          <w:tab w:leader="none" w:pos="286"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collaborate with our partners and increase our internal research and development activities to improve and develop adoptive cell therapy technologies.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party to a strategic alliance with BCM, pursuant to which we will sponsor selected research at BCM in support of our technology. In conjunction with this strategic alliance, BCM will conduct selected Phase 1 and Phase 2 clinical trials of our product candidates. If data from these early clinical trials are positive, we will consider the therapeutic and commercial potential for such therapies to be advanced as new product candidates for us.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plan to use BCM facilities and our company laboratories to enable the process development required to support the Phase 2 clinical trials of our product candidates. We plan to invest in our own research and development and chemistry, manufacturing and controls, or CMC, capabilities to enhance our ability to conduct process development to optimize our manufacturing process, product quality and commercial scalability.</w:t>
      </w:r>
    </w:p>
    <w:p>
      <w:pPr>
        <w:spacing w:after="0" w:line="187"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Invest in our platform to maximize the beneficial outcomes for cancer patients.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plan to explore new product opportunities by increasing and/or customizing the antigens we target to expand the indications in which the MultiTAA-specific T cell products will be efficacious, including solid tumors or other hematologic malignancies. Additionally, our research and development efforts may include the exploration of different doses and/or frequency of dosing and the relationship of these factors with potential therapeutic benefit.</w:t>
      </w:r>
    </w:p>
    <w:p>
      <w:pPr>
        <w:spacing w:after="0" w:line="187"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Leverage our relationships with our founding institutions, scientific founders and other scientific advisors.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world-renowned scientific founders and scientific advisors have made seminal contributions to major discoveries in the field of immuno-oncology, and have significant experience in oncology, immunology and cell therapy. We intend to significantly leverage the knowledge, experience and advice of our scientific founders and advisors, as well as the institutional expertise of BCM, the Mayo Foundation and our other major institutional partners, to advance our therapies through the clinic and into commercialization.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 the process of evaluating the peptide vaccine therapeutic products and programs to determine the future strategy and the proper allocation of our resources to best maximize stockholder value. In conjunction with this evaluation process we may de-emphasize or terminate certain vaccine therapeutic products or programs. Such strategic review and evaluations are a priority and an important part of our ongoing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and History of Cancer Immunotherapies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Despite advances in options for treatment, cancer continues to be one of the main causes of death in developed countries. Historically, cancer therapy has been constrained to surgery, radiation, and chemotherapy. More recently, advances in the understanding of the immune system’s role in cancer surveillance have led to immunotherapy becoming an important treatment approach. Cancer immunotherapy began with treatments that nonspecifically activated the immune system and had limited efficacy and/or significant toxicity. In contrast, newer immunotherapy treatments activate specific, potent immune cells, leading to improved safety and efficacy. Within the immunotherapy category, treatments have included vaccines, cytokine therapies, antibody therapies, and adoptive cell therapies.</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1996, Dr. Dana Leach, Dr. Matthew Krummel and Dr. James Allison reported that monoclonal antibodies, or mAbs, blocking CTLA-4 could treat tumors in animal models. Subsequently, mAbs that targeted CTLA-4 and PD-1 became known as immune checkpoint inhibitors, or ICIs. Immune checkpoints are a means by which cancer cells inhibit or turn down the body’s immune response to cancer. By interfering with these cloaking mechanisms, ICIs have shown an ability to activate T cells, shrink tumors, and improve patient survival. Recent clinical data from checkpoint inhibitors such as ipilimumab, nivolumab and pembrolizumab have confirmed both the validity of this approach and the importance of T cells as promising tools for the treatment of cancer.</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these many advances, there persists a significant unmet need in cancer therapeutics. We believe that the use of human cells as a therapeutic modality to re-engage the immune system will be the next significant advancement in the treatment of cancer. These cellular therapies may avoid the long-term side effects associated with current treatments and have the potential to be effective regardless of the type of previous treatments patients have experienced.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 Cell Therapy Overview</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field of adoptive cell transfer is currently comprised primarily of CAR and TCR engineered T cells and has emerged from principles of basic immunology to become a paradigm-shifting clinical immunotherapy. T cell therapy has evolved as one of the most promising branches of immunotherapy. T cell immunotherapy involves the infusion of T cells into a patient. Immune cells used for immunotherapy treatments can either be collected from the patient (autologous) or harvested from a donor (allogeneic). The cells are retrieved and either genetically modified to express tumor-specific CARs or TCRs or mixed with specific antigens. The cells are then cultured to proliferate, and the proliferated cells are infused into the patient. Upon infusion, the cells can target and eliminate cancerous cells. Unlike chemotherapy, which is unable to distinguish between healthy and malignant cells, T cells produced for immunotherapy can selectively attack cancer cells that express the target antigen(s). This leads to a more effective treatment platform with fewer side effects. Some of these infused T cells may remain in the body for long periods, providing immunological memory, thus leading to longer and more durable responses.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TCRs and CARs have distinct signaling properties and antigen sensitivities. TCRs recognize peptide fragments from proteins expressed either inside the cell or on the cell surface, which are presented to T cells via major histocompatibility complex molecules. CARs are programmed to recognize a specific cell surface protein. Because CARs are specific for a single antigen, or more precisely a single epitope within the single antigen, they are very narrowly focused and have limitations. When a CAR-T cell product is applied to a specific antigen of a heterogeneous disease, CAR-T cells may leave behind tumor cells that do not express the target antigen, which can lead to tumor relapse due to immune escape.</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Our approach is to avoid genetic engineering by relying upon the native T cell receptor, which has evolved over millions of years to provide T cells with an exquisite capacity to recognize and kill cancer cells. Use of the native T cell receptor is the bedrock of our versatile immunotherapy, which is intended to provide a cost-effective and non-toxic strategy to target multiple tumor antigens and lead to durable responses. The process entails expanding tumor-specific T cells from patients (autologous), or a patient’s hematopoietic stem cell donor (allogeneic). This is achieved by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manipulation consisting of co-culturing a patient’s or donor’s antigen presenting cells with patient (or donor) peripheral blood mononuclear cells, or PBMCs, respectively. As a source of antigen, we use overlapping peptide libraries spanning each of several immunogenic target antigens that are typically associated with certain types of cancer. These peptides are at least 15 amino acids in length, overlapping by 11 amino acids and span the entire length of each of the target antigens. This typical footprint of peptides allows us to induce both CD4</w:t>
      </w:r>
      <w:r>
        <w:rPr>
          <w:rFonts w:ascii="Arial" w:cs="Arial" w:eastAsia="Arial" w:hAnsi="Arial"/>
          <w:sz w:val="25"/>
          <w:szCs w:val="25"/>
          <w:color w:val="auto"/>
          <w:vertAlign w:val="superscript"/>
        </w:rPr>
        <w:t>+</w:t>
      </w:r>
      <w:r>
        <w:rPr>
          <w:rFonts w:ascii="Arial" w:cs="Arial" w:eastAsia="Arial" w:hAnsi="Arial"/>
          <w:sz w:val="17"/>
          <w:szCs w:val="17"/>
          <w:color w:val="auto"/>
        </w:rPr>
        <w:t xml:space="preserve"> (helper) and CD8</w:t>
      </w:r>
      <w:r>
        <w:rPr>
          <w:rFonts w:ascii="Arial" w:cs="Arial" w:eastAsia="Arial" w:hAnsi="Arial"/>
          <w:sz w:val="25"/>
          <w:szCs w:val="25"/>
          <w:color w:val="auto"/>
          <w:vertAlign w:val="superscript"/>
        </w:rPr>
        <w:t>+</w:t>
      </w:r>
      <w:r>
        <w:rPr>
          <w:rFonts w:ascii="Arial" w:cs="Arial" w:eastAsia="Arial" w:hAnsi="Arial"/>
          <w:sz w:val="17"/>
          <w:szCs w:val="17"/>
          <w:color w:val="auto"/>
        </w:rPr>
        <w:t xml:space="preserve"> (cytotoxic) T cells. Following manufacture, these cells are frozen and stored for later infusion. Once infused, the natural characteristics of T cells take over and the T cells multiply in quantity, forming an army of T cells that kill the targeted cancer cells.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observed evidence of “epitope spreading” in our clinical trials, suggesting that the MultiTAA-specific T cell therapy is inducing an enhanced response by the patient’s own T cells (specific for an expanded set of tumor-associated antigens beyond those targeted by the infused product). Correlative analyses show expansion of endogenous T cells, other than those present in the infused product, in the months following infusion. This phenomenon, also known as “antigen spreading,” is potentially important in generating a deep and durable response for a patient because it enables the killing of tumors that do not express any of the antigens initially targeted by our therapy and could be due to the lack of lymphodepletion that allows recruitment of the endogenous immune system for anti-tumor activity.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MultiTAA-Specific T Cell Therapies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collaboration with BCM, we are advancing two MultiTAA-specific T cell therapies through clinical development:</w:t>
      </w:r>
    </w:p>
    <w:p>
      <w:pPr>
        <w:spacing w:after="0" w:line="225" w:lineRule="exact"/>
        <w:rPr>
          <w:sz w:val="20"/>
          <w:szCs w:val="20"/>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Autologous MultiTAA-specific T cell therapies </w:t>
      </w:r>
      <w:r>
        <w:rPr>
          <w:rFonts w:ascii="Arial" w:cs="Arial" w:eastAsia="Arial" w:hAnsi="Arial"/>
          <w:sz w:val="18"/>
          <w:szCs w:val="18"/>
          <w:color w:val="auto"/>
        </w:rPr>
        <w:t>target the NY-ESO-1, PRAME, MAGE-A4, Survivin and SSX2 antigens. We</w:t>
      </w:r>
      <w:r>
        <w:rPr>
          <w:rFonts w:ascii="Arial" w:cs="Arial" w:eastAsia="Arial" w:hAnsi="Arial"/>
          <w:sz w:val="18"/>
          <w:szCs w:val="18"/>
          <w:i w:val="1"/>
          <w:iCs w:val="1"/>
          <w:color w:val="auto"/>
        </w:rPr>
        <w:t xml:space="preserve"> </w:t>
      </w:r>
      <w:r>
        <w:rPr>
          <w:rFonts w:ascii="Arial" w:cs="Arial" w:eastAsia="Arial" w:hAnsi="Arial"/>
          <w:sz w:val="18"/>
          <w:szCs w:val="18"/>
          <w:color w:val="auto"/>
        </w:rPr>
        <w:t>recently reported updated clinical data from BCM’s Phase 1/2 clinical trial of the autologous MultiTAA therapy for the treatment of patients with pancreatic cancer, and we are currently evaluating these therapies for the treatment of patients with lymphoma, MM and other selected solid tumors in Phase 1 trials.</w:t>
      </w:r>
    </w:p>
    <w:p>
      <w:pPr>
        <w:spacing w:after="0" w:line="186"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Allogeneic MultiTAA-specific T cell therapies </w:t>
      </w:r>
      <w:r>
        <w:rPr>
          <w:rFonts w:ascii="Arial" w:cs="Arial" w:eastAsia="Arial" w:hAnsi="Arial"/>
          <w:sz w:val="18"/>
          <w:szCs w:val="18"/>
          <w:color w:val="auto"/>
        </w:rPr>
        <w:t>target the WT1, NY-ESO-1, PRAME, and Survivin antigens. The stem cell</w:t>
      </w:r>
      <w:r>
        <w:rPr>
          <w:rFonts w:ascii="Arial" w:cs="Arial" w:eastAsia="Arial" w:hAnsi="Arial"/>
          <w:sz w:val="18"/>
          <w:szCs w:val="18"/>
          <w:i w:val="1"/>
          <w:iCs w:val="1"/>
          <w:color w:val="auto"/>
        </w:rPr>
        <w:t xml:space="preserve"> </w:t>
      </w:r>
      <w:r>
        <w:rPr>
          <w:rFonts w:ascii="Arial" w:cs="Arial" w:eastAsia="Arial" w:hAnsi="Arial"/>
          <w:sz w:val="18"/>
          <w:szCs w:val="18"/>
          <w:color w:val="auto"/>
        </w:rPr>
        <w:t>transplant donor is used as the source of the cells manufactured for our allogeneic therapies. We are pursuing post-transplant AML as the lead indication for the MultiTAA-specific T cell program using our allogeneic therapies.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the blood source and the antigens for stimulation differ between the autologous and allogeneic therapies, the manufacturing process for each product is identical.</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Cancers are heterogeneous in their expression of antigens. Tumors generally consist of individual cancer cells expressing different antigens, and each of those antigens can be present at a different level that can change over time. Therapies targeting only a single antigen are vulnerable to evolutionary escape mechanisms.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125730</wp:posOffset>
            </wp:positionV>
            <wp:extent cx="2400300" cy="1465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00300"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single-antigen specific therapy can eliminate all the tumor cells expressing the targeted antigen, the residual tumor cells that do not express that antigen may survive and expand. In addition, tumor cells may also downregulate or mutate the targeted antigen, thus becoming invisible to the T cell therapy. Both phenomena create a transformed tumor that is impervious to that therapy. This process is referred to as antigen-negative tumor escape.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solution to the problem of tumor heterogeneity is the development of T cell products that simultaneously attack multiple tumor-expressed antigens and thereby enable more complete initial tumor targeting, thus minimizing the subsequent opportunity for the cancer to engage escape mechanisms. Of note, data suggest that this strategy may be responsible for recruitment and activation of unique cancer-killing cells from the patient’s own immune repertoire to participate in cancer eradication, further minimizing the possibility for tumor cell escape.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128270</wp:posOffset>
            </wp:positionV>
            <wp:extent cx="2297430" cy="15005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9743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our proprietary MultiTAA-specific T cell platform may have meaningful advantages over current CAR and TCR-engineered cell therapy approaches. Compared to current gene-modified T cell therapies, the MultiTAA-specific T cell product candidates are characterized by the following:</w:t>
      </w:r>
    </w:p>
    <w:p>
      <w:pPr>
        <w:spacing w:after="0" w:line="180"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Clinical benefits observed in early-stage clinical trials in multiple cancer indications.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Based on our observations in clinical trials in AML, pancreatic cancer, lymphoma, ALL and MM, we believe that the MultiTAA-specific T cell therapies have the potential to mediate a meaningful anti-tumor effect, as well as significant in vivo expansion of T cells. For example, in BCM’s Phase 1 clinical trial in lymphoma, there were complete responses, or CRs, in six of the fifteen evaluable patients with active disease. Significantly, no patient with a CR has subsequently relapsed with disease, whereas typically 30% or more of patients with CR in reported CAR-T studies relapse within one year. In patient results to date in this trial, observed therapeutic responses appear to be highly durable, with some patients being relapse-free beyond five years.</w:t>
      </w:r>
    </w:p>
    <w:p>
      <w:pPr>
        <w:spacing w:after="0" w:line="17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Non-gene modified.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Unlike CAR and TCR-based approaches, our MultiTAA-specific T cell therapy does not require genetic modification of T cells, a costly and complex process that significantly complicates the manufacturing of a patient product. We believe our MultiTAA-specific T cell therapy can be manufactured at a fraction of the cost of a gene-modified T cell product, with substantially reduced complexity of manufacturing.</w:t>
      </w:r>
    </w:p>
    <w:p>
      <w:pPr>
        <w:spacing w:after="0" w:line="183"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No need for lymphodepletion before infusion.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Unlike CAR-T therapies, which require lymphodepletion of a patient’s existing T cells so that they will not compete with the infused therapy, the MultiTAA-specific T cell therapies work with the natural capabilities of T cells to target cancer and do not require lymphodepletion prior to infusion.</w:t>
      </w:r>
    </w:p>
    <w:p>
      <w:pPr>
        <w:spacing w:after="0" w:line="180"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color w:val="auto"/>
        </w:rPr>
        <w:t>Low incidence rate of adverse events.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2020, the MultiTAA-specific T cell therapy has been generally well tolerated by all of the patients enrolled in clinical trials in hematological and solid tumor indications with no incidences of cytokine release syndrome or neurotoxicity. In these trials, there has been only one Grade 3 adverse reaction considered possibly related to the therapy. This appears to compare favorably with published CD19 CAR-T studies that have been associated with substantial tolerability concerns, including one Phase 1 trial in which 95% of patients had Grade 3 or higher adverse events during treatment.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color w:val="auto"/>
        </w:rPr>
        <w:t>Appears to drive endogenous immune responses.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our clinical trials, we have observed evidence of “epitope spreading” in the treated patients, meaning that the MultiTAA-specific T cell therapy is potentially inducing an enhanced response by the patient’s own T cells (specific for an expanded set of tumor-associated antigens beyond those targeted by the infused product). Correlative analyses show expansion of endogenous T cells, other than those present in the infused product, in the months following infusion. This phenomenon, also known as “antigen spreading,” is potentially important in generating a deep and durable response for a patient, because it enables the killing of tumors that do not express any of the antigens initially targeted by our therapy and could be due to the lack of lymphodepletion that allows recruitment of the endogenous immune system for anti-tumor activity.</w:t>
      </w:r>
    </w:p>
    <w:p>
      <w:pPr>
        <w:spacing w:after="0" w:line="191"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color w:val="auto"/>
        </w:rPr>
        <w:t>Capable of addressing a broad repertoire of cancer cells.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While CAR-T and TCR therapies generally target a single epitope, our manufacturing process selects for T cells that are specific for multiple peptides derived from several targeted antigens. Deep gene sequencing of our products shows that a typical patient dose usually consists of approximately 4,000 unique T cell clonotypes, some of which target up to five different tumor-associated antigens. The five antigen targets can be recognized by a very wide range of T cells, which we believe facilitates robust killing of targeted cancer cells.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MT-401 for the Treatment of Post-Transplant AML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submitted an IND to the FDA to initiate a Phase 2 clinical trial in post-allogeneic HSCT patients with AML in both the adjuvant and active disease setting, which may become pivotal pending the results of the interim analysis. The dose administered in this multicenter trial is the current maximum tolerated dose from the Phase 1/2 trial. In the adjuvant setting, patients will be randomized to either MT-401 at approximately 90 days post-transplant versus standard of care observation, while the active disease patients will receive MT-401 following relapse post-transplant as part of a single-arm group.</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initiated the Phase 2 trial, beginning with a safety lead-in portion that is expected to enroll approximately six patients. Three patients will be dosed with MT-401 manufactured using the legacy reagent used in the Phase 1 trial, and three patients will be dosed with MT-401 manufactured using a reagent from an alternative supplier. We anticipate using this supplier for clinical and commercial supply of MT-401. We expect to complete the safety lead-in portion of the trial in the first half of 2021. The safety lead-in will be followed by the 160-patient portion of the trial at approximately 20 transplant centers. Group 1 will comprise 120 adjuvant (disease-free) patients, with the primary endpoint of relapse-free survival of patients randomized to receive MT-401 versus a control group. Group 2 will comprise 40 active disease patients in a single arm, with primary endpoints of complete remission and duration of complete remission.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Our MultiTAA-Specific T Cell Therapies by BCM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clinical trials are being conducted by BCM pursuant to our strategic alliance. If data from these early clinical trials are positive, we will consider the therapeutic and commercial potential for such therapies to be advanced as new product candidates for us. In each trial, correlative studies showed significant expansion of MultiTAA-specific T cells, as well as significant evidence of epitope spreading with expansion of endogenous T cells specific for tumor-associated antigens that were not targeted by the MultiTAA-specific T cell therapy.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Acute Myeloid Leukemia</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pursuing post-transplant AML as the lead indication for the MultiTAA-specific T cell program. Currently, available treatments for post-transplant AML patients are limited and include donor lymphocyte infusion, which has an approximately 15% overall response rate but a 30% to 50% risk of severe and debilitating graft-versus-host disease. The five-year mortality rate for patients who receive an allogeneic HSCT exceeds 50%, and patients who relapse after a transplant have a survival expectation of approximately 4.5 months.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BCM recently completed a Phase 1 AML/MDS clinical trial of the MultiTAA-specific T cell therapy for the treatment of patients with post-transplant AML. In this trial, we treated patients in remission and with active disease post-transplant. As reported in a recent publication by Lulla et al. and illustrated below, 11 of the 17 patients in the adjuvant disease setting dosed with the MultiTAA-specific T cell therapy after receiving an allogeneic HSCT never relapsed [median LFS not reached at a median follow-up of 1.9 years], with 11 of 15 patients remaining alive (estimated two-year overall survival of 77%) at a median follow-up of 1.9 years post-infusion which compares favorably with HSCT outcomes for risk-matched AML/MDS patients post-HSCT [median LFS of nine to 15 months and two-year survival probability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132715</wp:posOffset>
            </wp:positionV>
            <wp:extent cx="5280660" cy="3240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8066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eight patients were treated for active disease that was resistant to salvage therapy post-HSCT with a median of five prior lines of therapy (range: four to ten). One of the eight patients crossed over from the adjuvant group while two patients enrolled twice, but all three patients had active AML that failed another line of salvage therapy after their first MultiTAA-specific T cell infusion. As shown below, two of the eight patients achieved objective responses with one complete response and one partial response, with six patients continuing with stable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128270</wp:posOffset>
            </wp:positionV>
            <wp:extent cx="5726430" cy="3240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2643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this trial, the MultiTAA-specific T cell therapy was well tolerated, with no drug-related serious adverse events and no instances of greater than Grade 2 graft-versus-host disease. The maximum grade treatment-related adverse event was seen in one patient in the adjuvant disease group who had a possibly drug-related Grade 3 elevation of liver enzymes but was treated with prednisone with complete resolution. After discontinuing treatment and receiving decitabine, the patient relapsed and later re-enrolled in the trial in the active disease group and entered CR for 13 months and survived for 2.5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Pancreatic Cancer</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May 2020, we reported interim data from an ongoing Phase 1/2 clinical trial of the MultiTAA-specific T cell therapy for the treatment of pancreatic adenocarcinoma being conducted by BCM. In this trial, BCM plans to enroll approximately 45 patients with advanced or borderline resectable pancreatic adenocarcinoma in three arms: Arm A, which includes patients with unresectable/metastatic disease who are responding to standard first-line chemotherapy; Arm B, which includes patients with progressive disease or therapy intolerance; and Arm C, which includes patients with surgically resectable disease. A total of 31 patients were administered the MultiTAA-specific T cell therapy: 13 patients in Arm A, 10 patients in Arm B and eight patients in Arm C.</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Overall, we have observed a clinical benefit correlated with the detection of tumor-reactive T cells in patient peripheral blood (Arms A, B and C) and within tumor biopsy samples (Arm C) post-infusion. T cells exhibited activity against both targeted antigens as well as non-targeted TAAs, including MAGE-A2B and AFP, indicating induction of antigen/epitope spreading. No cytokine release syndrome or neurotoxicity has been observed in any arm of the trial to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Arm 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Arm A is designed to evaluate the safety and potential efficacy of using MultiTAA-specific T cell therapy as part of first-line treatment for patients with pancreatic cancer. These patients in the chemo-responsive arm have completed or will complete at least three months of standard-of-care chemotherapy (gemcitabine/nab-paclitaxel or FOLFIRINOX), which is the period during which a response to chemotherapy would typically occur, before receiving up to six administrations of MultiTAA-specific T cell therapy in conjunction with chemotherapy.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For 12 of the 13 patients, sufficient cells for all six planned doses were generated; two doses were available for the remaining patient.</w:t>
      </w:r>
    </w:p>
    <w:p>
      <w:pPr>
        <w:spacing w:after="0" w:line="248" w:lineRule="exact"/>
        <w:rPr>
          <w:sz w:val="20"/>
          <w:szCs w:val="20"/>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Out of the 13 evaluable patients (best overall response):</w:t>
      </w:r>
    </w:p>
    <w:p>
      <w:pPr>
        <w:spacing w:after="0" w:line="225" w:lineRule="exact"/>
        <w:rPr>
          <w:sz w:val="20"/>
          <w:szCs w:val="20"/>
          <w:color w:val="auto"/>
        </w:rPr>
      </w:pPr>
    </w:p>
    <w:p>
      <w:pPr>
        <w:ind w:left="1340" w:hanging="333"/>
        <w:spacing w:after="0"/>
        <w:tabs>
          <w:tab w:leader="none" w:pos="1340" w:val="left"/>
        </w:tabs>
        <w:numPr>
          <w:ilvl w:val="1"/>
          <w:numId w:val="10"/>
        </w:numPr>
        <w:rPr>
          <w:rFonts w:ascii="Courier New" w:cs="Courier New" w:eastAsia="Courier New" w:hAnsi="Courier New"/>
          <w:sz w:val="18"/>
          <w:szCs w:val="18"/>
          <w:color w:val="auto"/>
        </w:rPr>
      </w:pPr>
      <w:r>
        <w:rPr>
          <w:rFonts w:ascii="Arial" w:cs="Arial" w:eastAsia="Arial" w:hAnsi="Arial"/>
          <w:sz w:val="18"/>
          <w:szCs w:val="18"/>
          <w:color w:val="auto"/>
        </w:rPr>
        <w:t>4 patients experienced objective responses after administration of MultiTAA cells;</w:t>
      </w:r>
    </w:p>
    <w:p>
      <w:pPr>
        <w:spacing w:after="0" w:line="209" w:lineRule="exact"/>
        <w:rPr>
          <w:rFonts w:ascii="Courier New" w:cs="Courier New" w:eastAsia="Courier New" w:hAnsi="Courier New"/>
          <w:sz w:val="18"/>
          <w:szCs w:val="18"/>
          <w:color w:val="auto"/>
        </w:rPr>
      </w:pPr>
    </w:p>
    <w:p>
      <w:pPr>
        <w:ind w:left="1340" w:hanging="333"/>
        <w:spacing w:after="0"/>
        <w:tabs>
          <w:tab w:leader="none" w:pos="1340" w:val="left"/>
        </w:tabs>
        <w:numPr>
          <w:ilvl w:val="1"/>
          <w:numId w:val="10"/>
        </w:numPr>
        <w:rPr>
          <w:rFonts w:ascii="Courier New" w:cs="Courier New" w:eastAsia="Courier New" w:hAnsi="Courier New"/>
          <w:sz w:val="18"/>
          <w:szCs w:val="18"/>
          <w:color w:val="auto"/>
        </w:rPr>
      </w:pPr>
      <w:r>
        <w:rPr>
          <w:rFonts w:ascii="Arial" w:cs="Arial" w:eastAsia="Arial" w:hAnsi="Arial"/>
          <w:sz w:val="18"/>
          <w:szCs w:val="18"/>
          <w:color w:val="auto"/>
        </w:rPr>
        <w:t>1 patient experienced a radiographic complete response occurring at month 9 after starting chemotherapy;</w:t>
      </w:r>
    </w:p>
    <w:p>
      <w:pPr>
        <w:spacing w:after="0" w:line="209" w:lineRule="exact"/>
        <w:rPr>
          <w:rFonts w:ascii="Courier New" w:cs="Courier New" w:eastAsia="Courier New" w:hAnsi="Courier New"/>
          <w:sz w:val="18"/>
          <w:szCs w:val="18"/>
          <w:color w:val="auto"/>
        </w:rPr>
      </w:pPr>
    </w:p>
    <w:p>
      <w:pPr>
        <w:ind w:left="1340" w:hanging="333"/>
        <w:spacing w:after="0"/>
        <w:tabs>
          <w:tab w:leader="none" w:pos="1340" w:val="left"/>
        </w:tabs>
        <w:numPr>
          <w:ilvl w:val="1"/>
          <w:numId w:val="10"/>
        </w:numPr>
        <w:rPr>
          <w:rFonts w:ascii="Courier New" w:cs="Courier New" w:eastAsia="Courier New" w:hAnsi="Courier New"/>
          <w:sz w:val="18"/>
          <w:szCs w:val="18"/>
          <w:color w:val="auto"/>
        </w:rPr>
      </w:pPr>
      <w:r>
        <w:rPr>
          <w:rFonts w:ascii="Arial" w:cs="Arial" w:eastAsia="Arial" w:hAnsi="Arial"/>
          <w:sz w:val="18"/>
          <w:szCs w:val="18"/>
          <w:color w:val="auto"/>
        </w:rPr>
        <w:t>3 patients experienced partial responses per RECIST occurring at 6-9 months after starting chemotherapy;</w:t>
      </w:r>
    </w:p>
    <w:p>
      <w:pPr>
        <w:spacing w:after="0" w:line="209" w:lineRule="exact"/>
        <w:rPr>
          <w:rFonts w:ascii="Courier New" w:cs="Courier New" w:eastAsia="Courier New" w:hAnsi="Courier New"/>
          <w:sz w:val="18"/>
          <w:szCs w:val="18"/>
          <w:color w:val="auto"/>
        </w:rPr>
      </w:pPr>
    </w:p>
    <w:p>
      <w:pPr>
        <w:ind w:left="1340" w:hanging="333"/>
        <w:spacing w:after="0"/>
        <w:tabs>
          <w:tab w:leader="none" w:pos="1340" w:val="left"/>
        </w:tabs>
        <w:numPr>
          <w:ilvl w:val="1"/>
          <w:numId w:val="10"/>
        </w:numPr>
        <w:rPr>
          <w:rFonts w:ascii="Courier New" w:cs="Courier New" w:eastAsia="Courier New" w:hAnsi="Courier New"/>
          <w:sz w:val="18"/>
          <w:szCs w:val="18"/>
          <w:color w:val="auto"/>
        </w:rPr>
      </w:pPr>
      <w:r>
        <w:rPr>
          <w:rFonts w:ascii="Arial" w:cs="Arial" w:eastAsia="Arial" w:hAnsi="Arial"/>
          <w:sz w:val="18"/>
          <w:szCs w:val="18"/>
          <w:color w:val="auto"/>
        </w:rPr>
        <w:t>6 patients experienced stable disease;</w:t>
      </w:r>
    </w:p>
    <w:p>
      <w:pPr>
        <w:spacing w:after="0" w:line="209" w:lineRule="exact"/>
        <w:rPr>
          <w:rFonts w:ascii="Courier New" w:cs="Courier New" w:eastAsia="Courier New" w:hAnsi="Courier New"/>
          <w:sz w:val="18"/>
          <w:szCs w:val="18"/>
          <w:color w:val="auto"/>
        </w:rPr>
      </w:pPr>
    </w:p>
    <w:p>
      <w:pPr>
        <w:ind w:left="1340" w:hanging="333"/>
        <w:spacing w:after="0" w:line="259" w:lineRule="auto"/>
        <w:tabs>
          <w:tab w:leader="none" w:pos="1340" w:val="left"/>
        </w:tabs>
        <w:numPr>
          <w:ilvl w:val="1"/>
          <w:numId w:val="10"/>
        </w:numPr>
        <w:rPr>
          <w:rFonts w:ascii="Courier New" w:cs="Courier New" w:eastAsia="Courier New" w:hAnsi="Courier New"/>
          <w:sz w:val="18"/>
          <w:szCs w:val="18"/>
          <w:color w:val="auto"/>
        </w:rPr>
      </w:pPr>
      <w:r>
        <w:rPr>
          <w:rFonts w:ascii="Arial" w:cs="Arial" w:eastAsia="Arial" w:hAnsi="Arial"/>
          <w:sz w:val="18"/>
          <w:szCs w:val="18"/>
          <w:color w:val="auto"/>
        </w:rPr>
        <w:t>1 patient experienced a mixed response (some lesions increased in size and others decreased for a net zero change in size of tumor lesions);</w:t>
      </w:r>
    </w:p>
    <w:p>
      <w:pPr>
        <w:spacing w:after="0" w:line="184"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Patients had durable cancer control with 9 of the 13 patients exceeding historical control of overall survival;</w:t>
      </w:r>
    </w:p>
    <w:p>
      <w:pPr>
        <w:spacing w:after="0" w:line="225"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 patients enrolled in the study were not administered MultiTAA-specific T cells, either because of disease progression (4 patients) which made them ineligible for treatment, or because insufficient starting material from the patient was available for manufacturing (1 patient);</w:t>
      </w:r>
    </w:p>
    <w:p>
      <w:pPr>
        <w:spacing w:after="0" w:line="183"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Evidence of epitope-spreading was observed in all responders, suggesting that the MultiTAA T cell therapy triggered the recruitment of a broader endogenous immune system response for improved anti-tumor activity;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infusion-related reactions, cytokine release syndrome or neurotoxicity was observed.</w:t>
      </w:r>
    </w:p>
    <w:p>
      <w:pPr>
        <w:spacing w:after="0" w:line="225" w:lineRule="exact"/>
        <w:rPr>
          <w:rFonts w:ascii="Arial" w:cs="Arial" w:eastAsia="Arial" w:hAnsi="Arial"/>
          <w:sz w:val="18"/>
          <w:szCs w:val="18"/>
          <w:color w:val="auto"/>
        </w:rPr>
      </w:pPr>
    </w:p>
    <w:p>
      <w:pPr>
        <w:jc w:val="both"/>
        <w:ind w:left="680" w:hanging="321"/>
        <w:spacing w:after="0" w:line="342" w:lineRule="auto"/>
        <w:tabs>
          <w:tab w:leader="none" w:pos="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patients responding to therapy, significant expansion of the infused MultiTAA-specific T cell therapy was observed, along with broad-based epitope spreading, with significant expansion of endogenous T cells specific for other tumor specific antigens.</w:t>
      </w:r>
    </w:p>
    <w:p>
      <w:pPr>
        <w:spacing w:after="0" w:line="12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patients responding to therapy, significant expansion of the infused MultiTAA-specific T cell therapy was observed, along with broad-based epitope spreading, with significant expansion of endogenous T cells specific for other tumor specific antigens.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Arm B</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Arm B is designed to evaluate the use of MultiTAA-specific T cell therapy as a second-line therapy for patients who have failed first-line chemotherapy. The patients in this chemo-refractory arm are either ineligible for chemotherapy or have progressed on chemotherapy and have received or are receiving up to six doses of MultiTAA-specific T cell therapy as a monotherapy. The following graphic depicts the best clinical assessment of the 10 evaluable patients in Arm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127635</wp:posOffset>
            </wp:positionV>
            <wp:extent cx="2280285" cy="19716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80285"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Among the patients who saw clinical disease stabilization, significant expansion of the infused MultiTAA-specific T cell therapy was observed, along with broad-based epitope spreading, with significant expansion of endogenous T cells specific for other tumor-specific antigens.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Arm C</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Arm C is designed to assess T cell infiltration and expansion. These patients with borderline surgically resectable disease received or will receive a dose of MultiTAA-specific T cell therapy following chemotherapy, radiotherapy or combination and prior to surgical resection and up to five additional doses of T cells after surgery. In the patients evaluable in Arm C, MultiTAA-specific T cells were measurable in meaningful numbers as detected by correlative analysis of resected tumor, and significant expansion of the infused MultiTAA-specific T cells was observed, along with broad-based epitope spreading, with significant expansion of endogenous T cells specific for other tumor specific antigens. All eight patients in the adjuvant setting have received at least the pre-surgery dose of MultiTAA-specific T cells. Only two of the eight treated patients had all of the per-protocol MultiTAA-specific T cell infusions. One patient has not yet received any post-operative MultiTAA-specific T cells despite remaining in the trial on an observational basis. Five patients are still in the trial, while three patients had recurrence of disease. Two patients have not yet undergone surgery. As illustrated below with respect to the six patients treated in Arm C (excluding the two patients who have not yet undergone surgery), three of the patients in Arm C remain in the trial, while three patients had recurrence of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124460</wp:posOffset>
            </wp:positionV>
            <wp:extent cx="5349240" cy="258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924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Lymphoma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BCM is currently evaluating the MultiTAA-specific T cell therapy in a Phase 1 clinical trial for the treatment of patients with lymphoma. A total of 32 patients received two protocol-specified infusions of MultiTAA-specific T cells, 14 with Hodgkin lymphoma, or HL, and 18 with aggressive non-Hodgkin lymphoma, or NHL, [diffuse large B-cell lymphoma, or DLBCL, (n=12), mantle cell lymphoma, or MCL, (n=2), T-cell lymphoma (n=3) and composite lymphoma (HL and DLBCL, n=1)].</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reported in a recent publication by Vasileiou et al., BCM had treated 15 patients with active disease, which we refer to as the active lymphoma group, all of whom had completed a follow-up period beyond three months post-infusion. These patients were heavily pre-treated and, on average, had failed a median of five prior lines of therapy (range four to eight) for the HL patients and a median of three prior lines of therapy (range three to four) for the NHL patients. As illustrated below, in the active lymphoma group, six patients entered CR and nine patients had experienced stable disease. None of the patients in CR had relapsed, and the range for the duration of CR in these patients were between two and over five years after being infused with the MultiTAA-specific T cell therapy with the exception of one CR patient who died of an unrelated pneumonia. Responses in all six patients who entered CR were associated with an expansion of infused T cells, as well as induction of antigen spreading.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122555</wp:posOffset>
            </wp:positionV>
            <wp:extent cx="5760720" cy="32829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60720" cy="328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also treated 17 patients, including one patient who was treated a second time after a relapse, in remission, which we refer to as the adjuvant lymphoma group. Like the active lymphoma group, these patients were heavily pre-treated with seven patients with HL treated with a median of 4 prior lines of therapy (range three to five) and 10 patients with NHL with a median of three prior lines of therapy (range one to five). As illustrated below, in the adjuvant lymphoma group, all 17 patients had entered CR, with 14 patients in continued complete remission, or CCR, without relapsing. The duration of response ranged from approximately nine months to over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111760</wp:posOffset>
            </wp:positionV>
            <wp:extent cx="5760720" cy="33858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60720" cy="338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both treatment groups, the MultiTAA-specific T cell therapy was well tolerated, with no drug-related serious adverse events, suggesting that the MultiTAA-specific T cell therapy might serve as a standard-of-care maintenance therapy for lymphoma patients in remission.</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Further, data from this trial show “epitope spreading,” or expansion of patients’ endogenous T cells (specific for an expanded set of tumor-associated antigens beyond those targeted by the infused therapy) in the months following infusion. Significantly, we have observed this effect even though some patients in this trial received doses that had not yet been antigen-escalated to the full antigen dose.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Acute Lymphoblastic Leukemia</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BCM is currently evaluating the MultiTAA-specific T cell therapy in a Phase 1 clinical trial for the treatment of patients with ALL. Leukemic relapse is one of the primary causes of treatment failure in HSCT recipients. Like post-transplant AML patients, post-transplant ALL patients have limited treatment options, with donor lymphocyte infusions similarly associated with the risk of life-threatening graft-versus-host disease. While CAR-T therapies have shown potent anti-leukemia activity in post-transplant ALL patients, CD19-CAR-T cell therapies target a single antigen, carrying the inherent risk of immune escape, and are most effective in malignancies of B-cell lineage. In contrast, the MultiTAA-specific T cell therapy targets multiple antigens expressed in both B- and T-cell ALL.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 this trial, as reported in February 2019 we had treated 18 patients. Of the seven evaluable patients:</w:t>
      </w:r>
    </w:p>
    <w:p>
      <w:pPr>
        <w:spacing w:after="0" w:line="225" w:lineRule="exact"/>
        <w:rPr>
          <w:sz w:val="20"/>
          <w:szCs w:val="20"/>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evaluable patients were up to 28 months in CCR;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hanging="321"/>
        <w:spacing w:after="0" w:line="27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One patient experienced relapse displayed mixed donor/recipient chimerism after transplant, but remained in CCR for 6 months;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Patients who remained in CCR had been durable for between four to 28 months, with a median of 16 months.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Multiple Myeloma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BCM is currently evaluating the MultiTAA-specific T cell therapy in a Phase 1b/2a clinical trial for the treatment of patients with MM. In this trial, we are treating both active and adjuvant post-autologous stem cell transplant MM patients both within 90 days and more than 90 days post-transplant. We have not seen a meaningful difference in response rates or durability between the two arms and intend to standardize future trials based upon a protocol wherein patients will receive MultiTAA-specific T cell therapy immediately post-transplant.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reported in a recent publication by Lulla et al., of the 12 patients that had been treated in the active MM group with a median of 3.5 prior lines:</w:t>
      </w:r>
    </w:p>
    <w:p>
      <w:pPr>
        <w:spacing w:after="0" w:line="170" w:lineRule="exact"/>
        <w:rPr>
          <w:sz w:val="20"/>
          <w:szCs w:val="20"/>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One patient had a CR;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Two patients achieved partial responses;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Nine patients had stable disease following initial MultiTAA-specific T cell infusion.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the nine patients that had been treated in the adjuvant MM group, all nine patients had remained in CCR, with a median follow-up of 21 months. Only two patients had relapsed at months seven and 13 after infusion while the remaining patients remain in CCR at a median follow-up of 27.5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 Development and Manufacturing of The MultiTAA-Specific T Cell Therapies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manufacturing process, blood is drawn from either the individual patient (in the case of the autologous T cells) or from the allogeneic stem cell transplant donor (in the case of the allogeneic T cells). Although the T cells that are selected and expanded by our process exist in a patient’s circulating blood, these T cells are often present at very low frequencies. Researchers at BCM believe that these T cells are adversely affected by the suppressive tumor microenvironment. It is a well-accepted concept that cancers not only evade immune detection but often actively suppress the function of the human immune system. Our manufacturing and culturing process is intended to (1) identify the T cells specific for the antigens that we intend to target, (2) restore these T cells to functionality with respect to their anti-tumor capability and (3) expand the population of those T cells specific for our targets to achieve the required patient dose.</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blood is drawn, PBMCs are isolated and used to manufacture a patient-specific product. These cells are placed inside a G-Rex manufacturing device and combined with an experimentally optimized mix of GMP-grade cytokines that is used to restore and enhance the functional capability of the cultured T cells.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libraries of overlapping peptides, which we refer to as peptide pools, spanning the target antigens are combined with antigen presenting cells and added to the cell culture. Each peptide within a peptide pool represents a small segment of a target antigen, which a T cell might recognize. Each library represents the entire protein sequence of a target antigen, with each peptide overlapping significantly with the peptides adjacent to it within the antigen’s protein sequence. This overlapping structure allows us to isolate, activate and expand any T cell that is specific for any segment of the antigens that we target in the unique genetic background of every patient.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G-Rex is a cell culture device manufactured by Wilson Wolf used by many cell therapy developers, both in commercial and academic settings. The device allows a user to introduce cells, medium and other reagents into a cell culture chamber, which has a gas-permeable membrane at its bottom. The cells settle on this gas-permeable membrane through which oxygen and carbon dioxide are exchanged (i.e. the cells can breathe at the base of the device), while nutrients required for cell expansion are obtained from the medium above the cells. This system allows for the highly robust growth of cells in culture, by providing them with superior access to oxygen and nutrients. Cells manufactured in the device grow efficiently without need for agitation by a technician, scientist or automated system.</w:t>
      </w:r>
    </w:p>
    <w:p>
      <w:pPr>
        <w:spacing w:after="0" w:line="16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Inside the G-Rex, PBMCs are co-cultured with antigen-presenting cells that have been exposed to the stimulating peptide pools. This results in the selective expansion of T cells that specifically recognize the target antigens. At the end of the manufacturing process, the resulting product is a mix of helper (CD4</w:t>
      </w:r>
      <w:r>
        <w:rPr>
          <w:rFonts w:ascii="Arial" w:cs="Arial" w:eastAsia="Arial" w:hAnsi="Arial"/>
          <w:sz w:val="25"/>
          <w:szCs w:val="25"/>
          <w:color w:val="auto"/>
          <w:vertAlign w:val="superscript"/>
        </w:rPr>
        <w:t>+</w:t>
      </w:r>
      <w:r>
        <w:rPr>
          <w:rFonts w:ascii="Arial" w:cs="Arial" w:eastAsia="Arial" w:hAnsi="Arial"/>
          <w:sz w:val="17"/>
          <w:szCs w:val="17"/>
          <w:color w:val="auto"/>
        </w:rPr>
        <w:t>) and cytotoxic (CD8</w:t>
      </w:r>
      <w:r>
        <w:rPr>
          <w:rFonts w:ascii="Arial" w:cs="Arial" w:eastAsia="Arial" w:hAnsi="Arial"/>
          <w:sz w:val="25"/>
          <w:szCs w:val="25"/>
          <w:color w:val="auto"/>
          <w:vertAlign w:val="superscript"/>
        </w:rPr>
        <w:t>+</w:t>
      </w:r>
      <w:r>
        <w:rPr>
          <w:rFonts w:ascii="Arial" w:cs="Arial" w:eastAsia="Arial" w:hAnsi="Arial"/>
          <w:sz w:val="17"/>
          <w:szCs w:val="17"/>
          <w:color w:val="auto"/>
        </w:rPr>
        <w:t>) T cells that recognize the targeted antigens.</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Once cell manufacturing is complete, the product is tested for identity, sterility, phenotype and functionality before it is released for infusion into a patient. Sampling of product indicates that, on average, approximately 4,000 different T cell clonotypes are present in a typical 5-antigen-specific patient product.</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release of the final patient product, the cells are frozen and transported to the site where the cells will be administered. The standard dose for patients with lymphoma, AML or myeloma ranges from 5 to 20 million cells per meter squared (corresponding to typical doses of 10 to 40 million cells per adult patient). These cell doses represent a significantly smaller dose of cells, when compared to CAR-T or TCR therapies. As a result, our therapy requires only a very small infusion volume that can be administered to patients within minutes at an outpatient center. Due to the low incidence of adverse events with our therapies, patients do not need to be hospitalized and monitored overnight. Instead, the patients are evaluated for any immediate infusion-related reactions and can then usually be discharged within two hours.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Our manufacturing process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151765</wp:posOffset>
            </wp:positionV>
            <wp:extent cx="5760720" cy="26314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6072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Peptide-Based Immunotherapeutic Vaccines: TPIV200 and TPIV100/110</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to our MultiTAA-specific T cell therapies, we are developing peptide-based immunotherapeutic vaccines that are designed to precisely target breast and ovarian cancer cells, in contrast to standard therapies for the treatment of cancer that target both cancer cells and normal cells. Our peptide vaccines are derived from naturally processed T cell-targeted antigens. We believe that our peptide vaccines are potentially effective standalone therapies but may also enhance the efficacy of other immunotherapy approaches, including our own MultiTAA-specific T cell therapies. Our multipeptide approach is fundamentally different from traditional vaccine therapies that have generally targeted a major histocompatibility complex, or MHC, class I-restricted epitope and have historically performed poorly as stand-alone treatments. We are currently evaluating TPIV200 for the treatment of breast cancers that overexpress FRa in multiple Phase 2 clinical trials and TPIV100 for the treatment of breast cancers that overexpress HER2/neu in Phase 1b and Phase 2 clinical trials.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 the process of evaluating the peptide vaccine therapeutic products and programs to determine the future strategy and the proper allocation of our resources to best maximize stockholder value. In conjunction with this evaluation process we may de-emphasize or terminate certain vaccine therapeutic products or programs. Such strategic review and evaluations are a priority and an important part of our ongoing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TPIV200 for the Treatment of FRa-Overexpressed Breast and Ovarian Cancers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FRa is overexpressed in over 80% of breast cancers and over 90% of ovarian cancers. The only treatment options for these cancers are surgery, radiation therapy and chemotherapy, creating a very important and urgent clinical need for a new therapeutic strategy. Time to recurrence is relatively short for ovarian cancer and survival prognosis is extremely poor after recurrence. In the United States alone, every year there are 22,350 new ovarian cancer diagnoses and 268,600 new breast cancer diagnoses, of which 10% are diagnoses of triple-negative breast cancer.</w:t>
      </w:r>
    </w:p>
    <w:p>
      <w:pPr>
        <w:spacing w:after="0" w:line="188"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TPIV200 is composed of a mixture of five FRa-derived immunogenic peptides adjuvanted with low-dose granulocyte-macrophage colony-stimulating factor, or GM-CSF, and is designed to activate both the CD4</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CD8</w:t>
      </w:r>
      <w:r>
        <w:rPr>
          <w:rFonts w:ascii="Arial" w:cs="Arial" w:eastAsia="Arial" w:hAnsi="Arial"/>
          <w:sz w:val="26"/>
          <w:szCs w:val="26"/>
          <w:color w:val="auto"/>
          <w:vertAlign w:val="superscript"/>
        </w:rPr>
        <w:t>+</w:t>
      </w:r>
      <w:r>
        <w:rPr>
          <w:rFonts w:ascii="Arial" w:cs="Arial" w:eastAsia="Arial" w:hAnsi="Arial"/>
          <w:sz w:val="18"/>
          <w:szCs w:val="18"/>
          <w:color w:val="auto"/>
        </w:rPr>
        <w:t xml:space="preserve"> T cell compartments in order to activate a patient’s T cells against the targets. Recent developments in immunology suggest that both CD4</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CD8</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activation support a robust immune response.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1 Clinical Trial in Advanced Breast and Ovarian Cancer</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this Phase 1 clinical trial, completed by Mayo Clinic in 2015, 21 patients with advanced breast or ovarian cancer who had undergone standard surgery and adjuvant treatment were treated with one cycle of cyclophosphamide, followed by intradermal vaccination of TPIV200 on day one of a 28-day cycle for a maximum of six vaccination cycles. In the trial, 20 of 21 patients generated T cell responses. These responses developed slowly over the course of the vaccination cycles, with a median time to maximal immunity of five months. Over 90% of patients developed robust and durable antigen-specific immune responses against FRa without regard for HLA type, which aligns with the intended mechanism of action of the vaccine, and 89% of the patients responded to multiple epitopes included in the TPIV200 vaccine, with most patients demonstrating T cell immunity to three or more epitopes. Further, all 16 patients in the observation stage generated T cell responses that lasted over six months.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TPIV200 was well-tolerated, with only one Grade 3 drug-related adverse event. In a two-year patient follow-up analysis, the 10 enrolled ovarian cancer patients had longer median progression-free survival time of 528 days than the 313 days historically reported for the standard-of-care chemotherapy treatment. All patients were alive at the final follow-up. None of the 7 breast cancer patients had experienced a recurrence.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2 Clinical Trials in Triple-Negative Breast Cancer</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Triple-negative breast cancer is one of the most difficult cancers to treat and represents a clear unmet medical need. With the support of a $13.3 million grant from the Department of Defense, the Mayo Foundation is conducting a 280-patient Phase 2 clinical trial of TPIV200 in patients with triple-negative breast cancer, which began enrolling patients in late 2017 and is still recruiting patients.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21, 2016, we announced the initiation of a randomized four-arm Phase 2 trial of TPIV200 for the treatment of patients with Stage 1 to Stage 3 triple-negative breast cancer who have completed initial surgery and chemo/radiation therapy. This open-label, 80-patient clinical trial is designed to evaluate dosing regimens, pre-treatment, efficacy and immune responses. In the trial, we are evaluating a high dose and a low dose of TPIV200, each of which will be tested both with and without cyclophosphamide prior to vaccination. To date, there have been no drug-related serious adverse events reported. Based on a preliminary analysis of 34 patients enrolled in the triple negative breast cancer trial as of September 30, 2019, 31 patients showed meaningful immune response to vaccine treatment. These data are subject to final review by independent biostatistical analysis. As of December 31, 2020, 16 of the patients treated have shown disease progression following treatment with TPIV200.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2 Clinical Trial in Combination With Durvalumab for Patients with Ovarian Cancer</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21, 2016, we announced our participation in an ovarian cancer trial sponsored by Memorial Sloan Kettering Cancer Center, or MSKCC, in collaboration with AstraZeneca Pharmaceuticals in ovarian cancer patients who are not responsive to platinum, a commonly used chemotherapy for ovarian cancer. This open-label Phase 2 trial of TPIV200 in 40 patients is designed to evaluate the effects of combination therapy with AstraZeneca’s checkpoint inhibitor durvalumab (anti-PD-L1). Interim results from the first 27 patients were presented at the AACR-Rivkin Symposium in September 2018; safety of the combination was shown in these heavily pretreated patients and a subset of patients exhibited durable disease stabilization. Objective response rate and progression-free survival with combination treatment was not superior from the expected efficacy of durvalumab as a monotherapy. However, post-immunotherapy follow-up was suggestive of improved clinical benefit from standard therapies, as the majority of patients’ post-progression went on to receive subsequent standard therapy with durable clinical benefit, creating a rationale for exploration of these agents in combination with chemotherapy. Although we have no business relationship with AstraZeneca, we paid for half of the costs of this trial, in addition to providing TPIV200.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TPIV 100/110 for the Treatment of HER2/neu-Overexpressed Breast Cancers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HER2/neu amplification/overexpression results in an effective therapeutic target in breast and gastric cancer. Over-expressed HER2 is detected predominantly in malignancies of epithelial origin, such as breast, gastric, esophageal, colorectal, salivary gland, pancreatic, epithelial ovarian, endometrial, and bladder carcinomas, as well as gallbladder and extrahepatic cholangiocarcinomas. HER2 is over-expressed in approximately 25% of breast cancers and its expression is associated with unfavorable pathologic features and aggressive disease if not treated with targeted therapies, relative to other forms of breast cancer. While the outcome of patients with HER2 positive breast cancer has significantly improved in the past few decades with an advent of anti-HER2 therapies, a substantial number of resected patients with all types of breast cancer subsequently develop metastatic disease. The continued prevalence of these cancers represents a high unmet medical need, justifying the targeted development of immunotherapeutic strategies.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added a MHC class I-restricted peptide, which we licensed from the Mayo Foundation on April 16, 2012, to the four MHC class II-restricted peptides present in TPIV100, resulting in TPIV 110 after the five peptides are mixed with GM-CSF. We have amended the existing IND to incorporate the fifth peptide and will use TPIV110 in future trials with the goal of producing an even more robust vaccine activating both CD4</w:t>
      </w:r>
      <w:r>
        <w:rPr>
          <w:rFonts w:ascii="Arial" w:cs="Arial" w:eastAsia="Arial" w:hAnsi="Arial"/>
          <w:sz w:val="26"/>
          <w:szCs w:val="26"/>
          <w:color w:val="auto"/>
          <w:vertAlign w:val="superscript"/>
        </w:rPr>
        <w:t>+</w:t>
      </w:r>
      <w:r>
        <w:rPr>
          <w:rFonts w:ascii="Arial" w:cs="Arial" w:eastAsia="Arial" w:hAnsi="Arial"/>
          <w:sz w:val="18"/>
          <w:szCs w:val="18"/>
          <w:color w:val="auto"/>
        </w:rPr>
        <w:t xml:space="preserve"> (helper) and CD8</w:t>
      </w:r>
      <w:r>
        <w:rPr>
          <w:rFonts w:ascii="Arial" w:cs="Arial" w:eastAsia="Arial" w:hAnsi="Arial"/>
          <w:sz w:val="26"/>
          <w:szCs w:val="26"/>
          <w:color w:val="auto"/>
          <w:vertAlign w:val="superscript"/>
        </w:rPr>
        <w:t>+</w:t>
      </w:r>
      <w:r>
        <w:rPr>
          <w:rFonts w:ascii="Arial" w:cs="Arial" w:eastAsia="Arial" w:hAnsi="Arial"/>
          <w:sz w:val="18"/>
          <w:szCs w:val="18"/>
          <w:color w:val="auto"/>
        </w:rPr>
        <w:t xml:space="preserve"> (killer) T cells.</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7, 2016, we announced that we had exercised our option agreement with Mayo Foundation and signed a worldwide license agreement to TPIV100. The license gives us the right to develop and commercialize the technology in any cancer indication in which the HER2/neu antigen is overexpressed. As part of this agreement, the IND for the HER2/neu Phase 1 trial was transferred from Mayo Foundation to us for Phase 2 clinical trials of TPIV100. See “—Mayo Foundation for Medical Education and Research Relationships— Mayo HER2/neu License.”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1 Clinical Trials in HER2/neu</w:t>
      </w:r>
      <w:r>
        <w:rPr>
          <w:rFonts w:ascii="Arial" w:cs="Arial" w:eastAsia="Arial" w:hAnsi="Arial"/>
          <w:sz w:val="26"/>
          <w:szCs w:val="26"/>
          <w:u w:val="single" w:color="auto"/>
          <w:color w:val="auto"/>
          <w:vertAlign w:val="superscript"/>
        </w:rPr>
        <w:t>+</w:t>
      </w:r>
      <w:r>
        <w:rPr>
          <w:rFonts w:ascii="Arial" w:cs="Arial" w:eastAsia="Arial" w:hAnsi="Arial"/>
          <w:sz w:val="18"/>
          <w:szCs w:val="18"/>
          <w:u w:val="single" w:color="auto"/>
          <w:color w:val="auto"/>
        </w:rPr>
        <w:t xml:space="preserve"> Breast Cancer</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Phase 1 trial of 20 patients conducted at the Mayo Clinic, TPIV100 was well tolerated. Nineteen of the twenty evaluable patients showed robust T-cell immune responses to the antigens in the vaccine. An additional secondary endpoint incorporated into this trial was a two-year follow-on recording the time to disease recurrence in the participating breast cancer patients.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14, 2017, we announced that our partners at the Mayo Clinic received a $3.8 million grant from the Department of Defense to conduct a Phase 1b trial of TPIV100 in ductal carcinoma in situ, or DCIS, an early form of breast cancer. We are working closely with the Mayo Foundation on this clinical trial by providing clinical and manufacturing expertise, as well as providing GMP vaccine formulations under contract. The trial is expected to enroll 40 – 45 women with DCIS and commenced such enrollment during the first quarter of 2019. If the trial is successful and subject to receiving marketing approval from the FDA, we believe that TPIV100 may eventually augment or even replace standard surgery and chemotherapy, and potentially could become part of a routine immunization schedule for preventing breast cancer in healthy women.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2 Clinical Trials in HER2/neu</w:t>
      </w:r>
      <w:r>
        <w:rPr>
          <w:rFonts w:ascii="Arial" w:cs="Arial" w:eastAsia="Arial" w:hAnsi="Arial"/>
          <w:sz w:val="26"/>
          <w:szCs w:val="26"/>
          <w:u w:val="single" w:color="auto"/>
          <w:color w:val="auto"/>
          <w:vertAlign w:val="superscript"/>
        </w:rPr>
        <w:t>+</w:t>
      </w:r>
      <w:r>
        <w:rPr>
          <w:rFonts w:ascii="Arial" w:cs="Arial" w:eastAsia="Arial" w:hAnsi="Arial"/>
          <w:sz w:val="18"/>
          <w:szCs w:val="18"/>
          <w:u w:val="single" w:color="auto"/>
          <w:color w:val="auto"/>
        </w:rPr>
        <w:t xml:space="preserve"> Breast Cancer</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10, 2018, we announced that the Mayo Clinic had been awarded a grant of $11 million from the Department of Defense intended to cover the costs of a large randomized, double-blind Phase 2 trial of TPIV100. We are working closely with the Mayo Foundation on this clinical trial by providing clinical and manufacturing expertise, as well as providing GMP vaccine formulations under contract. In this trial, 190 patients will be randomized, in a 2:1 fashion, to receive TPIV100 plus maintenance ado-trastuzumab emtansine, or T-DM1, or maintenance T-DM1with placebo plus GM-CSF. The trial will evaluate whether the administration of vaccine during T-DM1 maintenance therapy in patients with residual disease post-neoadjuvant chemotherapy effectively blocks disease recurrence and the development of metastatic breast cancer. By prevention of recurrence and metastasis, the expectation is that mortality associated with breast cancer will be decreased.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2021, we announced that we had completed the construction and qualification of our cGMP manufacturing facility in Houston, Texas. Our facility will allow for production of MultiTAA-specific T cell products according to FDA guidelines and is designed to be scalable using modular processes. We have initiated the technology transfer process and expect the facility to be fully operational in the first half of 2021. Until that time, we will continue to rely on BCM to manufacture our MultiTAA-specific T cell therapies, as well as the raw materials, our active pharmaceutical ingredients, or APIs, and finished solid dose products for our peptide vaccines for clinical uses, including our Phase 2 trial in AML. We anticipate using our manufacturing facility to produce commercial supply of any approved product candidates.</w:t>
      </w:r>
    </w:p>
    <w:p>
      <w:pPr>
        <w:spacing w:after="0" w:line="19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supply chain for manufacturing raw materials, API, peptide vaccines and MultiTAA-specific T cell therapies ready for distribution and commercialization is a multi-step process. Establishing and managing the supply chain requires a significant financial commitment and the creation and maintenance of numerous third-party contractual relationships.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Third-party manufacturers supply us with raw materials for the peptide vaccines, and other third-party manufacturers convert these raw materials into API or convert the API into final dosage form. For most of our peptide vaccine candidates, once our raw materials are produced, we rely on different third parties to manufacture the API, to make finished drug product and to lyophilize, package and label the finished product. While we currently have focused on single vendors for manufacturing of peptide, formulation development, and lyophilization and vialing, we have access to numerous other vendors, if required.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drug discovery, development and ultimate commercialization activities face, and will continue to face, intense competition from organizations such as pharmaceutical and biotechnology companies, as well as academic and research institutions and government agencies. We face significant competition from organizations, particularly fully integrated pharmaceutical companies that are pursuing pharmaceuticals which are competitive with our drug candidates. Our product candidates may compete with product candidates from a number of companies, which are developing various types of similar in vivo T-cell immunotherapies and therapeutic cancer vaccines to treat cancer, including: Advaxis Inc., Merck/Immune Design, Celldex, BN Immunotherapeutics, Immunocellular, SELLAS Life Sciences Group, Inc. (formerly) Galena BioPharma, NuGenerex Immuno-Oncology (formerly) Antigen Express, Transgene S.A., and Bavarian Nordic. In addition, other adoptive T-cell therapies, monoclonal antibodies and checkpoint inhibitors also provide competition in the oncology space. In these areas, competitors include Iovance, Immatics, NexImmune, Repertoire Immune Medicines, Tessa Therapeutics, Adaptimmune, Mana Therapeutics, Bluebird Bio, Cellectis, Kuur Therapeutics, Juno Therapeutics/Celgene/Bristol Myers Squibb, Kite Pharma/Gilead, Novartis, Roche Pharmaceuticals, Merck &amp; Co, AstraZeneca plc and Medimmune, LLC. We believe that our non-engineered T cells therapy and our in vivo T-cell therapy approaches will be synergistic and may improve therapies being developed by these competitors. Many companies and institutions, either alone or together with their collaborative partners, have substantially greater financial, technical and human resources, and significantly greater experience than we do in the following:</w:t>
      </w:r>
    </w:p>
    <w:p>
      <w:pPr>
        <w:spacing w:after="0" w:line="171" w:lineRule="exact"/>
        <w:rPr>
          <w:sz w:val="20"/>
          <w:szCs w:val="20"/>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drug discovery;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products;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undertaking preclinical testing and clinical trials;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FDA and other regulatory approvals of products;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manufacturing, marketing, distributing and selling products.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Accordingly, our competitors may succeed in obtaining patent protection, receiving FDA and other regulatory approval or commercializing products that compete with our drug candidates.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any drug candidate that we successfully develop may compete with existing therapies that have long histories of safe and effective use. Competition may also arise from:</w:t>
      </w:r>
    </w:p>
    <w:p>
      <w:pPr>
        <w:spacing w:after="0" w:line="170" w:lineRule="exact"/>
        <w:rPr>
          <w:sz w:val="20"/>
          <w:szCs w:val="20"/>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drug development technologies and methods of preventing or reducing the incidence of disease;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small molecules; or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classes of therapeutic agents.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face, and will continue to face, intense competition from other companies for collaborative arrangements with pharmaceutical and biotechnology companies, for establishing relationships with academic and research institutions and for licenses to drug candidates or proprietary technology. These competitors, either alone or with their collaborative partners, may succeed in developing products that are more effective than ours.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compete successfully will depend, in part, on our ability to:</w:t>
      </w:r>
    </w:p>
    <w:p>
      <w:pPr>
        <w:spacing w:after="0" w:line="225" w:lineRule="exact"/>
        <w:rPr>
          <w:sz w:val="20"/>
          <w:szCs w:val="20"/>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proprietary products;</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and maintain products that reach the market first, are technologically superior to and/or are of lower cost than other products in the market;</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and retain scientific, product development and sales and marketing personnel;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products and technologies;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required regulatory approvals;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manufacture, market, distribute and sell any products that we develop.</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 number of countries, including in particular, developing countries, government officials and other groups have suggested that pharmaceutical companies should make drugs available at a low cost. In some cases, governmental authorities have indicated that where pharmaceutical companies do not do so, their patents might not be enforceable to prevent generic competition. Some major pharmaceutical companies have greatly reduced prices for their drugs in certain developing countries. If certain countries do not permit enforcement of any of our patents, sales of our products in those countries, and in other countries could be reduced by generic competition or by parallel importation of our product. Alternatively, governments in those countries could require that we grant compulsory licenses to allow competitors to manufacture and sell their own versions of our products in those countries, thereby reducing our product sales, or we could respond to governmental concerns by reducing prices for our products. In all these situations, our results of operations could be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BCM Exclusive License Agreement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16, 2018, we entered into an exclusive license agreement, or the BCM License Agreement, with BCM, under which we received a worldwide, exclusive license to BCM’s rights in and to certain intellectual property rights, including European patent EP 2470644 (estimated expiration date August 24, 2030), to develop and commercialize MultiTAA-specific T cell product candidates.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to BCM’s Subject Technology:</w:t>
      </w:r>
    </w:p>
    <w:p>
      <w:pPr>
        <w:spacing w:after="0" w:line="22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“Generation of CTL Lines with Specificity Against Multiple Tumor Antigens or Multiple Viruses”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“Pepmixes to Generate Multiviral CTLs with Broad Specificity”</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“Immunogenic Antigen Identification from a Pathogen and Correlation to Clinical Efficacy”</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 cell performance assay as a prognostic factor for clinical outcome"</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partial consideration for the exclusive rights granted under the BCM License Agreement, Marker Cell Therapy, Inc., an entity that is now our wholly owned subsidiary, issued shares of its common stock to BCM valued at approximately $5.0 million at the time of issuance. Such initial equity issuance was exchanged into merger consideration of 1,490,813 shares of our common stock and warrants to acquire 540,643 shares of our common stock in connection with the merger we completed in October 2018. Additional consideration includes a royalty paid on net sales by us to BCM according to the royalty schedule in the BCM License Agreement. The royalty fee schedule is based on aggregate net sales in four different ranges: (1) less than $500 million, (2) $500 million to $1.0 billion, (3) $1.0 billion and over, and (4) $2.0 billion and over. The corresponding royalty percentages range from 0.65% to 5.0% - increasing in proportion to the aggregate net sales. The royalty fee may be reduced in the event that we must pay additional royalties with respect to third-party owned patent rights or technology necessary for the use, manufacture or sale of a licensed product. We also agreed to pay BCM up to an aggregate of $64.85 million in milestone payments upon the occurrence of nine particular milestones relating to completion of the first dosing in clinical trials for a first and second distinct product, receipt of approval from the FDA and the achievement of certain net sales goals. We are also responsible for sublicensing fees. In addition, under the BCM License Agreement, we are responsible for reimbursing BCM for patent-related expenses. BCM is responsible for filing, prosecuting and maintaining all patent applications and patents included in the licensed patent rights, and we have agreed to reimburse BCM for all such related legal costs incurred after the date of the BCM License Agreement, except such legal costs shall be reduced on a pro-rata basis on a patent or patent application basis should BCM license such patent or patent application in additional fields of use to any third party.</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upon a liquidity event (as defined in the BCM License Agreement) of the Company, BCM will receive a liquidity incentive payment of 0.5% of the liquidity event proceeds (as defined in the BCM License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agreed to indemnify BCM and certain persons affiliated with BCM against claims and liabilities directly or indirectly related to or arising out of the design, process, manufacture or use by any third party of the licensed products, even though such claims and liabilities result in whole or in part from the negligence of the BCM indemnified parties or are based upon doctrines of strict liability or product liability, but not claims or liabilities arising from the gross negligence or intentional misconduct of any such BCM indemnified parties.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Unless terminated sooner, the license will expire on a licensed product-by-product basis and country-by-country basis, on the later of</w:t>
      </w:r>
    </w:p>
    <w:p>
      <w:pPr>
        <w:spacing w:after="0" w:line="46"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date of expiration of the last valid claim of patent rights to expire that covers the sale of such licensed product in such country, or</w:t>
      </w:r>
    </w:p>
    <w:p>
      <w:pPr>
        <w:spacing w:after="0" w:line="32" w:lineRule="exact"/>
        <w:rPr>
          <w:rFonts w:ascii="Arial" w:cs="Arial" w:eastAsia="Arial" w:hAnsi="Arial"/>
          <w:sz w:val="16"/>
          <w:szCs w:val="16"/>
          <w:color w:val="auto"/>
        </w:rPr>
      </w:pPr>
    </w:p>
    <w:p>
      <w:pPr>
        <w:jc w:val="both"/>
        <w:ind w:firstLine="8"/>
        <w:spacing w:after="0" w:line="255" w:lineRule="auto"/>
        <w:tabs>
          <w:tab w:leader="none" w:pos="26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first date following the tenth anniversary of the first commercial sale of first licensed product by us in such country. After such expiration, but not termination, the licenses granted to us shall survive and become a perpetual, paid-in-full license in such country with respect to such licensed product.</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the right in our sole discretion to terminate the BCM License Agreement upon 60 days’ written notice to BCM. BCM has the right to terminate the agreement upon material default or failure of us of our overall obligation to perform any of the terms, covenants or provisions of the license agreement, including failure to make timely payment, taken as a whole, and which default or failure remains uncured thirty days after written notice from BCM of such material default or failure to correct such default or failure. Notwithstanding the foregoing, if a material default or failure is not susceptible to cure within the 30-day cure period, BCM’s right to terminate shall be suspended if, and for so long as, (1) we have provided BCM with a written plan that is reasonably calculated to effect a cure, (2) such plan is reasonably acceptable to BCM, in its sole but reasonable discretion, and (3) we commit to and do carry out such plan; provided, however, that, unless mutually agreed to by the parties in such plan, such suspension of BCM’s right to terminate shall not extend beyond 60 days after the original cure period. In addition, either party’s right to terminate the license agreement shall be tolled for so long as dispute resolution procedures are being pursued by the allegedly breaching party in good faith, and if it is finally and conclusively determined that the allegedly breaching party is in material breach, then the breaching party shall have the right to cure within 30 days after such determination. BCM also has the right to terminate the agreement if we shall (1) become involved in insolvency, dissolution, bankruptcy or receivership proceedings affecting the operation of our business, (2) make an assignment of all or substantially all of our assets for the benefit of creditors, or (3) if a receiver or trustee is appointed for us and we, after the expiration of 30 days following any of the enumerated events, are unable to secure a dismissal, stay or other suspension of such proceedings.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event of termination of the BCM License Agreement, but not expiration, all rights to the subject technology and patent rights thereunder shall revert to BCM, except to the extent necessary to exercise any surviving right or license thereunder. We may sell any licensed products actually in our possession at the effective date of termination, provided that we continue to pay to BCM royalties on all such sales in accordance with the license agreement, otherwise comply with the terms of the license agreement and sell all such licensed products within six months after the effective date of the termination.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furtherance of the BCM License Agreement and as contemplated by the terms thereof, we entered into a Sponsored Research Agreement, or the SRA, with BCM, which provides for the conduct of research for us by credentialed personnel at BCM’s Center for Cell and Gene Therapy.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entered into additional agreements with BCM with respect to a strategic alliance to advance pre-clinical research, early-stage clinical trials, and Phase 2 clinical trials with respect to our product candidates, as well as continued access to our clinical data, and product manufacturing and support, including personnel and space at the institution for the foreseeable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Mayo Foundation for Medical Education and Research Relationships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exclusively licensed the intellectual property for our TPIV100/110 HER2/neu breast cancer vaccine and TPIV200 folate receptor alpha vaccine product candidates from the Mayo Foundation for Medical Education and Research, or the Mayo Foundation.</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part of our business strategy, we establish business relationships, including collaborative arrangements, with other companies and medical research institutions to assist in the clinical development of certain of our drugs and drug candidates and to provide support for our research programs.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Below is a brief description of our significant business relationships and collaborations and related license agreements with Mayo Foundation that expand our pipeline and provide us with certain rights to existing and potential new products and technologies.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Following approval of the IND by the FDA in July 2011, we executed a Sponsored Research Agreement with the Mayo Foundation for the clinical trial.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Mayo Patent &amp; Know-How License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25, 2012, we entered into a Patent &amp; Know-How License Agreement with the Mayo Foundation pursuant to which we licensed certain intellectual property rights from the Mayo Foundation for the development and commercialization of certain products, methods and processes property relating to a proprietary HER2/neu technology.</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Mayo Foundation granted us a license (with a right to sublicense) on a worldwide basis to make, sell and use products for prophylactic and therapeutic use. This license is an exclusive license for products that are based on the licensed intellectual property and non-exclusive for products that are based on Mayo Foundation know–how and materials. The intellectual property licensed includes U.S. patents 9,814,767 (estimated expiration date February 15, 2033) and 10,117,919 (estimated expiration date February 15, 2033) and European patent 2814836 (estimated expiration date February 15, 2033).</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Under this agreement, and subject to certain exceptions, we are responsible for, among other things, developing the technology under the Patent Rights to bring Licensed Products (as defined in the agreement) to market and costs of filing, prosecution and maintenance of the Patent Rights. Mayo Foundation controls the prosecution and maintenance of the Patent Rights in consultation with us.</w:t>
      </w:r>
    </w:p>
    <w:p>
      <w:pPr>
        <w:spacing w:after="0" w:line="1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Mayo Foundation granted this license in exchange for an upfront payment of $250,000 that we paid in three installments. In addition to the upfront payment, we are to pay an annual license maintenance fee, milestone fees, royalty fees (which will be subject to a minimum annual royalty fee once royalty fees are due), a percentage of sublicense income (if applicable), and a $2,000,000 diligence fee if we fail to initiate a Phase 2 clinical trial for a Licensed Product prior to the eighth anniversary of the agreement.</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agreed to indemnify and hold Mayo Foundation harmless from any damages caused as a result of (1) the practice or exercise of any rights and assignments granted pursuant to the agreement by or on behalf of us, any affiliate, or any sub-licensee; (2) research, development, design, manufacture, distribution, use, sale, importation, exportation or other disposition of Licensed Products; (3) our, any affiliates, or any sub-licensee’s act or omission; and (4) third party suits for patent infringement involving a Licensed Product.</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term of this agreement runs from March 25, 2012 until the date of the last to expire of the Valid Claims (as defined in the agreement), provided that Mayo Foundation may terminate the agreement if, among other matters, (1) 45 days after providing us with notice of a material breach of this agreement, we fail to cure such breach, (2) we fail to initiate a Phase 3 clinical trial for a Licensed Product prior to the tenth anniversary of the agreement, and (3) we cease to conduct business in the normal event of operations or become insolvent or bankrupt. We may voluntarily terminate the agreement at any time upon written notice to Mayo Foundation.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Mayo HER2/neu License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May 4, 2016, we entered into a License and Assignment Agreement with Mayo Foundation, or the Mayo Foundation HER2/neu License, pursuant to which we licensed certain intellectual property rights from the Mayo Foundation for the development and commercialization of certain products, methods and processes property relating to any cancer indication in which the HER2/neu antigen is overexpressed. The Mayo Foundation HER2/neu License resulted from our exercise of an option that was issued pursuant to a Technology Option Agreement that we entered into with the Mayo Foundation on May 25, 2010.</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Mayo Foundation granted us a license (with a right to sublicense) on a worldwide basis to make, sell and use products for therapeutic use against breast, ovarian, lung and any other cancers that overexpress HER2/neu antigens. This license is an exclusive license for products that are based on the licensed intellectual property and non-exclusive for products that are based on Mayo Foundation know–how and materials. The intellectual property licensed includes European patent 2215111 (estimated expiration date October 30, 2028).</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Mayo Foundation HER2/neu License, and subject to certain exceptions, we are responsible for, among other things, developing the technology under the Patent Rights to bring Licensed Products (both as defined in the Mayo Foundation HER2/neu License) to market and costs of filing, prosecution and maintenance of the Patent Rights. Mayo Foundation has sole control over the protection, defense, enforcement, maintenance abandonment and other handling of the Know-How (as defined in the Mayo Foundation HER2/neu License) and Materials (as defined in the Mayo Foundation HER2/neu License).</w:t>
      </w:r>
    </w:p>
    <w:p>
      <w:pPr>
        <w:sectPr>
          <w:pgSz w:w="11900" w:h="16838" w:orient="portrait"/>
          <w:cols w:equalWidth="0" w:num="1">
            <w:col w:w="9920"/>
          </w:cols>
          <w:pgMar w:left="980" w:top="517"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Mayo Foundation granted this license in exchange for an initial payment of $300,000. The Mayo Foundation assigned to us IND #14749, and we assumed all responsibility and liability for this investigational new drug application. In addition to the initial payment, we are to pay an annual license maintenance fee, milestone fees, royalty fees (which will be subject to a minimum annual royalty fee once royalty fees are due) and, if applicable, a percentage of sublicense income.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agreed to indemnify and hold Mayo Foundation harmless from any damages caused as a result of (1) the practice or exercise of any rights and assignments granted pursuant to the agreement by or on behalf of us or any sub-licensee; (2) research, development, design, manufacture, distribution, use, sale, importation, exportation or other disposition of Licensed Products; (3) our or any sub-licensee’s act or omission, including negligence or willful misconduct; and (4) third party suits for patent infringement involving a Licensed Product.</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term of this agreement runs from May 4, 2016 until the date of our last obligation to make payments under the agreement, provided that Mayo Foundation may terminate the agreement if, among other matters, (1) 30 days after providing us with notice of a material breach of this agreement, we fail to cure such breach, (2) 90 days after providing us with written notice, we fail to meet either of the following diligence events (a) initiate a Phase 2 clinical trial for a Licensed Product prior to the second anniversary of the agreement and, once initiated, keep current on all of our Phase 2 funding obligations and (b) initiate a Phase 2b or 3 clinical trial for a Licensed Product prior to the fifth anniversary of the agreement, (3) we fail to make a sale of a Licensed Product by May 4, 2026, and (4) we cease to conduct business in the normal event of operations or become insolvent or bankrupt. We may voluntarily terminate the agreement at any time upon written notice to Mayo Foundation.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Mayo Folate Receptor Alpha License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21, 2015, we entered into a License and Assignment Agreement with Mayo Foundation, or the Mayo Foundation FRa License, pursuant to which we licensed certain intellectual property rights from the Mayo Foundation for the development and commercialization of certain products, methods and processes property relating to a Folate Receptor Alpha immunotherapeutic vaccine comprised of a set of unique peptide epitopes targeting breast, lung and ovarian cancer. The Mayo Foundation FRa License resulted from our exercise of an option that we acquired from Ayer Special Situations Fund I, LP, or Ayer, that was issued pursuant to a Technology Option Agreement that Ayer entered into with the Mayo Foundation on March 19, 2014.</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Mayo Foundation granted us a license (with a right to sublicense) on a worldwide basis to make, sell and use products for therapeutic use against breast, ovarian, lung and other cancers that overexpress Folate Receptor Alpha. This license is an exclusive license for products that are based on the licensed intellectual property and non-exclusive for products that are based on Mayo Foundation know–how and materials. The intellectual property that is licensed includes US patents 8,486,412 (estimated expiration date April 3, 2029), 8,858,952 (estimated expiration date March 10, 2031), 9,243,033 (July 10, 2027) and 9,915,646 (estimated expiration date June 1, 2027).</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Mayo Foundation FRa License, and subject to certain exceptions, we are responsible for, among other things, developing the technology under the Patent Rights to bring Licensed Products (both as defined in the Mayo Foundation FRa License) to market and costs of filing, prosecution and maintenance of the Patent Rights. Mayo Foundation has sole control over the protection, defense, enforcement, maintenance abandonment and other handling of the Know-How (as defined in the Mayo Foundation FRa License) and Materials (as defined in the Mayo Foundation FRa License).</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Mayo Foundation granted this license in exchange for an initial upfront payment of $350,000. The Mayo Foundation assigned to us IND # 14546, and we assumed all responsibility and liability for this investigational new drug application. In addition to the initial upfront payment, we are to pay additional upfront payments, an annual license maintenance fee, milestone fees, royalty fees (which will be subject to a minimum annual royalty fee once royalty fees are due), and, if applicable, a percentage of sublicense income.</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agreed to indemnify and hold Mayo Foundation harmless from any damages caused as a result of (1) the practice or exercise of any rights and assignments granted by the Mayo Foundation FRa License by or on behalf of us or any sub-licensee; (2) research, development, design, manufacture, distribution, use, sale, importation, exportation or other disposition of Licensed Products; (3) our or any sub-licensee’s act or omission, including negligence or willful misconduct; and (4) third party suits for patent infringement involving a Licensed Product.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term of this agreement runs from July 21, 2015 until the date of our last obligation to make payments under this agreement, provided that the Mayo Foundation may terminate this agreement if, among other matters, (1) 30 days after providing us with notice of a material breach of this agreement, we fail to cure such breach, (2) 90 days after providing us with written notice, we fail to meet either of the following diligence events (a) initiate a Phase 2 clinical trial for a Licensed Product prior to the 2nd anniversary of the Mayo Foundation FRa License and, once initiated, keep current on all of our Phase 2 funding obligations and (b) initiate a Phase 2b or 3 clinical trial for a Licensed Product prior to the 5th anniversary of the Mayo Foundation FRa License, (3) we fail to make a sale of a Licensed Product by July 21, 2025 and (4) we cease to conduct business in the normal event of operations or become insolvent or bankrupt. We may voluntarily terminate the Mayo Foundation FRa License at any time upon written notice to Mayo Foundation.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commercial success will depend in part on our ability to obtain and maintain patent and other proprietary protection for our technology, inventions, improvements, and know-how related to the business; to defend and enforce proprietary rights, including any patents that we may own in the future; to preserve the confidentiality of our trade secrets and other intellectual property; to obtain and maintain licenses to use intellectual property owned by third parties; and to operate without infringing the valid and enforceable patents and other proprietary rights of third parties. Our ability to stop third parties from making, using, selling, offering to sell, or importing our products may depend on the extent to which we have rights under valid and enforceable patents or trade secrets that cover these activities — in other words, the rights obtained under exclusive license arrangements such as those pursuant to our BCM License Agreement and our Mayo Foundation licenses. With respect to both licensed and company-owned intellectual property, we cannot be sure that patents will be granted with respect to any of our pending patent applications or with respect to any patent applications filed in the future, nor can we be sure that any of our existing patents or any patents that may be granted in the future will be commercially useful in protecting our commercial products and methods of manufacturing the same.</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achieve this objective, a strategic focus for us has been to identify and license key patents and patent applications that serve to enhance our intellectual property and technology position. Currently, all of our MultiTAA-specific T cell intellectual property rights are licensed from BCM. Our intellectual property portfolio currently includes patent applications having: (1) claims directed to methods of generating multi-antigen specific T cell products; and (2) claims directed to therapeutic uses of such multi-antigen specific T cell products. We believe our patent portfolio, together with our efforts to develop and patent next-generation technologies, provides us with a substantial intellectual property position. However, the area of patent and other intellectual property rights in biotechnology is an evolving one with many risks and uncertainties.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our proprietary technologies and product candidates. An enforceable patent with appropriate claim coverage can provide an advantage over competitors who may seek to employ similar approaches to develop therapeutics, and so the future commercial success of products, and therefore our future success, will be in part dependent on our intellectual property strategy. We reassess the value of each patent at the time maintenance fees are due, and in cases where maintaining the patent is judged to be of no significant strategic value, we decline to pay the maintenance fee.</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can be no assurance that our patents, and any patents that may be issued or licensed to us in the future, will afford protection against competitors with similar technology. In addition, no assurances can be given that the patents issued or licensed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 Patent coverage may also vary from country to country based on the scope of available patent protection. There are also opportunities to obtain an extension of patent coverage for a product in certain countries, which adds further complexity to the determination of patent life.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have a number of issued and pending patents covering composition of matter of our PolyStart technology and methods of using our PolyStart technology, including: U.S. 9,364,523 (estimated expiration date March 17, 2035); U.S. 9,655,956 (estimated expiration date March 17, 2035); U.S. 9,988,643 (estimated expiration date March 27, 2035); and U.S. 10,030,252 (estimated expiration date March 17, 2035)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effect of the issued United States patents is that they provide us with patent protection for the claims covered by the patents. While the expiration of a product patent normally results in a loss of market exclusivity for the covered product or product candidate, commercial benefits may continue to be derived from , for example: (1) later- expiring patents on processes and intermediates related to more economical methods of manufacture of the active ingredient of such product; (2) patents relating to the use of such product;</w:t>
      </w:r>
    </w:p>
    <w:p>
      <w:pPr>
        <w:spacing w:after="0" w:line="1" w:lineRule="exact"/>
        <w:rPr>
          <w:sz w:val="20"/>
          <w:szCs w:val="20"/>
          <w:color w:val="auto"/>
        </w:rPr>
      </w:pPr>
    </w:p>
    <w:p>
      <w:pPr>
        <w:jc w:val="both"/>
        <w:ind w:firstLine="8"/>
        <w:spacing w:after="0" w:line="271" w:lineRule="auto"/>
        <w:tabs>
          <w:tab w:leader="none" w:pos="282" w:val="left"/>
        </w:tabs>
        <w:numPr>
          <w:ilvl w:val="0"/>
          <w:numId w:val="20"/>
        </w:numPr>
        <w:rPr>
          <w:rFonts w:ascii="Arial" w:cs="Arial" w:eastAsia="Arial" w:hAnsi="Arial"/>
          <w:sz w:val="17"/>
          <w:szCs w:val="17"/>
          <w:color w:val="auto"/>
        </w:rPr>
      </w:pPr>
      <w:r>
        <w:rPr>
          <w:rFonts w:ascii="Arial" w:cs="Arial" w:eastAsia="Arial" w:hAnsi="Arial"/>
          <w:sz w:val="17"/>
          <w:szCs w:val="17"/>
          <w:color w:val="auto"/>
        </w:rPr>
        <w:t>patents relating to novel compositions and formulations; and (4) in the United States and certain other countries, other types of market exclusivity that may be available under relevant law. The effect of patent expiration on our product candidates also depends upon many other factors such as the nature of the market and the position of the product in it, the growth of the market, the complexities and economics of the process for manufacture of the active ingredient of the product and the requirements of new drug provisions of the Federal Food, Drug and Cosmetic Act or similar laws and regulations in other countries.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Our pending patent applications cover a range of technologies, including specific embodiments and applications for treatment of various medical indications, improved application methods and adjunctive utilization with other therapeutic modalities. The coverage claimed in a patent application can be significantly reduced before the patent is issued. Accordingly, we do not know whether any of the applications we will acquire, or license will result in the issuance of patents, or, if any patents are issued, whether they will provide significant proprietary protection or will be challenged, circumvented or invalidated. Because unissued U.S. patent applications are maintained in secrecy for a period of eighteen months and U.S. patent applications filed prior to November 29, 2000 are not disclosed until such patents are issued, and since publication of discoveries in the scientific or patent literature often lags behind actual discoveries, we cannot be certain of the priority of inventions covered by pending patent applications. Moreover, we may have to participate in opposition proceedings in a foreign patent office, or for United States patent applications filed before March 16, 2013, in interference proceedings declared by the United States Patent and Trademark Office, or the USPTO, to determine priority of invention, or in United States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post-grant review procedures, any of which could result in substantial cost to us, even if the eventual outcome is favorable to us. There can be no assurance that the patents, if issued, would be held valid by a court of competent jurisdiction. An adverse outcome could subject us to significant liabilities to third parties, require disputed rights to be licensed from third parties or require us to cease using such technology.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patents and patent applications in other countries, as well as in the European Patent Office that we believe provide equivalent or comparable protection for our product candidates in jurisdictions internationally that we consider to be key markets. Because of the differences in patent laws and laws concerning proprietary rights, the extent of protection provided by U.S. patents or proprietary rights owned by us may differ from that of their foreign counterparts.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rely on trade secrets and know-how relating to our proprietary technology and product candidates, continuing innovation, and in-licensing opportunities to develop, strengthen and maintain our proprietary position in the field of immuno-oncology. However, trade secrets can be difficult to protect. We also plan to rely on regulatory protection afforded through orphan drug designations, data exclusivity, market exclusivity and patent term extensions when available, as well as contractual agreements with our academic and commercial partners.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by an employee shall be our exclusive property.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currently have pending with the USPTO applications for registration of the trademarks POLYSTART and “Marker Therapeutics.” We currently have the trademark “TapImmune” registered with the USPTO. We also have rights to use other names essential to our business. Federally registered trademarks have a perpetual life if they are maintained and renewed on a timely basis and used properly as trademarks, subject to the rights of third parties to seek cancellation of the trademarks if they claim priority or confusion of usage. We regard our trademarks and other proprietary rights as valuable assets and believe they have significant value to us.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believe that our patents, the protection of discoveries in connection with our development activities, our proprietary products, technologies, processes and know-how and all our intellectual property are important to our business. There can be no assurance that any of our patents, licenses or other intellectual property rights will afford us any protection from competition.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process required by the FDA before biologic product candidates may be marketed in the United States generally involves the following:</w:t>
      </w:r>
    </w:p>
    <w:p>
      <w:pPr>
        <w:spacing w:after="0" w:line="170" w:lineRule="exact"/>
        <w:rPr>
          <w:sz w:val="20"/>
          <w:szCs w:val="20"/>
          <w:color w:val="auto"/>
        </w:rPr>
      </w:pPr>
    </w:p>
    <w:p>
      <w:pPr>
        <w:ind w:left="680" w:right="20" w:hanging="321"/>
        <w:spacing w:after="0" w:line="277"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current Good Laboratory Practices, or GLP, regulation;</w:t>
      </w:r>
    </w:p>
    <w:p>
      <w:pPr>
        <w:spacing w:after="0" w:line="170"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the trial is commenced;</w:t>
      </w:r>
    </w:p>
    <w:p>
      <w:pPr>
        <w:spacing w:after="0" w:line="170"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purity and potency of the proposed biologic product candidate for its intended purpose;</w:t>
      </w:r>
    </w:p>
    <w:p>
      <w:pPr>
        <w:spacing w:after="0" w:line="170"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preparation of and submission to the FDA of a biologics license application, or BLA, after completion of all pivotal clinical trials;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25" w:lineRule="exact"/>
        <w:rPr>
          <w:rFonts w:ascii="Arial" w:cs="Arial" w:eastAsia="Arial" w:hAnsi="Arial"/>
          <w:sz w:val="18"/>
          <w:szCs w:val="18"/>
          <w:color w:val="auto"/>
        </w:rPr>
      </w:pPr>
    </w:p>
    <w:p>
      <w:pPr>
        <w:jc w:val="both"/>
        <w:ind w:left="680" w:right="20" w:hanging="321"/>
        <w:spacing w:after="0" w:line="259"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 sites to assess compliance with Good Clinical Practices, or GCP; and</w:t>
      </w:r>
    </w:p>
    <w:p>
      <w:pPr>
        <w:spacing w:after="0" w:line="186"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FDA review and approval of the BLA to permit commercial marketing of the product for particular indications for use in the United States.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and Clinical Development</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 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w:t>
      </w:r>
    </w:p>
    <w:p>
      <w:pPr>
        <w:spacing w:after="0" w:line="225" w:lineRule="exact"/>
        <w:rPr>
          <w:sz w:val="20"/>
          <w:szCs w:val="20"/>
          <w:color w:val="auto"/>
        </w:rPr>
      </w:pPr>
    </w:p>
    <w:p>
      <w:pPr>
        <w:jc w:val="both"/>
        <w:ind w:left="680" w:hanging="321"/>
        <w:spacing w:after="0" w:line="259"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Phase 1—The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86" w:lineRule="exact"/>
        <w:rPr>
          <w:rFonts w:ascii="Arial" w:cs="Arial" w:eastAsia="Arial" w:hAnsi="Arial"/>
          <w:sz w:val="18"/>
          <w:szCs w:val="18"/>
          <w:color w:val="auto"/>
        </w:rPr>
      </w:pPr>
    </w:p>
    <w:p>
      <w:pPr>
        <w:jc w:val="both"/>
        <w:ind w:left="680" w:hanging="321"/>
        <w:spacing w:after="0" w:line="259"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86" w:lineRule="exact"/>
        <w:rPr>
          <w:rFonts w:ascii="Arial" w:cs="Arial" w:eastAsia="Arial" w:hAnsi="Arial"/>
          <w:sz w:val="18"/>
          <w:szCs w:val="18"/>
          <w:color w:val="auto"/>
        </w:rPr>
      </w:pPr>
    </w:p>
    <w:p>
      <w:pPr>
        <w:jc w:val="both"/>
        <w:ind w:left="680" w:hanging="321"/>
        <w:spacing w:after="0" w:line="259"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some cases, the FDA may require, or companies may voluntarily pursue, additional clinical trials after a product is approved to gain more information about the product. These so- 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Submission and Review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FDA, unless a waiver or exemption applies.</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Once a BLA has been submitted,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FDA offers a number of expedited development and review programs for qualifying product candidates. The fast-track program is intended to expedite or facilitate the process for reviewing new products that meet certain criteria. Specifically, new products are eligible for fast-track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fast-track product has opportunities for frequent interactions with the review team during product development and, once a BLA is submitted, the product may be eligible for priority review. A fast-track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fast-track program features, as well as more intensive FDA interaction and guidance beginning as early as Phase 1 and an organizational commitment to expedite the development and review of the product, including involvement of senior managers.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marketing application for a biologic submitted to the FDA for approval, including a product with a fast-track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compared to marketed products. For products containing new molecular entities, priority review designation means the FDA’s goal is to take action on the marketing application within six months of the 60-day filing date (compared with ten months under standard review).</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regenerative medicine advanced therapy, or RMAT, designation is intended to facilitate an efficient development program for, and expedite review of, any drug that meets the following criteria: (1) it qualifies as a RMAT, which is defined as a cell therapy, therapeutic tissue engineering product, human cell and tissue product, or any combination product using such therapies or products, with limited exceptions; (2) it is intended to treat, modify, reverse, or cure a serious or life-threatening disease or condition; and (3) preliminary clinical evidence indicates that the drug has the potential to address unmet medical needs for such a disease or condition. Like breakthrough therapy designation, RMAT designation provides potential benefits that include more frequent meetings with FDA to discuss the development plan for the product candidate and eligibility for rolling review and priority review. Products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Once approved, when appropriate, the FDA can permit fulfillment of post-approval requirements under accelerated approval through the submission of clinical evidence, clinical studies, patient registries, or other sources of real-world evidence such as electronic health records; through the collection of larger confirmatory datasets; or through post-approval monitoring of all patients treated with the therapy prior to approval.</w:t>
      </w:r>
    </w:p>
    <w:p>
      <w:pPr>
        <w:spacing w:after="0" w:line="1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Fast track designation, breakthrough therapy designation, priority review, accelerated approval, and RMAT designation do not change the standards for approval but may expedite the development or approval process.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Orphan drug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92" w:lineRule="exact"/>
        <w:rPr>
          <w:sz w:val="20"/>
          <w:szCs w:val="20"/>
          <w:color w:val="auto"/>
        </w:rPr>
      </w:pPr>
    </w:p>
    <w:p>
      <w:pPr>
        <w:ind w:left="680" w:hanging="321"/>
        <w:spacing w:after="0" w:line="277"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product, complete withdrawal of the product from the market or product recalls;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 or</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 and Reference Product Exclusivity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or collectively, the ACA, signed into law in 2010, includes a subtitle called the Biologics Price Competition and Innovation Act of 2009, or BPCIA, which created an abbreviated approval pathway for biological products that are biosimilar to or interchangeable with an FDA-approved reference biological product.</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BPCIA is complex and continues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Pharmaceutical companies are subject to additional healthcare regulation and enforcement by the federal government and by authorities in the states and foreign jurisdictions in which they conduct their business. Such laws include, without limitation: the U.S. federal Anti-Kickback Statute, which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federal civil and criminal false claims laws and civil monetary penalty laws, which prohibit, among other things, individuals or entities from knowingly presenting, or causing to be presented, claims for payment to the federal government, including federal healthcare programs, that are false or fraudulent; HIPAA, which created additional federal criminal statutes which prohibit, among other things, executing a scheme to defraud any healthcare benefit program and making false statements relating to healthcare matters, and which, as amended by HITECH, also imposes certain requirements on HIPAA covered entities and their business associates and covered subcontractors relating to the privacy, security and transmission of individually identifiable health information; the U.S. federal Physician Payments Sunshine Act, which requires certain manufacturers of drugs, devices, biologics and medical supplies for which payment is available under Medicare, Medicaid or the Children’s Health Insurance Program, with specific exceptions, to annually report to the federal government, information related to payments or other transfers of value made to covered health care professionals and teaching hospitals, as well as ownership and investment interests held by health care professionals and their immediate family members; and U.S. state and foreign law equivalents of each of the above federal laws, which, in some cases, differ from each other in significant ways, and may not have the same effect, thus complicating compliance efforts. In addition, certain states require pharmaceutical companies to comply with the pharmaceutical industry’s voluntary compliance guidelines and the relevant compliance guidance promulgated by the federal government and certain states and local jurisdictions require the registration of pharmaceutical sales representatives. If their operations are found to be in violation of any of such laws or any other governmental regulations that apply, they may be subject to penalties, including, without limitation, significant civil, criminal and administrative penalties, damages, fines, disgorgement, imprisonment,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our operations.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Significant uncertainty exists as to the coverage and reimbursement status of any pharmaceutical or biological product for which we obtain regulatory approval. 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In the United States, for example, principal decisions about reimbursement for new products are typically made by the Centers for Medicare &amp; Medicaid Services, or CMS, an agency within the U.S. Department of Health and Human Services, or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No regulatory authority has granted approval for a personalized cancer immunotherapy based on a vaccine approach, and there is no model for reimbursement of this type of product.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19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March 2010, the ACA was signed into law, which substantially changed the way healthcare is financed by both governmental and private insurers in the United States, and significantly affected the pharmaceutical industry. The ACA contained a number of provisions of particular importance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 care programs. There remain judicial and Congressional challenges to certain aspects of the ACA, and we expect there will be additional challenges and amendments to the ACA in the future. For example, the Tax Cuts and Jobs Act was enacted, which, among other things, removed penalties for not complying with ACA’s individual mandate to carry health insurance. In addition, the 2020 federal spending package permanently eliminated, effective January 1, 2020, the ACA-mandated “Cadillac” tax on high-cost employer-sponsored health coverage and medical device tax and, effective January 1, 2021, also eliminated the health insurer tax. On December 14, 2018, a Texas U.S. District Court Judge ruled that the ACA is unconstitutional in its entirety because the individual mandate was repealed by Congress as part of the Tax Cuts and Jobs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The United States Supreme Court is currently reviewing this case, although it is unclear when a decision will be made. Although the Supreme Court has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also unclear how the Supreme Court ruling, other such litigation, and the healthcare reform measures of the Biden administration will impact the ACA and our business.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Other legislative changes have been proposed and adopted since the ACA was enacted, including aggregate reductions of Medicare payments to providers of 2% per fiscal year through 2030, except for a temporary suspension from May 1, 2020 through March 31, 2021 due to the COVID-19 pandemic, unless additional Congressional action is taken, and reduced payments to several types of Medicare providers. 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released a final rule on September 24, 2020, effective November 30, 2020,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However, it is unclear whether the Biden administration will work to reverse these measures or pursue similar policy initiatives.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Further, it is possible that additional governmental action is taken in response to the COVID-19 pandemic.</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and Insurance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We have not experienced any product liability claims to date. We currently carry products and clinical trial liability insurance policies. There can be no assurance that liability claims will not exceed such insurance coverage limits, which could have a materially adverse effect on our business, financial condition or results of operations or that such insurance will continue to be available on commercially reasonable terms, if at 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we had 44 full-time employees. There were 32 in research, development, quality, CMC and clinical and 12 were in finance, legal, human resources or administrative support. None of our employees is subject to a collective bargaining agreement. We consider our relationship with our employees to be good.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Consultants</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have consulting agreements with a number of leading academic scientists, clinicians and regulatory experts. They serve as important contacts for us throughout the broader scientific and clinical communities. They are distinguished individuals with expertise in numerous fields, including cellular biology, molecular biology, oncology, clinical, manufacturing and regulatory.</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retain each consultant according to the terms of a consulting agreement. Under such agreements, we pay them a consulting fee and reimburse them for out-of-pocket expenses incurred in performing their services for us. In addition, some consultants hold options to purchase our common stock, subject to the vesting requirements contained in separate award agreements. Our consultants may be employed by other entities and therefore may have commitments to their employer or may have other consulting or advisory agreements that may limit their availability to us.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 Resources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equity-based compensation awards. We strive to create a diverse environment, and our commitment to diversity, equity and inclusion begins with our leadership team of diverse backgrounds and experiences. Approximately 80% of our executive officers are women or self-identify as a member of an underrepresented minority group.</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were incorporated under the laws of the State of Nevada in 1991 under the name "TapImmune, Inc." and reincorporated in Delaware in October 2018 under the name "Marker Therapeutics, Inc." On October 17, 2018, we completed a business combination with a Delaware corporation that was then known as "Marker Therapeutics, Inc.," or Private Marker, in accordance with the terms of the Agreement and Plan of Merger and Reorganization dated as of May 15, 2018, or the Merger Agreement, by and among us, Private Marker and Timberwolf Merger Sub, Inc., a Delaware corporation and a wholly owned subsidiary of TapImmune, or Merger Sub, pursuant to which, among other matters, Merger Sub merged with and into Private Marker, with Private Marker continuing as a wholly owned subsidiary of TapImmune and the surviving corporation of the merger. In connection with the merger, we changed our name from "TapImmune, Inc." to "Marker Therapeutics, Inc." and Private Marker changed its name to "Marker Cell Therapy, Inc." and became our wholly owned subsidiary. Our principal executive offices are located at 3200 Southwest Freeway, Suite 2500, Houston, Texas 77027, and our telephone number is (713) 400-6400. Our common stock is listed for trading on the Nasdaq Capital Market under the symbol "MRKR".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Our website is located at </w:t>
      </w:r>
      <w:r>
        <w:rPr>
          <w:rFonts w:ascii="Arial" w:cs="Arial" w:eastAsia="Arial" w:hAnsi="Arial"/>
          <w:sz w:val="17"/>
          <w:szCs w:val="17"/>
          <w:i w:val="1"/>
          <w:iCs w:val="1"/>
          <w:color w:val="auto"/>
        </w:rPr>
        <w:t>www.markertherapeutics.com</w:t>
      </w:r>
      <w:r>
        <w:rPr>
          <w:rFonts w:ascii="Arial" w:cs="Arial" w:eastAsia="Arial" w:hAnsi="Arial"/>
          <w:sz w:val="17"/>
          <w:szCs w:val="17"/>
          <w:color w:val="auto"/>
        </w:rPr>
        <w:t>. We make available free of charge on our website our annual reports on Form 10-K, quarterly reports on Form 10-Q, current reports on Form 8-K and amendments to those reports, as soon as reasonably practicable after we electronically file or furnish such materials to the Securities and Exchange Commission. Our website and the information contained therein or connected thereto are not intended to be incorporated into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An investment in our common stock involves a high degree of risk. You should carefully consider the risks described below before making an investment decision in our securities. These risk factors are effective as of the date of this Form 10-K and shall be deemed to be modified or superseded to the extent that a statement contained in our future filings modifies or replaces such statement. All of these risks may impair our business operations. The forward-looking statements in this Form 10-K involve risks and uncertainties and actual results may differ materially from the results we discuss in the forward-looking statements. If any of the following risks actually occur, our business, financial condition or results of operations could be materially adversely affected. In that case, the trading price of our stock could decline, and you may lose all or part of your investment.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 is subject to numerous risks that you should be aware of before making an investment decision. These risks are described more fully in this “Risk Factors” section and include, among others:</w:t>
      </w:r>
    </w:p>
    <w:p>
      <w:pPr>
        <w:spacing w:after="0" w:line="170" w:lineRule="exact"/>
        <w:rPr>
          <w:sz w:val="20"/>
          <w:szCs w:val="20"/>
          <w:color w:val="auto"/>
        </w:rPr>
      </w:pPr>
    </w:p>
    <w:p>
      <w:pPr>
        <w:ind w:left="680" w:right="20" w:hanging="321"/>
        <w:spacing w:after="0" w:line="277"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a development stage company with a history of operating losses, and we expect losses to continue for the indefinite future. These factors raise substantial doubt regarding our ability to continue as a going concern.</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business and operations are likely to be adversely affected by the evolving and ongoing COVID-19 global pandemic.</w:t>
      </w:r>
    </w:p>
    <w:p>
      <w:pPr>
        <w:spacing w:after="0" w:line="236" w:lineRule="exact"/>
        <w:rPr>
          <w:rFonts w:ascii="Arial" w:cs="Arial" w:eastAsia="Arial" w:hAnsi="Arial"/>
          <w:sz w:val="17"/>
          <w:szCs w:val="17"/>
          <w:color w:val="auto"/>
        </w:rPr>
      </w:pPr>
    </w:p>
    <w:p>
      <w:pPr>
        <w:jc w:val="both"/>
        <w:ind w:left="680" w:hanging="321"/>
        <w:spacing w:after="0" w:line="263"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of our product candidates are in clinical development. If we are unable to successfully develop, receive regulatory approval for and commercialize our product candidates, or successfully develop any other product candidates, or experience significant delays in doing so, our business will be harmed.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right="20" w:hanging="321"/>
        <w:spacing w:after="0" w:line="277"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regulatory approval process is lengthy and time-consuming, and we may experience significant delays in the clinical development and regulatory approval of our product candidates.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results of earlier preclinical and clinical trials may not be predictive of future clinical trial results.</w:t>
      </w:r>
    </w:p>
    <w:p>
      <w:pPr>
        <w:spacing w:after="0" w:line="225" w:lineRule="exact"/>
        <w:rPr>
          <w:rFonts w:ascii="Arial" w:cs="Arial" w:eastAsia="Arial" w:hAnsi="Arial"/>
          <w:sz w:val="18"/>
          <w:szCs w:val="18"/>
          <w:color w:val="auto"/>
        </w:rPr>
      </w:pPr>
    </w:p>
    <w:p>
      <w:pPr>
        <w:jc w:val="both"/>
        <w:ind w:left="680" w:hanging="321"/>
        <w:spacing w:after="0" w:line="259"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186" w:lineRule="exact"/>
        <w:rPr>
          <w:rFonts w:ascii="Arial" w:cs="Arial" w:eastAsia="Arial" w:hAnsi="Arial"/>
          <w:sz w:val="18"/>
          <w:szCs w:val="18"/>
          <w:color w:val="auto"/>
        </w:rPr>
      </w:pPr>
    </w:p>
    <w:p>
      <w:pPr>
        <w:jc w:val="both"/>
        <w:ind w:left="680" w:right="20" w:hanging="321"/>
        <w:spacing w:after="0" w:line="311" w:lineRule="auto"/>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may not be successful in establishing our own manufacturing infrastructure for supply of our requirements of product candidates for use in clinical trials and for commercial sale. Until our new manufacturing facility is fully operational, we will be dependent on third-party vendors to design, build, maintain and support our manufacturing and cell processing facilities.</w:t>
      </w:r>
    </w:p>
    <w:p>
      <w:pPr>
        <w:spacing w:after="0" w:line="148" w:lineRule="exact"/>
        <w:rPr>
          <w:rFonts w:ascii="Arial" w:cs="Arial" w:eastAsia="Arial" w:hAnsi="Arial"/>
          <w:sz w:val="16"/>
          <w:szCs w:val="16"/>
          <w:color w:val="auto"/>
        </w:rPr>
      </w:pPr>
    </w:p>
    <w:p>
      <w:pPr>
        <w:ind w:left="680" w:right="20" w:hanging="321"/>
        <w:spacing w:after="0" w:line="277"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strategic relationship with BCM is dependent, in part, upon our ongoing relationship with key medical and scientific personnel and advisors.</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commercial success depends upon attaining significant market acceptance of our product candidates, if approved, among physicians, patients, healthcare payors and the medical community.</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biotechnology and immunotherapy industries are characterized by rapid technological developments and a high degree of competition. We may be unable to compete with more substantial enterprises.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we are unable to protect our proprietary rights, we may not be able to compete effectively or operate profitably.</w:t>
      </w:r>
    </w:p>
    <w:p>
      <w:pPr>
        <w:spacing w:after="0" w:line="225" w:lineRule="exact"/>
        <w:rPr>
          <w:rFonts w:ascii="Arial" w:cs="Arial" w:eastAsia="Arial" w:hAnsi="Arial"/>
          <w:sz w:val="18"/>
          <w:szCs w:val="18"/>
          <w:color w:val="auto"/>
        </w:rPr>
      </w:pPr>
    </w:p>
    <w:p>
      <w:pPr>
        <w:jc w:val="both"/>
        <w:ind w:left="680" w:hanging="321"/>
        <w:spacing w:after="0" w:line="301" w:lineRule="auto"/>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are subject to extensive regulation, which can be costly, time consuming and can subject us to unanticipated delays. Even if we receive regulatory approval of our product candidates, we will be subject to ongoing quality and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57" w:lineRule="exact"/>
        <w:rPr>
          <w:rFonts w:ascii="Arial" w:cs="Arial" w:eastAsia="Arial" w:hAnsi="Arial"/>
          <w:sz w:val="16"/>
          <w:szCs w:val="16"/>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 of our stock may be volatile.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a development stage company with a history of operating losses, and we expect losses to continue for the indefinite future.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These factors raise substantial doubt regarding our ability to continue as a going concern.</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 candidates. We anticipate that our ongoing operational costs will increase significantly, and our deficit will continue to grow, as we continue conducting our clinical development program.</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no approved products or product candidates pending approval. As a result, we have not derived any revenue from the sales of products and have not yet demonstrated ability to obtain regulatory approval, formulate and manufacture commercial-scale products, or conduct sales and marketing activities necessary for successful product commercialization. We have no sources of significant revenue to provide incoming cash flows to sustain our future operations. Our ability to pursue our planned business activities depends upon our successful efforts to raise additional financing, which may be adversely impacted by potential worsening global economic conditions and the recent disruptions to and volatility in the credit and financial markets in the United States and worldwide resulting from the ongoing COVID-19 pandemic.</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sustained losses from operations in each fiscal year since our inception, and we expect losses to continue for the indefinite future due to the substantial investment in research and development. We expect that our cash and cash equivalents as of December 31, 2020 will enable us to fund our operating expenses and capital expenditure requirements into the third quarter of 2021. We expect to spend substantial additional sums on the continued administration and research and development of licensed and proprietary product candidates and technologies with no certainty that our approach and associated technologies will become commercially viable or profitable as a result of these expenditures. If we fail to raise a significant amount of capital, we may need to significantly curtail operations, allocate limited financial resources among our product candidates, or cease operations in the near future. If any of our product candidates fail in clinical trials or do not gain regulatory approval, we may never generate revenue. Even if we generate revenue in the future, we may not be able to become profitable or sustain profitability in subsequent periods.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and other factors raise substantial doubt regarding our ability to continue as a going concern, which may create negative reactions to the price of our common stock. If we are unable to continue as a going concern, we may have to liquidate our assets and may receive less than the value at which those assets are carried on our financial statements, and it is likely that investors will lose all or a part of their investment. Further, the perception that we may be unable to continue as a going concern may impede our ability to pursue strategic opportunities or operate our business due to concerns regarding our ability to discharge our contractual obligations. In addition, if there remains substantial doubt about our ability to continue as a going concern, investors or other financing sources may be unwilling to provide additional funding to us on commercially reasonable terms, or at all.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could be adversely affected by the evolving and ongoing COVID-19 global pandemic.</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business and operations could be adversely affected by the effects of the recent and evolving COVID-19 virus, which was declared by the World Health Organization as a global pandemic. The COVID-19 pandemic has resulted in travel and other restrictions in order to reduce the spread of the disease, including state and local orders across the United States that, among other things, direct individuals to shelter at their places of residence, direct businesses and governmental agencies to cease non-essential operations at physical locations, prohibit certain non-essential gatherings and events and order cessation of non-essential travel. In response to public health directives and orders, we have implemented work-from-home policies for many of our employees, including at our headquarters in Houston, Texas, which is currently subject to an order that requires all non-essential businesses to cease in-person operations.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Remote work policies, quarantines, shelter-in-place and similar government orders, shutdowns or other restrictions on the conduct of business operations related to the COVID-19 pandemic may negatively impact productivity and, to date, have disrupted our ongoing research and development activities and delayed certain of our clinical programs and timelines, the magnitude of which will depend, in part, on the length and severity of the restrictions and other limitations on our ability to conduct our business in the ordinary course. In addition, although our employees are accustomed to working remotely, changes in internal controls due to remote work arrangements may result in control deficiencies in the preparation of our financial reports, which could be material.</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Such orders may also impact personnel at third-party manufacturing facilities in the United States and other countries, or the availability or cost of materials, which would disrupt our supply chain and could affect our ability to conduct ongoing and planned clinical trials and preparatory activities.</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COVID-19 pandemic may also affect the conduct of our clinical trials. Although we have begun enrolling patients in the safety lead-in portion of our Phase 2 trial of MT-401 (zedenoleucel) for post-transplant AML, we previously experienced temporary delays in enrollment due to the COVID-19 pandemic and in satisfying certain U.S. Food and Drug Administration, or the FDA, requirements to move forward with the trial, which together have resulted in a delay in our timelines for this trial. Our ongoing and future clinical trials may be also affected by the COVID-19 pandemic. Patient enrollment and clinical site initiation may be delayed due to prioritization of hospital resources toward the COVID-19 pandemic. Some patients may not be able to comply with clinical trial protocols if quarantines impede patient movement or interrupt healthcare services. Similarly, we may be unable to recruit and retain patients and principal investigators and site staff who, as healthcare providers, may have heightened exposure to COVID-19, which would adversely impact clinical trial operations. The spread of COVID-19,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global pandemic of COVID-19 continues to rapidly evolve. The extent to which the COVID-19 pandemic impacts our business and operations, including our clinical development and regulatory efforts, will depend on future developments that are highly uncertain and cannot be predicted with confidence at the time of this Form 10-K,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Accordingly, we do not yet know the full extent of potential delays or impacts on our business, our clinical and regulatory activities, healthcare systems or the global economy. However, these impacts could adversely affect our business, financial condition, results of operations and growth prospects.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All of our product candidates are in clinical development. If we are unable to successfully develop, receive regulatory approval for and commercialize our product candidates, or successfully develop any other product candidates, or experience significant delays in doing so, our business will be harmed.</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early in our development efforts and all of our product candidates are still in clinical development. Each of our programs and product candidates will require additional preclinical and/or clinical development, regulatory approval, obtaining manufacturing supply, capacity and expertise, building a commercial organization or successfully outsourcing commercialization, substantial investment and significant marketing efforts before we generate any revenue from product sales. We do not have any products that are approved for commercial sale, and we may never be able to develop or commercialize marketable products.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generate revenue from our product candidates, which we do not expect will occur for several years, if ever, will depend heavily on the successful development, regulatory approval and eventual commercialization of our product candidates. The success of our MultiTAA product candidates or any other product candidates that we develop or otherwise may acquire will depend on several factors, including:</w:t>
      </w:r>
    </w:p>
    <w:p>
      <w:pPr>
        <w:spacing w:after="0" w:line="187" w:lineRule="exact"/>
        <w:rPr>
          <w:sz w:val="20"/>
          <w:szCs w:val="20"/>
          <w:color w:val="auto"/>
        </w:rPr>
      </w:pPr>
    </w:p>
    <w:p>
      <w:pPr>
        <w:ind w:left="680" w:right="20" w:hanging="321"/>
        <w:spacing w:after="0" w:line="277"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timely and successful completion of preclinical studies, including toxicology studies, biodistribution studies and minimally efficacious dose studies in animals, where applicable, and clinical trials;</w:t>
      </w:r>
    </w:p>
    <w:p>
      <w:pPr>
        <w:spacing w:after="0" w:line="170"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effective investigational new drug applications, or INDs, from the FDA or comparable foreign applications that allow commencement of our planned clinical trials or future clinical trials for our product candidates;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 including under the FDA’s current Good Clinical Practices, or GCPs, and current Good Laboratory Practices;</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 development of, or making arrangements with third-party manufacturers for, our commercial manufacturing processes for any of our product candidates that receive regulatory approval;</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receipt of timely marketing approvals from applicable regulatory authorities;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launching commercial sales of products, if approved, whether alone or in collaboration with others;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acceptance of the benefits and use of our products, including method of administration, if approved, by patients, the medical community and third-party payors, for their approved indications;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prevalence and severity of adverse events experienced our product candidates;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perceived advantages, cost, safety and efficacy of alternative therapies for any product candidate, and any indications for such product candidate, that we develop;</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produce any product candidates we develop on a commercial scale;</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and maintaining patent, trademark and trade secret protection and regulatory exclusivity for our product candidates and otherwise protecting our rights in our intellectual property portfolio;</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compliance with regulatory requirements, including the FDA’s current Good Manufacturing Practices, or cGMPs, and complying effectively with other procedures;</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and patients’ willingness to pay out-of-pocket in the absence of such coverage and adequate reimbursement;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a continued acceptable safety, tolerability and efficacy profile of the products following approval.</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Because we have limited financial and management resources, we must focus on development programs and product candidates that we identify for specific indications. As a result, we may forego or delay pursuit of opportunities with other product candidates or for other 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Any immunotherapies that we may develop are not likely to be commercially available for at least five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not previously submitted a biologics license application, or BLA, to the FDA, or similar approval filings to comparable foreign authorities. A BLA must include extensive preclinical and clinical data and supporting information to establish the product candidate’s safety and effectiveness for each desired indication. The BLA must also include significant information regarding the chemistry, manufacturing and controls for the product. We expect the novel nature of our product candidates to create further challenges in obtaining regulatory approval. For example, the FDA has limited experience with commercial development of cell therapies for cancer. Accordingly, the regulatory approval pathway for our product candidates may be uncertain, complex, expensive and lengthy, and approval may not be obtained, and the FDA or non-U.S. regulatory authorities may disagree with the design or implementation of our clinical trials or study endpoints.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may also experience delays in completing planned clinical trials for a variety of reasons, including delays related to:</w:t>
      </w:r>
    </w:p>
    <w:p>
      <w:pPr>
        <w:spacing w:after="0" w:line="266" w:lineRule="exact"/>
        <w:rPr>
          <w:sz w:val="20"/>
          <w:szCs w:val="20"/>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225" w:lineRule="exact"/>
        <w:rPr>
          <w:rFonts w:ascii="Arial" w:cs="Arial" w:eastAsia="Arial" w:hAnsi="Arial"/>
          <w:sz w:val="18"/>
          <w:szCs w:val="18"/>
          <w:color w:val="auto"/>
        </w:rPr>
      </w:pPr>
    </w:p>
    <w:p>
      <w:pPr>
        <w:jc w:val="both"/>
        <w:ind w:left="1000" w:right="20" w:hanging="317"/>
        <w:spacing w:after="0" w:line="342" w:lineRule="auto"/>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reaching agreement on acceptable terms with prospective clinical research organizations, or CROs, and clinical trial sites, the terms of which can be subject to extensive negotiation and may vary significantly among different CROs and trial sites;</w:t>
      </w:r>
    </w:p>
    <w:p>
      <w:pPr>
        <w:spacing w:after="0" w:line="123" w:lineRule="exact"/>
        <w:rPr>
          <w:rFonts w:ascii="Arial" w:cs="Arial" w:eastAsia="Arial" w:hAnsi="Arial"/>
          <w:sz w:val="16"/>
          <w:szCs w:val="16"/>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approval by an independent institutional review board, or IRB, at each clinical trial site;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1000" w:hanging="31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225"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manufacturing sufficient quantities of qualified materials under cGMPs and applying them on a subject by subject basis for use in clinical trials.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Further, the performance of our CROs may also be interrupted by the ongoing COVID-19 pandemic, including due to travel or quarantine policies, heightened exposure of CRO staff who are healthcare providers to COVID-19 or prioritization of resources toward the pandemic. We could also encounter delays if physicians face unresolved ethical issues associated with enrolling patients in clinical trials of our product candidates in lieu of prescribing existing treatments that have established safety and efficacy profiles. Further, a clinical trial may be suspended or terminated by us, the IRB for the institutions in which such trials are being conducted, the Data and Safety Monitoring Board or Committee for such trial, or by the FDA or other regulatory authorities due to a number of factors. Those factors could include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Preclinical studies and clinical trials are expensive, time-consuming, difficult to design and implement and involve an uncertain outcome. Further, we may encounter substantial delays in completing the development of our product candidates.</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All of our product candidates are in clinical development and their risk of failure is high. The clinical trials and manufacturing of our product candidates are, and the manufacturing and marketing of our products, if approved,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Clinical trials are expensive and difficult to design and implement, in part because they are subject to rigorous regulatory requirements. Because our product candidates are based on new technologies and manufactured on a patient-by-patient basis for our MultiTAA-specific T cell product candidates we expect that they will require extensive research and development and have substantial manufacturing costs. In addition, the initial estimates of the clinical cost of development may prove to be inadequate, particularly if clinical trial timing or outcome is different than predicted or regulatory agencies require further testing before approval. For example, we anticipate that the COVID-19 pandemic will delay our planned timelines for our Phase 2 trial of MT-401 for the treatment of post-transplant AML, which may impact our cost estimates for this trial. Because our product candidates are based on new technologies and manufactured on a patient-by-patient basis for our MultiTAA-specific T cell product candidates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may be significantly higher per patient than those of more conventional therapeutic technologies or drug products. In addition, our proposed personalized product candidates involve several complex manufacturing and processing steps, the costs of which will be borne by us. Depending on the number of patients we ultimately enroll in our trials, and the number of trials we may need to conduct, our overall clinical trial costs may be higher than for more conventional treatments. Further, delays and interruptions to ongoing trials related to the COVID-19 pandemic may also increase the duration and costs of such trials.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outsource some of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our clinical trials.</w:t>
      </w:r>
    </w:p>
    <w:p>
      <w:pPr>
        <w:spacing w:after="0" w:line="19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COVID-19 pandemic is also likely to cause disruptions to our clinical programs. For example, we expect that we will be delayed in initiating our Phase 2 trial of MT-401 for post-transplant AML per previously communicated timelines. The COVID-19 pandemic may also result in difficulties in initiating clinical sites and enrolling patients, the diversion of healthcare resources away from clinical trials and other challenges related to travel or quarantine policies that may impede patient movement or interrupt healthcare services.</w:t>
      </w:r>
    </w:p>
    <w:p>
      <w:pPr>
        <w:spacing w:after="0" w:line="15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or our regulators, may suspend or terminate our clinical trials for a variety of reasons. For example, in the fourth quarter of 2019 the FDA placed a clinical hold on our IND of MT-401 for the treatment of patients with post-transplant AML and requested certain information regarding quality and technical specifications for two reagents supplied by third party vendors that are used in our manufacturing process but not present in the final product infused to patients. In January 2021, the FDA lifted the clinical hold, permitting us to initiate a Phase 2 clinical trial with a safety lead-in portion. We may voluntarily suspend or terminate our clinical trials at any time if we believe they present an unacceptable risk to the patients enrolled in our clinical trials or do not demonstrate clinical benefit. For example, in November 2019 we elected to suspend our Phase 2 clinical trial of TPIV200 for the treatment of platinum-sensitive advanced ovarian cancer based on an unblinded review of interim results conducted by an independent Data and Safety Monitoring Board, or DSMB. Although the DSMB did not express any safety concerns with respect to TPIV200, we elected to suspend the trial because it did not meet the threshold for probability of clinical benefit based upon our pre-specified criteria.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 The lengthy approval process, as well as the unpredictability of future clinical trial results, may result in us failing to obtain regulatory approval for our product candidates, which would materially harm our business, results of operations and prospects.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results of earlier preclinical and clinical trials may not be predictive of future clinical trial results.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Failure can occur at any time during the clinical trial process. The results of preclinical testing and early clinical trials of our product candidates may not be predictive of the results of larger, later-stage controlled clinical trials. Product candidates that have shown promising results in early-stage clinical trials may still suffer significant setbacks in subsequent clinical trials. Our clinical trials to date have been conducted on a small number of patients in a single academic clinical site for a limited number of indications. We will have to conduct larger, well-controlled trials in our proposed indications at multiple sites to verify the results obtained to date and to support any regulatory submissions for further clinical development of our product candidates. Our assumptions related to our product candidates, such as with respect to lack of toxicity and manufacturing cost estimates, are based on early limited clinical trials and current manufacturing processes at Baylor College of Medicine, or BCM, and may prove to be incorrect. Several companies in the biopharmaceutical industry have suffered significant setbacks in advanced clinical trials due to lack of efficacy or adverse safety profiles despite promising results in earlier, smaller clinical trials. Moreover, clinical data are often susceptible to varying interpretations and analyses. We do not know whether any Phase 2, Phase 3, or other clinical trials we may conduct will demonstrate consistent or adequate efficacy and safety with respect to the proposed indication for use sufficient to receive regulatory approval or market our product candidates.</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 frames we announce and expect, the commercialization of our products may be delayed.</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we may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including with respect to challenges related to enrollment, manufacturing and our reliance on third parties to conduct, supervise or monitor some or all aspects of our clinical trials. We may experience numerous unforeseen events during, or as a result of, any future clinical trials that we conduct that could delay or prevent our ability to receive marketing approval or commercialize our product candidates.</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example, we have been delayed in initiating our planned Phase 2 trial of MT-401 for post-transplant AML due to the COVID-19 pandemic, including as a result of delays related to the partial clinical hold, which the FDA lifted in January 2021 and delays in our ability to enroll the first three patients in the safety lead-in portion of the trial required by the FDA. The pandemic may also impact our other clinical programs. We may experience difficulties in patient enrollment in our future clinical trials for a variety of reasons. The timely completion of clinical trials in accordance with their protocols depends, among other things, on our ability to enroll a sufficient number of patients who remain in the study until its conclusion.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our clinical trials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Before obtaining regulatory approvals for the commercial sale of our product candidates, we must demonstrate through lengthy, complex and expensive preclinical testing and clinical trials that our product candidates are safe, pure and effective for use in each target indication, and failures can occur at any stage of testing. Preclinical studies and clinical trials often fail to demonstrate safety or efficacy of the product candidate studied for the target indication.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side effects caused by the product candidate, the administration process or related procedures also can cause adverse side effects. If any such adverse events occur, our clinical trials could be suspended or terminated. If we cannot demonstrate that any adverse events were not caused by the drug or administration process or related procedures, the FDA, EMA or foreign regulatory authorities could order us to cease further development of, or deny approval of, our product candidates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In addition, these side effects may not be appropriately recognized or managed by the treating medical staff, as toxicities resulting from personalized cell therapy, as with our MultiTAA-specific T cell therapy products, are not normally encountered in the general patient population and by medical personnel. Any of these occurrences may harm our ability to develop other product candidates, and may harm our business, financial condition and prospects significantly.</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our product candidates are associated with side effects in clinical trials or have characteristics that are unexpected, we may need to abandon their development or limit development to more narrow uses in which the side effects or other characteristics are less prevalent, less severe or more acceptable from a risk-benefit perspective. The FDA or an IRB may also require that we suspend, discontinue, or limit our clinical trials based on safety information, or that we conduct additional animal or human studies regarding the safety and efficacy of our product candidates which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 stage testing have later been found to cause side effects that prevented further development of the product candidate.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170" w:lineRule="exact"/>
        <w:rPr>
          <w:sz w:val="20"/>
          <w:szCs w:val="20"/>
          <w:color w:val="auto"/>
        </w:rPr>
      </w:pPr>
    </w:p>
    <w:p>
      <w:pPr>
        <w:ind w:left="1000" w:hanging="31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labels;</w:t>
      </w:r>
    </w:p>
    <w:p>
      <w:pPr>
        <w:spacing w:after="0" w:line="225"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 or other requirements subject to a REMS;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be able to achieve or maintain third-party payor coverage and adequate reimbursement;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or maintain the benefits associated with orphan drug designation, including market exclusivity.</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Regulatory authorities in some jurisdictions, including the United States and the European Union, may designate drugs for relatively small patient populations as orphan drugs. 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Generally, a product that has orphan drug designation and subsequently receives the first FDA approval for the disease for which it has such designation is entitled to orphan drug exclusive approval (or exclusivity), which means that the FDA may not approve any other applications to market the same drug or biologic for the same indication for seven years, except in limited circumstances, such as a showing of clinical superiority to the product with orphan drug exclusivity. A designated orphan drug may not receive orphan drug exclusivity if it is approved for a use that is broader than the indication for which it received orphan designation.</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FDA has granted orphan drug designation for MT-401 for the treatment of AML after receiving an allogeneic stem cell transplant. We may seek orphan drug designation for other indications or product candidates. Even if we were to obtain orphan drug designation for a product candidate, we may not obtain orphan exclusivity and that exclusivity may not effectively protect the drug from the competition of different drugs for the same condition, which could be approved during the exclusivity period. Additionally, after an orphan drug is approved, the FDA could subsequently approve another application for the same drug for the same indication if the FDA concludes that the later drug is shown to be safer, more effective or makes a major contribution to patient care. Orphan drug exclusive marketing rights in the United States also may be lost if the FDA or European Medicines Agency, or the EMA, later determines that the request for designation was materially defective or if the manufacturer is unable to assure sufficient quantity of the drug to meet the needs of patients with the rare disease or condition. The failure to obtain an orphan drug designation for any product candidates we may develop, the inability to maintain that designation for the duration of the applicable period, or the inability to obtain or maintain orphan drug exclusivity could reduce our ability to make sufficient sales of the applicable product candidate to balance our expenses incurred to develop it, which would have a negative impact on our operational results and financial condition.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may not be successful in establishing our own manufacturing infrastructure for supply of our requirements of product candidates for use in clinical trials and for commercial sale. Until our new manufacturing facility is fully operational, we will be dependent on third-party vendors to design, build, maintain and support our manufacturing and cell processing facilities.</w:t>
      </w:r>
    </w:p>
    <w:p>
      <w:pPr>
        <w:spacing w:after="0" w:line="14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currently do not operate our own facility that may be used as our clinical-scale manufacturing and processing facility. We currently rely on third-party contract manufacturing organizations, or CMOs, for manufacture of our product candidates. For early 2021, we anticipate that we will initially rely partially on the cGMP manufacturing facility within BCM for the manufacturing of our MultiTAA-specific T cell therapy-based product candidates. BCM has continued to restrict access to its facilities due to the COVID-19 pandemic, and manufacturing activities for MT-401 are ongoing albeit at a slower pace. If the cGMP manufacturing facility of BCM, which does manufacture for itself and other parties, experiences capacity constraints, other disruptions, or delays in manufacturing our MultiTAA-specific T cell therapy-based product candidates, our planned clinical trials and necessary manufacturing capabilities will be disrupted or delayed. Third-party manufacturers may not be able to meet our needs concerning timing, quantity, or quality. If we are unable to contract for a sufficient supply of needed materials on acceptable terms, or if we should encounter delays or difficulties in our relationships with manufacturers, our clinical trials may be delayed, thereby delaying the submission of product candidates for regulatory approval or the market introduction and subsequent sales of any approved products. Any such delay may lower our revenues and potential profitability. If any third party breaches or terminates its agreement with us or fails to conduct its activities in a timely manner, the commercialization of our product candidates could be slowed down or blocked completely. It is possible that third parties relied upon by us will change their strategic focus, pursue alternative technologies, or develop alternative product candidates, either on their own or in collaboration with others, as a means for developing treatments for the diseases targeted by our collaborative programs, or for other reasons. The effectiveness of these third parties in marketing their own products may also affect our revenues and earnings. We intend to continue to enter into additional third-party agreements in the future. However, we may not be able to negotiate any additional agreements successfully. Even if established, these relationships may not be scientifically or commercially successful.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order to further develop our business as currently planned and to conduct our planned clinical studies, including our Phase 2 trial of MT-401, we expect that our cGMP manufacturing capacity will be fully operational in the first half of 2021 following the completion of the technology transfer process. We have completed qualification of our manufacturing facility and believe it is capable of supporting our manufacturing needs with respect to our clinical trials, particularly with pivotal studies. We expect that the establishment of our own manufacturing facility will provide us with enhanced control of material supply for both clinical trials and the commercial market, enable the more rapid implementation of process changes, and allow for better long-term margins. In order to transfer our MultiTAA-specific T cell manufacturing from or expand our manufacturing capabilities beyond BCM pursuant to our development plans, we will need access to the standard operating procedures and the specific batch production records that are used to manufacture the product candidates. If BCM does not support the transfer of our manufacturing processes or impedes our ability to transfer the manufacturing processes of its product candidates to us, our planned clinical trials and additional necessary manufacturing capabilities will be delayed, which will adversely affect our ability to conduct and further develop our business as currently planned.</w:t>
      </w:r>
    </w:p>
    <w:p>
      <w:pPr>
        <w:spacing w:after="0" w:line="17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Establishment of our own manufacturing facility is subject to many risks. We have limited prior experience in establishing a manufacturing facility and, although we have made significant progress towards initiating clinical production in our cGMP manufacturing facility, we may encounter challenges given the complexity of manufacturing cell therapies. We will also compete for the small number of individuals with expertise in cell therapy manufacturing. Even with an operational facility, our manufacturing capabilities could be affected by cost-overruns, unexpected delays, equipment failures, labor shortages, natural disasters, power failures, transportation difficulties and numerous other factors that could prevent us from fully realizing the intended benefits of our manufacturing strategy and have a material adverse effect on our clinical development and/or commercialization plans. In addition, the manufacturing process for any product candidates that we may develop is subject to the FDA and foreign regulatory authority approval process, and we will need to contract with manufacturers who can meet all applicable FDA and foreign regulatory authority requirements on an ongoing basis. If we or our CMOs are unable to reliably produce products to specifications acceptable to the FDA, or other regulatory authorities, we may not obtain or maintain the approvals we need to commercialize any approved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Further, we may be required to establish multiple manufacturing facilities to expand our commercial footprint for any approved products, which may lead to regulatory delays or prove costly.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clinical development and/or commercialization plans.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manufacturing process is reliant upon the specialized equipment, and other specialty materials, which may not be available to us on acceptable terms or at all. For some of this equipment and materials, we rely or may rely on sole-source vendors or a limited number of vendors, which could impair our ability to manufacture and supply our product candidates.</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will depend on a limited number of vendors for supply of certain materials and equipment used in the manufacture of our MultiTAA-specific T cell therapy-based product candidates. For example, we will purchase equipment and reagents critical for the manufacture of our product candidates from Wilson Wolf (a company controlled by our director John Wilson), Almac, JPT Peptide Technologies and other suppliers. Some of our suppliers may not have the capacity to support commercial products manufactured under cGMP by biopharmaceutical firms or may otherwise be ill-equipped to support our needs. We also may not have supply contracts with many of these suppliers and may not be able to obtain supply contracts with them on acceptable terms or at all. Accordingly, we may not be able to obtain key materials and equipment to support clinical or commercial manufacturing. Further, the FDA may determine that our manufacturing process, or the materials required for the manufacture of our product candidates, are not acceptable, which would require us to find alternative suppliers or processes, which may not be available on favorable terms, if at all.</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some of this equipment and materials, we may rely, and may now and/or in the future rely, on sole-source vendors or a limited number of vendors. An inability to continue to source product from any of these suppliers, which could be due to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operating results or our ability to conduct clinical trials, either of which could significantly harm our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we continue to develop and scale our manufacturing process, we may need to obtain rights to and supplies of specific materials and equipment to be used as part of that process. For example, our MultiTAA-specific T cell manufacturing process is based, in part, upon the G-Rex® cell culture device manufactured by Wilson Wolf, which is used by many cell therapy developers, both in commercial and academic settings. Although we do hold the license to patents from BCM that could be used to prevent third parties from developing similar and competing processes, we do not own any exclusive rights to the G-Rex®. We may not be able to obtain rights to such materials and equipment on commercially reasonable terms, or at all, and if we are unable to alter our process in a commercially viable manner to avoid the use of such materials or find a suitable substitute, it would have a material adverse effect on our business.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The manufacture of our product candidates is complex, and we may encounter difficulties in production, particularly with respect to process development or scaling up of our manufacturing capabilities. If we, or any of our third-party suppliers encounter such difficulties, our ability to supply our product candidates for clinical trials, or our product candidates for patients, if approved, could be delayed or stopped, or we may be unable to maintain a commercially viable cost structure.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product candidates are biologics, and the process of manufacturing our product candidates is complex, highly regulated and subject to multiple risks. For example, the manufacture of our MultiTAA-specific T cell therapy-based product candidates involves complex processes, including drawing blood from patients/donors, manufacturing the clinical product, and ultimately infusing the product into a patient. As a result of the complexities, the cost to manufacture biologics is generally higher than traditional small molecule chemical compounds, and the manufacturing process is less reliable and is more difficult to reproduce. Our manufacturing processes will be susceptible to product loss or failure due to any of the following: logistical issues associated with the collection of blood cells, or starting material, from the patient or a donor, shipping such material to the manufacturing site, shipping the final product back to the patient, and infusing the patient with the product; manufacturing issues associated with the variability in patients’ or donor’s starting cells; interruptions in the manufacturing process; contamination; equipment failure; improper installation or operation of equipment, vendor or operator error; inconsistency in cell growth; and variability in product characteristics. Even minor deviations from normal manufacturing processes could result in reduced production yields, product defects, and other supply disruptions. If for any reason we lose a patient’s or a donor’s cells, or later-developed product at any point in the process, the manufacturing process for that patient will need to be restarted and the resulting delay may adversely affect that patient’s outcome and/or the results of clinical trials.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our MultiTAA-specific T cell therapy-based product candidates are manufactured for each particular patient, we will be required to maintain a chain of identity with respect to the patient’s/donor’s blood cells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 candidates from the market. Further, as product candidates are developed through preclinical to late-stage clinical trials towards approval and commercialization, it is common that various aspects of the development program, such as manufacturing methods, are altered along the way in order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Currently, our product candidates are manufactured using processes developed by BCM, our third-party research institution collaborator. Although we are working to develop our own commercially viable processes, doing so is a difficult and uncertain task, and there are risks associated with scaling to the level required for advanced clinical trials or commercialization, including, among others, cost overruns, potential problems with process scale up, process reproducibility, stability issues, lot consistency, and timely availability of raw materials.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No assurance can be given that we will be able to develop a new, FDA-compliant, more efficient, lower cost manufacturing process upon which our business plan to commercialize MultiTAA-based product candidates is dependent.</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cooperation with our current contract manufacturers and suppliers, we are developing improved methods for generating and selecting T cells, and to develop methods for large-scale production of our current product candidates that are in accordance with current cGMP procedures. Developing a new, scaled-up, pharmaceutical manufacturing process that can more efficiently and cost effectively, and in a more automated manner produce, measure and control the physical and/or chemical attributes of our product candidates in a cGMP facility is subject to many uncertainties and difficulties. We have never manufactured our adoptive T cell therapy product candidate on a commercial scale. As a result, we cannot give any assurance that we will be able to establish a manufacturing process that can produce our product candidates at a cost or in quantities necessary to make them commercially viable. Moreover, we and our third-party manufacturers will have to continually adhere to current cGMP regulations enforced by the FDA through its facilities inspection program. If these facilities (including our new in-house facility) cannot pass a pre-approval plant inspection, the FDA premarket approval of our product candidates will not be granted. In complying with cGMP and foreign regulatory requirements, we and any of our third-party manufacturers will be obligated to expend time, money and effort in production, record-keeping and quality control to assure that our product candidates meet applicable specifications and other requirements. If we or any of our third-party manufacturers fail to comply with these requirements, we may be subject to regulatory action. No assurance can be given that we will be able to develop such manufacturing process, or that our partners will thereafter be able to establish and operate such a production facility.</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may have difficulty demonstrating that the product candidates produced from our new processes are identical to the existing products. The FDA may require additional clinical testing before permitting a larger clinical trial with the new processes, and such drug product may not be as efficacious in the new clinical trials. Cellular products are not considered to be well characterized products because there are hundreds of markers present on T cells, and even small changes in manufacturing processes could alter the cell subtypes. It is unclear at this time which of those markers are critical for success of T cells to combat cancer, so our ability to predict the outcomes with newer manufacturing processes is limited. The changes that we may make to the existing manufacturing process may require additional testing, which may increase costs and timelines associated with these developments. In addition to developing a multi-antigen T cell-based therapy on existing adoptive T cell therapy technology, we are currently evaluating the desirability of conducting clinical trials of our product candidates in combination with other existing drugs. These combination therapies will require additional testing, and clinical trials will require additional FDA regulatory approval and will increase our future cost of development.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Catastrophic events may disrupt our business.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corporate headquarters and cGMP manufacturing facility are located in Houston, Texas. In the event of a major hurricane or other serious weather event or catastrophic event such as fire, power loss, cyberattack, war, terrorist attack or epidemic or pandemic, such as the COVID-19 pandemic, that impacts our corporate headquarters or other facilities, we may be unable to continue our operations and may experience delays in our manufacturing process and shipment of clinical supply to trial sites or interruptions in our clinical trials and research activities, all of which could delay our development plans and materially harm our business, results of operations and prospects.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 Including BCM</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strategic relationship with BCM is dependent, in part, upon our ongoing relationship with key medical and scientific personnel and advisors.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MultiTAA-specific T cell therapy has been developed through our collaboration with the Center for Cell and Gene Therapy at BCM, founded by Malcolm K. Brenner, M.D., Ph.D., a recognized pioneer in immuno-oncology. Our strategic relationship with BCM is dependent, in part, on our relationship with certain key employees and advisors, some of whom serve on our Scientific Advisory board, and in particular Dr. Vera, our founder and Chief Development Officer. If Dr. Vera discontinues his employment with us, our relationship with BCM may deteriorate, and our business could be harmed. We may also be dependent on BCM facilities and personnel to conduct research and development and manufacturing activities in the future.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have an exclusive license agreement with BCM under which we received a worldwide, exclusive license to BCM’s rights in and to three patent families to develop and commercialize the MultiTAA-specific T cell product candidates, we will need to enter into additional agreements with BCM with respect to (i) a strategic alliance to advance preclinical research, early stage clinical trials, and Phase 2 clinical trials with respect to our product candidates, as well as continued access to our clinical data, and (ii) product manufacturing and support, including personnel and space at the institution for the foreseeable future. Any delays in entering into new strategic agreements with BCM related to our product candidates could delay the development, manufacture, and clinical trials of our product candidates.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important element of our intellectual property portfolio is to license additional rights and technologies from BCM. Our inability to license the rights and technologies that we have identified, or newly developed MultiTAA-specific T cell technology that we may in the future identify, could have a material adverse impact on our ability to complete the development of our product candidates or to develop additional product candidates. No assurance can be given that we will be successful in licensing any additional rights or technologies from BCM and others. Failure to obtain additional rights and licenses may detrimentally affect our planned development of additional product candidates and could increase the cost, and extend the timelines associated with our development of such other product candidates.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establish or maintain the third-party relationships, including strategic collaborations, that are necessary to develop, commercialize and/or market some or all of our product candidates.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expect to depend on collaborators, partners, licensees, clinical research organizations and other third parties to support our discovery efforts, to formulate product candidates, to manufacture our product candidates, and to conduct clinical trials for some or all of our product candidates. We cannot guarantee that we will be able to successfully negotiate agreements for or maintain relationships with collaborators, partners, licensees, clinical investigators, vendors and other third parties on favorable terms, if at all. Our ability to successfully negotiate such agreements will depend on, among other things, potential partners’ evaluation of the superiority of our technology over competing technologies and the quality of the preclinical and clinical data that it has generated, and the perceived risks specific to developing our product candidates. If we are unable to obtain or maintain these agreements, we may not be able to clinically develop, formulate, manufacture, obtain regulatory approvals for or commercialize our product candidates. Management of any third-party relationships will require significant time and effort from our management team, coordination of our research and development programs with the research and development priorities of our collaborators and effective allocation of our resources to multiple projects.</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their research and development programs or the commercialization, marketing or distribution of their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milestones or royalty payments to our collaborators or to observe other obligations in our agreements with them, our collaborators may have the right to terminate those agreements.</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strategy includes eventual substantial reliance upon strategic collaborations for marketing and commercialization of our product candidates, and we may rely even more on strategic collaborations for research, development, marketing and commercialization of our other immunotherapies. If we are unsuccessful in securing such strategic collaborations, we may be unable to commercialize any approved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we directly marketed and sold any products that we may develop.</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3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Efforts to ensure that our business arrangements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in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develop our business. In addition, the approval and commercialization of any of our product candidates outside the United States will also likely subject us to foreign equivalents of the healthcare laws mentioned above, among other foreign laws.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commercial success depends upon attaining significant market acceptance of our product candidates, if approved, among physicians, patients, healthcare payors and the medical community.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Even if we obtain regulatory approval for our product candidates, they may not gain market acceptance among physicians, healthcare payors, patients or the medical community. Market acceptance of our product candidates, if we receive approval, depends on a number of factors, including the:</w:t>
      </w:r>
    </w:p>
    <w:p>
      <w:pPr>
        <w:spacing w:after="0" w:line="184" w:lineRule="exact"/>
        <w:rPr>
          <w:sz w:val="20"/>
          <w:szCs w:val="20"/>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efficacy and safety of our product candidates as demonstrated in clinical trials and post-marketing experience;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clinical indications for which our product candidates may be approved;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acceptance by physicians and patients of our product candidates as safe and effective;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and perceived advantages of our product candidates over alternative treatments;</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safety of our product candidates seen in a broader patient group, including our use outside the approved indications should physicians choose to prescribe for such uses;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prevalence and severity of any side effects;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timing of market introduction of our product candidates as well as competitive products;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hanging="321"/>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 in relation to alternative treatments;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pricing and the availability of coverage and adequate reimbursement by third-party payors and government authorities;</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relative convenience and ease of administration;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effectiveness of any sales and marketing efforts.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our product candidates are approved but fail to achieve market acceptance among physicians, patients, healthcare payors and the medical community, we may not be able to generate significant revenues, which would compromise our ability to become profitable.</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our therapies. However, unless we are able to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Even if we are successful in getting market approval, commercial success of any of our product candidates will also depend in large part on the availability of coverage and adequate reimbursement from third-party payors, including government payors such as the Medicare and Medicaid programs and managed care organizations, which may be affected by existing and future health care reform measures designed to reduce the cost of health care. Third-party payors could require us to conduct additional studies, including post-marketing studies related to the cost effectiveness of a product, to qualify for reimbursement, which could be costly and divert our resources. If government and other health care payors were not to provide adequate coverage and reimbursement levels for any of our products if approved, market acceptance and commercial success would be reduced.</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MultiTAA-specific T cell therapy may be provided to patients in combination with other agents provided by third parties. The cost of such combination therapy may increase the overall cost of MultiTAA-specific T cell therapy and may result in issues regarding the allocation of reimbursements between our therapy and the other agents, all of which may adversely affect our ability to obtain reimbursement coverage for the combination therapy from third-party medical insurers.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product candidates we develop may become subject to unfavorable third-party coverage and reimbursement practices, as well as pricing regulations.</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Significant uncertainty exists as to the coverage and reimbursement status of any pharmaceutical or biological product for which we obtain regulatory approval. 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In the United States, for example, principal decisions about reimbursement for new products are typically made by the CMS.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We cannot be sure that coverage and reimbursement will be available for any product that we commercialize and, if reimbursement is available, what the level of reimbursement will be.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No regulatory authority has granted approval for a personalized cancer immunotherapy based on a vaccine approach, and there is no model for reimbursement of this type of product.</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future success is highly dependent upon our key personnel, and our ability to attract, retain, and motivate additional qualified personnel. We will also be required to establish sales and marketing capabilities or enter into agreements with third parties to market and sell any approved products.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and consultants, including Peter Hoang, our President and Chief Executive Officer, Juan Vera, M.D., our Chief Development and Scientific Officer, and Mythili Koneru, M.D., Ph.D. our Chief Medical Officer as well as others. The loss of the services of any of our executive officers, other key employees, and other scientific and medical advisors, and our inability to find suitable replacements could result in delays in product development and harm to our business. We have a priority to quickly train additional qualified scientific and medical personnel to ensure the ability to maintain business continuity. Any delays in training such personnel could delay the development, manufacture, and clinical trials of our product candidates.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ability to attract and retain highly skilled personnel is critical to our operations and expansion. We face competition for these types of personnel from other biotechnology companies and more established organizations, many of which have significantly larger operations and greater financial, technical, human and other resources than us.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development of our product candidates, and unable to adequately address our management needs.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do not currently have an organization for the sale, marketing and distribution of any approved products and the cost of establishing and maintaining such an organization may exceed the cost-effectiveness of doing so. In order to market any products approved by the FDA or comparable foreign regulatory authorities, we must build our sales, marketing, managerial and other non-technical capabilities or make arrangements with third parties to perform these services. If we are unable to establish adequate sales, marketing and distribution capabilities, whether independently or with third parties, we may not be able to generate product revenue and may not become profitable. We will be competing with many companies that currently have extensive and well-funded sales and marketing operations. Without an internal commercial organization or the support of a third party to perform sales and marketing functions, we may be unable to compete successfully against these more established companies.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biotechnology and immunotherapy industries are characterized by rapid technological developments and a high degree of competition. We may be unable to compete with more substantial enterprises.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Potential competitors in the market for treating hematological malignancies are companies such as Juno Therapeutics/Celgene/Bristol-Myers Squibb, Roche/Genentech, Merck, Novartis, Kite Pharma/Gilead, Amgen, Pfizer, and GlaxoSmithKline, which already have products on the market or in development. Other companies, such as Cellectis, Bluebird Bio, and Adaptimmune, which are focused on genetically engineered T cell technologies to treat cancer, may also be competitors. Furthermore, companies such as Iovance, Immatics, NexImmune, WindMIL Therapeutics, Mana Therapeutics, Tessa Therapeutics and Repertoire Immune Medicines are developing non-genetically modified T cell therapies such as tumor infiltrating lymphocytes and marrow infiltrating lymphocytes therapies that may compete with our product candidates. All these companies, and most of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United States and internationally. Universities and public and private research institutions in the U.S. and around the world are also potential competitors.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 candidates.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lead product candidate is a therapy to treat post-allogeneic HSCT patients with AML. Currently, there are numerous companies that are developing various alternate treatments for AML. Accordingly, we face significant competition in the AML treatment space from multiple companies. Even if we obtain regulatory approval for our lead product candidate, the availability and price of competitors’ products could limit the demand and the price we will be able to charge for our therapy. We may not be able to implement our business plan if the acceptance of our product candidates is inhibited by price competition or the reluctance of physicians to switch from other methods of treatment to our product, or if physicians switch to other new therapies, drugs or biologic products or choose to reserve our product candidates for use in limited circumstances. 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competition comes from both biotechnology firms and from major pharmaceutical companies. Many of these companies have substantially greater financial, marketing, and human resources than us. We also experience competition in the development of our immunotherapies from universities, other research institutions and others in acquiring technology from such universities and institutions.</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certain of our immunotherapies may be subject to competition from investigational new drugs and/or products developed using other technologies, some of which have completed numerous clinical trials.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limited to those patients who are ineligible for or have failed prior treatments and may be small.</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FDA often approves new oncology therapies initially only for use in patients with relapsed or refractory metastatic disease. We expect to initially seek approval of our product candidates in this setting. Subsequently, for those product candidates that prove to be sufficiently beneficial, if any, we would expect to seek approval in earlier lines of treatment and potentially as a first line therapy. There is no guarantee, however, that our product candidates, even if approved, would be approved for earlier lines of therapy, and, prior to any such approvals, we may have to conduct additional clinical trials.</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projections of both the number of people who have the cancers we are targeting, as well as the subset of people with these cancers in a position to receive second or third-line therapy, and who have the potential to benefit from treatment with our product candidates, are based on our research and estimates. These estimates have been derived from a variety of sources, including scientific literature, surveys of clinics, patient foundations, or market research by third parties, and may prove to be incorrect. We do not have verifiable internal marketing data regarding the potential size of the commercial market for our product candidates, nor have we obtained independent marketing surveys to verify the potential size of the commercial markets for our current product candidates or any future product candidates. Further, new studies may change the estimated incidence or prevalence of these cancers. The number of treatable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our lead product candidate to initially target a small patient population that suffers from AML. Even if we obtain significant market share for our product candidates, because the potential target populations are small, we may never achieve profitability without obtaining regulatory approval for additional indications, and we may spend large amounts of money trying to obtain approval for product candidates that have an uncertain commercial market.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regulatory pathways for biosimilar competition could reduce the duration of market exclusivity for our products.</w:t>
      </w: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federal ACA enacted in 2010, there is an abbreviated path in the United States for regulatory approval of products that are demonstrated to be “biosimilar” or “interchangeable” with an FDA-approved biological product. The ACA provides a regulatory mechanism that allows for FDA approval of biologic drugs that are similar to (but not generic copies of) innovative drugs on the basis of less extensive data than is required by a full BLA. Under this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A number of jurisdictions outside of the United States have also established abbreviated pathways for regulatory approval of biological products that are biosimilar to earlier versions of biological products. For example, the European Union has had an established regulatory pathway for biosimilars since 2005.</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increased likelihood of biosimilar competition has increased the risk of loss of innovators’ market exclusivity. Due to this risk, and uncertainties regarding patent protection, if one of our late-stage product candidates or other clinical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to the product, negligence, strict liability or a breach of warranties. Claims could also be asserted under state consumer protection laws.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78" w:lineRule="exact"/>
        <w:rPr>
          <w:sz w:val="20"/>
          <w:szCs w:val="20"/>
          <w:color w:val="auto"/>
        </w:rPr>
      </w:pPr>
    </w:p>
    <w:p>
      <w:pPr>
        <w:ind w:left="680" w:hanging="321"/>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inhibit or prevent the commercialization of products we develop, alone or with collaborators. Our insurance policies may also have various exclusions, and we may be subject to a product liability claim for which we have no insurance coverage. While we obtained clinical trial insurance for our Phase II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multiple roles of certain of Dr. Vera, our Chief Development and Scientific Officer, and John Wilson, our director, could limit their time and availability to us, and create, or appear to create, conflicts of interest.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Dr. Vera is a co-founder and member of Allovir Inc., or Allovir. Allovir has technology which is being developed under a license agreement with BCM by the same research group at BCM. Allovir is a clinical-stage biopharmaceutical company that is investigating and developing virus-specific T cell therapy technology for the prevention and/or treatment of viral infections. Accordingly, Dr. Vera may have other commitments that would, at times, limit his availability to us. Other research being conducted by Dr. Vera may, at times, receive higher priority than research on our programs, which may, in turn, delay the development or commercialization of our product candidates.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John Wilson is a co-founder, member and director of Allovir and is a director of our company. Both of these individuals have certain fiduciary or other obligations to us and certain fiduciary or other obligations to Allovir and, in the case of Dr. Vera to BCM. Such multiple obligations may in the future result in a conflict of interest with respect to presenting other potential business opportunities to us or to Allovir. A conflict of interest also may arise concerning the timing and scope of the parties’ planned and ongoing clinical trials, investigational new drug application filings and the parties’ opportunities for marketing their respective product candidates, as well as our intellectual property rights with those of Allovir. In addition, they may be faced with decisions that could have different implications for us than for Allovir. Consequently, there is no assurance that these members of our board and management will always act in our best interests in all situations should a conflict arise.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commercial success is dependent in part on our ability to obtain, maintain, and enforce the patents and other proprietary rights that we have licensed and may develop, and on our ability to avoid infringing the proprietary rights of others. We generally seek to protect our proprietary position by filing patent applications in the United States and abroad related to our product candidates, proprietary technologies and their uses that are important to our business. Our patent applications cannot be enforced against third parties practicing the technology claimed in such applications unless, and until, patents issue from such applications, and then only to the extent the issued claims are directed to the technology. There can be no assurance that our patent applications or those of our licensor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invalid or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This failure to properly protect the intellectual property rights relating to our product candidates could have a material adverse effect on our financial condition and results of operations.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seek to protect our proprietary technology and processes, in part, by entering into confidentiality agreements with relevant employees, consultants, scientific advisors, and contractors. We also seek to preserve the integrity and confidentiality of our data and trade secrets by maintaining physical security of the premises and physical and electronic security of the information technology systems. While we have confidence in these individuals, organizations, and systems, agreements or security measures may be breached, and we may not have adequate remedies for any breach. In addition, trade secrets may otherwise become known or be independently discovered by competitors. To the extent that the consultants, contractors or collaborators use intellectual property owned by others in their work for us, disputes may arise as to the rights in related or resulting know-how and inventions.</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Although we have patents and patent applications in other countries, we cannot be certain that the claims in other pending U.S. or European patent applications, international patent applications, and patent applications in certain other foreign territories directed to methods of generating multi-antigen specific T cell product candidates, or our other product candidates, will be considered patentable by the USPTO, courts in the United States or by the patent offices and courts in foreign countries, nor can we be certain that the claims in our issued European patent will not be found invalid or unenforceable if challenged.</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Most of our intellectual property rights are currently licensed from BCM and the Mayo Foundation, so that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 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165" w:lineRule="exact"/>
        <w:rPr>
          <w:sz w:val="20"/>
          <w:szCs w:val="20"/>
          <w:color w:val="auto"/>
        </w:rPr>
      </w:pPr>
    </w:p>
    <w:p>
      <w:pPr>
        <w:jc w:val="both"/>
        <w:ind w:left="680" w:hanging="321"/>
        <w:spacing w:after="0" w:line="311" w:lineRule="auto"/>
        <w:tabs>
          <w:tab w:leader="none" w:pos="6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hanging="321"/>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circumvented, found to be unenforceable or otherwise may not provide any competitive advantage;</w:t>
      </w:r>
    </w:p>
    <w:p>
      <w:pPr>
        <w:spacing w:after="0" w:line="170"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us, and many of whom have made significant investments in competing technologies, may seek or may have already obtained patents that will limit, interfere with or eliminate our ability to make, use and sell our potential product candidates;</w:t>
      </w:r>
    </w:p>
    <w:p>
      <w:pPr>
        <w:spacing w:after="0" w:line="183"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83" w:lineRule="exact"/>
        <w:rPr>
          <w:rFonts w:ascii="Arial" w:cs="Arial" w:eastAsia="Arial" w:hAnsi="Arial"/>
          <w:sz w:val="18"/>
          <w:szCs w:val="18"/>
          <w:color w:val="auto"/>
        </w:rPr>
      </w:pPr>
    </w:p>
    <w:p>
      <w:pPr>
        <w:ind w:left="680" w:hanging="321"/>
        <w:spacing w:after="0" w:line="308" w:lineRule="auto"/>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4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patent prosecution process is also expensive and time-consuming, and we may not be able to file and prosecute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directed to technology that we license from third parties. We may also require the cooperation of one of our licensors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licensor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addition, identification of third-party patent rights that may be relevant to our technology is difficult because patent searching is imperfect due to differences in terminology among patents, incomplete databases and the difficulty in assessing the meaning of patent claims. The issuance of a patent is not conclusive as to its inventorship, scope, validity or enforceability and it is uncertain how much protection, if any, will be given to the patents we have licensed from a licensor if either the licensor or we attempt to enforce the patents and/or if they are challenged in court or in other proceedings, such as oppositions, which may be brought in foreign jurisdictions to challenge the validity of a patent. A third party may challenge our patents, if issued, or the patent rights that we license from others in the courts or patent offices in the United States and abroad. It is possible that a competitor may successfully challenge our patents or that a challenge will result in loss of exclusivity or in patent claims being narrowed, invalidated or held unenforceable, which could limit our ability to stop others from using or commercializing similar or identical products, or limit the duration of the patent protection of our products and product candidates.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them through design innovation. To stop violation of our patent rights,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 that its activities are not covered by, that is, do not infringe, our patents.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United States, or may be required to participate in derivation proceedings in the USPTO for those patents or patent applications that are subject to the “first-inventor-to-file” law in the United States.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 or on any terms.</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If we, our licensing partners, or any potential future collaborator initiates legal proceedings against a third party to enforce a patent directed to one of our product candidates, the defendant could counterclaim that the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non-obviousness or 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are no longer directed to our product candidates. The outcome following legal assertions of invalidity and unenforceability is unpredictable, and prior art could render our patents or those of our licensors invalid or could prevent a patent from issuing from one or more of our pending patent applications. There is no assurance that all potentially relevant prior art relating to our patents and patent applications has been found. There is also no assurance that there is not prior art of which we are aware, but which we do not believe affects the validity or enforceability of a claim in our patents and patent applications, which may, nonetheless,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If a defendant were to prevail on a legal assertion of invalidity and/or unenforceability, we would lose at least part, and perhaps all, of the patent protection on our product candidates. In addition, if the breadth or strength of protection provided by our patents and patent applications is threatened, it could dissuade companies from collaborating with us to license, develop or commercialize current or future product candidates. Such a loss of patent protection could have a material adverse impact on our business development.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Our potential competitors or other entities may have or acquire patent or proprietary rights that they could enforce against our licensors. There is a substantial amount of litigation, both within and outside the United States, involving patent and other intellectual property rights in the biotechnology and pharmaceutical industries, including patent infringement lawsuits, interferences, oppositions, reexaminations,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and post-grant review, or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If they do so, then they could limit our ability to make, use, sell, offer for sale or import our product candidates and products that may be approved in the future, or impair our competitive position by requiring us to alter our product candidates, pay licensing fees or cease activities.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the biotechnology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later issue as patents that our product candidates may infringe. If our product candidates conflict with patent rights of others, third parties could bring legal actions against us or our collaborators, licensees, suppliers or customers, claiming damages and seeking to enjoin manufacturing and marketing of the affected product candidates. If these legal actions are successful, in addition to any potential liability for damages, we could be required to obtain a license in order to continue to manufacture or market the affected product candidates. We may not prevail in any legal action and a required license under the patent may not be available on acceptable terms or at all.</w:t>
      </w:r>
    </w:p>
    <w:p>
      <w:pPr>
        <w:sectPr>
          <w:pgSz w:w="11900" w:h="16838" w:orient="portrait"/>
          <w:cols w:equalWidth="0" w:num="1">
            <w:col w:w="9920"/>
          </w:cols>
          <w:pgMar w:left="980" w:top="517" w:right="99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 candidates.</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As is the case with other biopharmaceutical companies, our success is dependent on intellectual property, particularly patents. Obtaining and enforcing patents in the biopharmaceutical industry involve both technological and legal complexity, and is therefore costly, time-consuming and inherently uncertain. Changes in either the patent laws or in the interpretations of patent laws in the United States and other countries may diminish the value of our intellectual property. We cannot predict the breadth of claims that may be allowed or enforced in our patents or in third-party patents. For example, on September 16, 2011, the Leahy-Smith America Invents Act, or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the first inventor to file a patent application will be entitled to the patent. Third parties are allowed to submit prior art before the issuance of a patent by the USPTO and may become involved in post-grant proceedings including post grant review, derivation, reexamination, </w:t>
      </w:r>
      <w:r>
        <w:rPr>
          <w:rFonts w:ascii="Arial" w:cs="Arial" w:eastAsia="Arial" w:hAnsi="Arial"/>
          <w:sz w:val="17"/>
          <w:szCs w:val="17"/>
          <w:i w:val="1"/>
          <w:iCs w:val="1"/>
          <w:color w:val="auto"/>
        </w:rPr>
        <w:t>inter-partes</w:t>
      </w:r>
      <w:r>
        <w:rPr>
          <w:rFonts w:ascii="Arial" w:cs="Arial" w:eastAsia="Arial" w:hAnsi="Arial"/>
          <w:sz w:val="17"/>
          <w:szCs w:val="17"/>
          <w:color w:val="auto"/>
        </w:rPr>
        <w:t xml:space="preserve">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In addition, recent U.S. Supreme Court rulings on several patent cases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these decisions, we cannot predict how future decisions by the courts, the U.S. Congress or the USPTO may impact the value of our patents.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limited foreign intellectual property rights and may not be able to protect our intellectual property rights throughout the world.</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its inventions in all countries outside the United States, or from selling or importing products made using its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patents or other intellectual property rights may not be effective or sufficient to prevent them from competing.</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is common in the biotechnology and pharmaceutical industries, in addition to our employees, we engage the services of consultants to assist us in the development of our product candidates. We have received confidential and proprietary information from third parties. We employ individuals or engage consultants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these claims. Even if we are successful in defending against these claims, litigation could result in substantial cost and be a distraction to our management and employees.</w:t>
      </w:r>
    </w:p>
    <w:p>
      <w:pPr>
        <w:spacing w:after="0" w:line="1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fail to comply with any obligations under our existing license agreements or any future license agreements, or disputes arise with respect to those agreements, it could have a negative impact on our business and our intellectual property rights.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party to license agreements with BCM and the Mayo Foundation that impose, and we may enter into additional licensing arrangements with third parties that may impose, diligence, development and commercialization timelines, milestone payment, royalty, insurance and other obligations on us. Our rights to use the licensed intellectual property are subject to the continuation of and our compliance with the terms of these agreements. Disputes may arise regarding our rights to intellectual property licensed to us from a third party, including but not limited to:</w:t>
      </w:r>
    </w:p>
    <w:p>
      <w:pPr>
        <w:spacing w:after="0" w:line="188" w:lineRule="exact"/>
        <w:rPr>
          <w:sz w:val="20"/>
          <w:szCs w:val="20"/>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creation or use of intellectual property by us, alone or with our licensors and collaborators;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scope and duration of our payment obligations;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rights upon termination of such agreement;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scope and duration of exclusivity obligations of each party to the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disputes over intellectual property and other rights that we have licensed or acquired from third parties prevent or impair our ability to maintain our current licensing arrangements on acceptable terms, we may be unable to successfully develop and commercialize the affected product candidates. If we fail to comply with our obligations under current or future licensing agreements, these agreements may be terminated or the scope of our rights under them may be reduced and we might be unable to develop, manufacture or market any product that is licensed under these agreements.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our license agreement with BCM for our MultiTAA-specific T cell therapy technologies, we are currently required to pay both substantial milestone payments and royalties to BCM based on our revenues from sales of any approved products utilizing the licensed technologies, and these payments could adversely affect the overall profitability for us of any products that we may seek to commercialize. In order to maintain our license rights under the BCM license agreement, we will need to meet certain specified milestones, subject to certain cure provisions, in the development of our product candidates. Similarly, we are also required to pay both substantial milestone payments and royalties to the Mayo Foundation based on our revenues from sales of our products utilizing those licensed technologies. There is no assurance that we will be successful in meeting all of the milestones in our licenses in the future on a timely basis or at all.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upon a liquidity event (as defined in our BCM license agreement with BCM) of the licensee under the BCM license agreement (which, the licensee shall be the Company), BCM will receive a liquidity incentive payment of 0.5% of the liquidity event proceeds (as defined in the BCM license agreement) received by such licensee or its stockholders in the liquidity event, thereby diluting the amount of proceeds available to the licensee or its stockholders in a liquidity event.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challenging the inventorship or ownership of our patents and other intellectual property.</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may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Patent terms may be inadequate to protect our competitive position on our product candidates for an adequate amount of time.</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subject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sufficient rights to exclude others from commercializing products similar or identical to our product candidates.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of our technologies are in-licensed from third parties, and the protection of those technologies is not entirely within our control.</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world-wide exclusive licenses from the Mayo Foundation on (i) a novel set of Class II HER2/neu peptide antigens, (ii) a novel Class I HER2/neu antigen, and (iii) a novel set of Class II Folate Receptor Alpha peptide antigens. We have a world-wide exclusive license from BCM of the rights in and to three patent families to develop and commercialize MultiTAA-specific T cell product candidates in the field of oncology. As a result of these in-licenses, we could lose the right to develop each of the technologies if:</w:t>
      </w:r>
    </w:p>
    <w:p>
      <w:pPr>
        <w:spacing w:after="0" w:line="157" w:lineRule="exact"/>
        <w:rPr>
          <w:sz w:val="20"/>
          <w:szCs w:val="20"/>
          <w:color w:val="auto"/>
        </w:rPr>
      </w:pPr>
    </w:p>
    <w:p>
      <w:pPr>
        <w:ind w:left="680" w:right="20" w:hanging="321"/>
        <w:spacing w:after="0" w:line="277" w:lineRule="auto"/>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owners of the patent rights underlying the technologies that we license do not properly maintain or enforce the patents and intellectual property underlying those properties,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Mayo Foundation or BCM seeks to terminate our license in contravention of the license agreements;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fail to make all payments due and owing under any of the licenses; or</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fail to obtain on commercially reasonable terms, if at all, in-licenses from the Mayo Foundation or BCM or others for other rights that are necessary to develop the technology that we have already in-licensed.</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any of the above occurs, we could lose the right to use the in-licensed intellectual property, which would adversely affect our ability to commercialize our technologies, products or services. The loss of any current or future licenses from Mayo Foundation or BCM, or the exclusivity rights provided by such license agreements, could materially harm our financial condition and operating results.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upon patents and licensed technologies to protect our technology. We may be unable to protect our intellectual property rights, and we may be liable for infringing the intellectual property rights of others.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ability to compete effectively depends on our ability to maintain the proprietary nature of our technologies and the proprietary technology of others with whom we have entered into collaboration and licensing agreements. We own or hold licenses to a number of 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patent positions of biotechnology and pharmaceutical companies, including our patent positions,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unenforceable, lack sufficient written description or enablement, or that the claims of the issued patents should be limited or narrowly construed. Patents also will not protect our product candidates if competitors devise ways of making or using these product candidates without infringing our patents.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may face legal claims involving stockholders, consumers, competitors, entities from whom we license technology, entities with whom we collaborate, persons claiming that we are infringing on their intellectual property and others. The biotechnology and pharmaceutical industries have been characterized by extensive litigation regarding patents and other intellectual property rights, and companies have employed intellectual property litigation to gain a competitive advantage. Competitors may infringe our intellectual property rights or those of our licensors. To counter infringement or unauthorized use, we may be required to file infringement claims, which can be expensive and time-consuming. In addition, in a patent infringement proceeding, a court may decide that one or more of the patents which we own or in-license is not valid or is unenforceable, and/or is not infringed.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addition, litigation may be necessary to enforce our issued patents, to protect our trade secrets and know-how, or to determine the enforceability, scope, and validity of the proprietary rights of others. We may not prevail in any lawsuits that we initiate, and the damages or other remedies awarded, if any, may not be commercially meaningful.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Periodic maintenance fees, renewal fees, annuity fees and various other governmental fees on any issued patent and/or pending patent applications will be due to the USPTO and foreign patent agencies in several stages over the lifetime of our patents and/or applications. The USPTO and various foreign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 development.</w:t>
      </w:r>
    </w:p>
    <w:p>
      <w:pPr>
        <w:spacing w:after="0" w:line="1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Should third parties file patent applications or be issued patents claiming technology also used or claimed by us, we may be required to participate in interference or derivation proceedings in the USPTO to determine priority of invention. We may be required to participate in interference or derivation proceedings involving our issued patents and pending applications. An unfavorable outcome could require us to cease using the related technology or to attempt to license rights from the prevailing party. Our business could be harmed if the prevailing party does not offer us a license on commercially acceptable terms.</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lawsuit for infringement or contractual breaches, even if frivolous, we will require considerable time commitments on the part of management, our attorneys and consultants. Defending these types of proceedings or legal actions involve considerable expense and could negatively affect our financial results.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we are unable to maintain and/or obtain licenses needed for the development of our product candidates in the future, we may have to develop alternatives to avoid infringing on the patents of others, potentially causing increased costs and delays in drug development and introduction or precluding the development, manufacture, or sale of planned product candidates.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the patents underlying the licenses might not be valid and enforceable. To the extent any product candidates developed by us are based on licensed technology, royalty payments on the licenses will reduce our gross profit from such product sales and may render the sales of such product candidates uneconomical. In addition, the loss of any current or future licenses or the exclusivity rights provided therein could materially harm our business financial condition and our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We are subject to extensive regulation, which can be costly, time consuming and can subject us to unanticipated delays. Even if we receive regulatory approval of our product candidates, we will be subject to ongoing quality and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All of our current and future product candidates,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 candidates, which may lengthen the regulatory review process, increase our development costs and delay or prevent their commercialization. No adoptive T cell therapy using MultiTAA-specific T cells has been approved for marketing in the U.S.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T cell therapy product. We will not be able to commercialize any of our potential product candidates until we obtain FDA approval, and so any delay in obtaining, or inability to obtain, FDA approval would harm our proposed business.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we violate regulatory requirements at any stage, whether before or after marketing approval is obtained, we may be fined, forced to remove a product from the market and experience other adverse consequences including delay, which could materially harm our business development. Additionally, we may not be able to obtain the labeling claims necessary or desirable for the promotion of our products. We may also be required to undertake post-marketing trials. Prescription drugs may be promoted only for the approved indications in accordance with the approved label. The FDA and other agencies actively enforce the laws and regulations prohibiting the promotion of off-label uses, and a company that is found to have improperly promoted off-label may be subject to significant liability. However, physicians may, in their independent medical judgment, prescribe legally available products for off-label uses. The FDA does not regulate the behavior of physicians in their choice of treatment but the FDA does restrict manufacturer’s communications on the subject of off-label use of their products. In addition, if we or others identify side effects after any of our adoptive T cell therapy products are on the market, or if manufacturing problems occur, regulatory approval may be withdrawn, and reformulation of our products may be required.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Any regulatory approvals that we receive for our product candidates will require surveillance to monitor the safety and efficacy of the product candidate. The FDA may also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cGCPs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182" w:lineRule="exact"/>
        <w:rPr>
          <w:sz w:val="20"/>
          <w:szCs w:val="20"/>
          <w:color w:val="auto"/>
        </w:rPr>
      </w:pPr>
    </w:p>
    <w:p>
      <w:pPr>
        <w:ind w:left="680" w:right="20" w:hanging="321"/>
        <w:spacing w:after="0" w:line="277" w:lineRule="auto"/>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fail to receive applicable marketing approvals, our target market will be reduced and our ability to realize the full market potential of any approved product candidates will be harmed.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Any relationships with healthcare professionals, principal investigators, consultants, customers (actual and potential) and third-party payors in connection with our current and future business activities are and will continue to be subject, directly or indirectly, to federal and state healthcare laws. If we are unable to comply, or have not fully complied, with such laws, we could face penalties, contractual damages, reputational harm, diminished profits and future earnings and curtailment or restructuring of our operations.</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operations and activities may be directly, or indirectly, subject to various federal and state healthcare laws, including without limitation, fraud and abuse laws, false claims laws, data privacy and security laws, as well as transparency laws regarding payments or other items of value provided to healthcare providers. These laws may restrict or prohibit a wide range of business activities, including, but not limited to, research, manufacturing, distribution, pricing, discounting, marketing and promotion, sales commission, customer incentive programs and other business arrangements. These laws may impact, among other things, our current activities with principal investigators and research subjects, as well as current and future sales, marketing, patient co-payment assistance and education programs.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Such laws include:</w:t>
      </w:r>
    </w:p>
    <w:p>
      <w:pPr>
        <w:spacing w:after="0" w:line="225" w:lineRule="exact"/>
        <w:rPr>
          <w:sz w:val="20"/>
          <w:szCs w:val="20"/>
          <w:color w:val="auto"/>
        </w:rPr>
      </w:pPr>
    </w:p>
    <w:p>
      <w:pPr>
        <w:jc w:val="both"/>
        <w:ind w:left="680" w:hanging="321"/>
        <w:spacing w:after="0" w:line="279" w:lineRule="auto"/>
        <w:tabs>
          <w:tab w:leader="none" w:pos="6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171" w:lineRule="exact"/>
        <w:rPr>
          <w:rFonts w:ascii="Arial" w:cs="Arial" w:eastAsia="Arial" w:hAnsi="Arial"/>
          <w:sz w:val="17"/>
          <w:szCs w:val="17"/>
          <w:color w:val="auto"/>
        </w:rPr>
      </w:pPr>
    </w:p>
    <w:p>
      <w:pPr>
        <w:jc w:val="both"/>
        <w:ind w:left="680" w:hanging="321"/>
        <w:spacing w:after="0" w:line="279" w:lineRule="auto"/>
        <w:tabs>
          <w:tab w:leader="none" w:pos="6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federal civil and criminal false claims laws, including the federal civil False Claims Act, and civil monetary penalties laws, which impose criminal and civil penalties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171" w:lineRule="exact"/>
        <w:rPr>
          <w:rFonts w:ascii="Arial" w:cs="Arial" w:eastAsia="Arial" w:hAnsi="Arial"/>
          <w:sz w:val="17"/>
          <w:szCs w:val="17"/>
          <w:color w:val="auto"/>
        </w:rPr>
      </w:pPr>
    </w:p>
    <w:p>
      <w:pPr>
        <w:jc w:val="both"/>
        <w:ind w:left="680" w:right="20" w:hanging="321"/>
        <w:spacing w:after="0" w:line="263" w:lineRule="auto"/>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imposes criminal and civil liability for, among other things, executing a scheme to defraud any healthcare benefit program or making false statements relating to healthcare matters;</w:t>
      </w:r>
    </w:p>
    <w:p>
      <w:pPr>
        <w:spacing w:after="0" w:line="183" w:lineRule="exact"/>
        <w:rPr>
          <w:rFonts w:ascii="Arial" w:cs="Arial" w:eastAsia="Arial" w:hAnsi="Arial"/>
          <w:sz w:val="18"/>
          <w:szCs w:val="18"/>
          <w:color w:val="auto"/>
        </w:rPr>
      </w:pPr>
    </w:p>
    <w:p>
      <w:pPr>
        <w:jc w:val="both"/>
        <w:ind w:left="680" w:hanging="321"/>
        <w:spacing w:after="0" w:line="255" w:lineRule="auto"/>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which also imposes obligations, including mandatory contractual terms,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w:t>
      </w:r>
    </w:p>
    <w:p>
      <w:pPr>
        <w:spacing w:after="0" w:line="192" w:lineRule="exact"/>
        <w:rPr>
          <w:rFonts w:ascii="Arial" w:cs="Arial" w:eastAsia="Arial" w:hAnsi="Arial"/>
          <w:sz w:val="18"/>
          <w:szCs w:val="18"/>
          <w:color w:val="auto"/>
        </w:rPr>
      </w:pPr>
    </w:p>
    <w:p>
      <w:pPr>
        <w:jc w:val="both"/>
        <w:ind w:left="680" w:hanging="321"/>
        <w:spacing w:after="0" w:line="290" w:lineRule="auto"/>
        <w:tabs>
          <w:tab w:leader="none" w:pos="6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CMS ownership and investment interests held by physicians and their immediate family members. Beginning in 2022, applicable manufacturers also will be required to report such information regarding its relationships with physician assistants, nurse practitioners, clinical nurse specialists, anesthesiologist assistants, certified registered nurse anesthetists and certified nurse midwives during the previous year; and</w:t>
      </w:r>
    </w:p>
    <w:p>
      <w:pPr>
        <w:spacing w:after="0" w:line="165" w:lineRule="exact"/>
        <w:rPr>
          <w:rFonts w:ascii="Arial" w:cs="Arial" w:eastAsia="Arial" w:hAnsi="Arial"/>
          <w:sz w:val="16"/>
          <w:szCs w:val="16"/>
          <w:color w:val="auto"/>
        </w:rPr>
      </w:pPr>
    </w:p>
    <w:p>
      <w:pPr>
        <w:jc w:val="both"/>
        <w:ind w:left="680" w:hanging="321"/>
        <w:spacing w:after="0" w:line="289" w:lineRule="auto"/>
        <w:tabs>
          <w:tab w:leader="none" w:pos="6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analogous state, local, and foreign laws and regulations, such as state anti-kickback and false claims laws, which may apply to sales or marketing arrangements and claims involving healthcare items or services reimbursed by non-governmental third party payors, including private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or drug pricing; state and local laws that require the registration of pharmaceutical sales representatives; state and local “drug takeback” laws and regulations; and state and foreign laws governing the privacy and security of health information in some circumstances, many of which differ from each other in significant ways and often are not preempted by HIPAA, thus complicating compliance efforts.</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Efforts to ensure that our business arrangements will comply with applicable healthcare laws may involve substantial costs. While our interactions with healthcare professionals have been structured to comply with these laws and related guidance, it is possible that governmental and enforcement authorities will conclude that our business practices may not comply with current or future statutes, regulations or case law interpreting applicable fraud and abuse or other healthcare laws. If our operations or activities are found to be in violation of any of the laws described above or any other governmental regulations that apply to us, we may be subject to, without limitation, significant civil, criminal and administrative penalties, damages, monetary fines, disgorgement, imprisonment, possible exclusion from participation in Medicare, Medicaid and other federal healthcare programs, additional reporting requirements and oversight if we become subject to a corporate integrity agreement or similar agreement to resolve allegations of non-compliance with these laws, contractual damages, reputational harm, diminished profits and future earnings and curtailment or restructuring of our operations, any of which could adversely affect our ability to operate.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any sales of our product once commercialized outside the U.S. will also likely subject us to foreign equivalents of the healthcare laws mentioned above, among other foreign laws.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in the United States and other countries may affect the prices we may obtain for our product candidates and increase the difficulty and cost to commercialize our product candidates.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United States and many other countries, rising healthcare costs have been a concern for governments, patients and the health insurance sector, which has resulted in a number of changes to laws and regulations, and may result in further legislative and regulatory action regarding the healthcare and health insurance systems that could affect our ability to profitably sell any product candidates for which we have obtained marketing approval.</w:t>
      </w:r>
    </w:p>
    <w:p>
      <w:pPr>
        <w:spacing w:after="0" w:line="18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For example, the Patient Protection and Affordable Care Act, as amended by the Health Care and Education Reconciliation Act, or the ACA was enacted in the United States in March 2010, with the stated goals of containing healthcare costs, improving quality and expanding access to healthcare, and includes measures to change health care delivery, increase the number of individuals with insurance, ensure access to certain basic health care services, and contain the rising cost of care. Since January 2017, President Trump signed executive orders and other directives designed to delay, circumvent, or loosen certain requirements mandated by the ACA. Concurrently, Congress considered legislation that would repeal or repeal and replace all or part of the ACA. While Congress has not passed repeal legislation, several bills affecting the implementation of certain taxes under the ACA have been signed into law. The Tax Cuts and Jobs Act of 2017 includes a provision that repealed, effective January 1, 2019, the tax-based shared responsibility payment imposed by the ACA on certain individuals who fail to maintain qualifying health coverage for all or part of a year that is commonly referred to as the “individual mandate”. Additionally, the 2020 federal spending package permanently eliminated, effective January 1, 2020, the ACA-mandated “Cadillac” tax on high-cost employer-sponsored health coverage and medical device tax and, effective January 1, 2021, also eliminates the health insurer tax. On December 14, 2018, a Texas U.S. District Court Judge ruled that the ACA is unconstitutional in its entirety because the “individual mandate” was repealed by Congress as part of the Tax Cuts and Jobs Act. Further, on December 18, 2019, the U.S. Court of Appeals for the 5th Circuit upheld the District Court ruling that the individual mandate was unconstitutional and remanded the case back to the District Court to determine whether the remaining provisions of the ACA are invalid as well. The United States Supreme Court is currently reviewing this case, although it is unclear when a decision will be made. Although the Supreme Court has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also unclear how the Supreme Court ruling, other such litigation, and the healthcare reform measures of the Biden administration will impact the ACA and our business.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other federal health reform measures have been proposed and adopted in the United States. For example, as a result of the Budget Control Act of 2011 and subsequent legislative amendments thereto, providers are subject to Medicare payment reductions of 2% per fiscal year through 2030, except for a temporary suspension from May 1, 2020 through March 31, 2021 due to the COVID-19 pandemic, unless additional Congressional action is taken. Further, the American Taxpayer Relief Act of 2012 reduced Medicare payments to several providers and increased the statute of limitations period for the government to recover overpayments to providers from three to five years. The Medicare Access and CHIP Reauthorization Act of 2015 ended the use of the statutory formula, also referred to as the Sustainable Growth Rate, for clinician payment and also introduced a quality payment program, or the Quality Payment Program, under which certain individual Medicare providers will be subject to certain incentives or penalties based on new program quality standards. This Quality Payment Program provides clinicians with two ways to participate, including through the Advanced Alternative Payment Models, or APMs, and the Merit-based Incentive Payment System, or MIPS. In November 2019, CMS issued a final rule finalizing the changes to the Quality Payment Program. It is still unclear how the introduction of the Quality Payment Program will impact overall physician reimbursement under the Medicare program. Any reduction in reimbursement from Medicare or other government programs may result in a similar reduction in payments from private payors.</w:t>
      </w:r>
    </w:p>
    <w:p>
      <w:pPr>
        <w:spacing w:after="0" w:line="17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Also, there has been heightened governmental scrutiny recently over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released a final rule on September 24, 2020, effective November 30, 2020,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However, it is unclear whether the Biden administration will work to reverse these measures or pursue similar policy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combination of healthcare cost containment measures, increased health insurance costs, reduction of the number of people with health insurance coverage, as well as future legislation and regulations focused on reducing healthcare costs by reducing the cost of, or reimbursement and access to, pharmaceutical products, may limit or delay our ability to commercialize our products, generate revenue or attain profitability.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It is possible that additional governmental action is taken in response to the COVID-19 pandemic.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above, the 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expect that additional state and federal healthcare reform measures will continue to be adopted in the future. While it is not possible to predict whether and when any such changes will occur, particularly in light of the recent presidential election, changes in the laws, regulations, and policies governing the development and approval of our product candidates and the commercialization, importation, and reimbursement of our product candidates could adversely affect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volatile.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listing of our common stock on Nasdaq does not assure that a meaningful, consistent and liquid trading market currently exists or will exist in the future. The trading price of our common stock may fluctuate substantially. The price of our common stock that will prevail in the market may be higher or lower than the price at which our shares of common stock, depending on many factors, some of which are beyond our control and may not be related to our company or our operating performance. These fluctuations could cause you to lose part or all of your investment in our common stock. Those factors that could cause fluctuations include, but are not limited to, the following:</w:t>
      </w:r>
    </w:p>
    <w:p>
      <w:pPr>
        <w:spacing w:after="0" w:line="192" w:lineRule="exact"/>
        <w:rPr>
          <w:sz w:val="20"/>
          <w:szCs w:val="20"/>
          <w:color w:val="auto"/>
        </w:rPr>
      </w:pPr>
    </w:p>
    <w:p>
      <w:pPr>
        <w:ind w:left="680" w:hanging="321"/>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price and volume of fluctuations in the overall stock market from time to time;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thinly traded nature of our common stock;</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actual or anticipated changes in our net loss or fluctuations in our operating results or in the expectations of securities analysts;</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results of our preclinical studies and clinical trials or delays in anticipated timing;</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 , or sales of large blocks of our stock and sales by insiders and our institutional investors;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announcements of new collaboration agreements with strategic partners or developments by our existing collaboration partners;</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announcements of acquisitions, mergers or business combinations;</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competitive developments, including announcements by competitors of new products or services or significant contracts, acquisitions, strategic partnerships, joint ventures or capital commitments;</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economic conditions and trends, including changes in interest rates, and other national and global conditions, including the ongoing COVID-19 pandemic and related global economic uncertainty;</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events affecting BCM, Mayo Clinic, Mayo Foundation for Medical Education and Research or any future collaborators;</w:t>
      </w:r>
    </w:p>
    <w:p>
      <w:pPr>
        <w:spacing w:after="0" w:line="236" w:lineRule="exact"/>
        <w:rPr>
          <w:rFonts w:ascii="Arial" w:cs="Arial" w:eastAsia="Arial" w:hAnsi="Arial"/>
          <w:sz w:val="17"/>
          <w:szCs w:val="17"/>
          <w:color w:val="auto"/>
        </w:rPr>
      </w:pPr>
    </w:p>
    <w:p>
      <w:pPr>
        <w:ind w:left="680" w:hanging="321"/>
        <w:spacing w:after="0" w:line="277" w:lineRule="auto"/>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announcements of new product candidates or technologies, commercial relationships or other events , including the results of clinical trials, or variations in our quarterly operating results;</w:t>
      </w:r>
    </w:p>
    <w:p>
      <w:pPr>
        <w:spacing w:after="0" w:line="170" w:lineRule="exact"/>
        <w:rPr>
          <w:rFonts w:ascii="Arial" w:cs="Arial" w:eastAsia="Arial" w:hAnsi="Arial"/>
          <w:sz w:val="18"/>
          <w:szCs w:val="18"/>
          <w:color w:val="auto"/>
        </w:rPr>
      </w:pPr>
    </w:p>
    <w:p>
      <w:pPr>
        <w:ind w:left="680" w:right="20" w:hanging="321"/>
        <w:spacing w:after="0" w:line="342" w:lineRule="auto"/>
        <w:tabs>
          <w:tab w:leader="none" w:pos="6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regulatory developments in the United States and other countries , including changes in the structure of healthcare payment systems, or other positive and negative events relating to healthcare and the overall pharmaceutical and biotechnology sectors;</w:t>
      </w:r>
    </w:p>
    <w:p>
      <w:pPr>
        <w:spacing w:after="0" w:line="123" w:lineRule="exact"/>
        <w:rPr>
          <w:rFonts w:ascii="Arial" w:cs="Arial" w:eastAsia="Arial" w:hAnsi="Arial"/>
          <w:sz w:val="16"/>
          <w:szCs w:val="16"/>
          <w:color w:val="auto"/>
        </w:rPr>
      </w:pPr>
    </w:p>
    <w:p>
      <w:pPr>
        <w:ind w:left="680" w:hanging="321"/>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of our common stock to maintain listing requirements on Nasdaq;</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outcome of any litigation to which we are a party;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hanging="321"/>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discussion of our company or our stock price by the financial and scientific press and in online investor communities.</w:t>
      </w:r>
    </w:p>
    <w:p>
      <w:pPr>
        <w:spacing w:after="0" w:line="23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stock market in general, and the Nasdaq Global Market and biotechnology companies in particular, have experienced extreme price and volume fluctuations that have often been unrelated or disproportionate to the operating performance of these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6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Sales of additional equity securities may adversely affect the market price of our common stock and your rights may be reduced. Our stockholders may experience dilution in the future and it may adversely affect the market price of our securities.</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to continue to incur drug development and sale, general and administrative costs. Until such time, if ever, as we can generate substantial product revenue, we expect to fund our cash requirements through a combination of equity offerings, debt financings and potential collaboration, license and development agreements. We do not currently have a committed external source of funds. To the extent that we sell equity securities or convertible debt securities, your ownership interest will be diluted, and the terms of these securities may include liquidation or other preferences that adversely affect your rights as a common stockholder. The sale or the proposed sale of substantial amounts of our common stock or other equity securities in the public markets may adversely affect the market price of our common stock.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9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December 31, 2020, we had 50.7 million shares of our common stock issued and outstanding. Those outstanding shares represent a minority of our authorized shares, meaning that the ownership position of the current stockholders could be diluted significantly were we to issue a large number of additional shares. In addition, as of December 31, 2020, there were outstanding warrants to purchase up to approximately 20.8 million shares of our common stock at a weighted average exercise price of $4.47 per share, and options exercisable for an aggregate of approximately 6.0 million shares of common stock at a weighted average exercise price of $6.22 per share. We have registered the resale of the shares issuable upon exercise of our outstanding warrants, and as a result the shares issued upon exercise will be tradable by the exercising party. Upon such registration, the holders may sell these shares in the public markets from time to time, without limitations on the timing, amount, or method of sale. If our stock price rises, the holders may exercise their warrants and options and sell a large number of shares. This could cause the market price of our common stock to decline and cause existing stockholders to experience significant further dilution.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cybersecurity/information systems risk.</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Cybersecurity incidents have increased in number and severity recently and it is expected that these trends will continue. Despite the implementation of security measures, our internal computer systems, and those of our manufacturers and other third parties on which we rely, are vulnerable to damage from computer viruses, unauthorized access, natural disasters, fire, terrorism, successful breaches, employee malfeasance, or human or technological error, war and telecommunication and electrical failures. In addition, our systems safeguard important confidential personal data regarding our subjects. If a disruption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Should we be affected by such an incident, we may incur substantial costs and suffer other negative consequences, which may include investigation costs and costs to engage specialized consultants; remediation costs, such as liability for stolen assets or information, repairs of system damage, and incentives to customers or business partners in an effort to maintain relationships after an attack; and litigation and legal risks, including regulatory actions by state and federal regulators. We have cybersecurity insurance for a breach event covering expenses for notification, credit monitoring, investigation, crisis management, public relations and legal advice. We also maintain property and casualty insurance that may cover restoration of data, certain physical damage or third-party injuries caused by potential cybersecurity incidents. However, damage and claims arising from such incidents may not be covered or may exceed the amount of any insurance available.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required, pursuant to Section 404 of the Sarbanes-Oxley Act, or Section 404, to furnish a report by management on, among other things, the effectiveness of our internal control over financial reporting. We are also required to disclose significant changes made in our internal control procedures on a quarterly basis.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 comply with Section 404, we have engaged in the costly and challenging process of compiling the system and processing documentation necessary to perform the evaluation needed to comply with Section 404. Our compliance with Section 404 requires that we incur substantial professional fees and expend significant management efforts, and we may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net operating losses and certain other tax attributes to offset future taxable income may be subject to limitation.</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net operating loss, or NOL, carryforwards could expire unused and be unavailable to offset future income tax liabilities because of their limited duration or because of restrictions under U.S. tax law. Our NOLs generated in tax years beginning on or prior to December 31, 2017 are permitted to be carried forward for only 20 years under applicable U.S. tax law. Our federal NOLs generated in tax years beginning after December 31, 2017 may be carried forward indefinitely, but the deductibility of federal NOLs generated in tax years beginning after December 31, 2020 is subject to certain limitations. It is uncertain if and to what extent various states will conform to the Tax Act.</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under Section 382 and Section 383 of the Internal Revenue Code of 1986, as amended, or, the Code, and corresponding provisions of state law, if a corporation undergoes an “ownership change,” its ability to use its pre-change NOL carryforwards and other pre-change tax attributes (such as research tax credits) to offset its post-change income may be limited. A Section 382 “ownership change” generally occurs if one or more stockholders or groups of stockholders who own at least 5% of our stock increase their ownership by more than 50 percentage points (by value) over their lowest ownership percentage over a rolling three-year period. We may have experienced ownership changes in the past and may experience ownership changes in the future as a result of shifts in our stock ownership (some of which are outside our control). As a result, if we earn net taxable income, our ability to use our pre-change NOLs to offset such taxable income may be subject to limitations.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w:t>
      </w:r>
    </w:p>
    <w:p>
      <w:pPr>
        <w:spacing w:after="0" w:line="18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Consequently, even if we achieve profitability, we may not be able to utilize a material portion of our net operating loss carryforwards and certain other tax attributes, which could have a material adverse effect on cash flow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regulations could materially adversely affect our company.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Cuts and Jobs Act, or Tax Act, enacted many significant changes to the U.S. tax laws, including changes in corporate tax rates, the utilization of our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or CARES Act, modified certain provisions of the Tax Act. In addition, it is uncertain if and to what extent various states will conform to the Tax Act, the CARES Act, or any newly enacted federal tax legislation. The impact of changes under the Tax Act, the CARES Act, or future reform legislation could increase our future U.S. tax expense and could have a material adverse impact on our business and financial condition.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accounting treatment for certain of our warrants is complex and subject to judgments concerning the valuation of embedded derivative rights within the applicable securities. Fluctuations in the valuation of these rights could cause us to take charges to our statement of operations and make our financial results unpredictable.</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Certain of our outstanding warrants contain or contained prior to being amended, or may be deemed to contain from time to time, embedded derivative rights in accordance with U.S. Generally Accepted Accounting Principles , or GAAP. There is a risk that questions could arise from investors or regulatory authorities concerning the appropriate accounting treatment of these instruments, which could require us to restate previous financial statements, which in turn could adversely affect our reputation, as well as our results of operations. These derivative rights, or similar rights in securities we may issue in the future, need to be, or may need to be, separately valued as of the end of each accounting period in accordance with GAAP. We record these embedded derivatives as liabilities at issuance, valued using the Black Scholes Option Pricing Model and are subject to revaluation at each reporting date. Any change in fair value between reporting periods is reported on our statement of operations. At December 31, 2020, the fair value of the derivative liability-warrants was $0. Changes in the valuations of these rights, the valuation methodology or the assumptions on which the valuations are based could cause us to take charges to our earnings, which would adversely impact our results of operations. Moreover, the methodologies, assumptions and related interpretations of accounting or regulatory authorities associated with these embedded derivatives are complex and, in some cases uncertain, which could cause our accounting for these derivatives, and as a result, our financial results, to fluctuate.</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do not own any real estate or other properties. We lease office space at 3200 Southwest Freeway, Suite 2500, Houston, Texas 77027 on a ten-year agreement set to expire in July 2030, which is our principal business office. We also lease office space at 5 West Forsyth Street, Suite 200, Jacksonville, Florida 32202 on a five-year agreement due to expire on June 30,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April 2020, we entered into a lease for a research facility in Houston, Texas. The lease term is 71 months.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2020, we entered into a lease for a manufacturing facility in Houston, Texas. The lease term is ten years from rent commencement date, which was in November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we were not a party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common stock is listed for trading on the Nasdaq Capital Market under the symbol “MRKR”. As of February 26, 2021, we had 412 stockholders of record whom are holding shares. The price of our common stock on February 26, 2021 was $2.42 per share.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dividends have been declared or paid on our common stock. We have incurred recurring losses and do not currently intend to pay any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record any issuances of unregistered securities during the fourth quarter of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discussion of our financial condition, changes in financial condition, plan of operations and results of operations should be read in conjunction with (i) our audited consolidated financial statements as at December 31, 2020 and December 31, 2019 and (ii) the section entitled “Business”, included in this annual report. The discussion contains forward-looking statements that involve risks, uncertainties and assumptions. Our actual results may differ materially from those anticipated in these forward-looking statements as a result of many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a clinical-stage immuno-oncology company specializing in the development and commercialization of novel T cell-based immunotherapies and innovative peptide-based vaccines for the treatment of hematological malignancies and solid tumor indications. We developed our lead product candidates from our MultiTAA-specific T cell technology, which is based on the selective expansion of non-engineered, tumor-specific T cells that recognize tumor associated antigens, or TAAs, which are tumor targets, and then kill tumor cells expressing those targets. These T cells are designed to recognize multiple tumor targets to produce broad spectrum anti-tumor activity. We are advancing two pipelines of product candidates as part of our MultiTAA-specific T cell program: the autologous T cells for the treatment of lymphoma, multiple myeloma, or MM, and selected solid tumors and the allogeneic T cells for the treatment of acute myeloid leukemia, or AML, and acute lymphoblastic leukemia, or ALL. Because we do not genetically engineer the MultiTAA-specific T cell therapies, we believe that our product candidates are easier and less expensive to manufacture, have lower toxicities than current engineered chimeric antigen receptor, or CAR-T, and T cell receptor-based therapies and may provide patients with meaningful clinical benefit. We are also developing innovative peptide-based immunotherapeutic vaccines for the treatment of metastatic solid tumors.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pursuing post-transplant AML as the lead indication for our first company-sponsored MultiTAA-specific T cell program. In April 2020, the FDA granted orphan drug designation to MT-401 for the treatment of AML after receiving an allogeneic stem cell transplant. The MultiTAA-specific T cell therapy has been well tolerated in an ongoing Phase 1 clinical trial in AML and myelodysplastic syndrome, or MDS, conducted by our strategic partner Baylor College of Medicine, or BCM. As reported in a recent publication by Lulla et al., 11 of the 17 patients in the adjuvant disease setting dosed with the MultiTAA-specific T cell therapy after receiving an allogeneic hematopoietic stem cell transplant, or HSCT, never relapsed [median leukemia-free survival, or LFS, not reached at a median follow-up of 1.9 years], with 11 of 15 patients remaining alive (estimated two-year overall survival of 77%) at a median follow-up of 1.9 years post-infusion, which compares favorably with HSCT outcomes for risk-matched AML/MDS patients post-HSCT [median LFS of nine to 15 months and two-year survival probability of 42%]. Additionally, eight patients were treated for active disease that was resistant to salvage therapy post-HSCT with a median of five prior lines of therapy (range: four to 10). One of the eight patients crossed over from the adjuvant group, while two patients enrolled twice, but all three patients had active AML that failed another line of salvage therapy after their first MultiTAA-specific T cell infusion. Two of the eight patients achieved objective responses, with one complete response and one partial response, with six patients continuing with stable disease.</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submitted an investigational new drug, or IND, application to the United States Food and Drug Administration, or the FDA, to initiate a Phase 2 clinical trial of MultiTAA-specific T cell therapy, which we refer to as MT-401 (zedenoleucel), in post-allogeneic HSCT patients with AML in both the adjuvant and active disease setting. The dose administered in this multicenter trial is the approximate flat dose equivalent of the current maximum tolerated dose from the ongoing Phase 1 trial. In the adjuvant setting, patients will be randomized to either MultiTAA-specific T cell therapy at approximately 90 days post-transplant versus standard of care observation, while the active disease patients will receive MT-401 following relapse post-transplant as part of a single-arm group. We expect to complete the safety lead-in portion of the trial in the first half of 2021. We anticipate that we will initiate the remainder of the Phase 2 trial in the third quarter of 2021 and complete enrollment of 20 patients in that phase of the trial in the fourth quarter of 2021 in order to report results from the active disease arm of the trial in the first quarter of 2022. We expect to begin manufacturing MT-401 for the Phase 2 trial at our cGMP manufacturing facility in the third quarter of 2021.</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reported interim data for an ongoing Phase 1/2 clinical trial of the MultiTAA-specific T cell therapy for the treatment of pancreatic adenocarcinoma being conducted by BCM. In this trial, we have observed a clinical benefit correlated with the post-infusion detection of tumor-reactive T cells in patient peripheral blood and within tumor biopsy samples in patients in the tumor-resection arm of the trial. These T cells exhibited activity against both targeted antigens and non-targeted TAAs, indicating induction of antigen spreading. To date, we have not observed any cytokine release syndrome or neurotoxicity in this trial.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also evaluating the MultiTAA-specific T cell therapies in a Phase 2 clinical trial for the treatment of breast cancer and in Phase 1 clinical trials for the treatment of ALL, lymphoma, MM and sarcoma, all of which are being conducted by BCM. As of December 2020, the MultiTAA-specific T cell therapies have been generally well tolerated by all of the patients enrolled in clinical trials in hematological and solid tumor indications with no incidents of cytokine release syndrome or neurotoxicity, which are frequently associated with CAR-T therapies. Our ongoing clinical trials may be also affected by the COVID-19 pandemic. Based on our observations in clinical trials in AML, pancreatic cancer, lymphoma, ALL and MM, we believe that the MultiTAA-specific T cell therapies have the potential to mediate a meaningful anti-tumor effect, as well as significant in vivo expansion of T cells. We may initiate additional Phase 2 clinical trials investigating other indications in addition to our planned Phase 2 trial in post-transplant AML patients.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consolidated financial statements and the judgments and assumptions used are consistent with those described under Note 3 in the Notes to Consolidated Financial Statements in this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 date, our research and development expenses have related primarily to the development of our clinical platform and the identification and development of our product candidates. Clinical and research and development expenses consist of expenses incurred in performing research and development activities, cost of our clinical trials, including compensation, share-based compensation expense and benefits for research and development employees and consultants, facilities expenses, overhead expenses, cost of supplies, manufacturing expenses, fees paid to third parties and other outside expenses.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Clinical costs are expensed as incurred. Costs and timing of clinical trials and development of our product candidates will depend on a variety of factors that include, but are not limited to, the following:</w:t>
      </w:r>
    </w:p>
    <w:p>
      <w:pPr>
        <w:spacing w:after="0" w:line="170" w:lineRule="exact"/>
        <w:rPr>
          <w:sz w:val="20"/>
          <w:szCs w:val="20"/>
          <w:color w:val="auto"/>
        </w:rPr>
      </w:pPr>
    </w:p>
    <w:p>
      <w:pPr>
        <w:ind w:left="680" w:hanging="321"/>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 patient clinical trial costs;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number of patients that participate in the clinical trials;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number of sites included in the clinical trials;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potential additional safety monitoring or other studies requested by regulatory agencies;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duration of patient follow-up;</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ability to successfully manufacture patient doses.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potential for success of each product candidate will depend on numerous factors, including clinical trial outcomes, acceptance by regulatory authorities, competition, manufacturing capability and commercial viability. We determine which programs to pursue and how much to fund each program in response to ongoing scientific assessments, competitive developments, clinical trial results, as well as an assessment of each product candidate's commercial potential. We anticipate our research and development costs will continue to increase over the next several years due to increased spending on the clinical development and manufacturing of our product candidates.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share-based compensation, for personnel in executive, finance, accounting, business development, legal and human resources functions. Other significant costs include facility costs not otherwise included in research and development expenses, legal fees relating to patent and corporate matters, insurance costs and professional fees for consultancy, accounting, audit and investor relations.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research and development activities, and the potential commercialization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did not recognize any income tax expense for the years ended December 31,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of interest income and change in fair value of warrant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2020 and 2019</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results of our operations (rounded to the thousand except for per share amounts)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 together with the changes to those items: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For the Years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vMerge w:val="continue"/>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Grant income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467,000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213,000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254,000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254,000</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18,881,000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12,765,000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6,116,000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10,472,000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9,977,000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495,000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29,353,000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22,742,000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6,611,000</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Loss from operations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4"/>
              </w:rPr>
              <w:t>(28,886,000)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4"/>
              </w:rPr>
              <w:t>(22,529,000)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(6,357,000)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Change in fair value of warrant liabilities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(934,000)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9"/>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6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(28,706,000)</w:t>
            </w:r>
          </w:p>
        </w:tc>
        <w:tc>
          <w:tcPr>
            <w:tcW w:w="16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(21,428,000)</w:t>
            </w:r>
          </w:p>
        </w:tc>
        <w:tc>
          <w:tcPr>
            <w:tcW w:w="1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(7,278,000)</w:t>
            </w:r>
          </w:p>
        </w:tc>
        <w:tc>
          <w:tcPr>
            <w:tcW w:w="1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6"/>
              </w:rPr>
              <w:t>Weighted average number of common shares outstanding</w:t>
            </w:r>
          </w:p>
        </w:tc>
        <w:tc>
          <w:tcPr>
            <w:tcW w:w="6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47,040,000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45,588,000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1,452,000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2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did not generate any revenue during the years ended December 31, 2020 and 2019, respectively, from the sales or licensing of our product candidates. During the year ended December 31, 2020, we recognized $0.5 million of revenue associated with a grant awarded to Mayo Foundation from the US Department of Defense for the Phase 2 clinical trial of TPIV200 which Mayo paid to us for clinical supplies manufactured by us and provided for the clinical trial funded by the grant. We refer to this grant as the Mayo Grant. During the year ended December 31, 2019, we recognized $0.2 million of grant income from the Mayo Grant.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incurred during the fiscal year ended December 31, 2020 were $29.4 million compared to $22.7 million in the prior year. Significant changes and expenditures in operating expenses are outlined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increased by 48% to $18.9 million for the year ended December 31, 2020, compared to $12.8 million for the year ended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$6.1 million in 2020 was primarily attributable to the following:</w:t>
      </w:r>
    </w:p>
    <w:p>
      <w:pPr>
        <w:spacing w:after="0" w:line="225" w:lineRule="exact"/>
        <w:rPr>
          <w:sz w:val="20"/>
          <w:szCs w:val="20"/>
          <w:color w:val="auto"/>
        </w:rPr>
      </w:pPr>
    </w:p>
    <w:p>
      <w:pPr>
        <w:ind w:left="680" w:hanging="321"/>
        <w:spacing w:after="0"/>
        <w:tabs>
          <w:tab w:leader="none" w:pos="680" w:val="left"/>
        </w:tabs>
        <w:numPr>
          <w:ilvl w:val="0"/>
          <w:numId w:val="44"/>
        </w:numPr>
        <w:rPr>
          <w:rFonts w:ascii="Courier New" w:cs="Courier New" w:eastAsia="Courier New" w:hAnsi="Courier New"/>
          <w:sz w:val="16"/>
          <w:szCs w:val="16"/>
          <w:color w:val="auto"/>
        </w:rPr>
      </w:pPr>
      <w:r>
        <w:rPr>
          <w:rFonts w:ascii="Arial" w:cs="Arial" w:eastAsia="Arial" w:hAnsi="Arial"/>
          <w:sz w:val="16"/>
          <w:szCs w:val="16"/>
          <w:color w:val="auto"/>
        </w:rPr>
        <w:t>increase of $2.9 million in headcount-related expenses as we increased the number of research and development personnel,</w:t>
      </w:r>
    </w:p>
    <w:p>
      <w:pPr>
        <w:spacing w:after="0" w:line="233" w:lineRule="exact"/>
        <w:rPr>
          <w:rFonts w:ascii="Courier New" w:cs="Courier New" w:eastAsia="Courier New" w:hAnsi="Courier New"/>
          <w:sz w:val="16"/>
          <w:szCs w:val="16"/>
          <w:color w:val="auto"/>
        </w:rPr>
      </w:pPr>
    </w:p>
    <w:p>
      <w:pPr>
        <w:ind w:left="680" w:hanging="321"/>
        <w:spacing w:after="0"/>
        <w:tabs>
          <w:tab w:leader="none" w:pos="680" w:val="left"/>
        </w:tabs>
        <w:numPr>
          <w:ilvl w:val="0"/>
          <w:numId w:val="44"/>
        </w:numPr>
        <w:rPr>
          <w:rFonts w:ascii="Courier New" w:cs="Courier New" w:eastAsia="Courier New" w:hAnsi="Courier New"/>
          <w:sz w:val="18"/>
          <w:szCs w:val="18"/>
          <w:color w:val="auto"/>
        </w:rPr>
      </w:pPr>
      <w:r>
        <w:rPr>
          <w:rFonts w:ascii="Arial" w:cs="Arial" w:eastAsia="Arial" w:hAnsi="Arial"/>
          <w:sz w:val="18"/>
          <w:szCs w:val="18"/>
          <w:color w:val="auto"/>
        </w:rPr>
        <w:t>increase of $2.3 million in process development expenses,</w:t>
      </w:r>
    </w:p>
    <w:p>
      <w:pPr>
        <w:spacing w:after="0" w:line="209"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44"/>
        </w:numPr>
        <w:rPr>
          <w:rFonts w:ascii="Courier New" w:cs="Courier New" w:eastAsia="Courier New" w:hAnsi="Courier New"/>
          <w:sz w:val="18"/>
          <w:szCs w:val="18"/>
          <w:color w:val="auto"/>
        </w:rPr>
      </w:pPr>
      <w:r>
        <w:rPr>
          <w:rFonts w:ascii="Arial" w:cs="Arial" w:eastAsia="Arial" w:hAnsi="Arial"/>
          <w:sz w:val="18"/>
          <w:szCs w:val="18"/>
          <w:color w:val="auto"/>
        </w:rPr>
        <w:t>increase of $1.7 million in sponsored research and consulting expenses from BCM agreements,</w:t>
      </w:r>
    </w:p>
    <w:p>
      <w:pPr>
        <w:spacing w:after="0" w:line="209"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44"/>
        </w:numPr>
        <w:rPr>
          <w:rFonts w:ascii="Courier New" w:cs="Courier New" w:eastAsia="Courier New" w:hAnsi="Courier New"/>
          <w:sz w:val="18"/>
          <w:szCs w:val="18"/>
          <w:color w:val="auto"/>
        </w:rPr>
      </w:pPr>
      <w:r>
        <w:rPr>
          <w:rFonts w:ascii="Arial" w:cs="Arial" w:eastAsia="Arial" w:hAnsi="Arial"/>
          <w:sz w:val="18"/>
          <w:szCs w:val="18"/>
          <w:color w:val="auto"/>
        </w:rPr>
        <w:t>increase of $0.6 million in rent expenses,</w:t>
      </w:r>
    </w:p>
    <w:p>
      <w:pPr>
        <w:spacing w:after="0" w:line="209" w:lineRule="exact"/>
        <w:rPr>
          <w:rFonts w:ascii="Courier New" w:cs="Courier New" w:eastAsia="Courier New" w:hAnsi="Courier New"/>
          <w:sz w:val="18"/>
          <w:szCs w:val="18"/>
          <w:color w:val="auto"/>
        </w:rPr>
      </w:pPr>
    </w:p>
    <w:p>
      <w:pPr>
        <w:ind w:left="680" w:hanging="321"/>
        <w:spacing w:after="0" w:line="259" w:lineRule="auto"/>
        <w:tabs>
          <w:tab w:leader="none" w:pos="680" w:val="left"/>
        </w:tabs>
        <w:numPr>
          <w:ilvl w:val="0"/>
          <w:numId w:val="44"/>
        </w:numPr>
        <w:rPr>
          <w:rFonts w:ascii="Courier New" w:cs="Courier New" w:eastAsia="Courier New" w:hAnsi="Courier New"/>
          <w:sz w:val="18"/>
          <w:szCs w:val="18"/>
          <w:color w:val="auto"/>
        </w:rPr>
      </w:pPr>
      <w:r>
        <w:rPr>
          <w:rFonts w:ascii="Arial" w:cs="Arial" w:eastAsia="Arial" w:hAnsi="Arial"/>
          <w:sz w:val="18"/>
          <w:szCs w:val="18"/>
          <w:color w:val="auto"/>
        </w:rPr>
        <w:t>decrease of $1.3 million in our peptide vaccine clinical trial expenses due to the stages of ongoing clinical trials and the decreased number of active patients in such trials , and</w:t>
      </w:r>
    </w:p>
    <w:p>
      <w:pPr>
        <w:spacing w:after="0" w:line="184"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44"/>
        </w:numPr>
        <w:rPr>
          <w:rFonts w:ascii="Courier New" w:cs="Courier New" w:eastAsia="Courier New" w:hAnsi="Courier New"/>
          <w:sz w:val="18"/>
          <w:szCs w:val="18"/>
          <w:color w:val="auto"/>
        </w:rPr>
      </w:pPr>
      <w:r>
        <w:rPr>
          <w:rFonts w:ascii="Arial" w:cs="Arial" w:eastAsia="Arial" w:hAnsi="Arial"/>
          <w:sz w:val="18"/>
          <w:szCs w:val="18"/>
          <w:color w:val="auto"/>
        </w:rPr>
        <w:t>decrease of $0.1 million of other expenses.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Included in research and development expenses, are expenses related to agreements with BCM.</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November 2018 and February 2020, we entered in Sponsored Research Agreements with BCM, which provided for the conduct of research for us by credentialed personnel at BCM’s Center for Cell and Gene Therapy. During the years ended December 31, 2020 and 2019, we incurred $0.3 million and $0.1 million of expenses related to these agreements, respectively.</w:t>
      </w:r>
    </w:p>
    <w:p>
      <w:pPr>
        <w:spacing w:after="0" w:line="16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September 2019, we entered in a Clinical Supply Agreement with BCM, which provided for BCM to provide to us multi tumor antigen specific products. During the year ended December 31, 2020, we incurred $0.6 million related to this agreement.</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2019, we entered in a Workforce Grant Agreement with BCM, which provided for BCM to provide to us manpower costs of projects for manufacturing, quality control testing and validation run activities. During the year ended December 31, 2020, we incurred $0.6 million related to this agreement.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2020, we entered in a Clinical Trial Agreement with BCM, which provided for BCM to provide to us investigator-initiated research studies. During the year ended December 31, 2020, we incurred $0.3 million related to this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General and administrative expenses increased by 5% to $10.5 million for the year ended December 31, 2020 from $10.0 million during the prior period. The increase in general and administrative expenses of $0.5 million was mainly comprised of the following:</w:t>
      </w:r>
    </w:p>
    <w:p>
      <w:pPr>
        <w:spacing w:after="0" w:line="146" w:lineRule="exact"/>
        <w:rPr>
          <w:sz w:val="20"/>
          <w:szCs w:val="20"/>
          <w:color w:val="auto"/>
        </w:rPr>
      </w:pPr>
    </w:p>
    <w:p>
      <w:pPr>
        <w:ind w:left="680" w:hanging="321"/>
        <w:spacing w:after="0"/>
        <w:tabs>
          <w:tab w:leader="none" w:pos="680" w:val="left"/>
        </w:tabs>
        <w:numPr>
          <w:ilvl w:val="0"/>
          <w:numId w:val="45"/>
        </w:numPr>
        <w:rPr>
          <w:rFonts w:ascii="Courier New" w:cs="Courier New" w:eastAsia="Courier New" w:hAnsi="Courier New"/>
          <w:sz w:val="18"/>
          <w:szCs w:val="18"/>
          <w:color w:val="auto"/>
        </w:rPr>
      </w:pPr>
      <w:r>
        <w:rPr>
          <w:rFonts w:ascii="Arial" w:cs="Arial" w:eastAsia="Arial" w:hAnsi="Arial"/>
          <w:sz w:val="18"/>
          <w:szCs w:val="18"/>
          <w:color w:val="auto"/>
        </w:rPr>
        <w:t>increase of $1.0 million in headcount-related expenses as we increased the number of administrative personnel,</w:t>
      </w:r>
    </w:p>
    <w:p>
      <w:pPr>
        <w:spacing w:after="0" w:line="209"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45"/>
        </w:numPr>
        <w:rPr>
          <w:rFonts w:ascii="Courier New" w:cs="Courier New" w:eastAsia="Courier New" w:hAnsi="Courier New"/>
          <w:sz w:val="18"/>
          <w:szCs w:val="18"/>
          <w:color w:val="auto"/>
        </w:rPr>
      </w:pPr>
      <w:r>
        <w:rPr>
          <w:rFonts w:ascii="Arial" w:cs="Arial" w:eastAsia="Arial" w:hAnsi="Arial"/>
          <w:sz w:val="18"/>
          <w:szCs w:val="18"/>
          <w:color w:val="auto"/>
        </w:rPr>
        <w:t>increase of $0.2 million in rent expenses,</w:t>
      </w:r>
    </w:p>
    <w:p>
      <w:pPr>
        <w:spacing w:after="0" w:line="209"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45"/>
        </w:numPr>
        <w:rPr>
          <w:rFonts w:ascii="Courier New" w:cs="Courier New" w:eastAsia="Courier New" w:hAnsi="Courier New"/>
          <w:sz w:val="18"/>
          <w:szCs w:val="18"/>
          <w:color w:val="auto"/>
        </w:rPr>
      </w:pPr>
      <w:r>
        <w:rPr>
          <w:rFonts w:ascii="Arial" w:cs="Arial" w:eastAsia="Arial" w:hAnsi="Arial"/>
          <w:sz w:val="18"/>
          <w:szCs w:val="18"/>
          <w:color w:val="auto"/>
        </w:rPr>
        <w:t>increase of $0.4 million in insurance expenses,</w:t>
      </w:r>
    </w:p>
    <w:p>
      <w:pPr>
        <w:spacing w:after="0" w:line="209"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45"/>
        </w:numPr>
        <w:rPr>
          <w:rFonts w:ascii="Courier New" w:cs="Courier New" w:eastAsia="Courier New" w:hAnsi="Courier New"/>
          <w:sz w:val="18"/>
          <w:szCs w:val="18"/>
          <w:color w:val="auto"/>
        </w:rPr>
      </w:pPr>
      <w:r>
        <w:rPr>
          <w:rFonts w:ascii="Arial" w:cs="Arial" w:eastAsia="Arial" w:hAnsi="Arial"/>
          <w:sz w:val="18"/>
          <w:szCs w:val="18"/>
          <w:color w:val="auto"/>
        </w:rPr>
        <w:t>decrease of $0.3 million in other general and administrative expenses, and</w:t>
      </w:r>
    </w:p>
    <w:p>
      <w:pPr>
        <w:spacing w:after="0" w:line="209"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45"/>
        </w:numPr>
        <w:rPr>
          <w:rFonts w:ascii="Courier New" w:cs="Courier New" w:eastAsia="Courier New" w:hAnsi="Courier New"/>
          <w:sz w:val="18"/>
          <w:szCs w:val="18"/>
          <w:color w:val="auto"/>
        </w:rPr>
      </w:pPr>
      <w:r>
        <w:rPr>
          <w:rFonts w:ascii="Arial" w:cs="Arial" w:eastAsia="Arial" w:hAnsi="Arial"/>
          <w:sz w:val="18"/>
          <w:szCs w:val="18"/>
          <w:color w:val="auto"/>
        </w:rPr>
        <w:t>decrease of $0.8 million in legal and professional fees.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Fair Value of Warrant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 in fair value of warrant liabilities for the year ended December 31, 2020 was $31,000 as compared to $18,000 for the fiscal year ended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income was $0.1 million and $1.1 million for the years ended December 31, 2020 and 2019, respectively, and was attributable to interest income relating to funds that are held in U.S. Treasury notes and U.S. government agency-backed securities. As part of the reaction to the COVID-19 pandemic, the Federal Reserve cut rates in mid-March 2020 to a range of 0.0%-0.25%. As such, we recorded lower interest income during the year ended December 31,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our net loss during the year ended December 31, 2020 compared to the year ended December 31, 2019 was due to the continued expansion of our research and development activities, increased expenses relating to future clinical trials, and the overall growth of our corporate infrastructure. We anticipate that we will continue to incur net losses in the future as we continue to invest in research and development activities, including clinical development of our MultiTAA T cell product candidates.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not generated any revenues from the sales or licensing of our product candidates since inception and only have limited revenue associated with grants. We have financed our operations primarily through public and private offerings of our stock and debt including warrants and the exercise thereof.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cash equivalents and working capital as of December 31, 2020 and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19"/>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19"/>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3380" w:type="dxa"/>
            <w:vAlign w:val="bottom"/>
            <w:tcBorders>
              <w:bottom w:val="single" w:sz="8" w:color="CCEEFF"/>
            </w:tcBorders>
          </w:tcPr>
          <w:p>
            <w:pPr>
              <w:spacing w:after="0"/>
              <w:rPr>
                <w:sz w:val="14"/>
                <w:szCs w:val="14"/>
                <w:color w:val="auto"/>
              </w:rPr>
            </w:pPr>
          </w:p>
        </w:tc>
        <w:tc>
          <w:tcPr>
            <w:tcW w:w="39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21,352,000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43,904,000</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Working capital</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18,009,000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43,494,000</w:t>
            </w:r>
          </w:p>
        </w:tc>
      </w:tr>
      <w:tr>
        <w:trPr>
          <w:trHeight w:val="850"/>
        </w:trPr>
        <w:tc>
          <w:tcPr>
            <w:tcW w:w="3380" w:type="dxa"/>
            <w:vAlign w:val="bottom"/>
          </w:tcPr>
          <w:p>
            <w:pPr>
              <w:spacing w:after="0"/>
              <w:rPr>
                <w:sz w:val="24"/>
                <w:szCs w:val="24"/>
                <w:color w:val="auto"/>
              </w:rPr>
            </w:pPr>
          </w:p>
        </w:tc>
        <w:tc>
          <w:tcPr>
            <w:tcW w:w="3960" w:type="dxa"/>
            <w:vAlign w:val="bottom"/>
          </w:tcPr>
          <w:p>
            <w:pPr>
              <w:jc w:val="right"/>
              <w:ind w:right="219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61"/>
        </w:trPr>
        <w:tc>
          <w:tcPr>
            <w:tcW w:w="33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years ended December 31, 2020 and 2019:</w:t>
      </w:r>
    </w:p>
    <w:p>
      <w:pPr>
        <w:spacing w:after="0" w:line="230"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For the Years Ended</w:t>
      </w:r>
    </w:p>
    <w:p>
      <w:pPr>
        <w:ind w:left="82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3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734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(18,860,000)</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(18,284,000)</w:t>
            </w: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(10,428,000)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r>
      <w:tr>
        <w:trPr>
          <w:trHeight w:val="216"/>
        </w:trPr>
        <w:tc>
          <w:tcPr>
            <w:tcW w:w="7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6,736,000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816,000</w:t>
            </w:r>
          </w:p>
        </w:tc>
      </w:tr>
      <w:tr>
        <w:trPr>
          <w:trHeight w:val="209"/>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(22,552,000)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(17,843,000)</w:t>
            </w:r>
          </w:p>
        </w:tc>
      </w:tr>
      <w:tr>
        <w:trPr>
          <w:trHeight w:val="20"/>
        </w:trPr>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during the year ended December 31, 2020 was $18.9 million. The use of cash primarily related to our net loss of $28.7 million, in addition to the effect of changes in asset and liability accounts, including an increase in prepaid expenses and deposits of $0.5 million, an increase in accounts payable and accrued liabilities of $4.3 million and an increase in lease liabilities of $0.2 million.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during the year ended December 31, 2019 was $18.3 million. The use of cash primarily related to our net loss of $21.4 million, in addition to the effect of changes in asset and liability accounts, including an increase in prepaid expenses and deposits of $1.4 million, a decrease in accounts payable and accrued liabilities of $1.0 million, a decrease in interest receivable of $52,000 and a net increase in lease liabilities of $0.2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cash used in investing activities was $10.4 million and $0.4 million for the purchase of property and equipment during the years ended December 31, 2020 and 2019, respectively. The increase relates to $6.8 million in construction in progress towards the new modular cleanrooms and the buildout of our manufacturing facility, an additional $2.2 million in laboratory equipment, $0.6 million in computers and equipment, $0.5 million in furniture and fixtures and $0.3 million in leasehold improvements at the new research facility.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provided by financing activities was $6.7 million during the year ended December 31, 2020, mainly due to the sale of 4,113,440 shares of stock under the Purchase Agreement with Aspire Capital that provided proceeds to the Company of approximately $6.2 million, along with $0.6 million of proceeds from the exercise of stock warrants. Net cash provided by financing activities was $0.8 million during the year ended December 31, 2019, due to the exercise of stock warrants and stock options.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To date, we have not generated any revenues from the commercial sale of approved drug products, and we do not expect to generate substantial revenue for at least the next several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continue or initiate clinical trials of and seek marketing approval for our product candidates. In addition,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of December 31, 2020, we had working capital of $18.0 million, compared to working capital of $43.5 million as of December 31, 2019. Based on our revised clinical and research and development plans and our revised timing expectations related to the progress of our programs, we expect that our cash and cash equivalents as of December 31, 2020 will enable us to fund our operating expenses and capital expenditure requirements into the third quarter of 2021. We have based this estimate on assumptions that may prove to be wrong, and we could utilize our available capital resources sooner than we currently expect. Furthermore, our operating plan may change, and we may need additional funds sooner than planned in order to meet operational needs and capital requirements for product development and commercialization.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as we:</w:t>
      </w:r>
    </w:p>
    <w:p>
      <w:pPr>
        <w:spacing w:after="0" w:line="168" w:lineRule="exact"/>
        <w:rPr>
          <w:sz w:val="20"/>
          <w:szCs w:val="20"/>
          <w:color w:val="auto"/>
        </w:rPr>
      </w:pPr>
    </w:p>
    <w:p>
      <w:pPr>
        <w:ind w:left="680" w:hanging="321"/>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initiate or continue clinical trials of our product candidates;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continue the research and development of our product candidates and seek to discover additional product candidates; seek regulatory approvals for our product candidates if they successfully complete clinical trials;</w:t>
      </w:r>
    </w:p>
    <w:p>
      <w:pPr>
        <w:spacing w:after="0" w:line="170"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and scale-up manufacturing capabilities to commercialize any product candidates that may receive regulatory approval;</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evaluate strategic transactions we may undertake; and</w:t>
      </w:r>
    </w:p>
    <w:p>
      <w:pPr>
        <w:spacing w:after="0" w:line="225" w:lineRule="exact"/>
        <w:rPr>
          <w:rFonts w:ascii="Arial" w:cs="Arial" w:eastAsia="Arial" w:hAnsi="Arial"/>
          <w:sz w:val="18"/>
          <w:szCs w:val="18"/>
          <w:color w:val="auto"/>
        </w:rPr>
      </w:pPr>
    </w:p>
    <w:p>
      <w:pPr>
        <w:ind w:left="680" w:right="20" w:hanging="321"/>
        <w:spacing w:after="0" w:line="308" w:lineRule="auto"/>
        <w:tabs>
          <w:tab w:leader="none" w:pos="6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enhance operational, financial and information management systems and hire additional personnel, including personnel to support development of our product candidates and, if a product candidate is approved, our commercialization efforts.</w:t>
      </w:r>
    </w:p>
    <w:p>
      <w:pPr>
        <w:spacing w:after="0" w:line="1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Because all of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2020, we entered into agreements to buildout a manufacturing facility, to lease a research lab and to expand our corporate headquarters in Houston, Texas.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plan to continue to fund our operations and capital funding needs through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common stock.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may also be required to pay damages or have liabilities associated with litigation or other legal proceedings involving our company.</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foregoing, based on our current assessment, we do not expect any material impact on our long-term liquidity due to the COVID-19 pandemic. However, we will continue to assess the effect of the pandemic on our operations. The extent to which the COVID-19 pandemic will impact our business and operations will depend on future developments that are highly uncertain and cannot be predicted with confidence,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Aspire Common Stock Purchase Agreement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2020, we entered into a common stock purchase agreement, or the Purchase Agreement, with Aspire Capital Fund, LLC, or Aspire Capital, which provides that, upon the terms and subject to the conditions and limitations set forth therein, Aspire Capital is committed to purchase up to an aggregate of $30.0 million of shares of our common stock over the 30-month term of the Purchase Agreement. As of December 31, 2020, Aspire Capital had purchased 4,113,440 shares under the Purchase Agreement, providing aggregate proceeds to the Company of approximately $6.2 million. In consideration for entering into the Purchase Agreement, concurrently with the execution of the Purchase Agreement, the Company issued to Aspire Capital 345,357 shares of the Company’s common stock.</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Purchase Agreement provides that we and Aspire Capital shall not effect any sales under the Purchase Agreement on any purchase date where the closing sale price of our common stock is less than $0.25. There are no trading volume requirements or restrictions under the Purchase Agreement, and we will control the timing and amount of sales of our common stock to Aspire Capital. Aspire Capital has no right to require any sales by us but is obligated to make purchases from us as directed by us on future funding, rights of first refusal, participation rights, penalties or liquidated damages in the Purchase Agreement. The Purchase Agreement may be terminated by us at any time, at its discretion, without any cost to us. Aspire Capital has agreed that neither it nor any of its agents, representatives and affiliates shall engage in any direct or indirect short-selling or hedging of our common stock during any time prior to the termination of the Purchase Agreement. We expect to use any proceeds under the Purchase Agreement for working capital and general corporate purposes.</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Purchase Agreement provides that the number of shares that may be sold pursuant to the Purchase Agreement will be limited to 9,232,814 shares, including the Commitment Shares, or the Exchange Cap, which represents 19.99% of our outstanding shares of common stock as of the date of the Purchase Agreement, unless stockholder approval is obtained to issue more than 19.99%. This limitation will not apply if, at any time the Exchange Cap is reached and at all times thereafter, the average price paid for all shares issued under the Purchase Agreement is equal to or greater than $2.41, which was the closing price of our shares on The Nasdaq Global Market immediately preceding the execution of the Purchase Agreement. We are not required or permitted to issue any shares of common stock under the Purchase Agreement if such issuance would breach our obligations under the rules or regulations of The Nasdaq Global Market.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 sources of revenue to provide incoming cash flows to sustain our future operations. As outlined above, our ability to pursue our planned business activities is dependent upon our successful efforts to raise additional capital.</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While these factors raise substantial doubt regarding our ability to continue as a going concern. Our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not entered into any off-balance sheet arrangements that have or are reasonably likely to have a current or future effect on our financial condition, changes in financial condition, revenues, expenses, results of operations, liquidity, capital expenditures or capital resources that is material to investors.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Loss and Credit Carryforwards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2020, we have approximately $97.2 million of federal and $39.0 million of state net operating loss carryforwards that may be available to offset future taxable income, if any. The federal net operating loss carryforwards of $41.6 million, if not utilized, will expire between 2029 and 2037. The federal net operating loss carryforwards of $55.6 million generated in 2018 and thereafter are subject to an 80% limitation on taxable income, do not expire and will carry forward indefinitely. The state net operating loss carryforwards of $21.9 million, if not utilized, will begin to expire in 2035. The state net operating loss carryforwards of $17.1 million generated in 2018 and thereafter are subject to an 80% limitation on taxable income, do not expire and will carry forward indefinitely. Any change in ownership greater than 50% under Section 382 of the Internal Revenue Code places significant annual limitations on the use of such net operating loss carryforwards.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December 31, 2020 and 2019, we recorded a 100% valuation allowance against our deferred tax assets of approximately $29.7 million and $24.6 million, respectively, as our management believes it is uncertain that they will be fully realized. If we determine in the future that we will be able to realize all or a portion of our net operating loss carryforwards, an adjustment to valuation allowance against our deferred tax assets would increase net income in the period in which we make such a determination.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Inflation affects the cost of raw materials, goods and services that we use. In recent years, inflation has been modest. However, fluctuations in energy costs and commodity prices can affect the cost of all raw materials and components. The competitive environment somewhat limits our ability to recover higher costs resulting from inflation by raising prices. Although we cannot precisely determine the effects of inflation on our business, it is management’s belief that the effects on future revenues and operating results will not be significant. We do not believe that inflation has had a material impact on our results of operations for the periods presented, except with respect to payroll-related costs and other costs arising from or related to government-imposed regulations.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Statements are incorporated herein by reference to pages F-1 to F-21 at the end of this report and the supplementary data is not applicable.</w:t>
      </w:r>
    </w:p>
    <w:p>
      <w:pPr>
        <w:spacing w:after="0" w:line="166" w:lineRule="exact"/>
        <w:rPr>
          <w:sz w:val="20"/>
          <w:szCs w:val="20"/>
          <w:color w:val="auto"/>
        </w:rPr>
      </w:pPr>
    </w:p>
    <w:p>
      <w:pPr>
        <w:ind w:right="920"/>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have had no changes in, or disagreements with our principal independent accountants.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established disclosure controls and procedures, as such term is defined in Rule 13a-15(e) under the Securities Exchange Act of 1934. Under the supervision and with the participation of our management, we conducted an evaluation of the effectiveness of our disclosure controls and procedures as of December 31, 2020 to ensure that the information required to be disclosed by us in the reports that we file or submit under the Securities Exchange Act of 1934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Securities Exchange Act of 1934 is accumulated and communicated to our management, including our principal executive officer and principal financial officer as appropriate, to allow timely decisions regarding required disclosure. Our management, with participation of our principal executive officer and principal financial officer, has evaluated the effectiveness of our disclosure controls and procedures as of December 31, 2020. Based on that evaluation, our principal executive officer and principal financial officer concluded that our disclosure controls and procedures were effective as of December 31, 2020 to provide reasonable assurance that the information required to be disclosed by us in this Annual Report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Exchange Act Rules 13a-15(f) and 15d-15(f). Under the supervision and with the participation of our management, including our principal executive, financial and accounting officer, we conducted an evaluation of the effectiveness of our internal control over financial reporting as of December 31, 2020 based on the framework in Internal Control—Integrated Framework 2013 issued by the Committee of Sponsoring Organizations of the Treadway Commission (COSO). Based on that evaluation, our management concluded that our internal control over financial reporting was effective as of December 31,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information technology for internal and external communications with vendors, clinical sites, banks, investors and shareholders. Loss, disruption or compromise of these systems could significantly impact operations and results.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not aware of any material cybersecurity violation or occurrence. We believe our efforts toward prevention of such violation or occurrence, including system design and controls, processes and procedures, training and monitoring of system access, limit, but may not prevent unauthorized access to our systems.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than temporary disruption to operations that may be caused by a cybersecurity breach, we consider cash transactions to be the primary risk for potential loss. We and our financial institution take steps to minimize the risk by requiring multiple levels of authorization and other controls.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Exchange Act Rules 13a-15(f) and 15d-15(f)) during the fiscal quarter ended December 31, 2020 that materially affected, or are reasonably likely to materially affect, our internal control over financial reporting.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Internal Controls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designing and evaluating the disclosure controls and procedures, 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this item and not set forth below will be set forth in the sections headed “Election of Directors,” “Management and Named Executive Officers” and “Section 16(a) Beneficial Ownership Reporting Compliance” in our definitive proxy statement for our 2020 Annual Meeting of Stockholders, or our Proxy Statement, to be filed with the SEC within 120 days after the end of the fiscal year ended December 31, 2020 and is incorporated herein by reference.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adopted a written code of business conduct and ethics that applies to our directors, officers and employees, including our principal executive officer, principal financial and accounting officer or controller, or persons performing similar functions, known as the Code of Ethics and Business Conduct. The Code of Ethics and Business Conduct is available on our website at www.markertherapeutics.com under the Corporate Governance section of our Investors page. If we make any substantive amendments to, or grant any waivers from, the code of business conduct and ethics for any officer or director, we will disclose the nature of such amendment or waiver on our website or in a current report on Form 8-K.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“Executive Compensation-Compensation Discussion and Analysis” in our Proxy Statement and is incorporated herein by reference.</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this item will be set forth in the section headed “Equity Compensation Plan Information” and “Security Ownership of Management and Certain Beneficial Owners” in our Proxy Statement and is incorporated herein by reference.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Item 201(d) of Regulation S-K will be set forth in the section headed “Executive Compensation-Compensation Discussion and Analysis” and “Board of Directors and Corporate Governance” in our Proxy Statement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information required by this item will be set forth in the section headed “Certain Relationships and Related Transactions” and “Board of Directors and Corporate Governance” in our Proxy Statement and is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“Independent Auditors’ Fees and Services” in our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left="4600"/>
        <w:spacing w:after="0"/>
        <w:rPr>
          <w:sz w:val="20"/>
          <w:szCs w:val="20"/>
          <w:color w:val="auto"/>
        </w:rPr>
      </w:pPr>
      <w:r>
        <w:rPr>
          <w:rFonts w:ascii="Arial" w:cs="Arial" w:eastAsia="Arial" w:hAnsi="Arial"/>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documents filed as part of this report are as follows:</w:t>
      </w:r>
    </w:p>
    <w:p>
      <w:pPr>
        <w:spacing w:after="0" w:line="225" w:lineRule="exact"/>
        <w:rPr>
          <w:sz w:val="20"/>
          <w:szCs w:val="20"/>
          <w:color w:val="auto"/>
        </w:rPr>
      </w:pPr>
    </w:p>
    <w:p>
      <w:pPr>
        <w:ind w:left="560" w:right="20" w:hanging="552"/>
        <w:spacing w:after="0" w:line="277" w:lineRule="auto"/>
        <w:tabs>
          <w:tab w:leader="none" w:pos="67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financial statements and accompanying report of independent registered public accounting firm are set forth immediately following the signature page of this report on pages F-1 through F-21.</w:t>
      </w:r>
    </w:p>
    <w:p>
      <w:pPr>
        <w:spacing w:after="0" w:line="170" w:lineRule="exact"/>
        <w:rPr>
          <w:rFonts w:ascii="Arial" w:cs="Arial" w:eastAsia="Arial" w:hAnsi="Arial"/>
          <w:sz w:val="18"/>
          <w:szCs w:val="18"/>
          <w:color w:val="auto"/>
        </w:rPr>
      </w:pPr>
    </w:p>
    <w:p>
      <w:pPr>
        <w:ind w:left="560" w:hanging="552"/>
        <w:spacing w:after="0" w:line="277" w:lineRule="auto"/>
        <w:tabs>
          <w:tab w:leader="none" w:pos="569"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financial statement schedules are omitted because they are inapplicable, not required or the information is included elsewhere in the financial statements or the notes thereto.</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following is a list of exhibits filed as part of this Annual Report on Form 10-K.</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6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660" w:type="dxa"/>
            <w:vAlign w:val="bottom"/>
            <w:gridSpan w:val="7"/>
            <w:vMerge w:val="restart"/>
          </w:tcPr>
          <w:p>
            <w:pPr>
              <w:ind w:left="80"/>
              <w:spacing w:after="0"/>
              <w:rPr>
                <w:sz w:val="20"/>
                <w:szCs w:val="20"/>
                <w:color w:val="auto"/>
              </w:rPr>
            </w:pPr>
            <w:r>
              <w:rPr>
                <w:rFonts w:ascii="Arial" w:cs="Arial" w:eastAsia="Arial" w:hAnsi="Arial"/>
                <w:sz w:val="14"/>
                <w:szCs w:val="14"/>
                <w:b w:val="1"/>
                <w:bCs w:val="1"/>
                <w:color w:val="auto"/>
              </w:rPr>
              <w:t>Exhibit description</w:t>
            </w:r>
          </w:p>
        </w:tc>
        <w:tc>
          <w:tcPr>
            <w:tcW w:w="180" w:type="dxa"/>
            <w:vAlign w:val="bottom"/>
            <w:vMerge w:val="restart"/>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80" w:type="dxa"/>
            <w:vAlign w:val="bottom"/>
            <w:vMerge w:val="restart"/>
          </w:tcPr>
          <w:p>
            <w:pPr>
              <w:spacing w:after="0"/>
              <w:rPr>
                <w:sz w:val="10"/>
                <w:szCs w:val="10"/>
                <w:color w:val="auto"/>
              </w:rPr>
            </w:pPr>
          </w:p>
        </w:tc>
        <w:tc>
          <w:tcPr>
            <w:tcW w:w="13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File no.</w:t>
            </w:r>
          </w:p>
        </w:tc>
        <w:tc>
          <w:tcPr>
            <w:tcW w:w="160" w:type="dxa"/>
            <w:vAlign w:val="bottom"/>
            <w:vMerge w:val="restart"/>
          </w:tcPr>
          <w:p>
            <w:pPr>
              <w:spacing w:after="0"/>
              <w:rPr>
                <w:sz w:val="10"/>
                <w:szCs w:val="10"/>
                <w:color w:val="auto"/>
              </w:rPr>
            </w:pPr>
          </w:p>
        </w:tc>
        <w:tc>
          <w:tcPr>
            <w:tcW w:w="5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Exhibit</w:t>
            </w:r>
          </w:p>
        </w:tc>
        <w:tc>
          <w:tcPr>
            <w:tcW w:w="240" w:type="dxa"/>
            <w:vAlign w:val="bottom"/>
            <w:vMerge w:val="restart"/>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1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date</w:t>
            </w:r>
          </w:p>
        </w:tc>
        <w:tc>
          <w:tcPr>
            <w:tcW w:w="1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0" w:type="dxa"/>
            <w:vAlign w:val="bottom"/>
          </w:tcPr>
          <w:p>
            <w:pPr>
              <w:spacing w:after="0"/>
              <w:rPr>
                <w:sz w:val="1"/>
                <w:szCs w:val="1"/>
                <w:color w:val="auto"/>
              </w:rPr>
            </w:pPr>
          </w:p>
        </w:tc>
      </w:tr>
      <w:tr>
        <w:trPr>
          <w:trHeight w:val="426"/>
        </w:trPr>
        <w:tc>
          <w:tcPr>
            <w:tcW w:w="6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40" w:type="dxa"/>
            <w:vAlign w:val="bottom"/>
          </w:tcPr>
          <w:p>
            <w:pPr>
              <w:spacing w:after="0"/>
              <w:rPr>
                <w:sz w:val="24"/>
                <w:szCs w:val="24"/>
                <w:color w:val="auto"/>
              </w:rPr>
            </w:pPr>
          </w:p>
        </w:tc>
        <w:tc>
          <w:tcPr>
            <w:tcW w:w="4140" w:type="dxa"/>
            <w:vAlign w:val="bottom"/>
            <w:gridSpan w:val="9"/>
          </w:tcPr>
          <w:p>
            <w:pPr>
              <w:spacing w:after="0"/>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Certificate of Incorporation</w:t>
              </w:r>
            </w:hyperlink>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001-37939</w:t>
            </w: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10/17/18</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40" w:type="dxa"/>
            <w:vAlign w:val="bottom"/>
          </w:tcPr>
          <w:p>
            <w:pPr>
              <w:spacing w:after="0"/>
              <w:rPr>
                <w:sz w:val="24"/>
                <w:szCs w:val="24"/>
                <w:color w:val="auto"/>
              </w:rPr>
            </w:pPr>
          </w:p>
        </w:tc>
        <w:tc>
          <w:tcPr>
            <w:tcW w:w="4140" w:type="dxa"/>
            <w:vAlign w:val="bottom"/>
            <w:gridSpan w:val="9"/>
          </w:tcPr>
          <w:p>
            <w:pPr>
              <w:spacing w:after="0"/>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Bylaws of Marker Therapeutics, Inc.</w:t>
              </w:r>
            </w:hyperlink>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000-37939</w:t>
            </w: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10/17/18</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0" w:type="dxa"/>
            <w:vAlign w:val="bottom"/>
          </w:tcPr>
          <w:p>
            <w:pPr>
              <w:jc w:val="center"/>
              <w:spacing w:after="0"/>
              <w:rPr>
                <w:sz w:val="20"/>
                <w:szCs w:val="20"/>
                <w:color w:val="auto"/>
              </w:rPr>
            </w:pPr>
            <w:r>
              <w:rPr>
                <w:rFonts w:ascii="Arial" w:cs="Arial" w:eastAsia="Arial" w:hAnsi="Arial"/>
                <w:sz w:val="18"/>
                <w:szCs w:val="18"/>
                <w:color w:val="auto"/>
                <w:w w:val="87"/>
              </w:rPr>
              <w:t>4.0</w:t>
            </w:r>
          </w:p>
        </w:tc>
        <w:tc>
          <w:tcPr>
            <w:tcW w:w="240" w:type="dxa"/>
            <w:vAlign w:val="bottom"/>
          </w:tcPr>
          <w:p>
            <w:pPr>
              <w:spacing w:after="0"/>
              <w:rPr>
                <w:sz w:val="24"/>
                <w:szCs w:val="24"/>
                <w:color w:val="auto"/>
              </w:rPr>
            </w:pPr>
          </w:p>
        </w:tc>
        <w:tc>
          <w:tcPr>
            <w:tcW w:w="4140" w:type="dxa"/>
            <w:vAlign w:val="bottom"/>
            <w:gridSpan w:val="9"/>
          </w:tcPr>
          <w:p>
            <w:pPr>
              <w:spacing w:after="0"/>
              <w:rPr>
                <w:rFonts w:ascii="Arial" w:cs="Arial" w:eastAsia="Arial" w:hAnsi="Arial"/>
                <w:sz w:val="18"/>
                <w:szCs w:val="18"/>
                <w:color w:val="0000EE"/>
              </w:rPr>
            </w:pPr>
            <w:hyperlink r:id="rId113">
              <w:r>
                <w:rPr>
                  <w:rFonts w:ascii="Arial" w:cs="Arial" w:eastAsia="Arial" w:hAnsi="Arial"/>
                  <w:sz w:val="18"/>
                  <w:szCs w:val="18"/>
                  <w:color w:val="0000EE"/>
                </w:rPr>
                <w:t>Form of Common Stock Certificate of Marker</w:t>
              </w:r>
            </w:hyperlink>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13">
              <w:r>
                <w:rPr>
                  <w:rFonts w:ascii="Arial" w:cs="Arial" w:eastAsia="Arial" w:hAnsi="Arial"/>
                  <w:sz w:val="18"/>
                  <w:szCs w:val="18"/>
                  <w:color w:val="0000EE"/>
                  <w:w w:val="89"/>
                </w:rPr>
                <w:t>Therapeutics, Inc.</w:t>
              </w:r>
            </w:hyperlink>
          </w:p>
        </w:tc>
        <w:tc>
          <w:tcPr>
            <w:tcW w:w="2020" w:type="dxa"/>
            <w:vAlign w:val="bottom"/>
            <w:tcBorders>
              <w:top w:val="single" w:sz="8" w:color="0000EE"/>
            </w:tcBorders>
            <w:gridSpan w:val="5"/>
          </w:tcPr>
          <w:p>
            <w:pPr>
              <w:spacing w:after="0"/>
              <w:rPr>
                <w:sz w:val="17"/>
                <w:szCs w:val="17"/>
                <w:color w:val="auto"/>
              </w:rPr>
            </w:pPr>
          </w:p>
        </w:tc>
        <w:tc>
          <w:tcPr>
            <w:tcW w:w="820" w:type="dxa"/>
            <w:vAlign w:val="bottom"/>
            <w:gridSpan w:val="3"/>
          </w:tcPr>
          <w:p>
            <w:pPr>
              <w:spacing w:after="0"/>
              <w:rPr>
                <w:sz w:val="17"/>
                <w:szCs w:val="17"/>
                <w:color w:val="auto"/>
              </w:rPr>
            </w:pPr>
          </w:p>
        </w:tc>
        <w:tc>
          <w:tcPr>
            <w:tcW w:w="112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rPr>
              <w:t>8-A/A</w:t>
            </w: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90"/>
              </w:rPr>
              <w:t>000-37939</w:t>
            </w:r>
          </w:p>
        </w:tc>
        <w:tc>
          <w:tcPr>
            <w:tcW w:w="16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2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1"/>
              </w:rPr>
              <w:t>10/17/18</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40" w:type="dxa"/>
            <w:vAlign w:val="bottom"/>
          </w:tcPr>
          <w:p>
            <w:pPr>
              <w:spacing w:after="0"/>
              <w:rPr>
                <w:sz w:val="24"/>
                <w:szCs w:val="24"/>
                <w:color w:val="auto"/>
              </w:rPr>
            </w:pPr>
          </w:p>
        </w:tc>
        <w:tc>
          <w:tcPr>
            <w:tcW w:w="4140" w:type="dxa"/>
            <w:vAlign w:val="bottom"/>
            <w:gridSpan w:val="9"/>
          </w:tcPr>
          <w:p>
            <w:pPr>
              <w:spacing w:after="0"/>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Form of Common Stock Purchase Warrant</w:t>
              </w:r>
            </w:hyperlink>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8/14/14</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40" w:type="dxa"/>
            <w:vAlign w:val="bottom"/>
          </w:tcPr>
          <w:p>
            <w:pPr>
              <w:spacing w:after="0"/>
              <w:rPr>
                <w:sz w:val="24"/>
                <w:szCs w:val="24"/>
                <w:color w:val="auto"/>
              </w:rPr>
            </w:pPr>
          </w:p>
        </w:tc>
        <w:tc>
          <w:tcPr>
            <w:tcW w:w="3660" w:type="dxa"/>
            <w:vAlign w:val="bottom"/>
            <w:tcBorders>
              <w:bottom w:val="single" w:sz="8" w:color="0000EE"/>
            </w:tcBorders>
            <w:gridSpan w:val="7"/>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Form of Placement Agent Warrant Common Stock</w:t>
              </w:r>
            </w:hyperlink>
          </w:p>
        </w:tc>
        <w:tc>
          <w:tcPr>
            <w:tcW w:w="48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115">
              <w:r>
                <w:rPr>
                  <w:rFonts w:ascii="Arial" w:cs="Arial" w:eastAsia="Arial" w:hAnsi="Arial"/>
                  <w:sz w:val="18"/>
                  <w:szCs w:val="18"/>
                  <w:color w:val="0000EE"/>
                  <w:w w:val="88"/>
                </w:rPr>
                <w:t>Purchase Warrants-Series A</w:t>
              </w:r>
            </w:hyperlink>
          </w:p>
        </w:tc>
        <w:tc>
          <w:tcPr>
            <w:tcW w:w="2100" w:type="dxa"/>
            <w:vAlign w:val="bottom"/>
            <w:gridSpan w:val="5"/>
          </w:tcPr>
          <w:p>
            <w:pPr>
              <w:spacing w:after="0"/>
              <w:rPr>
                <w:sz w:val="17"/>
                <w:szCs w:val="17"/>
                <w:color w:val="auto"/>
              </w:rPr>
            </w:pPr>
          </w:p>
        </w:tc>
        <w:tc>
          <w:tcPr>
            <w:tcW w:w="1120" w:type="dxa"/>
            <w:vAlign w:val="bottom"/>
            <w:gridSpan w:val="2"/>
          </w:tcPr>
          <w:p>
            <w:pPr>
              <w:jc w:val="center"/>
              <w:ind w:right="160"/>
              <w:spacing w:after="0" w:line="196" w:lineRule="exact"/>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90"/>
              </w:rPr>
              <w:t>000-27239</w:t>
            </w:r>
          </w:p>
        </w:tc>
        <w:tc>
          <w:tcPr>
            <w:tcW w:w="16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7"/>
              </w:rPr>
              <w:t>4.6</w:t>
            </w:r>
          </w:p>
        </w:tc>
        <w:tc>
          <w:tcPr>
            <w:tcW w:w="2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3"/>
              </w:rPr>
              <w:t>1/12/15</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240" w:type="dxa"/>
            <w:vAlign w:val="bottom"/>
          </w:tcPr>
          <w:p>
            <w:pPr>
              <w:spacing w:after="0"/>
              <w:rPr>
                <w:sz w:val="24"/>
                <w:szCs w:val="24"/>
                <w:color w:val="auto"/>
              </w:rPr>
            </w:pPr>
          </w:p>
        </w:tc>
        <w:tc>
          <w:tcPr>
            <w:tcW w:w="3660" w:type="dxa"/>
            <w:vAlign w:val="bottom"/>
            <w:tcBorders>
              <w:bottom w:val="single" w:sz="8" w:color="0000EE"/>
            </w:tcBorders>
            <w:gridSpan w:val="7"/>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Form of Placement Agent Warrant Common Stock</w:t>
              </w:r>
            </w:hyperlink>
          </w:p>
        </w:tc>
        <w:tc>
          <w:tcPr>
            <w:tcW w:w="48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r:id="rId116">
              <w:r>
                <w:rPr>
                  <w:rFonts w:ascii="Arial" w:cs="Arial" w:eastAsia="Arial" w:hAnsi="Arial"/>
                  <w:sz w:val="18"/>
                  <w:szCs w:val="18"/>
                  <w:color w:val="0000EE"/>
                  <w:w w:val="87"/>
                </w:rPr>
                <w:t>Purchase Warrants-Series C</w:t>
              </w:r>
            </w:hyperlink>
          </w:p>
        </w:tc>
        <w:tc>
          <w:tcPr>
            <w:tcW w:w="2120" w:type="dxa"/>
            <w:vAlign w:val="bottom"/>
            <w:gridSpan w:val="6"/>
          </w:tcPr>
          <w:p>
            <w:pPr>
              <w:spacing w:after="0"/>
              <w:rPr>
                <w:sz w:val="17"/>
                <w:szCs w:val="17"/>
                <w:color w:val="auto"/>
              </w:rPr>
            </w:pPr>
          </w:p>
        </w:tc>
        <w:tc>
          <w:tcPr>
            <w:tcW w:w="1120" w:type="dxa"/>
            <w:vAlign w:val="bottom"/>
            <w:gridSpan w:val="2"/>
          </w:tcPr>
          <w:p>
            <w:pPr>
              <w:jc w:val="center"/>
              <w:ind w:right="160"/>
              <w:spacing w:after="0" w:line="196" w:lineRule="exact"/>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90"/>
              </w:rPr>
              <w:t>000-27239</w:t>
            </w:r>
          </w:p>
        </w:tc>
        <w:tc>
          <w:tcPr>
            <w:tcW w:w="16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7"/>
              </w:rPr>
              <w:t>4.8</w:t>
            </w:r>
          </w:p>
        </w:tc>
        <w:tc>
          <w:tcPr>
            <w:tcW w:w="2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3"/>
              </w:rPr>
              <w:t>1/12/15</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240" w:type="dxa"/>
            <w:vAlign w:val="bottom"/>
          </w:tcPr>
          <w:p>
            <w:pPr>
              <w:spacing w:after="0"/>
              <w:rPr>
                <w:sz w:val="24"/>
                <w:szCs w:val="24"/>
                <w:color w:val="auto"/>
              </w:rPr>
            </w:pPr>
          </w:p>
        </w:tc>
        <w:tc>
          <w:tcPr>
            <w:tcW w:w="3660" w:type="dxa"/>
            <w:vAlign w:val="bottom"/>
            <w:tcBorders>
              <w:bottom w:val="single" w:sz="8" w:color="0000EE"/>
            </w:tcBorders>
            <w:gridSpan w:val="7"/>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Form of Placement Agent Warrant Common Stock</w:t>
              </w:r>
            </w:hyperlink>
          </w:p>
        </w:tc>
        <w:tc>
          <w:tcPr>
            <w:tcW w:w="48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117">
              <w:r>
                <w:rPr>
                  <w:rFonts w:ascii="Arial" w:cs="Arial" w:eastAsia="Arial" w:hAnsi="Arial"/>
                  <w:sz w:val="18"/>
                  <w:szCs w:val="18"/>
                  <w:color w:val="0000EE"/>
                  <w:w w:val="88"/>
                </w:rPr>
                <w:t>Purchase Warrants-Series D</w:t>
              </w:r>
            </w:hyperlink>
          </w:p>
        </w:tc>
        <w:tc>
          <w:tcPr>
            <w:tcW w:w="2100" w:type="dxa"/>
            <w:vAlign w:val="bottom"/>
            <w:gridSpan w:val="5"/>
          </w:tcPr>
          <w:p>
            <w:pPr>
              <w:spacing w:after="0"/>
              <w:rPr>
                <w:sz w:val="17"/>
                <w:szCs w:val="17"/>
                <w:color w:val="auto"/>
              </w:rPr>
            </w:pPr>
          </w:p>
        </w:tc>
        <w:tc>
          <w:tcPr>
            <w:tcW w:w="1120" w:type="dxa"/>
            <w:vAlign w:val="bottom"/>
            <w:gridSpan w:val="2"/>
          </w:tcPr>
          <w:p>
            <w:pPr>
              <w:jc w:val="center"/>
              <w:ind w:right="160"/>
              <w:spacing w:after="0" w:line="196" w:lineRule="exact"/>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90"/>
              </w:rPr>
              <w:t>000-27239</w:t>
            </w:r>
          </w:p>
        </w:tc>
        <w:tc>
          <w:tcPr>
            <w:tcW w:w="16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7"/>
              </w:rPr>
              <w:t>4.9</w:t>
            </w:r>
          </w:p>
        </w:tc>
        <w:tc>
          <w:tcPr>
            <w:tcW w:w="2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3"/>
              </w:rPr>
              <w:t>1/12/15</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240" w:type="dxa"/>
            <w:vAlign w:val="bottom"/>
          </w:tcPr>
          <w:p>
            <w:pPr>
              <w:spacing w:after="0"/>
              <w:rPr>
                <w:sz w:val="24"/>
                <w:szCs w:val="24"/>
                <w:color w:val="auto"/>
              </w:rPr>
            </w:pPr>
          </w:p>
        </w:tc>
        <w:tc>
          <w:tcPr>
            <w:tcW w:w="3660" w:type="dxa"/>
            <w:vAlign w:val="bottom"/>
            <w:tcBorders>
              <w:bottom w:val="single" w:sz="8" w:color="0000EE"/>
            </w:tcBorders>
            <w:gridSpan w:val="7"/>
          </w:tcPr>
          <w:p>
            <w:pPr>
              <w:spacing w:after="0"/>
              <w:rPr>
                <w:rFonts w:ascii="Arial" w:cs="Arial" w:eastAsia="Arial" w:hAnsi="Arial"/>
                <w:sz w:val="18"/>
                <w:szCs w:val="18"/>
                <w:color w:val="0000EE"/>
                <w:w w:val="90"/>
              </w:rPr>
            </w:pPr>
            <w:hyperlink r:id="rId118">
              <w:r>
                <w:rPr>
                  <w:rFonts w:ascii="Arial" w:cs="Arial" w:eastAsia="Arial" w:hAnsi="Arial"/>
                  <w:sz w:val="18"/>
                  <w:szCs w:val="18"/>
                  <w:color w:val="0000EE"/>
                  <w:w w:val="90"/>
                </w:rPr>
                <w:t>Form of Placement Agent Warrant Common Stock</w:t>
              </w:r>
            </w:hyperlink>
          </w:p>
        </w:tc>
        <w:tc>
          <w:tcPr>
            <w:tcW w:w="48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118">
              <w:r>
                <w:rPr>
                  <w:rFonts w:ascii="Arial" w:cs="Arial" w:eastAsia="Arial" w:hAnsi="Arial"/>
                  <w:sz w:val="18"/>
                  <w:szCs w:val="18"/>
                  <w:color w:val="0000EE"/>
                  <w:w w:val="86"/>
                </w:rPr>
                <w:t>Purchase Warrants-Series E</w:t>
              </w:r>
            </w:hyperlink>
          </w:p>
        </w:tc>
        <w:tc>
          <w:tcPr>
            <w:tcW w:w="2140" w:type="dxa"/>
            <w:vAlign w:val="bottom"/>
            <w:gridSpan w:val="7"/>
          </w:tcPr>
          <w:p>
            <w:pPr>
              <w:spacing w:after="0"/>
              <w:rPr>
                <w:sz w:val="17"/>
                <w:szCs w:val="17"/>
                <w:color w:val="auto"/>
              </w:rPr>
            </w:pPr>
          </w:p>
        </w:tc>
        <w:tc>
          <w:tcPr>
            <w:tcW w:w="1120" w:type="dxa"/>
            <w:vAlign w:val="bottom"/>
            <w:gridSpan w:val="2"/>
          </w:tcPr>
          <w:p>
            <w:pPr>
              <w:jc w:val="center"/>
              <w:ind w:right="160"/>
              <w:spacing w:after="0" w:line="196" w:lineRule="exact"/>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90"/>
              </w:rPr>
              <w:t>000-27239</w:t>
            </w:r>
          </w:p>
        </w:tc>
        <w:tc>
          <w:tcPr>
            <w:tcW w:w="16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91"/>
              </w:rPr>
              <w:t>4.10</w:t>
            </w:r>
          </w:p>
        </w:tc>
        <w:tc>
          <w:tcPr>
            <w:tcW w:w="2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3"/>
              </w:rPr>
              <w:t>1/12/15</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240" w:type="dxa"/>
            <w:vAlign w:val="bottom"/>
          </w:tcPr>
          <w:p>
            <w:pPr>
              <w:spacing w:after="0"/>
              <w:rPr>
                <w:sz w:val="24"/>
                <w:szCs w:val="24"/>
                <w:color w:val="auto"/>
              </w:rPr>
            </w:pPr>
          </w:p>
        </w:tc>
        <w:tc>
          <w:tcPr>
            <w:tcW w:w="3660" w:type="dxa"/>
            <w:vAlign w:val="bottom"/>
            <w:tcBorders>
              <w:bottom w:val="single" w:sz="8" w:color="0000EE"/>
            </w:tcBorders>
            <w:gridSpan w:val="7"/>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Form of Placement Agent Warrant Common Stock</w:t>
              </w:r>
            </w:hyperlink>
          </w:p>
        </w:tc>
        <w:tc>
          <w:tcPr>
            <w:tcW w:w="48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40" w:type="dxa"/>
            <w:vAlign w:val="bottom"/>
            <w:gridSpan w:val="9"/>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Purchase Warrants-Series A-1</w:t>
              </w:r>
            </w:hyperlink>
          </w:p>
        </w:tc>
        <w:tc>
          <w:tcPr>
            <w:tcW w:w="1120" w:type="dxa"/>
            <w:vAlign w:val="bottom"/>
            <w:gridSpan w:val="2"/>
          </w:tcPr>
          <w:p>
            <w:pPr>
              <w:jc w:val="center"/>
              <w:ind w:right="160"/>
              <w:spacing w:after="0" w:line="196" w:lineRule="exact"/>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90"/>
              </w:rPr>
              <w:t>000-27239</w:t>
            </w:r>
          </w:p>
        </w:tc>
        <w:tc>
          <w:tcPr>
            <w:tcW w:w="16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7"/>
              </w:rPr>
              <w:t>4.6</w:t>
            </w:r>
          </w:p>
        </w:tc>
        <w:tc>
          <w:tcPr>
            <w:tcW w:w="2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3"/>
              </w:rPr>
              <w:t>3/10/15</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2000" w:type="dxa"/>
            <w:vAlign w:val="bottom"/>
            <w:tcBorders>
              <w:left w:val="single" w:sz="8" w:color="0000EE"/>
            </w:tcBorders>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240" w:type="dxa"/>
            <w:vAlign w:val="bottom"/>
          </w:tcPr>
          <w:p>
            <w:pPr>
              <w:spacing w:after="0"/>
              <w:rPr>
                <w:sz w:val="24"/>
                <w:szCs w:val="24"/>
                <w:color w:val="auto"/>
              </w:rPr>
            </w:pPr>
          </w:p>
        </w:tc>
        <w:tc>
          <w:tcPr>
            <w:tcW w:w="3660" w:type="dxa"/>
            <w:vAlign w:val="bottom"/>
            <w:tcBorders>
              <w:bottom w:val="single" w:sz="8" w:color="0000EE"/>
            </w:tcBorders>
            <w:gridSpan w:val="7"/>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Form of Placement Agent Warrant Common Stock</w:t>
              </w:r>
            </w:hyperlink>
          </w:p>
        </w:tc>
        <w:tc>
          <w:tcPr>
            <w:tcW w:w="48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40" w:type="dxa"/>
            <w:vAlign w:val="bottom"/>
            <w:gridSpan w:val="9"/>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Purchase Warrants-Series E-1</w:t>
              </w:r>
            </w:hyperlink>
          </w:p>
        </w:tc>
        <w:tc>
          <w:tcPr>
            <w:tcW w:w="1120" w:type="dxa"/>
            <w:vAlign w:val="bottom"/>
            <w:gridSpan w:val="2"/>
          </w:tcPr>
          <w:p>
            <w:pPr>
              <w:jc w:val="center"/>
              <w:ind w:right="160"/>
              <w:spacing w:after="0" w:line="196" w:lineRule="exact"/>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90"/>
              </w:rPr>
              <w:t>000-27239</w:t>
            </w:r>
          </w:p>
        </w:tc>
        <w:tc>
          <w:tcPr>
            <w:tcW w:w="16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91"/>
              </w:rPr>
              <w:t>4.10</w:t>
            </w:r>
          </w:p>
        </w:tc>
        <w:tc>
          <w:tcPr>
            <w:tcW w:w="2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3"/>
              </w:rPr>
              <w:t>3/10/15</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6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240" w:type="dxa"/>
            <w:vAlign w:val="bottom"/>
          </w:tcPr>
          <w:p>
            <w:pPr>
              <w:spacing w:after="0"/>
              <w:rPr>
                <w:sz w:val="24"/>
                <w:szCs w:val="24"/>
                <w:color w:val="auto"/>
              </w:rPr>
            </w:pPr>
          </w:p>
        </w:tc>
        <w:tc>
          <w:tcPr>
            <w:tcW w:w="4140" w:type="dxa"/>
            <w:vAlign w:val="bottom"/>
            <w:gridSpan w:val="9"/>
          </w:tcPr>
          <w:p>
            <w:pPr>
              <w:spacing w:after="0"/>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Form of Amended Series A Warrant</w:t>
              </w:r>
            </w:hyperlink>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8/11/16</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240" w:type="dxa"/>
            <w:vAlign w:val="bottom"/>
          </w:tcPr>
          <w:p>
            <w:pPr>
              <w:spacing w:after="0"/>
              <w:rPr>
                <w:sz w:val="24"/>
                <w:szCs w:val="24"/>
                <w:color w:val="auto"/>
              </w:rPr>
            </w:pPr>
          </w:p>
        </w:tc>
        <w:tc>
          <w:tcPr>
            <w:tcW w:w="4140" w:type="dxa"/>
            <w:vAlign w:val="bottom"/>
            <w:gridSpan w:val="9"/>
          </w:tcPr>
          <w:p>
            <w:pPr>
              <w:spacing w:after="0"/>
              <w:rPr>
                <w:rFonts w:ascii="Arial" w:cs="Arial" w:eastAsia="Arial" w:hAnsi="Arial"/>
                <w:sz w:val="18"/>
                <w:szCs w:val="18"/>
                <w:u w:val="single" w:color="auto"/>
                <w:color w:val="0000EE"/>
              </w:rPr>
            </w:pPr>
            <w:hyperlink r:id="rId122">
              <w:r>
                <w:rPr>
                  <w:rFonts w:ascii="Arial" w:cs="Arial" w:eastAsia="Arial" w:hAnsi="Arial"/>
                  <w:sz w:val="18"/>
                  <w:szCs w:val="18"/>
                  <w:u w:val="single" w:color="auto"/>
                  <w:color w:val="0000EE"/>
                </w:rPr>
                <w:t>Form of Amended Series C Warrant</w:t>
              </w:r>
            </w:hyperlink>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8/11/16</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240" w:type="dxa"/>
            <w:vAlign w:val="bottom"/>
          </w:tcPr>
          <w:p>
            <w:pPr>
              <w:spacing w:after="0"/>
              <w:rPr>
                <w:sz w:val="24"/>
                <w:szCs w:val="24"/>
                <w:color w:val="auto"/>
              </w:rPr>
            </w:pPr>
          </w:p>
        </w:tc>
        <w:tc>
          <w:tcPr>
            <w:tcW w:w="4140" w:type="dxa"/>
            <w:vAlign w:val="bottom"/>
            <w:gridSpan w:val="9"/>
          </w:tcPr>
          <w:p>
            <w:pPr>
              <w:spacing w:after="0"/>
              <w:rPr>
                <w:rFonts w:ascii="Arial" w:cs="Arial" w:eastAsia="Arial" w:hAnsi="Arial"/>
                <w:sz w:val="18"/>
                <w:szCs w:val="18"/>
                <w:u w:val="single" w:color="auto"/>
                <w:color w:val="0000EE"/>
              </w:rPr>
            </w:pPr>
            <w:hyperlink r:id="rId123">
              <w:r>
                <w:rPr>
                  <w:rFonts w:ascii="Arial" w:cs="Arial" w:eastAsia="Arial" w:hAnsi="Arial"/>
                  <w:sz w:val="18"/>
                  <w:szCs w:val="18"/>
                  <w:u w:val="single" w:color="auto"/>
                  <w:color w:val="0000EE"/>
                </w:rPr>
                <w:t>Form of Amended Series D Warrant</w:t>
              </w:r>
            </w:hyperlink>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8/11/16</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60" w:type="dxa"/>
            <w:vAlign w:val="bottom"/>
          </w:tcPr>
          <w:p>
            <w:pPr>
              <w:jc w:val="right"/>
              <w:ind w:right="33"/>
              <w:spacing w:after="0"/>
              <w:rPr>
                <w:sz w:val="20"/>
                <w:szCs w:val="20"/>
                <w:color w:val="auto"/>
              </w:rPr>
            </w:pPr>
            <w:r>
              <w:rPr>
                <w:rFonts w:ascii="Arial" w:cs="Arial" w:eastAsia="Arial" w:hAnsi="Arial"/>
                <w:sz w:val="16"/>
                <w:szCs w:val="16"/>
                <w:color w:val="auto"/>
              </w:rPr>
              <w:t>4.11</w:t>
            </w:r>
          </w:p>
        </w:tc>
        <w:tc>
          <w:tcPr>
            <w:tcW w:w="240" w:type="dxa"/>
            <w:vAlign w:val="bottom"/>
          </w:tcPr>
          <w:p>
            <w:pPr>
              <w:spacing w:after="0"/>
              <w:rPr>
                <w:sz w:val="24"/>
                <w:szCs w:val="24"/>
                <w:color w:val="auto"/>
              </w:rPr>
            </w:pPr>
          </w:p>
        </w:tc>
        <w:tc>
          <w:tcPr>
            <w:tcW w:w="4140" w:type="dxa"/>
            <w:vAlign w:val="bottom"/>
            <w:gridSpan w:val="9"/>
          </w:tcPr>
          <w:p>
            <w:pPr>
              <w:spacing w:after="0"/>
              <w:rPr>
                <w:rFonts w:ascii="Arial" w:cs="Arial" w:eastAsia="Arial" w:hAnsi="Arial"/>
                <w:sz w:val="16"/>
                <w:szCs w:val="16"/>
                <w:u w:val="single" w:color="auto"/>
                <w:color w:val="0000EE"/>
              </w:rPr>
            </w:pPr>
            <w:hyperlink r:id="rId124">
              <w:r>
                <w:rPr>
                  <w:rFonts w:ascii="Arial" w:cs="Arial" w:eastAsia="Arial" w:hAnsi="Arial"/>
                  <w:sz w:val="16"/>
                  <w:szCs w:val="16"/>
                  <w:u w:val="single" w:color="auto"/>
                  <w:color w:val="0000EE"/>
                </w:rPr>
                <w:t>Form of Amended Series E Warrant</w:t>
              </w:r>
            </w:hyperlink>
          </w:p>
        </w:tc>
        <w:tc>
          <w:tcPr>
            <w:tcW w:w="1120" w:type="dxa"/>
            <w:vAlign w:val="bottom"/>
            <w:gridSpan w:val="2"/>
          </w:tcPr>
          <w:p>
            <w:pPr>
              <w:jc w:val="center"/>
              <w:ind w:right="180"/>
              <w:spacing w:after="0"/>
              <w:rPr>
                <w:sz w:val="20"/>
                <w:szCs w:val="20"/>
                <w:color w:val="auto"/>
              </w:rPr>
            </w:pPr>
            <w:r>
              <w:rPr>
                <w:rFonts w:ascii="Arial" w:cs="Arial" w:eastAsia="Arial" w:hAnsi="Arial"/>
                <w:sz w:val="16"/>
                <w:szCs w:val="16"/>
                <w:color w:val="auto"/>
              </w:rPr>
              <w:t>8-K</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000-27239</w:t>
            </w: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4.5</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8/11/16</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6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40" w:type="dxa"/>
            <w:vAlign w:val="bottom"/>
            <w:gridSpan w:val="12"/>
            <w:vMerge w:val="restart"/>
          </w:tcPr>
          <w:p>
            <w:pPr>
              <w:ind w:left="180"/>
              <w:spacing w:after="0"/>
              <w:rPr>
                <w:sz w:val="20"/>
                <w:szCs w:val="20"/>
                <w:color w:val="auto"/>
              </w:rPr>
            </w:pPr>
            <w:r>
              <w:rPr>
                <w:rFonts w:ascii="Arial" w:cs="Arial" w:eastAsia="Arial" w:hAnsi="Arial"/>
                <w:sz w:val="14"/>
                <w:szCs w:val="14"/>
                <w:b w:val="1"/>
                <w:bCs w:val="1"/>
                <w:color w:val="auto"/>
              </w:rPr>
              <w:t>Exhibit description</w:t>
            </w:r>
          </w:p>
        </w:tc>
        <w:tc>
          <w:tcPr>
            <w:tcW w:w="180" w:type="dxa"/>
            <w:vAlign w:val="bottom"/>
            <w:vMerge w:val="restart"/>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80" w:type="dxa"/>
            <w:vAlign w:val="bottom"/>
            <w:vMerge w:val="restart"/>
          </w:tcPr>
          <w:p>
            <w:pPr>
              <w:spacing w:after="0"/>
              <w:rPr>
                <w:sz w:val="10"/>
                <w:szCs w:val="10"/>
                <w:color w:val="auto"/>
              </w:rPr>
            </w:pPr>
          </w:p>
        </w:tc>
        <w:tc>
          <w:tcPr>
            <w:tcW w:w="13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File no.</w:t>
            </w:r>
          </w:p>
        </w:tc>
        <w:tc>
          <w:tcPr>
            <w:tcW w:w="160" w:type="dxa"/>
            <w:vAlign w:val="bottom"/>
            <w:vMerge w:val="restart"/>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40" w:type="dxa"/>
            <w:vAlign w:val="bottom"/>
            <w:vMerge w:val="restart"/>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1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1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date</w:t>
            </w:r>
          </w:p>
        </w:tc>
        <w:tc>
          <w:tcPr>
            <w:tcW w:w="1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0" w:type="dxa"/>
            <w:vAlign w:val="bottom"/>
          </w:tcPr>
          <w:p>
            <w:pPr>
              <w:spacing w:after="0"/>
              <w:rPr>
                <w:sz w:val="1"/>
                <w:szCs w:val="1"/>
                <w:color w:val="auto"/>
              </w:rPr>
            </w:pPr>
          </w:p>
        </w:tc>
      </w:tr>
      <w:tr>
        <w:trPr>
          <w:trHeight w:val="406"/>
        </w:trPr>
        <w:tc>
          <w:tcPr>
            <w:tcW w:w="640" w:type="dxa"/>
            <w:vAlign w:val="bottom"/>
          </w:tcPr>
          <w:p>
            <w:pPr>
              <w:jc w:val="center"/>
              <w:ind w:left="79"/>
              <w:spacing w:after="0"/>
              <w:rPr>
                <w:sz w:val="20"/>
                <w:szCs w:val="20"/>
                <w:color w:val="auto"/>
              </w:rPr>
            </w:pPr>
            <w:r>
              <w:rPr>
                <w:rFonts w:ascii="Arial" w:cs="Arial" w:eastAsia="Arial" w:hAnsi="Arial"/>
                <w:sz w:val="16"/>
                <w:szCs w:val="16"/>
                <w:color w:val="auto"/>
                <w:w w:val="89"/>
              </w:rPr>
              <w:t>4.12</w:t>
            </w:r>
          </w:p>
        </w:tc>
        <w:tc>
          <w:tcPr>
            <w:tcW w:w="280" w:type="dxa"/>
            <w:vAlign w:val="bottom"/>
          </w:tcPr>
          <w:p>
            <w:pPr>
              <w:spacing w:after="0"/>
              <w:rPr>
                <w:sz w:val="24"/>
                <w:szCs w:val="24"/>
                <w:color w:val="auto"/>
              </w:rPr>
            </w:pPr>
          </w:p>
        </w:tc>
        <w:tc>
          <w:tcPr>
            <w:tcW w:w="4120" w:type="dxa"/>
            <w:vAlign w:val="bottom"/>
            <w:gridSpan w:val="18"/>
          </w:tcPr>
          <w:p>
            <w:pPr>
              <w:spacing w:after="0"/>
              <w:rPr>
                <w:rFonts w:ascii="Arial" w:cs="Arial" w:eastAsia="Arial" w:hAnsi="Arial"/>
                <w:sz w:val="16"/>
                <w:szCs w:val="16"/>
                <w:u w:val="single" w:color="auto"/>
                <w:color w:val="0000EE"/>
              </w:rPr>
            </w:pPr>
            <w:hyperlink r:id="rId126">
              <w:r>
                <w:rPr>
                  <w:rFonts w:ascii="Arial" w:cs="Arial" w:eastAsia="Arial" w:hAnsi="Arial"/>
                  <w:sz w:val="16"/>
                  <w:szCs w:val="16"/>
                  <w:u w:val="single" w:color="auto"/>
                  <w:color w:val="0000EE"/>
                </w:rPr>
                <w:t>Form of Amended Series A-1 Warrant</w:t>
              </w:r>
            </w:hyperlink>
          </w:p>
        </w:tc>
        <w:tc>
          <w:tcPr>
            <w:tcW w:w="1120" w:type="dxa"/>
            <w:vAlign w:val="bottom"/>
            <w:gridSpan w:val="2"/>
          </w:tcPr>
          <w:p>
            <w:pPr>
              <w:jc w:val="center"/>
              <w:ind w:right="180"/>
              <w:spacing w:after="0"/>
              <w:rPr>
                <w:sz w:val="20"/>
                <w:szCs w:val="20"/>
                <w:color w:val="auto"/>
              </w:rPr>
            </w:pPr>
            <w:r>
              <w:rPr>
                <w:rFonts w:ascii="Arial" w:cs="Arial" w:eastAsia="Arial" w:hAnsi="Arial"/>
                <w:sz w:val="16"/>
                <w:szCs w:val="16"/>
                <w:color w:val="auto"/>
              </w:rPr>
              <w:t>8-K</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000-27239</w:t>
            </w: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4.6</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8/11/16</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0" w:type="dxa"/>
            <w:vAlign w:val="bottom"/>
          </w:tcPr>
          <w:p>
            <w:pPr>
              <w:jc w:val="center"/>
              <w:ind w:left="79"/>
              <w:spacing w:after="0"/>
              <w:rPr>
                <w:sz w:val="20"/>
                <w:szCs w:val="20"/>
                <w:color w:val="auto"/>
              </w:rPr>
            </w:pPr>
            <w:r>
              <w:rPr>
                <w:rFonts w:ascii="Arial" w:cs="Arial" w:eastAsia="Arial" w:hAnsi="Arial"/>
                <w:sz w:val="16"/>
                <w:szCs w:val="16"/>
                <w:color w:val="auto"/>
                <w:w w:val="89"/>
              </w:rPr>
              <w:t>4.13</w:t>
            </w:r>
          </w:p>
        </w:tc>
        <w:tc>
          <w:tcPr>
            <w:tcW w:w="280" w:type="dxa"/>
            <w:vAlign w:val="bottom"/>
          </w:tcPr>
          <w:p>
            <w:pPr>
              <w:spacing w:after="0"/>
              <w:rPr>
                <w:sz w:val="24"/>
                <w:szCs w:val="24"/>
                <w:color w:val="auto"/>
              </w:rPr>
            </w:pPr>
          </w:p>
        </w:tc>
        <w:tc>
          <w:tcPr>
            <w:tcW w:w="4120" w:type="dxa"/>
            <w:vAlign w:val="bottom"/>
            <w:gridSpan w:val="18"/>
          </w:tcPr>
          <w:p>
            <w:pPr>
              <w:spacing w:after="0"/>
              <w:rPr>
                <w:rFonts w:ascii="Arial" w:cs="Arial" w:eastAsia="Arial" w:hAnsi="Arial"/>
                <w:sz w:val="16"/>
                <w:szCs w:val="16"/>
                <w:u w:val="single" w:color="auto"/>
                <w:color w:val="0000EE"/>
              </w:rPr>
            </w:pPr>
            <w:hyperlink r:id="rId127">
              <w:r>
                <w:rPr>
                  <w:rFonts w:ascii="Arial" w:cs="Arial" w:eastAsia="Arial" w:hAnsi="Arial"/>
                  <w:sz w:val="16"/>
                  <w:szCs w:val="16"/>
                  <w:u w:val="single" w:color="auto"/>
                  <w:color w:val="0000EE"/>
                </w:rPr>
                <w:t>Form of Amended Series D-1 Warrant</w:t>
              </w:r>
            </w:hyperlink>
          </w:p>
        </w:tc>
        <w:tc>
          <w:tcPr>
            <w:tcW w:w="1120" w:type="dxa"/>
            <w:vAlign w:val="bottom"/>
            <w:gridSpan w:val="2"/>
          </w:tcPr>
          <w:p>
            <w:pPr>
              <w:jc w:val="center"/>
              <w:ind w:right="180"/>
              <w:spacing w:after="0"/>
              <w:rPr>
                <w:sz w:val="20"/>
                <w:szCs w:val="20"/>
                <w:color w:val="auto"/>
              </w:rPr>
            </w:pPr>
            <w:r>
              <w:rPr>
                <w:rFonts w:ascii="Arial" w:cs="Arial" w:eastAsia="Arial" w:hAnsi="Arial"/>
                <w:sz w:val="16"/>
                <w:szCs w:val="16"/>
                <w:color w:val="auto"/>
              </w:rPr>
              <w:t>8-K</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000-27239</w:t>
            </w: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4.7</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8/11/16</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0" w:type="dxa"/>
            <w:vAlign w:val="bottom"/>
          </w:tcPr>
          <w:p>
            <w:pPr>
              <w:jc w:val="center"/>
              <w:ind w:left="79"/>
              <w:spacing w:after="0"/>
              <w:rPr>
                <w:sz w:val="20"/>
                <w:szCs w:val="20"/>
                <w:color w:val="auto"/>
              </w:rPr>
            </w:pPr>
            <w:r>
              <w:rPr>
                <w:rFonts w:ascii="Arial" w:cs="Arial" w:eastAsia="Arial" w:hAnsi="Arial"/>
                <w:sz w:val="16"/>
                <w:szCs w:val="16"/>
                <w:color w:val="auto"/>
                <w:w w:val="89"/>
              </w:rPr>
              <w:t>4.14</w:t>
            </w:r>
          </w:p>
        </w:tc>
        <w:tc>
          <w:tcPr>
            <w:tcW w:w="280" w:type="dxa"/>
            <w:vAlign w:val="bottom"/>
          </w:tcPr>
          <w:p>
            <w:pPr>
              <w:spacing w:after="0"/>
              <w:rPr>
                <w:sz w:val="24"/>
                <w:szCs w:val="24"/>
                <w:color w:val="auto"/>
              </w:rPr>
            </w:pPr>
          </w:p>
        </w:tc>
        <w:tc>
          <w:tcPr>
            <w:tcW w:w="4120" w:type="dxa"/>
            <w:vAlign w:val="bottom"/>
            <w:gridSpan w:val="18"/>
          </w:tcPr>
          <w:p>
            <w:pPr>
              <w:spacing w:after="0"/>
              <w:rPr>
                <w:rFonts w:ascii="Arial" w:cs="Arial" w:eastAsia="Arial" w:hAnsi="Arial"/>
                <w:sz w:val="16"/>
                <w:szCs w:val="16"/>
                <w:u w:val="single" w:color="auto"/>
                <w:color w:val="0000EE"/>
              </w:rPr>
            </w:pPr>
            <w:hyperlink r:id="rId128">
              <w:r>
                <w:rPr>
                  <w:rFonts w:ascii="Arial" w:cs="Arial" w:eastAsia="Arial" w:hAnsi="Arial"/>
                  <w:sz w:val="16"/>
                  <w:szCs w:val="16"/>
                  <w:u w:val="single" w:color="auto"/>
                  <w:color w:val="0000EE"/>
                </w:rPr>
                <w:t>Form of Series F Warrant</w:t>
              </w:r>
            </w:hyperlink>
          </w:p>
        </w:tc>
        <w:tc>
          <w:tcPr>
            <w:tcW w:w="1120" w:type="dxa"/>
            <w:vAlign w:val="bottom"/>
            <w:gridSpan w:val="2"/>
          </w:tcPr>
          <w:p>
            <w:pPr>
              <w:jc w:val="center"/>
              <w:ind w:right="180"/>
              <w:spacing w:after="0"/>
              <w:rPr>
                <w:sz w:val="20"/>
                <w:szCs w:val="20"/>
                <w:color w:val="auto"/>
              </w:rPr>
            </w:pPr>
            <w:r>
              <w:rPr>
                <w:rFonts w:ascii="Arial" w:cs="Arial" w:eastAsia="Arial" w:hAnsi="Arial"/>
                <w:sz w:val="16"/>
                <w:szCs w:val="16"/>
                <w:color w:val="auto"/>
              </w:rPr>
              <w:t>8-K</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000-27239</w:t>
            </w: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4.9</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8/11/16</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0" w:type="dxa"/>
            <w:vAlign w:val="bottom"/>
          </w:tcPr>
          <w:p>
            <w:pPr>
              <w:jc w:val="center"/>
              <w:ind w:left="79"/>
              <w:spacing w:after="0"/>
              <w:rPr>
                <w:sz w:val="20"/>
                <w:szCs w:val="20"/>
                <w:color w:val="auto"/>
              </w:rPr>
            </w:pPr>
            <w:r>
              <w:rPr>
                <w:rFonts w:ascii="Arial" w:cs="Arial" w:eastAsia="Arial" w:hAnsi="Arial"/>
                <w:sz w:val="16"/>
                <w:szCs w:val="16"/>
                <w:color w:val="auto"/>
                <w:w w:val="89"/>
              </w:rPr>
              <w:t>4.15</w:t>
            </w:r>
          </w:p>
        </w:tc>
        <w:tc>
          <w:tcPr>
            <w:tcW w:w="280" w:type="dxa"/>
            <w:vAlign w:val="bottom"/>
          </w:tcPr>
          <w:p>
            <w:pPr>
              <w:spacing w:after="0"/>
              <w:rPr>
                <w:sz w:val="24"/>
                <w:szCs w:val="24"/>
                <w:color w:val="auto"/>
              </w:rPr>
            </w:pPr>
          </w:p>
        </w:tc>
        <w:tc>
          <w:tcPr>
            <w:tcW w:w="4120" w:type="dxa"/>
            <w:vAlign w:val="bottom"/>
            <w:gridSpan w:val="18"/>
          </w:tcPr>
          <w:p>
            <w:pPr>
              <w:spacing w:after="0"/>
              <w:rPr>
                <w:rFonts w:ascii="Arial" w:cs="Arial" w:eastAsia="Arial" w:hAnsi="Arial"/>
                <w:sz w:val="16"/>
                <w:szCs w:val="16"/>
                <w:u w:val="single" w:color="auto"/>
                <w:color w:val="0000EE"/>
              </w:rPr>
            </w:pPr>
            <w:hyperlink r:id="rId129">
              <w:r>
                <w:rPr>
                  <w:rFonts w:ascii="Arial" w:cs="Arial" w:eastAsia="Arial" w:hAnsi="Arial"/>
                  <w:sz w:val="16"/>
                  <w:szCs w:val="16"/>
                  <w:u w:val="single" w:color="auto"/>
                  <w:color w:val="0000EE"/>
                </w:rPr>
                <w:t>Form of Series F-1 Warrant</w:t>
              </w:r>
            </w:hyperlink>
          </w:p>
        </w:tc>
        <w:tc>
          <w:tcPr>
            <w:tcW w:w="1120" w:type="dxa"/>
            <w:vAlign w:val="bottom"/>
            <w:gridSpan w:val="2"/>
          </w:tcPr>
          <w:p>
            <w:pPr>
              <w:jc w:val="center"/>
              <w:ind w:right="180"/>
              <w:spacing w:after="0"/>
              <w:rPr>
                <w:sz w:val="20"/>
                <w:szCs w:val="20"/>
                <w:color w:val="auto"/>
              </w:rPr>
            </w:pPr>
            <w:r>
              <w:rPr>
                <w:rFonts w:ascii="Arial" w:cs="Arial" w:eastAsia="Arial" w:hAnsi="Arial"/>
                <w:sz w:val="16"/>
                <w:szCs w:val="16"/>
                <w:color w:val="auto"/>
              </w:rPr>
              <w:t>8-K</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000-27239</w:t>
            </w: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4.10</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8/11/16</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0" w:type="dxa"/>
            <w:vAlign w:val="bottom"/>
          </w:tcPr>
          <w:p>
            <w:pPr>
              <w:jc w:val="center"/>
              <w:ind w:left="79"/>
              <w:spacing w:after="0"/>
              <w:rPr>
                <w:sz w:val="20"/>
                <w:szCs w:val="20"/>
                <w:color w:val="auto"/>
              </w:rPr>
            </w:pPr>
            <w:r>
              <w:rPr>
                <w:rFonts w:ascii="Arial" w:cs="Arial" w:eastAsia="Arial" w:hAnsi="Arial"/>
                <w:sz w:val="16"/>
                <w:szCs w:val="16"/>
                <w:color w:val="auto"/>
                <w:w w:val="89"/>
              </w:rPr>
              <w:t>4.16</w:t>
            </w:r>
          </w:p>
        </w:tc>
        <w:tc>
          <w:tcPr>
            <w:tcW w:w="280" w:type="dxa"/>
            <w:vAlign w:val="bottom"/>
          </w:tcPr>
          <w:p>
            <w:pPr>
              <w:spacing w:after="0"/>
              <w:rPr>
                <w:sz w:val="24"/>
                <w:szCs w:val="24"/>
                <w:color w:val="auto"/>
              </w:rPr>
            </w:pPr>
          </w:p>
        </w:tc>
        <w:tc>
          <w:tcPr>
            <w:tcW w:w="4120" w:type="dxa"/>
            <w:vAlign w:val="bottom"/>
            <w:gridSpan w:val="18"/>
          </w:tcPr>
          <w:p>
            <w:pPr>
              <w:spacing w:after="0"/>
              <w:rPr>
                <w:rFonts w:ascii="Arial" w:cs="Arial" w:eastAsia="Arial" w:hAnsi="Arial"/>
                <w:sz w:val="16"/>
                <w:szCs w:val="16"/>
                <w:u w:val="single" w:color="auto"/>
                <w:color w:val="0000EE"/>
              </w:rPr>
            </w:pPr>
            <w:hyperlink r:id="rId130">
              <w:r>
                <w:rPr>
                  <w:rFonts w:ascii="Arial" w:cs="Arial" w:eastAsia="Arial" w:hAnsi="Arial"/>
                  <w:sz w:val="16"/>
                  <w:szCs w:val="16"/>
                  <w:u w:val="single" w:color="auto"/>
                  <w:color w:val="0000EE"/>
                </w:rPr>
                <w:t>Form of August 2016 Private Placement Warrant</w:t>
              </w:r>
            </w:hyperlink>
          </w:p>
        </w:tc>
        <w:tc>
          <w:tcPr>
            <w:tcW w:w="1120" w:type="dxa"/>
            <w:vAlign w:val="bottom"/>
            <w:gridSpan w:val="2"/>
          </w:tcPr>
          <w:p>
            <w:pPr>
              <w:jc w:val="center"/>
              <w:ind w:right="180"/>
              <w:spacing w:after="0"/>
              <w:rPr>
                <w:sz w:val="20"/>
                <w:szCs w:val="20"/>
                <w:color w:val="auto"/>
              </w:rPr>
            </w:pPr>
            <w:r>
              <w:rPr>
                <w:rFonts w:ascii="Arial" w:cs="Arial" w:eastAsia="Arial" w:hAnsi="Arial"/>
                <w:sz w:val="16"/>
                <w:szCs w:val="16"/>
                <w:color w:val="auto"/>
              </w:rPr>
              <w:t>8-K</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000-27239</w:t>
            </w: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8/11/16</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0" w:type="dxa"/>
            <w:vAlign w:val="bottom"/>
          </w:tcPr>
          <w:p>
            <w:pPr>
              <w:jc w:val="center"/>
              <w:ind w:left="79"/>
              <w:spacing w:after="0"/>
              <w:rPr>
                <w:sz w:val="20"/>
                <w:szCs w:val="20"/>
                <w:color w:val="auto"/>
              </w:rPr>
            </w:pPr>
            <w:r>
              <w:rPr>
                <w:rFonts w:ascii="Arial" w:cs="Arial" w:eastAsia="Arial" w:hAnsi="Arial"/>
                <w:sz w:val="16"/>
                <w:szCs w:val="16"/>
                <w:color w:val="auto"/>
                <w:w w:val="89"/>
              </w:rPr>
              <w:t>4.17</w:t>
            </w:r>
          </w:p>
        </w:tc>
        <w:tc>
          <w:tcPr>
            <w:tcW w:w="280" w:type="dxa"/>
            <w:vAlign w:val="bottom"/>
          </w:tcPr>
          <w:p>
            <w:pPr>
              <w:spacing w:after="0"/>
              <w:rPr>
                <w:sz w:val="24"/>
                <w:szCs w:val="24"/>
                <w:color w:val="auto"/>
              </w:rPr>
            </w:pPr>
          </w:p>
        </w:tc>
        <w:tc>
          <w:tcPr>
            <w:tcW w:w="4120" w:type="dxa"/>
            <w:vAlign w:val="bottom"/>
            <w:gridSpan w:val="18"/>
          </w:tcPr>
          <w:p>
            <w:pPr>
              <w:spacing w:after="0"/>
              <w:rPr>
                <w:rFonts w:ascii="Arial" w:cs="Arial" w:eastAsia="Arial" w:hAnsi="Arial"/>
                <w:sz w:val="16"/>
                <w:szCs w:val="16"/>
                <w:u w:val="single" w:color="auto"/>
                <w:color w:val="0000EE"/>
              </w:rPr>
            </w:pPr>
            <w:hyperlink r:id="rId131">
              <w:r>
                <w:rPr>
                  <w:rFonts w:ascii="Arial" w:cs="Arial" w:eastAsia="Arial" w:hAnsi="Arial"/>
                  <w:sz w:val="16"/>
                  <w:szCs w:val="16"/>
                  <w:u w:val="single" w:color="auto"/>
                  <w:color w:val="0000EE"/>
                </w:rPr>
                <w:t>Form of 2016 Private Placement Agent Warrant</w:t>
              </w:r>
            </w:hyperlink>
          </w:p>
        </w:tc>
        <w:tc>
          <w:tcPr>
            <w:tcW w:w="1120" w:type="dxa"/>
            <w:vAlign w:val="bottom"/>
            <w:gridSpan w:val="2"/>
          </w:tcPr>
          <w:p>
            <w:pPr>
              <w:jc w:val="center"/>
              <w:ind w:right="180"/>
              <w:spacing w:after="0"/>
              <w:rPr>
                <w:sz w:val="20"/>
                <w:szCs w:val="20"/>
                <w:color w:val="auto"/>
              </w:rPr>
            </w:pPr>
            <w:r>
              <w:rPr>
                <w:rFonts w:ascii="Arial" w:cs="Arial" w:eastAsia="Arial" w:hAnsi="Arial"/>
                <w:sz w:val="16"/>
                <w:szCs w:val="16"/>
                <w:color w:val="auto"/>
              </w:rPr>
              <w:t>8-K</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000-27239</w:t>
            </w: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4.11</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8/11/16</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0" w:type="dxa"/>
            <w:vAlign w:val="bottom"/>
          </w:tcPr>
          <w:p>
            <w:pPr>
              <w:jc w:val="center"/>
              <w:ind w:left="79"/>
              <w:spacing w:after="0"/>
              <w:rPr>
                <w:sz w:val="20"/>
                <w:szCs w:val="20"/>
                <w:color w:val="auto"/>
              </w:rPr>
            </w:pPr>
            <w:r>
              <w:rPr>
                <w:rFonts w:ascii="Arial" w:cs="Arial" w:eastAsia="Arial" w:hAnsi="Arial"/>
                <w:sz w:val="16"/>
                <w:szCs w:val="16"/>
                <w:color w:val="auto"/>
                <w:w w:val="89"/>
              </w:rPr>
              <w:t>4.18</w:t>
            </w:r>
          </w:p>
        </w:tc>
        <w:tc>
          <w:tcPr>
            <w:tcW w:w="280" w:type="dxa"/>
            <w:vAlign w:val="bottom"/>
          </w:tcPr>
          <w:p>
            <w:pPr>
              <w:spacing w:after="0"/>
              <w:rPr>
                <w:sz w:val="24"/>
                <w:szCs w:val="24"/>
                <w:color w:val="auto"/>
              </w:rPr>
            </w:pPr>
          </w:p>
        </w:tc>
        <w:tc>
          <w:tcPr>
            <w:tcW w:w="4120" w:type="dxa"/>
            <w:vAlign w:val="bottom"/>
            <w:gridSpan w:val="18"/>
          </w:tcPr>
          <w:p>
            <w:pPr>
              <w:spacing w:after="0"/>
              <w:rPr>
                <w:rFonts w:ascii="Arial" w:cs="Arial" w:eastAsia="Arial" w:hAnsi="Arial"/>
                <w:sz w:val="16"/>
                <w:szCs w:val="16"/>
                <w:u w:val="single" w:color="auto"/>
                <w:color w:val="0000EE"/>
              </w:rPr>
            </w:pPr>
            <w:hyperlink r:id="rId132">
              <w:r>
                <w:rPr>
                  <w:rFonts w:ascii="Arial" w:cs="Arial" w:eastAsia="Arial" w:hAnsi="Arial"/>
                  <w:sz w:val="16"/>
                  <w:szCs w:val="16"/>
                  <w:u w:val="single" w:color="auto"/>
                  <w:color w:val="0000EE"/>
                </w:rPr>
                <w:t>Form of June 2017 Private Placement Warrant</w:t>
              </w:r>
            </w:hyperlink>
          </w:p>
        </w:tc>
        <w:tc>
          <w:tcPr>
            <w:tcW w:w="1120" w:type="dxa"/>
            <w:vAlign w:val="bottom"/>
            <w:gridSpan w:val="2"/>
          </w:tcPr>
          <w:p>
            <w:pPr>
              <w:jc w:val="center"/>
              <w:ind w:right="180"/>
              <w:spacing w:after="0"/>
              <w:rPr>
                <w:sz w:val="20"/>
                <w:szCs w:val="20"/>
                <w:color w:val="auto"/>
              </w:rPr>
            </w:pPr>
            <w:r>
              <w:rPr>
                <w:rFonts w:ascii="Arial" w:cs="Arial" w:eastAsia="Arial" w:hAnsi="Arial"/>
                <w:sz w:val="16"/>
                <w:szCs w:val="16"/>
                <w:color w:val="auto"/>
              </w:rPr>
              <w:t>8-K</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001-37939</w:t>
            </w: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6/22/17</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0" w:type="dxa"/>
            <w:vAlign w:val="bottom"/>
          </w:tcPr>
          <w:p>
            <w:pPr>
              <w:jc w:val="center"/>
              <w:ind w:left="79"/>
              <w:spacing w:after="0"/>
              <w:rPr>
                <w:sz w:val="20"/>
                <w:szCs w:val="20"/>
                <w:color w:val="auto"/>
              </w:rPr>
            </w:pPr>
            <w:r>
              <w:rPr>
                <w:rFonts w:ascii="Arial" w:cs="Arial" w:eastAsia="Arial" w:hAnsi="Arial"/>
                <w:sz w:val="16"/>
                <w:szCs w:val="16"/>
                <w:color w:val="auto"/>
                <w:w w:val="89"/>
              </w:rPr>
              <w:t>4.19</w:t>
            </w:r>
          </w:p>
        </w:tc>
        <w:tc>
          <w:tcPr>
            <w:tcW w:w="280" w:type="dxa"/>
            <w:vAlign w:val="bottom"/>
          </w:tcPr>
          <w:p>
            <w:pPr>
              <w:spacing w:after="0"/>
              <w:rPr>
                <w:sz w:val="24"/>
                <w:szCs w:val="24"/>
                <w:color w:val="auto"/>
              </w:rPr>
            </w:pPr>
          </w:p>
        </w:tc>
        <w:tc>
          <w:tcPr>
            <w:tcW w:w="4120" w:type="dxa"/>
            <w:vAlign w:val="bottom"/>
            <w:gridSpan w:val="18"/>
          </w:tcPr>
          <w:p>
            <w:pPr>
              <w:spacing w:after="0"/>
              <w:rPr>
                <w:rFonts w:ascii="Arial" w:cs="Arial" w:eastAsia="Arial" w:hAnsi="Arial"/>
                <w:sz w:val="16"/>
                <w:szCs w:val="16"/>
                <w:u w:val="single" w:color="auto"/>
                <w:color w:val="0000EE"/>
              </w:rPr>
            </w:pPr>
            <w:hyperlink r:id="rId133">
              <w:r>
                <w:rPr>
                  <w:rFonts w:ascii="Arial" w:cs="Arial" w:eastAsia="Arial" w:hAnsi="Arial"/>
                  <w:sz w:val="16"/>
                  <w:szCs w:val="16"/>
                  <w:u w:val="single" w:color="auto"/>
                  <w:color w:val="0000EE"/>
                </w:rPr>
                <w:t>Form of 2017 Private Placement Agent Warrant</w:t>
              </w:r>
            </w:hyperlink>
          </w:p>
        </w:tc>
        <w:tc>
          <w:tcPr>
            <w:tcW w:w="1120" w:type="dxa"/>
            <w:vAlign w:val="bottom"/>
            <w:gridSpan w:val="2"/>
          </w:tcPr>
          <w:p>
            <w:pPr>
              <w:jc w:val="center"/>
              <w:ind w:right="180"/>
              <w:spacing w:after="0"/>
              <w:rPr>
                <w:sz w:val="20"/>
                <w:szCs w:val="20"/>
                <w:color w:val="auto"/>
              </w:rPr>
            </w:pPr>
            <w:r>
              <w:rPr>
                <w:rFonts w:ascii="Arial" w:cs="Arial" w:eastAsia="Arial" w:hAnsi="Arial"/>
                <w:sz w:val="16"/>
                <w:szCs w:val="16"/>
                <w:color w:val="auto"/>
              </w:rPr>
              <w:t>8-K</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001-37939</w:t>
            </w: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6/22/17</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640" w:type="dxa"/>
            <w:vAlign w:val="bottom"/>
          </w:tcPr>
          <w:p>
            <w:pPr>
              <w:jc w:val="center"/>
              <w:ind w:left="79"/>
              <w:spacing w:after="0"/>
              <w:rPr>
                <w:sz w:val="20"/>
                <w:szCs w:val="20"/>
                <w:color w:val="auto"/>
              </w:rPr>
            </w:pPr>
            <w:r>
              <w:rPr>
                <w:rFonts w:ascii="Arial" w:cs="Arial" w:eastAsia="Arial" w:hAnsi="Arial"/>
                <w:sz w:val="16"/>
                <w:szCs w:val="16"/>
                <w:color w:val="auto"/>
                <w:w w:val="89"/>
              </w:rPr>
              <w:t>4.20</w:t>
            </w:r>
          </w:p>
        </w:tc>
        <w:tc>
          <w:tcPr>
            <w:tcW w:w="280" w:type="dxa"/>
            <w:vAlign w:val="bottom"/>
          </w:tcPr>
          <w:p>
            <w:pPr>
              <w:spacing w:after="0"/>
              <w:rPr>
                <w:sz w:val="24"/>
                <w:szCs w:val="24"/>
                <w:color w:val="auto"/>
              </w:rPr>
            </w:pPr>
          </w:p>
        </w:tc>
        <w:tc>
          <w:tcPr>
            <w:tcW w:w="3580" w:type="dxa"/>
            <w:vAlign w:val="bottom"/>
            <w:tcBorders>
              <w:bottom w:val="single" w:sz="8" w:color="0000EE"/>
            </w:tcBorders>
            <w:gridSpan w:val="10"/>
          </w:tcPr>
          <w:p>
            <w:pPr>
              <w:spacing w:after="0"/>
              <w:rPr>
                <w:rFonts w:ascii="Arial" w:cs="Arial" w:eastAsia="Arial" w:hAnsi="Arial"/>
                <w:sz w:val="16"/>
                <w:szCs w:val="16"/>
                <w:color w:val="0000EE"/>
                <w:w w:val="92"/>
              </w:rPr>
            </w:pPr>
            <w:hyperlink r:id="rId134">
              <w:r>
                <w:rPr>
                  <w:rFonts w:ascii="Arial" w:cs="Arial" w:eastAsia="Arial" w:hAnsi="Arial"/>
                  <w:sz w:val="16"/>
                  <w:szCs w:val="16"/>
                  <w:color w:val="0000EE"/>
                  <w:w w:val="92"/>
                </w:rPr>
                <w:t>Form of Warrant Amendment Agreement August 2016</w:t>
              </w:r>
            </w:hyperlink>
          </w:p>
        </w:tc>
        <w:tc>
          <w:tcPr>
            <w:tcW w:w="540" w:type="dxa"/>
            <w:vAlign w:val="bottom"/>
            <w:gridSpan w:val="8"/>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120" w:type="dxa"/>
            <w:vAlign w:val="bottom"/>
            <w:gridSpan w:val="18"/>
          </w:tcPr>
          <w:p>
            <w:pPr>
              <w:spacing w:after="0" w:line="183" w:lineRule="exact"/>
              <w:rPr>
                <w:rFonts w:ascii="Arial" w:cs="Arial" w:eastAsia="Arial" w:hAnsi="Arial"/>
                <w:sz w:val="16"/>
                <w:szCs w:val="16"/>
                <w:color w:val="0000EE"/>
              </w:rPr>
            </w:pPr>
            <w:hyperlink r:id="rId134">
              <w:r>
                <w:rPr>
                  <w:rFonts w:ascii="Arial" w:cs="Arial" w:eastAsia="Arial" w:hAnsi="Arial"/>
                  <w:sz w:val="16"/>
                  <w:szCs w:val="16"/>
                  <w:color w:val="0000EE"/>
                </w:rPr>
                <w:t>Private Placement</w:t>
              </w:r>
            </w:hyperlink>
          </w:p>
        </w:tc>
        <w:tc>
          <w:tcPr>
            <w:tcW w:w="1120" w:type="dxa"/>
            <w:vAlign w:val="bottom"/>
            <w:gridSpan w:val="2"/>
          </w:tcPr>
          <w:p>
            <w:pPr>
              <w:jc w:val="center"/>
              <w:ind w:right="180"/>
              <w:spacing w:after="0" w:line="183" w:lineRule="exact"/>
              <w:rPr>
                <w:sz w:val="20"/>
                <w:szCs w:val="20"/>
                <w:color w:val="auto"/>
              </w:rPr>
            </w:pPr>
            <w:r>
              <w:rPr>
                <w:rFonts w:ascii="Arial" w:cs="Arial" w:eastAsia="Arial" w:hAnsi="Arial"/>
                <w:sz w:val="16"/>
                <w:szCs w:val="16"/>
                <w:color w:val="auto"/>
              </w:rPr>
              <w:t>8-K</w:t>
            </w:r>
          </w:p>
        </w:tc>
        <w:tc>
          <w:tcPr>
            <w:tcW w:w="1300" w:type="dxa"/>
            <w:vAlign w:val="bottom"/>
          </w:tcPr>
          <w:p>
            <w:pPr>
              <w:jc w:val="center"/>
              <w:spacing w:after="0" w:line="183" w:lineRule="exact"/>
              <w:rPr>
                <w:sz w:val="20"/>
                <w:szCs w:val="20"/>
                <w:color w:val="auto"/>
              </w:rPr>
            </w:pPr>
            <w:r>
              <w:rPr>
                <w:rFonts w:ascii="Arial" w:cs="Arial" w:eastAsia="Arial" w:hAnsi="Arial"/>
                <w:sz w:val="16"/>
                <w:szCs w:val="16"/>
                <w:color w:val="auto"/>
                <w:w w:val="91"/>
              </w:rPr>
              <w:t>000-27239</w:t>
            </w:r>
          </w:p>
        </w:tc>
        <w:tc>
          <w:tcPr>
            <w:tcW w:w="16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Arial" w:cs="Arial" w:eastAsia="Arial" w:hAnsi="Arial"/>
                <w:sz w:val="16"/>
                <w:szCs w:val="16"/>
                <w:color w:val="auto"/>
                <w:w w:val="89"/>
              </w:rPr>
              <w:t>10.3</w:t>
            </w:r>
          </w:p>
        </w:tc>
        <w:tc>
          <w:tcPr>
            <w:tcW w:w="240" w:type="dxa"/>
            <w:vAlign w:val="bottom"/>
          </w:tcPr>
          <w:p>
            <w:pPr>
              <w:spacing w:after="0"/>
              <w:rPr>
                <w:sz w:val="15"/>
                <w:szCs w:val="15"/>
                <w:color w:val="auto"/>
              </w:rPr>
            </w:pPr>
          </w:p>
        </w:tc>
        <w:tc>
          <w:tcPr>
            <w:tcW w:w="740" w:type="dxa"/>
            <w:vAlign w:val="bottom"/>
          </w:tcPr>
          <w:p>
            <w:pPr>
              <w:jc w:val="center"/>
              <w:spacing w:after="0" w:line="183" w:lineRule="exact"/>
              <w:rPr>
                <w:sz w:val="20"/>
                <w:szCs w:val="20"/>
                <w:color w:val="auto"/>
              </w:rPr>
            </w:pPr>
            <w:r>
              <w:rPr>
                <w:rFonts w:ascii="Arial" w:cs="Arial" w:eastAsia="Arial" w:hAnsi="Arial"/>
                <w:sz w:val="16"/>
                <w:szCs w:val="16"/>
                <w:color w:val="auto"/>
                <w:w w:val="89"/>
              </w:rPr>
              <w:t>8/11/16</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40" w:type="dxa"/>
            <w:vAlign w:val="bottom"/>
          </w:tcPr>
          <w:p>
            <w:pPr>
              <w:jc w:val="center"/>
              <w:ind w:left="79"/>
              <w:spacing w:after="0"/>
              <w:rPr>
                <w:sz w:val="20"/>
                <w:szCs w:val="20"/>
                <w:color w:val="auto"/>
              </w:rPr>
            </w:pPr>
            <w:r>
              <w:rPr>
                <w:rFonts w:ascii="Arial" w:cs="Arial" w:eastAsia="Arial" w:hAnsi="Arial"/>
                <w:sz w:val="16"/>
                <w:szCs w:val="16"/>
                <w:color w:val="auto"/>
                <w:w w:val="89"/>
              </w:rPr>
              <w:t>4.21</w:t>
            </w:r>
          </w:p>
        </w:tc>
        <w:tc>
          <w:tcPr>
            <w:tcW w:w="280" w:type="dxa"/>
            <w:vAlign w:val="bottom"/>
          </w:tcPr>
          <w:p>
            <w:pPr>
              <w:spacing w:after="0"/>
              <w:rPr>
                <w:sz w:val="24"/>
                <w:szCs w:val="24"/>
                <w:color w:val="auto"/>
              </w:rPr>
            </w:pPr>
          </w:p>
        </w:tc>
        <w:tc>
          <w:tcPr>
            <w:tcW w:w="4120" w:type="dxa"/>
            <w:vAlign w:val="bottom"/>
            <w:gridSpan w:val="18"/>
          </w:tcPr>
          <w:p>
            <w:pPr>
              <w:spacing w:after="0"/>
              <w:rPr>
                <w:rFonts w:ascii="Arial" w:cs="Arial" w:eastAsia="Arial" w:hAnsi="Arial"/>
                <w:sz w:val="16"/>
                <w:szCs w:val="16"/>
                <w:u w:val="single" w:color="auto"/>
                <w:color w:val="0000EE"/>
              </w:rPr>
            </w:pPr>
            <w:hyperlink r:id="rId135">
              <w:r>
                <w:rPr>
                  <w:rFonts w:ascii="Arial" w:cs="Arial" w:eastAsia="Arial" w:hAnsi="Arial"/>
                  <w:sz w:val="16"/>
                  <w:szCs w:val="16"/>
                  <w:u w:val="single" w:color="auto"/>
                  <w:color w:val="0000EE"/>
                </w:rPr>
                <w:t>Form of Warrant Exercise Agreement</w:t>
              </w:r>
            </w:hyperlink>
          </w:p>
        </w:tc>
        <w:tc>
          <w:tcPr>
            <w:tcW w:w="1120" w:type="dxa"/>
            <w:vAlign w:val="bottom"/>
            <w:gridSpan w:val="2"/>
          </w:tcPr>
          <w:p>
            <w:pPr>
              <w:jc w:val="center"/>
              <w:ind w:right="180"/>
              <w:spacing w:after="0"/>
              <w:rPr>
                <w:sz w:val="20"/>
                <w:szCs w:val="20"/>
                <w:color w:val="auto"/>
              </w:rPr>
            </w:pPr>
            <w:r>
              <w:rPr>
                <w:rFonts w:ascii="Arial" w:cs="Arial" w:eastAsia="Arial" w:hAnsi="Arial"/>
                <w:sz w:val="16"/>
                <w:szCs w:val="16"/>
                <w:color w:val="auto"/>
              </w:rPr>
              <w:t>8-K</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001-37939</w:t>
            </w: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6/22/17</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0" w:type="dxa"/>
            <w:vAlign w:val="bottom"/>
          </w:tcPr>
          <w:p>
            <w:pPr>
              <w:jc w:val="center"/>
              <w:ind w:left="79"/>
              <w:spacing w:after="0"/>
              <w:rPr>
                <w:sz w:val="20"/>
                <w:szCs w:val="20"/>
                <w:color w:val="auto"/>
              </w:rPr>
            </w:pPr>
            <w:r>
              <w:rPr>
                <w:rFonts w:ascii="Arial" w:cs="Arial" w:eastAsia="Arial" w:hAnsi="Arial"/>
                <w:sz w:val="16"/>
                <w:szCs w:val="16"/>
                <w:color w:val="auto"/>
                <w:w w:val="89"/>
              </w:rPr>
              <w:t>4.22</w:t>
            </w:r>
          </w:p>
        </w:tc>
        <w:tc>
          <w:tcPr>
            <w:tcW w:w="280" w:type="dxa"/>
            <w:vAlign w:val="bottom"/>
          </w:tcPr>
          <w:p>
            <w:pPr>
              <w:spacing w:after="0"/>
              <w:rPr>
                <w:sz w:val="24"/>
                <w:szCs w:val="24"/>
                <w:color w:val="auto"/>
              </w:rPr>
            </w:pPr>
          </w:p>
        </w:tc>
        <w:tc>
          <w:tcPr>
            <w:tcW w:w="4120" w:type="dxa"/>
            <w:vAlign w:val="bottom"/>
            <w:gridSpan w:val="18"/>
          </w:tcPr>
          <w:p>
            <w:pPr>
              <w:spacing w:after="0"/>
              <w:rPr>
                <w:rFonts w:ascii="Arial" w:cs="Arial" w:eastAsia="Arial" w:hAnsi="Arial"/>
                <w:sz w:val="16"/>
                <w:szCs w:val="16"/>
                <w:u w:val="single" w:color="auto"/>
                <w:color w:val="0000EE"/>
              </w:rPr>
            </w:pPr>
            <w:hyperlink r:id="rId136">
              <w:r>
                <w:rPr>
                  <w:rFonts w:ascii="Arial" w:cs="Arial" w:eastAsia="Arial" w:hAnsi="Arial"/>
                  <w:sz w:val="16"/>
                  <w:szCs w:val="16"/>
                  <w:u w:val="single" w:color="auto"/>
                  <w:color w:val="0000EE"/>
                </w:rPr>
                <w:t>Form of Private Placement Warrant</w:t>
              </w:r>
            </w:hyperlink>
          </w:p>
        </w:tc>
        <w:tc>
          <w:tcPr>
            <w:tcW w:w="1120" w:type="dxa"/>
            <w:vAlign w:val="bottom"/>
            <w:gridSpan w:val="2"/>
          </w:tcPr>
          <w:p>
            <w:pPr>
              <w:jc w:val="center"/>
              <w:ind w:right="180"/>
              <w:spacing w:after="0"/>
              <w:rPr>
                <w:sz w:val="20"/>
                <w:szCs w:val="20"/>
                <w:color w:val="auto"/>
              </w:rPr>
            </w:pPr>
            <w:r>
              <w:rPr>
                <w:rFonts w:ascii="Arial" w:cs="Arial" w:eastAsia="Arial" w:hAnsi="Arial"/>
                <w:sz w:val="16"/>
                <w:szCs w:val="16"/>
                <w:color w:val="auto"/>
              </w:rPr>
              <w:t>8-K</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001-37939</w:t>
            </w: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6/8/18</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0" w:type="dxa"/>
            <w:vAlign w:val="bottom"/>
          </w:tcPr>
          <w:p>
            <w:pPr>
              <w:jc w:val="center"/>
              <w:ind w:left="79"/>
              <w:spacing w:after="0"/>
              <w:rPr>
                <w:sz w:val="20"/>
                <w:szCs w:val="20"/>
                <w:color w:val="auto"/>
              </w:rPr>
            </w:pPr>
            <w:r>
              <w:rPr>
                <w:rFonts w:ascii="Arial" w:cs="Arial" w:eastAsia="Arial" w:hAnsi="Arial"/>
                <w:sz w:val="16"/>
                <w:szCs w:val="16"/>
                <w:color w:val="auto"/>
                <w:w w:val="89"/>
              </w:rPr>
              <w:t>4.23</w:t>
            </w:r>
          </w:p>
        </w:tc>
        <w:tc>
          <w:tcPr>
            <w:tcW w:w="280" w:type="dxa"/>
            <w:vAlign w:val="bottom"/>
          </w:tcPr>
          <w:p>
            <w:pPr>
              <w:spacing w:after="0"/>
              <w:rPr>
                <w:sz w:val="24"/>
                <w:szCs w:val="24"/>
                <w:color w:val="auto"/>
              </w:rPr>
            </w:pPr>
          </w:p>
        </w:tc>
        <w:tc>
          <w:tcPr>
            <w:tcW w:w="4120" w:type="dxa"/>
            <w:vAlign w:val="bottom"/>
            <w:gridSpan w:val="18"/>
          </w:tcPr>
          <w:p>
            <w:pPr>
              <w:spacing w:after="0"/>
              <w:rPr>
                <w:rFonts w:ascii="Arial" w:cs="Arial" w:eastAsia="Arial" w:hAnsi="Arial"/>
                <w:sz w:val="16"/>
                <w:szCs w:val="16"/>
                <w:u w:val="single" w:color="auto"/>
                <w:color w:val="0000EE"/>
              </w:rPr>
            </w:pPr>
            <w:hyperlink r:id="rId137">
              <w:r>
                <w:rPr>
                  <w:rFonts w:ascii="Arial" w:cs="Arial" w:eastAsia="Arial" w:hAnsi="Arial"/>
                  <w:sz w:val="16"/>
                  <w:szCs w:val="16"/>
                  <w:u w:val="single" w:color="auto"/>
                  <w:color w:val="0000EE"/>
                </w:rPr>
                <w:t>Form of Private Placement Warrant</w:t>
              </w:r>
            </w:hyperlink>
          </w:p>
        </w:tc>
        <w:tc>
          <w:tcPr>
            <w:tcW w:w="1120" w:type="dxa"/>
            <w:vAlign w:val="bottom"/>
            <w:gridSpan w:val="2"/>
          </w:tcPr>
          <w:p>
            <w:pPr>
              <w:jc w:val="center"/>
              <w:ind w:right="180"/>
              <w:spacing w:after="0"/>
              <w:rPr>
                <w:sz w:val="20"/>
                <w:szCs w:val="20"/>
                <w:color w:val="auto"/>
              </w:rPr>
            </w:pPr>
            <w:r>
              <w:rPr>
                <w:rFonts w:ascii="Arial" w:cs="Arial" w:eastAsia="Arial" w:hAnsi="Arial"/>
                <w:sz w:val="16"/>
                <w:szCs w:val="16"/>
                <w:color w:val="auto"/>
              </w:rPr>
              <w:t>8-K</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001-37393</w:t>
            </w: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6/8/18</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0" w:type="dxa"/>
            <w:vAlign w:val="bottom"/>
          </w:tcPr>
          <w:p>
            <w:pPr>
              <w:jc w:val="center"/>
              <w:ind w:left="79"/>
              <w:spacing w:after="0"/>
              <w:rPr>
                <w:sz w:val="20"/>
                <w:szCs w:val="20"/>
                <w:color w:val="auto"/>
              </w:rPr>
            </w:pPr>
            <w:r>
              <w:rPr>
                <w:rFonts w:ascii="Arial" w:cs="Arial" w:eastAsia="Arial" w:hAnsi="Arial"/>
                <w:sz w:val="16"/>
                <w:szCs w:val="16"/>
                <w:color w:val="auto"/>
                <w:w w:val="89"/>
              </w:rPr>
              <w:t>4.24</w:t>
            </w:r>
          </w:p>
        </w:tc>
        <w:tc>
          <w:tcPr>
            <w:tcW w:w="280" w:type="dxa"/>
            <w:vAlign w:val="bottom"/>
          </w:tcPr>
          <w:p>
            <w:pPr>
              <w:spacing w:after="0"/>
              <w:rPr>
                <w:sz w:val="24"/>
                <w:szCs w:val="24"/>
                <w:color w:val="auto"/>
              </w:rPr>
            </w:pPr>
          </w:p>
        </w:tc>
        <w:tc>
          <w:tcPr>
            <w:tcW w:w="4120" w:type="dxa"/>
            <w:vAlign w:val="bottom"/>
            <w:gridSpan w:val="18"/>
          </w:tcPr>
          <w:p>
            <w:pPr>
              <w:spacing w:after="0"/>
              <w:rPr>
                <w:rFonts w:ascii="Arial" w:cs="Arial" w:eastAsia="Arial" w:hAnsi="Arial"/>
                <w:sz w:val="16"/>
                <w:szCs w:val="16"/>
                <w:u w:val="single" w:color="auto"/>
                <w:color w:val="0000EE"/>
              </w:rPr>
            </w:pPr>
            <w:hyperlink r:id="rId138">
              <w:r>
                <w:rPr>
                  <w:rFonts w:ascii="Arial" w:cs="Arial" w:eastAsia="Arial" w:hAnsi="Arial"/>
                  <w:sz w:val="16"/>
                  <w:szCs w:val="16"/>
                  <w:u w:val="single" w:color="auto"/>
                  <w:color w:val="0000EE"/>
                </w:rPr>
                <w:t>Form of Marker Warrant</w:t>
              </w:r>
            </w:hyperlink>
          </w:p>
        </w:tc>
        <w:tc>
          <w:tcPr>
            <w:tcW w:w="1120" w:type="dxa"/>
            <w:vAlign w:val="bottom"/>
            <w:gridSpan w:val="2"/>
          </w:tcPr>
          <w:p>
            <w:pPr>
              <w:jc w:val="center"/>
              <w:ind w:right="180"/>
              <w:spacing w:after="0"/>
              <w:rPr>
                <w:sz w:val="20"/>
                <w:szCs w:val="20"/>
                <w:color w:val="auto"/>
              </w:rPr>
            </w:pPr>
            <w:r>
              <w:rPr>
                <w:rFonts w:ascii="Arial" w:cs="Arial" w:eastAsia="Arial" w:hAnsi="Arial"/>
                <w:sz w:val="16"/>
                <w:szCs w:val="16"/>
                <w:color w:val="auto"/>
              </w:rPr>
              <w:t>8-K</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001-37939</w:t>
            </w: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5/15/18</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0" w:type="dxa"/>
            <w:vAlign w:val="bottom"/>
          </w:tcPr>
          <w:p>
            <w:pPr>
              <w:jc w:val="center"/>
              <w:ind w:left="79"/>
              <w:spacing w:after="0"/>
              <w:rPr>
                <w:sz w:val="20"/>
                <w:szCs w:val="20"/>
                <w:color w:val="auto"/>
              </w:rPr>
            </w:pPr>
            <w:r>
              <w:rPr>
                <w:rFonts w:ascii="Arial" w:cs="Arial" w:eastAsia="Arial" w:hAnsi="Arial"/>
                <w:sz w:val="16"/>
                <w:szCs w:val="16"/>
                <w:color w:val="auto"/>
                <w:w w:val="89"/>
              </w:rPr>
              <w:t>4.25</w:t>
            </w:r>
          </w:p>
        </w:tc>
        <w:tc>
          <w:tcPr>
            <w:tcW w:w="280" w:type="dxa"/>
            <w:vAlign w:val="bottom"/>
          </w:tcPr>
          <w:p>
            <w:pPr>
              <w:spacing w:after="0"/>
              <w:rPr>
                <w:sz w:val="24"/>
                <w:szCs w:val="24"/>
                <w:color w:val="auto"/>
              </w:rPr>
            </w:pPr>
          </w:p>
        </w:tc>
        <w:tc>
          <w:tcPr>
            <w:tcW w:w="4120" w:type="dxa"/>
            <w:vAlign w:val="bottom"/>
            <w:gridSpan w:val="18"/>
          </w:tcPr>
          <w:p>
            <w:pPr>
              <w:spacing w:after="0"/>
              <w:rPr>
                <w:rFonts w:ascii="Arial" w:cs="Arial" w:eastAsia="Arial" w:hAnsi="Arial"/>
                <w:sz w:val="16"/>
                <w:szCs w:val="16"/>
                <w:u w:val="single" w:color="auto"/>
                <w:color w:val="0000EE"/>
                <w:w w:val="98"/>
              </w:rPr>
            </w:pPr>
            <w:hyperlink r:id="rId139">
              <w:r>
                <w:rPr>
                  <w:rFonts w:ascii="Arial" w:cs="Arial" w:eastAsia="Arial" w:hAnsi="Arial"/>
                  <w:sz w:val="16"/>
                  <w:szCs w:val="16"/>
                  <w:u w:val="single" w:color="auto"/>
                  <w:color w:val="0000EE"/>
                  <w:w w:val="98"/>
                </w:rPr>
                <w:t>Description of Common Stock of Marker Therapeutics, Inc.</w:t>
              </w:r>
            </w:hyperlink>
          </w:p>
        </w:tc>
        <w:tc>
          <w:tcPr>
            <w:tcW w:w="1120" w:type="dxa"/>
            <w:vAlign w:val="bottom"/>
            <w:gridSpan w:val="2"/>
          </w:tcPr>
          <w:p>
            <w:pPr>
              <w:jc w:val="center"/>
              <w:ind w:right="180"/>
              <w:spacing w:after="0"/>
              <w:rPr>
                <w:sz w:val="20"/>
                <w:szCs w:val="20"/>
                <w:color w:val="auto"/>
              </w:rPr>
            </w:pPr>
            <w:r>
              <w:rPr>
                <w:rFonts w:ascii="Arial" w:cs="Arial" w:eastAsia="Arial" w:hAnsi="Arial"/>
                <w:sz w:val="16"/>
                <w:szCs w:val="16"/>
                <w:color w:val="auto"/>
              </w:rPr>
              <w:t>10-K</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001-37939</w:t>
            </w: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4.25</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3/12/20</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0" w:type="dxa"/>
            <w:vAlign w:val="bottom"/>
          </w:tcPr>
          <w:p>
            <w:pPr>
              <w:jc w:val="center"/>
              <w:ind w:left="79"/>
              <w:spacing w:after="0"/>
              <w:rPr>
                <w:sz w:val="20"/>
                <w:szCs w:val="20"/>
                <w:color w:val="auto"/>
              </w:rPr>
            </w:pPr>
            <w:r>
              <w:rPr>
                <w:rFonts w:ascii="Arial" w:cs="Arial" w:eastAsia="Arial" w:hAnsi="Arial"/>
                <w:sz w:val="16"/>
                <w:szCs w:val="16"/>
                <w:color w:val="auto"/>
                <w:w w:val="89"/>
              </w:rPr>
              <w:t>10.1</w:t>
            </w:r>
          </w:p>
        </w:tc>
        <w:tc>
          <w:tcPr>
            <w:tcW w:w="280" w:type="dxa"/>
            <w:vAlign w:val="bottom"/>
          </w:tcPr>
          <w:p>
            <w:pPr>
              <w:spacing w:after="0"/>
              <w:rPr>
                <w:sz w:val="24"/>
                <w:szCs w:val="24"/>
                <w:color w:val="auto"/>
              </w:rPr>
            </w:pPr>
          </w:p>
        </w:tc>
        <w:tc>
          <w:tcPr>
            <w:tcW w:w="4120" w:type="dxa"/>
            <w:vAlign w:val="bottom"/>
            <w:gridSpan w:val="18"/>
          </w:tcPr>
          <w:p>
            <w:pPr>
              <w:spacing w:after="0"/>
              <w:rPr>
                <w:rFonts w:ascii="Arial" w:cs="Arial" w:eastAsia="Arial" w:hAnsi="Arial"/>
                <w:sz w:val="16"/>
                <w:szCs w:val="16"/>
                <w:u w:val="single" w:color="auto"/>
                <w:color w:val="0000EE"/>
              </w:rPr>
            </w:pPr>
            <w:hyperlink r:id="rId140">
              <w:r>
                <w:rPr>
                  <w:rFonts w:ascii="Arial" w:cs="Arial" w:eastAsia="Arial" w:hAnsi="Arial"/>
                  <w:sz w:val="16"/>
                  <w:szCs w:val="16"/>
                  <w:u w:val="single" w:color="auto"/>
                  <w:color w:val="0000EE"/>
                </w:rPr>
                <w:t>Form of Restructuring Agreement dated May 28, 2015</w:t>
              </w:r>
            </w:hyperlink>
          </w:p>
        </w:tc>
        <w:tc>
          <w:tcPr>
            <w:tcW w:w="1120" w:type="dxa"/>
            <w:vAlign w:val="bottom"/>
            <w:gridSpan w:val="2"/>
          </w:tcPr>
          <w:p>
            <w:pPr>
              <w:jc w:val="center"/>
              <w:ind w:right="180"/>
              <w:spacing w:after="0"/>
              <w:rPr>
                <w:sz w:val="20"/>
                <w:szCs w:val="20"/>
                <w:color w:val="auto"/>
              </w:rPr>
            </w:pPr>
            <w:r>
              <w:rPr>
                <w:rFonts w:ascii="Arial" w:cs="Arial" w:eastAsia="Arial" w:hAnsi="Arial"/>
                <w:sz w:val="16"/>
                <w:szCs w:val="16"/>
                <w:color w:val="auto"/>
              </w:rPr>
              <w:t>8-K</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000-27239</w:t>
            </w: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6/3/15</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640" w:type="dxa"/>
            <w:vAlign w:val="bottom"/>
          </w:tcPr>
          <w:p>
            <w:pPr>
              <w:jc w:val="center"/>
              <w:ind w:left="79"/>
              <w:spacing w:after="0"/>
              <w:rPr>
                <w:sz w:val="20"/>
                <w:szCs w:val="20"/>
                <w:color w:val="auto"/>
              </w:rPr>
            </w:pPr>
            <w:r>
              <w:rPr>
                <w:rFonts w:ascii="Arial" w:cs="Arial" w:eastAsia="Arial" w:hAnsi="Arial"/>
                <w:sz w:val="16"/>
                <w:szCs w:val="16"/>
                <w:color w:val="auto"/>
                <w:w w:val="89"/>
              </w:rPr>
              <w:t>10.2</w:t>
            </w:r>
          </w:p>
        </w:tc>
        <w:tc>
          <w:tcPr>
            <w:tcW w:w="280" w:type="dxa"/>
            <w:vAlign w:val="bottom"/>
          </w:tcPr>
          <w:p>
            <w:pPr>
              <w:spacing w:after="0"/>
              <w:rPr>
                <w:sz w:val="24"/>
                <w:szCs w:val="24"/>
                <w:color w:val="auto"/>
              </w:rPr>
            </w:pPr>
          </w:p>
        </w:tc>
        <w:tc>
          <w:tcPr>
            <w:tcW w:w="4120" w:type="dxa"/>
            <w:vAlign w:val="bottom"/>
            <w:gridSpan w:val="18"/>
          </w:tcPr>
          <w:p>
            <w:pPr>
              <w:spacing w:after="0"/>
              <w:rPr>
                <w:rFonts w:ascii="Arial" w:cs="Arial" w:eastAsia="Arial" w:hAnsi="Arial"/>
                <w:sz w:val="16"/>
                <w:szCs w:val="16"/>
                <w:color w:val="0000EE"/>
                <w:w w:val="97"/>
              </w:rPr>
            </w:pPr>
            <w:hyperlink r:id="rId141">
              <w:r>
                <w:rPr>
                  <w:rFonts w:ascii="Arial" w:cs="Arial" w:eastAsia="Arial" w:hAnsi="Arial"/>
                  <w:sz w:val="16"/>
                  <w:szCs w:val="16"/>
                  <w:color w:val="0000EE"/>
                  <w:w w:val="97"/>
                </w:rPr>
                <w:t>Amended and Restated Restructuring Agreement, dated as</w:t>
              </w:r>
            </w:hyperlink>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0" w:type="dxa"/>
            <w:vAlign w:val="bottom"/>
            <w:tcBorders>
              <w:top w:val="single" w:sz="8" w:color="0000EE"/>
            </w:tcBorders>
            <w:gridSpan w:val="14"/>
          </w:tcPr>
          <w:p>
            <w:pPr>
              <w:spacing w:after="0" w:line="183" w:lineRule="exact"/>
              <w:rPr>
                <w:rFonts w:ascii="Arial" w:cs="Arial" w:eastAsia="Arial" w:hAnsi="Arial"/>
                <w:sz w:val="16"/>
                <w:szCs w:val="16"/>
                <w:color w:val="0000EE"/>
              </w:rPr>
            </w:pPr>
            <w:hyperlink r:id="rId141">
              <w:r>
                <w:rPr>
                  <w:rFonts w:ascii="Arial" w:cs="Arial" w:eastAsia="Arial" w:hAnsi="Arial"/>
                  <w:sz w:val="16"/>
                  <w:szCs w:val="16"/>
                  <w:color w:val="0000EE"/>
                </w:rPr>
                <w:t>of June 2, 2015</w:t>
              </w:r>
            </w:hyperlink>
          </w:p>
        </w:tc>
        <w:tc>
          <w:tcPr>
            <w:tcW w:w="320" w:type="dxa"/>
            <w:vAlign w:val="bottom"/>
            <w:gridSpan w:val="4"/>
          </w:tcPr>
          <w:p>
            <w:pPr>
              <w:spacing w:after="0"/>
              <w:rPr>
                <w:sz w:val="15"/>
                <w:szCs w:val="15"/>
                <w:color w:val="auto"/>
              </w:rPr>
            </w:pPr>
          </w:p>
        </w:tc>
        <w:tc>
          <w:tcPr>
            <w:tcW w:w="1120" w:type="dxa"/>
            <w:vAlign w:val="bottom"/>
            <w:gridSpan w:val="2"/>
          </w:tcPr>
          <w:p>
            <w:pPr>
              <w:jc w:val="center"/>
              <w:ind w:right="180"/>
              <w:spacing w:after="0" w:line="183" w:lineRule="exact"/>
              <w:rPr>
                <w:sz w:val="20"/>
                <w:szCs w:val="20"/>
                <w:color w:val="auto"/>
              </w:rPr>
            </w:pPr>
            <w:r>
              <w:rPr>
                <w:rFonts w:ascii="Arial" w:cs="Arial" w:eastAsia="Arial" w:hAnsi="Arial"/>
                <w:sz w:val="16"/>
                <w:szCs w:val="16"/>
                <w:color w:val="auto"/>
              </w:rPr>
              <w:t>8-K</w:t>
            </w:r>
          </w:p>
        </w:tc>
        <w:tc>
          <w:tcPr>
            <w:tcW w:w="1300" w:type="dxa"/>
            <w:vAlign w:val="bottom"/>
          </w:tcPr>
          <w:p>
            <w:pPr>
              <w:jc w:val="center"/>
              <w:spacing w:after="0" w:line="183" w:lineRule="exact"/>
              <w:rPr>
                <w:sz w:val="20"/>
                <w:szCs w:val="20"/>
                <w:color w:val="auto"/>
              </w:rPr>
            </w:pPr>
            <w:r>
              <w:rPr>
                <w:rFonts w:ascii="Arial" w:cs="Arial" w:eastAsia="Arial" w:hAnsi="Arial"/>
                <w:sz w:val="16"/>
                <w:szCs w:val="16"/>
                <w:color w:val="auto"/>
                <w:w w:val="91"/>
              </w:rPr>
              <w:t>000-27239</w:t>
            </w:r>
          </w:p>
        </w:tc>
        <w:tc>
          <w:tcPr>
            <w:tcW w:w="16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Arial" w:cs="Arial" w:eastAsia="Arial" w:hAnsi="Arial"/>
                <w:sz w:val="16"/>
                <w:szCs w:val="16"/>
                <w:color w:val="auto"/>
                <w:w w:val="89"/>
              </w:rPr>
              <w:t>10.1</w:t>
            </w:r>
          </w:p>
        </w:tc>
        <w:tc>
          <w:tcPr>
            <w:tcW w:w="240" w:type="dxa"/>
            <w:vAlign w:val="bottom"/>
          </w:tcPr>
          <w:p>
            <w:pPr>
              <w:spacing w:after="0"/>
              <w:rPr>
                <w:sz w:val="15"/>
                <w:szCs w:val="15"/>
                <w:color w:val="auto"/>
              </w:rPr>
            </w:pPr>
          </w:p>
        </w:tc>
        <w:tc>
          <w:tcPr>
            <w:tcW w:w="740" w:type="dxa"/>
            <w:vAlign w:val="bottom"/>
          </w:tcPr>
          <w:p>
            <w:pPr>
              <w:jc w:val="center"/>
              <w:spacing w:after="0" w:line="183" w:lineRule="exact"/>
              <w:rPr>
                <w:sz w:val="20"/>
                <w:szCs w:val="20"/>
                <w:color w:val="auto"/>
              </w:rPr>
            </w:pPr>
            <w:r>
              <w:rPr>
                <w:rFonts w:ascii="Arial" w:cs="Arial" w:eastAsia="Arial" w:hAnsi="Arial"/>
                <w:sz w:val="16"/>
                <w:szCs w:val="16"/>
                <w:color w:val="auto"/>
                <w:w w:val="89"/>
              </w:rPr>
              <w:t>6/5/15</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40" w:type="dxa"/>
            <w:vAlign w:val="bottom"/>
          </w:tcPr>
          <w:p>
            <w:pPr>
              <w:jc w:val="center"/>
              <w:ind w:left="79"/>
              <w:spacing w:after="0"/>
              <w:rPr>
                <w:sz w:val="20"/>
                <w:szCs w:val="20"/>
                <w:color w:val="auto"/>
              </w:rPr>
            </w:pPr>
            <w:r>
              <w:rPr>
                <w:rFonts w:ascii="Arial" w:cs="Arial" w:eastAsia="Arial" w:hAnsi="Arial"/>
                <w:sz w:val="16"/>
                <w:szCs w:val="16"/>
                <w:color w:val="auto"/>
                <w:w w:val="89"/>
              </w:rPr>
              <w:t>10.3</w:t>
            </w:r>
          </w:p>
        </w:tc>
        <w:tc>
          <w:tcPr>
            <w:tcW w:w="280" w:type="dxa"/>
            <w:vAlign w:val="bottom"/>
          </w:tcPr>
          <w:p>
            <w:pPr>
              <w:spacing w:after="0"/>
              <w:rPr>
                <w:sz w:val="24"/>
                <w:szCs w:val="24"/>
                <w:color w:val="auto"/>
              </w:rPr>
            </w:pPr>
          </w:p>
        </w:tc>
        <w:tc>
          <w:tcPr>
            <w:tcW w:w="4120" w:type="dxa"/>
            <w:vAlign w:val="bottom"/>
            <w:gridSpan w:val="18"/>
          </w:tcPr>
          <w:p>
            <w:pPr>
              <w:spacing w:after="0"/>
              <w:rPr>
                <w:rFonts w:ascii="Arial" w:cs="Arial" w:eastAsia="Arial" w:hAnsi="Arial"/>
                <w:sz w:val="16"/>
                <w:szCs w:val="16"/>
                <w:color w:val="0000EE"/>
              </w:rPr>
            </w:pPr>
            <w:hyperlink r:id="rId142">
              <w:r>
                <w:rPr>
                  <w:rFonts w:ascii="Arial" w:cs="Arial" w:eastAsia="Arial" w:hAnsi="Arial"/>
                  <w:sz w:val="16"/>
                  <w:szCs w:val="16"/>
                  <w:color w:val="0000EE"/>
                </w:rPr>
                <w:t>Form of Securities Purchase Agreement (including</w:t>
              </w:r>
            </w:hyperlink>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00" w:type="dxa"/>
            <w:vAlign w:val="bottom"/>
            <w:tcBorders>
              <w:top w:val="single" w:sz="8" w:color="0000EE"/>
            </w:tcBorders>
            <w:gridSpan w:val="7"/>
          </w:tcPr>
          <w:p>
            <w:pPr>
              <w:spacing w:after="0" w:line="183" w:lineRule="exact"/>
              <w:rPr>
                <w:rFonts w:ascii="Arial" w:cs="Arial" w:eastAsia="Arial" w:hAnsi="Arial"/>
                <w:sz w:val="16"/>
                <w:szCs w:val="16"/>
                <w:color w:val="0000EE"/>
              </w:rPr>
            </w:pPr>
            <w:hyperlink r:id="rId142">
              <w:r>
                <w:rPr>
                  <w:rFonts w:ascii="Arial" w:cs="Arial" w:eastAsia="Arial" w:hAnsi="Arial"/>
                  <w:sz w:val="16"/>
                  <w:szCs w:val="16"/>
                  <w:color w:val="0000EE"/>
                </w:rPr>
                <w:t>registration rights)</w:t>
              </w:r>
            </w:hyperlink>
          </w:p>
        </w:tc>
        <w:tc>
          <w:tcPr>
            <w:tcW w:w="820" w:type="dxa"/>
            <w:vAlign w:val="bottom"/>
            <w:gridSpan w:val="11"/>
          </w:tcPr>
          <w:p>
            <w:pPr>
              <w:spacing w:after="0"/>
              <w:rPr>
                <w:sz w:val="15"/>
                <w:szCs w:val="15"/>
                <w:color w:val="auto"/>
              </w:rPr>
            </w:pPr>
          </w:p>
        </w:tc>
        <w:tc>
          <w:tcPr>
            <w:tcW w:w="1120" w:type="dxa"/>
            <w:vAlign w:val="bottom"/>
            <w:gridSpan w:val="2"/>
          </w:tcPr>
          <w:p>
            <w:pPr>
              <w:jc w:val="center"/>
              <w:ind w:right="180"/>
              <w:spacing w:after="0" w:line="183" w:lineRule="exact"/>
              <w:rPr>
                <w:sz w:val="20"/>
                <w:szCs w:val="20"/>
                <w:color w:val="auto"/>
              </w:rPr>
            </w:pPr>
            <w:r>
              <w:rPr>
                <w:rFonts w:ascii="Arial" w:cs="Arial" w:eastAsia="Arial" w:hAnsi="Arial"/>
                <w:sz w:val="16"/>
                <w:szCs w:val="16"/>
                <w:color w:val="auto"/>
              </w:rPr>
              <w:t>8-K</w:t>
            </w:r>
          </w:p>
        </w:tc>
        <w:tc>
          <w:tcPr>
            <w:tcW w:w="1300" w:type="dxa"/>
            <w:vAlign w:val="bottom"/>
          </w:tcPr>
          <w:p>
            <w:pPr>
              <w:jc w:val="center"/>
              <w:spacing w:after="0" w:line="183" w:lineRule="exact"/>
              <w:rPr>
                <w:sz w:val="20"/>
                <w:szCs w:val="20"/>
                <w:color w:val="auto"/>
              </w:rPr>
            </w:pPr>
            <w:r>
              <w:rPr>
                <w:rFonts w:ascii="Arial" w:cs="Arial" w:eastAsia="Arial" w:hAnsi="Arial"/>
                <w:sz w:val="16"/>
                <w:szCs w:val="16"/>
                <w:color w:val="auto"/>
                <w:w w:val="91"/>
              </w:rPr>
              <w:t>001-37939</w:t>
            </w:r>
          </w:p>
        </w:tc>
        <w:tc>
          <w:tcPr>
            <w:tcW w:w="16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Arial" w:cs="Arial" w:eastAsia="Arial" w:hAnsi="Arial"/>
                <w:sz w:val="16"/>
                <w:szCs w:val="16"/>
                <w:color w:val="auto"/>
                <w:w w:val="89"/>
              </w:rPr>
              <w:t>10.1</w:t>
            </w:r>
          </w:p>
        </w:tc>
        <w:tc>
          <w:tcPr>
            <w:tcW w:w="240" w:type="dxa"/>
            <w:vAlign w:val="bottom"/>
          </w:tcPr>
          <w:p>
            <w:pPr>
              <w:spacing w:after="0"/>
              <w:rPr>
                <w:sz w:val="15"/>
                <w:szCs w:val="15"/>
                <w:color w:val="auto"/>
              </w:rPr>
            </w:pPr>
          </w:p>
        </w:tc>
        <w:tc>
          <w:tcPr>
            <w:tcW w:w="740" w:type="dxa"/>
            <w:vAlign w:val="bottom"/>
          </w:tcPr>
          <w:p>
            <w:pPr>
              <w:jc w:val="center"/>
              <w:spacing w:after="0" w:line="183" w:lineRule="exact"/>
              <w:rPr>
                <w:sz w:val="20"/>
                <w:szCs w:val="20"/>
                <w:color w:val="auto"/>
              </w:rPr>
            </w:pPr>
            <w:r>
              <w:rPr>
                <w:rFonts w:ascii="Arial" w:cs="Arial" w:eastAsia="Arial" w:hAnsi="Arial"/>
                <w:sz w:val="16"/>
                <w:szCs w:val="16"/>
                <w:color w:val="auto"/>
                <w:w w:val="89"/>
              </w:rPr>
              <w:t>6/8/18</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40" w:type="dxa"/>
            <w:vAlign w:val="bottom"/>
          </w:tcPr>
          <w:p>
            <w:pPr>
              <w:jc w:val="center"/>
              <w:ind w:left="79"/>
              <w:spacing w:after="0"/>
              <w:rPr>
                <w:sz w:val="20"/>
                <w:szCs w:val="20"/>
                <w:color w:val="auto"/>
              </w:rPr>
            </w:pPr>
            <w:r>
              <w:rPr>
                <w:rFonts w:ascii="Arial" w:cs="Arial" w:eastAsia="Arial" w:hAnsi="Arial"/>
                <w:sz w:val="16"/>
                <w:szCs w:val="16"/>
                <w:color w:val="auto"/>
                <w:w w:val="89"/>
              </w:rPr>
              <w:t>10.4</w:t>
            </w:r>
          </w:p>
        </w:tc>
        <w:tc>
          <w:tcPr>
            <w:tcW w:w="280" w:type="dxa"/>
            <w:vAlign w:val="bottom"/>
          </w:tcPr>
          <w:p>
            <w:pPr>
              <w:spacing w:after="0"/>
              <w:rPr>
                <w:sz w:val="24"/>
                <w:szCs w:val="24"/>
                <w:color w:val="auto"/>
              </w:rPr>
            </w:pPr>
          </w:p>
        </w:tc>
        <w:tc>
          <w:tcPr>
            <w:tcW w:w="4120" w:type="dxa"/>
            <w:vAlign w:val="bottom"/>
            <w:gridSpan w:val="18"/>
          </w:tcPr>
          <w:p>
            <w:pPr>
              <w:spacing w:after="0"/>
              <w:rPr>
                <w:rFonts w:ascii="Arial" w:cs="Arial" w:eastAsia="Arial" w:hAnsi="Arial"/>
                <w:sz w:val="16"/>
                <w:szCs w:val="16"/>
                <w:u w:val="single" w:color="auto"/>
                <w:color w:val="0000EE"/>
              </w:rPr>
            </w:pPr>
            <w:hyperlink r:id="rId138">
              <w:r>
                <w:rPr>
                  <w:rFonts w:ascii="Arial" w:cs="Arial" w:eastAsia="Arial" w:hAnsi="Arial"/>
                  <w:sz w:val="16"/>
                  <w:szCs w:val="16"/>
                  <w:u w:val="single" w:color="auto"/>
                  <w:color w:val="0000EE"/>
                </w:rPr>
                <w:t>Registration Rights Agreement</w:t>
              </w:r>
            </w:hyperlink>
          </w:p>
        </w:tc>
        <w:tc>
          <w:tcPr>
            <w:tcW w:w="1120" w:type="dxa"/>
            <w:vAlign w:val="bottom"/>
            <w:gridSpan w:val="2"/>
          </w:tcPr>
          <w:p>
            <w:pPr>
              <w:jc w:val="center"/>
              <w:ind w:right="180"/>
              <w:spacing w:after="0"/>
              <w:rPr>
                <w:sz w:val="20"/>
                <w:szCs w:val="20"/>
                <w:color w:val="auto"/>
              </w:rPr>
            </w:pPr>
            <w:r>
              <w:rPr>
                <w:rFonts w:ascii="Arial" w:cs="Arial" w:eastAsia="Arial" w:hAnsi="Arial"/>
                <w:sz w:val="16"/>
                <w:szCs w:val="16"/>
                <w:color w:val="auto"/>
              </w:rPr>
              <w:t>8-K</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001-37939</w:t>
            </w: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2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5/15/18</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640" w:type="dxa"/>
            <w:vAlign w:val="bottom"/>
          </w:tcPr>
          <w:p>
            <w:pPr>
              <w:jc w:val="center"/>
              <w:ind w:left="79"/>
              <w:spacing w:after="0"/>
              <w:rPr>
                <w:sz w:val="20"/>
                <w:szCs w:val="20"/>
                <w:color w:val="auto"/>
              </w:rPr>
            </w:pPr>
            <w:r>
              <w:rPr>
                <w:rFonts w:ascii="Arial" w:cs="Arial" w:eastAsia="Arial" w:hAnsi="Arial"/>
                <w:sz w:val="16"/>
                <w:szCs w:val="16"/>
                <w:color w:val="auto"/>
                <w:w w:val="89"/>
              </w:rPr>
              <w:t>10.5</w:t>
            </w:r>
          </w:p>
        </w:tc>
        <w:tc>
          <w:tcPr>
            <w:tcW w:w="280" w:type="dxa"/>
            <w:vAlign w:val="bottom"/>
          </w:tcPr>
          <w:p>
            <w:pPr>
              <w:spacing w:after="0"/>
              <w:rPr>
                <w:sz w:val="24"/>
                <w:szCs w:val="24"/>
                <w:color w:val="auto"/>
              </w:rPr>
            </w:pPr>
          </w:p>
        </w:tc>
        <w:tc>
          <w:tcPr>
            <w:tcW w:w="3760" w:type="dxa"/>
            <w:vAlign w:val="bottom"/>
            <w:tcBorders>
              <w:bottom w:val="single" w:sz="8" w:color="0000EE"/>
            </w:tcBorders>
            <w:gridSpan w:val="13"/>
          </w:tcPr>
          <w:p>
            <w:pPr>
              <w:spacing w:after="0"/>
              <w:rPr>
                <w:rFonts w:ascii="Arial" w:cs="Arial" w:eastAsia="Arial" w:hAnsi="Arial"/>
                <w:sz w:val="16"/>
                <w:szCs w:val="16"/>
                <w:color w:val="0000EE"/>
                <w:w w:val="91"/>
              </w:rPr>
            </w:pPr>
            <w:hyperlink r:id="rId143">
              <w:r>
                <w:rPr>
                  <w:rFonts w:ascii="Arial" w:cs="Arial" w:eastAsia="Arial" w:hAnsi="Arial"/>
                  <w:sz w:val="16"/>
                  <w:szCs w:val="16"/>
                  <w:color w:val="0000EE"/>
                  <w:w w:val="91"/>
                </w:rPr>
                <w:t>License and Assignment Agreement, dated July 21, 2015,</w:t>
              </w:r>
            </w:hyperlink>
          </w:p>
        </w:tc>
        <w:tc>
          <w:tcPr>
            <w:tcW w:w="360" w:type="dxa"/>
            <w:vAlign w:val="bottom"/>
            <w:gridSpan w:val="5"/>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60" w:type="dxa"/>
            <w:vAlign w:val="bottom"/>
            <w:tcBorders>
              <w:bottom w:val="single" w:sz="8" w:color="0000EE"/>
            </w:tcBorders>
            <w:gridSpan w:val="9"/>
          </w:tcPr>
          <w:p>
            <w:pPr>
              <w:spacing w:after="0" w:line="183" w:lineRule="exact"/>
              <w:rPr>
                <w:rFonts w:ascii="Arial" w:cs="Arial" w:eastAsia="Arial" w:hAnsi="Arial"/>
                <w:sz w:val="16"/>
                <w:szCs w:val="16"/>
                <w:color w:val="0000EE"/>
                <w:w w:val="93"/>
              </w:rPr>
            </w:pPr>
            <w:hyperlink r:id="rId143">
              <w:r>
                <w:rPr>
                  <w:rFonts w:ascii="Arial" w:cs="Arial" w:eastAsia="Arial" w:hAnsi="Arial"/>
                  <w:sz w:val="16"/>
                  <w:szCs w:val="16"/>
                  <w:color w:val="0000EE"/>
                  <w:w w:val="93"/>
                </w:rPr>
                <w:t>with The Mayo Foundation for Medical Education and</w:t>
              </w:r>
            </w:hyperlink>
          </w:p>
        </w:tc>
        <w:tc>
          <w:tcPr>
            <w:tcW w:w="560" w:type="dxa"/>
            <w:vAlign w:val="bottom"/>
            <w:gridSpan w:val="9"/>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120" w:type="dxa"/>
            <w:vAlign w:val="bottom"/>
            <w:gridSpan w:val="18"/>
          </w:tcPr>
          <w:p>
            <w:pPr>
              <w:spacing w:after="0" w:line="183" w:lineRule="exact"/>
              <w:rPr>
                <w:rFonts w:ascii="Arial" w:cs="Arial" w:eastAsia="Arial" w:hAnsi="Arial"/>
                <w:sz w:val="16"/>
                <w:szCs w:val="16"/>
                <w:color w:val="0000EE"/>
              </w:rPr>
            </w:pPr>
            <w:hyperlink r:id="rId143">
              <w:r>
                <w:rPr>
                  <w:rFonts w:ascii="Arial" w:cs="Arial" w:eastAsia="Arial" w:hAnsi="Arial"/>
                  <w:sz w:val="16"/>
                  <w:szCs w:val="16"/>
                  <w:color w:val="0000EE"/>
                </w:rPr>
                <w:t>Research**</w:t>
              </w:r>
            </w:hyperlink>
          </w:p>
        </w:tc>
        <w:tc>
          <w:tcPr>
            <w:tcW w:w="1120" w:type="dxa"/>
            <w:vAlign w:val="bottom"/>
            <w:gridSpan w:val="2"/>
          </w:tcPr>
          <w:p>
            <w:pPr>
              <w:jc w:val="center"/>
              <w:ind w:right="180"/>
              <w:spacing w:after="0" w:line="183" w:lineRule="exact"/>
              <w:rPr>
                <w:sz w:val="20"/>
                <w:szCs w:val="20"/>
                <w:color w:val="auto"/>
              </w:rPr>
            </w:pPr>
            <w:r>
              <w:rPr>
                <w:rFonts w:ascii="Arial" w:cs="Arial" w:eastAsia="Arial" w:hAnsi="Arial"/>
                <w:sz w:val="16"/>
                <w:szCs w:val="16"/>
                <w:color w:val="auto"/>
                <w:w w:val="95"/>
              </w:rPr>
              <w:t>10-Q</w:t>
            </w:r>
          </w:p>
        </w:tc>
        <w:tc>
          <w:tcPr>
            <w:tcW w:w="1300" w:type="dxa"/>
            <w:vAlign w:val="bottom"/>
          </w:tcPr>
          <w:p>
            <w:pPr>
              <w:jc w:val="center"/>
              <w:spacing w:after="0" w:line="183" w:lineRule="exact"/>
              <w:rPr>
                <w:sz w:val="20"/>
                <w:szCs w:val="20"/>
                <w:color w:val="auto"/>
              </w:rPr>
            </w:pPr>
            <w:r>
              <w:rPr>
                <w:rFonts w:ascii="Arial" w:cs="Arial" w:eastAsia="Arial" w:hAnsi="Arial"/>
                <w:sz w:val="16"/>
                <w:szCs w:val="16"/>
                <w:color w:val="auto"/>
                <w:w w:val="91"/>
              </w:rPr>
              <w:t>000-27239</w:t>
            </w:r>
          </w:p>
        </w:tc>
        <w:tc>
          <w:tcPr>
            <w:tcW w:w="16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Arial" w:cs="Arial" w:eastAsia="Arial" w:hAnsi="Arial"/>
                <w:sz w:val="16"/>
                <w:szCs w:val="16"/>
                <w:color w:val="auto"/>
                <w:w w:val="89"/>
              </w:rPr>
              <w:t>10.1</w:t>
            </w:r>
          </w:p>
        </w:tc>
        <w:tc>
          <w:tcPr>
            <w:tcW w:w="240" w:type="dxa"/>
            <w:vAlign w:val="bottom"/>
          </w:tcPr>
          <w:p>
            <w:pPr>
              <w:spacing w:after="0"/>
              <w:rPr>
                <w:sz w:val="15"/>
                <w:szCs w:val="15"/>
                <w:color w:val="auto"/>
              </w:rPr>
            </w:pPr>
          </w:p>
        </w:tc>
        <w:tc>
          <w:tcPr>
            <w:tcW w:w="740" w:type="dxa"/>
            <w:vAlign w:val="bottom"/>
          </w:tcPr>
          <w:p>
            <w:pPr>
              <w:jc w:val="center"/>
              <w:spacing w:after="0" w:line="183" w:lineRule="exact"/>
              <w:rPr>
                <w:sz w:val="20"/>
                <w:szCs w:val="20"/>
                <w:color w:val="auto"/>
              </w:rPr>
            </w:pPr>
            <w:r>
              <w:rPr>
                <w:rFonts w:ascii="Arial" w:cs="Arial" w:eastAsia="Arial" w:hAnsi="Arial"/>
                <w:sz w:val="16"/>
                <w:szCs w:val="16"/>
                <w:color w:val="auto"/>
                <w:w w:val="89"/>
              </w:rPr>
              <w:t>8/14/15</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40" w:type="dxa"/>
            <w:vAlign w:val="bottom"/>
          </w:tcPr>
          <w:p>
            <w:pPr>
              <w:jc w:val="center"/>
              <w:ind w:left="79"/>
              <w:spacing w:after="0"/>
              <w:rPr>
                <w:sz w:val="20"/>
                <w:szCs w:val="20"/>
                <w:color w:val="auto"/>
              </w:rPr>
            </w:pPr>
            <w:r>
              <w:rPr>
                <w:rFonts w:ascii="Arial" w:cs="Arial" w:eastAsia="Arial" w:hAnsi="Arial"/>
                <w:sz w:val="16"/>
                <w:szCs w:val="16"/>
                <w:color w:val="auto"/>
                <w:w w:val="89"/>
              </w:rPr>
              <w:t>10.6</w:t>
            </w:r>
          </w:p>
        </w:tc>
        <w:tc>
          <w:tcPr>
            <w:tcW w:w="280" w:type="dxa"/>
            <w:vAlign w:val="bottom"/>
          </w:tcPr>
          <w:p>
            <w:pPr>
              <w:spacing w:after="0"/>
              <w:rPr>
                <w:sz w:val="24"/>
                <w:szCs w:val="24"/>
                <w:color w:val="auto"/>
              </w:rPr>
            </w:pPr>
          </w:p>
        </w:tc>
        <w:tc>
          <w:tcPr>
            <w:tcW w:w="4120" w:type="dxa"/>
            <w:vAlign w:val="bottom"/>
            <w:gridSpan w:val="18"/>
          </w:tcPr>
          <w:p>
            <w:pPr>
              <w:spacing w:after="0"/>
              <w:rPr>
                <w:rFonts w:ascii="Arial" w:cs="Arial" w:eastAsia="Arial" w:hAnsi="Arial"/>
                <w:sz w:val="16"/>
                <w:szCs w:val="16"/>
                <w:color w:val="0000EE"/>
                <w:w w:val="98"/>
              </w:rPr>
            </w:pPr>
            <w:hyperlink r:id="rId144">
              <w:r>
                <w:rPr>
                  <w:rFonts w:ascii="Arial" w:cs="Arial" w:eastAsia="Arial" w:hAnsi="Arial"/>
                  <w:sz w:val="16"/>
                  <w:szCs w:val="16"/>
                  <w:color w:val="0000EE"/>
                  <w:w w:val="98"/>
                </w:rPr>
                <w:t>License and Assignment Agreement with Mayo Foundation</w:t>
              </w:r>
            </w:hyperlink>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80" w:type="dxa"/>
            <w:vAlign w:val="bottom"/>
            <w:tcBorders>
              <w:top w:val="single" w:sz="8" w:color="0000EE"/>
            </w:tcBorders>
            <w:gridSpan w:val="15"/>
          </w:tcPr>
          <w:p>
            <w:pPr>
              <w:spacing w:after="0"/>
              <w:rPr>
                <w:rFonts w:ascii="Arial" w:cs="Arial" w:eastAsia="Arial" w:hAnsi="Arial"/>
                <w:sz w:val="16"/>
                <w:szCs w:val="16"/>
                <w:u w:val="single" w:color="auto"/>
                <w:color w:val="0000EE"/>
                <w:w w:val="92"/>
              </w:rPr>
            </w:pPr>
            <w:hyperlink r:id="rId144">
              <w:r>
                <w:rPr>
                  <w:rFonts w:ascii="Arial" w:cs="Arial" w:eastAsia="Arial" w:hAnsi="Arial"/>
                  <w:sz w:val="16"/>
                  <w:szCs w:val="16"/>
                  <w:u w:val="single" w:color="auto"/>
                  <w:color w:val="0000EE"/>
                  <w:w w:val="92"/>
                </w:rPr>
                <w:t>for Medical Education and Research dated May 19, 2016**</w:t>
              </w:r>
            </w:hyperlink>
          </w:p>
        </w:tc>
        <w:tc>
          <w:tcPr>
            <w:tcW w:w="240" w:type="dxa"/>
            <w:vAlign w:val="bottom"/>
            <w:gridSpan w:val="3"/>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color w:val="auto"/>
                <w:w w:val="95"/>
              </w:rPr>
              <w:t>10-Q</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000-27239</w:t>
            </w:r>
          </w:p>
        </w:tc>
        <w:tc>
          <w:tcPr>
            <w:tcW w:w="1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2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8/15/16</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640" w:type="dxa"/>
            <w:vAlign w:val="bottom"/>
          </w:tcPr>
          <w:p>
            <w:pPr>
              <w:jc w:val="center"/>
              <w:ind w:left="79"/>
              <w:spacing w:after="0"/>
              <w:rPr>
                <w:sz w:val="20"/>
                <w:szCs w:val="20"/>
                <w:color w:val="auto"/>
              </w:rPr>
            </w:pPr>
            <w:r>
              <w:rPr>
                <w:rFonts w:ascii="Arial" w:cs="Arial" w:eastAsia="Arial" w:hAnsi="Arial"/>
                <w:sz w:val="16"/>
                <w:szCs w:val="16"/>
                <w:color w:val="auto"/>
                <w:w w:val="89"/>
              </w:rPr>
              <w:t>10.7</w:t>
            </w:r>
          </w:p>
        </w:tc>
        <w:tc>
          <w:tcPr>
            <w:tcW w:w="280" w:type="dxa"/>
            <w:vAlign w:val="bottom"/>
          </w:tcPr>
          <w:p>
            <w:pPr>
              <w:spacing w:after="0"/>
              <w:rPr>
                <w:sz w:val="24"/>
                <w:szCs w:val="24"/>
                <w:color w:val="auto"/>
              </w:rPr>
            </w:pPr>
          </w:p>
        </w:tc>
        <w:tc>
          <w:tcPr>
            <w:tcW w:w="3740" w:type="dxa"/>
            <w:vAlign w:val="bottom"/>
            <w:tcBorders>
              <w:bottom w:val="single" w:sz="8" w:color="0000EE"/>
            </w:tcBorders>
            <w:gridSpan w:val="12"/>
          </w:tcPr>
          <w:p>
            <w:pPr>
              <w:spacing w:after="0"/>
              <w:rPr>
                <w:rFonts w:ascii="Arial" w:cs="Arial" w:eastAsia="Arial" w:hAnsi="Arial"/>
                <w:sz w:val="16"/>
                <w:szCs w:val="16"/>
                <w:color w:val="0000EE"/>
                <w:w w:val="92"/>
              </w:rPr>
            </w:pPr>
            <w:hyperlink r:id="rId145">
              <w:r>
                <w:rPr>
                  <w:rFonts w:ascii="Arial" w:cs="Arial" w:eastAsia="Arial" w:hAnsi="Arial"/>
                  <w:sz w:val="16"/>
                  <w:szCs w:val="16"/>
                  <w:color w:val="0000EE"/>
                  <w:w w:val="92"/>
                </w:rPr>
                <w:t>Exclusive License Agreement between Baylor College of</w:t>
              </w:r>
            </w:hyperlink>
          </w:p>
        </w:tc>
        <w:tc>
          <w:tcPr>
            <w:tcW w:w="380" w:type="dxa"/>
            <w:vAlign w:val="bottom"/>
            <w:gridSpan w:val="6"/>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720" w:type="dxa"/>
            <w:vAlign w:val="bottom"/>
            <w:tcBorders>
              <w:bottom w:val="single" w:sz="8" w:color="0000EE"/>
            </w:tcBorders>
            <w:gridSpan w:val="11"/>
          </w:tcPr>
          <w:p>
            <w:pPr>
              <w:spacing w:after="0" w:line="183" w:lineRule="exact"/>
              <w:rPr>
                <w:rFonts w:ascii="Arial" w:cs="Arial" w:eastAsia="Arial" w:hAnsi="Arial"/>
                <w:sz w:val="16"/>
                <w:szCs w:val="16"/>
                <w:color w:val="0000EE"/>
                <w:w w:val="92"/>
              </w:rPr>
            </w:pPr>
            <w:hyperlink r:id="rId145">
              <w:r>
                <w:rPr>
                  <w:rFonts w:ascii="Arial" w:cs="Arial" w:eastAsia="Arial" w:hAnsi="Arial"/>
                  <w:sz w:val="16"/>
                  <w:szCs w:val="16"/>
                  <w:color w:val="0000EE"/>
                  <w:w w:val="92"/>
                </w:rPr>
                <w:t>Medicine and Marker Therapeutics, Inc. dated March 16,</w:t>
              </w:r>
            </w:hyperlink>
          </w:p>
        </w:tc>
        <w:tc>
          <w:tcPr>
            <w:tcW w:w="400" w:type="dxa"/>
            <w:vAlign w:val="bottom"/>
            <w:gridSpan w:val="7"/>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Borders>
              <w:bottom w:val="single" w:sz="8" w:color="0000EE"/>
            </w:tcBorders>
          </w:tcPr>
          <w:p>
            <w:pPr>
              <w:spacing w:after="0" w:line="183" w:lineRule="exact"/>
              <w:rPr>
                <w:rFonts w:ascii="Arial" w:cs="Arial" w:eastAsia="Arial" w:hAnsi="Arial"/>
                <w:sz w:val="16"/>
                <w:szCs w:val="16"/>
                <w:color w:val="0000EE"/>
              </w:rPr>
            </w:pPr>
            <w:hyperlink r:id="rId145">
              <w:r>
                <w:rPr>
                  <w:rFonts w:ascii="Arial" w:cs="Arial" w:eastAsia="Arial" w:hAnsi="Arial"/>
                  <w:sz w:val="16"/>
                  <w:szCs w:val="16"/>
                  <w:color w:val="0000EE"/>
                </w:rPr>
                <w:t>2018***</w:t>
              </w:r>
            </w:hyperlink>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180"/>
              <w:spacing w:after="0" w:line="183" w:lineRule="exact"/>
              <w:rPr>
                <w:sz w:val="20"/>
                <w:szCs w:val="20"/>
                <w:color w:val="auto"/>
              </w:rPr>
            </w:pPr>
            <w:r>
              <w:rPr>
                <w:rFonts w:ascii="Arial" w:cs="Arial" w:eastAsia="Arial" w:hAnsi="Arial"/>
                <w:sz w:val="16"/>
                <w:szCs w:val="16"/>
                <w:color w:val="auto"/>
              </w:rPr>
              <w:t>10-K</w:t>
            </w:r>
          </w:p>
        </w:tc>
        <w:tc>
          <w:tcPr>
            <w:tcW w:w="1300" w:type="dxa"/>
            <w:vAlign w:val="bottom"/>
          </w:tcPr>
          <w:p>
            <w:pPr>
              <w:jc w:val="center"/>
              <w:spacing w:after="0" w:line="183" w:lineRule="exact"/>
              <w:rPr>
                <w:sz w:val="20"/>
                <w:szCs w:val="20"/>
                <w:color w:val="auto"/>
              </w:rPr>
            </w:pPr>
            <w:r>
              <w:rPr>
                <w:rFonts w:ascii="Arial" w:cs="Arial" w:eastAsia="Arial" w:hAnsi="Arial"/>
                <w:sz w:val="16"/>
                <w:szCs w:val="16"/>
                <w:color w:val="auto"/>
                <w:w w:val="91"/>
              </w:rPr>
              <w:t>001-37939</w:t>
            </w:r>
          </w:p>
        </w:tc>
        <w:tc>
          <w:tcPr>
            <w:tcW w:w="160" w:type="dxa"/>
            <w:vAlign w:val="bottom"/>
          </w:tcPr>
          <w:p>
            <w:pPr>
              <w:spacing w:after="0"/>
              <w:rPr>
                <w:sz w:val="15"/>
                <w:szCs w:val="15"/>
                <w:color w:val="auto"/>
              </w:rPr>
            </w:pPr>
          </w:p>
        </w:tc>
        <w:tc>
          <w:tcPr>
            <w:tcW w:w="580" w:type="dxa"/>
            <w:vAlign w:val="bottom"/>
          </w:tcPr>
          <w:p>
            <w:pPr>
              <w:jc w:val="center"/>
              <w:spacing w:after="0" w:line="183" w:lineRule="exact"/>
              <w:rPr>
                <w:sz w:val="20"/>
                <w:szCs w:val="20"/>
                <w:color w:val="auto"/>
              </w:rPr>
            </w:pPr>
            <w:r>
              <w:rPr>
                <w:rFonts w:ascii="Arial" w:cs="Arial" w:eastAsia="Arial" w:hAnsi="Arial"/>
                <w:sz w:val="16"/>
                <w:szCs w:val="16"/>
                <w:color w:val="auto"/>
                <w:w w:val="89"/>
              </w:rPr>
              <w:t>10.21</w:t>
            </w:r>
          </w:p>
        </w:tc>
        <w:tc>
          <w:tcPr>
            <w:tcW w:w="240" w:type="dxa"/>
            <w:vAlign w:val="bottom"/>
          </w:tcPr>
          <w:p>
            <w:pPr>
              <w:spacing w:after="0"/>
              <w:rPr>
                <w:sz w:val="15"/>
                <w:szCs w:val="15"/>
                <w:color w:val="auto"/>
              </w:rPr>
            </w:pPr>
          </w:p>
        </w:tc>
        <w:tc>
          <w:tcPr>
            <w:tcW w:w="740" w:type="dxa"/>
            <w:vAlign w:val="bottom"/>
          </w:tcPr>
          <w:p>
            <w:pPr>
              <w:jc w:val="center"/>
              <w:spacing w:after="0" w:line="183" w:lineRule="exact"/>
              <w:rPr>
                <w:sz w:val="20"/>
                <w:szCs w:val="20"/>
                <w:color w:val="auto"/>
              </w:rPr>
            </w:pPr>
            <w:r>
              <w:rPr>
                <w:rFonts w:ascii="Arial" w:cs="Arial" w:eastAsia="Arial" w:hAnsi="Arial"/>
                <w:sz w:val="16"/>
                <w:szCs w:val="16"/>
                <w:color w:val="auto"/>
                <w:w w:val="89"/>
              </w:rPr>
              <w:t>3/15/19</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40" w:type="dxa"/>
            <w:vAlign w:val="bottom"/>
          </w:tcPr>
          <w:p>
            <w:pPr>
              <w:jc w:val="center"/>
              <w:ind w:left="79"/>
              <w:spacing w:after="0" w:line="196" w:lineRule="exact"/>
              <w:rPr>
                <w:sz w:val="20"/>
                <w:szCs w:val="20"/>
                <w:color w:val="auto"/>
              </w:rPr>
            </w:pPr>
            <w:r>
              <w:rPr>
                <w:rFonts w:ascii="Arial" w:cs="Arial" w:eastAsia="Arial" w:hAnsi="Arial"/>
                <w:sz w:val="18"/>
                <w:szCs w:val="18"/>
                <w:color w:val="auto"/>
                <w:w w:val="91"/>
              </w:rPr>
              <w:t>10.8</w:t>
            </w:r>
          </w:p>
        </w:tc>
        <w:tc>
          <w:tcPr>
            <w:tcW w:w="280" w:type="dxa"/>
            <w:vAlign w:val="bottom"/>
          </w:tcPr>
          <w:p>
            <w:pPr>
              <w:spacing w:after="0"/>
              <w:rPr>
                <w:sz w:val="17"/>
                <w:szCs w:val="17"/>
                <w:color w:val="auto"/>
              </w:rPr>
            </w:pPr>
          </w:p>
        </w:tc>
        <w:tc>
          <w:tcPr>
            <w:tcW w:w="39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146">
              <w:r>
                <w:rPr>
                  <w:rFonts w:ascii="Arial" w:cs="Arial" w:eastAsia="Arial" w:hAnsi="Arial"/>
                  <w:sz w:val="18"/>
                  <w:szCs w:val="18"/>
                  <w:color w:val="0000EE"/>
                  <w:w w:val="89"/>
                </w:rPr>
                <w:t>Sponsored Research Contract between Baylor College</w:t>
              </w:r>
            </w:hyperlink>
          </w:p>
        </w:tc>
        <w:tc>
          <w:tcPr>
            <w:tcW w:w="20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of Medicine and Marker Therapeutics, Inc. dated</w:t>
              </w:r>
            </w:hyperlink>
          </w:p>
        </w:tc>
        <w:tc>
          <w:tcPr>
            <w:tcW w:w="580" w:type="dxa"/>
            <w:vAlign w:val="bottom"/>
            <w:gridSpan w:val="10"/>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r:id="rId146">
              <w:r>
                <w:rPr>
                  <w:rFonts w:ascii="Arial" w:cs="Arial" w:eastAsia="Arial" w:hAnsi="Arial"/>
                  <w:sz w:val="18"/>
                  <w:szCs w:val="18"/>
                  <w:color w:val="0000EE"/>
                  <w:w w:val="94"/>
                </w:rPr>
                <w:t>November 16, 2018***</w:t>
              </w:r>
            </w:hyperlink>
          </w:p>
        </w:tc>
        <w:tc>
          <w:tcPr>
            <w:tcW w:w="2400" w:type="dxa"/>
            <w:vAlign w:val="bottom"/>
            <w:gridSpan w:val="12"/>
          </w:tcPr>
          <w:p>
            <w:pPr>
              <w:spacing w:after="0"/>
              <w:rPr>
                <w:sz w:val="17"/>
                <w:szCs w:val="17"/>
                <w:color w:val="auto"/>
              </w:rPr>
            </w:pPr>
          </w:p>
        </w:tc>
        <w:tc>
          <w:tcPr>
            <w:tcW w:w="112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99"/>
              </w:rPr>
              <w:t>10-K</w:t>
            </w: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001-37939</w:t>
            </w:r>
          </w:p>
        </w:tc>
        <w:tc>
          <w:tcPr>
            <w:tcW w:w="16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8"/>
              </w:rPr>
              <w:t>10.22</w:t>
            </w:r>
          </w:p>
        </w:tc>
        <w:tc>
          <w:tcPr>
            <w:tcW w:w="24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3"/>
              </w:rPr>
              <w:t>3/15/19</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40" w:type="dxa"/>
            <w:vAlign w:val="bottom"/>
          </w:tcPr>
          <w:p>
            <w:pPr>
              <w:jc w:val="center"/>
              <w:ind w:left="79"/>
              <w:spacing w:after="0"/>
              <w:rPr>
                <w:sz w:val="20"/>
                <w:szCs w:val="20"/>
                <w:color w:val="auto"/>
              </w:rPr>
            </w:pPr>
            <w:r>
              <w:rPr>
                <w:rFonts w:ascii="Arial" w:cs="Arial" w:eastAsia="Arial" w:hAnsi="Arial"/>
                <w:sz w:val="18"/>
                <w:szCs w:val="18"/>
                <w:color w:val="auto"/>
                <w:w w:val="91"/>
              </w:rPr>
              <w:t>10.9</w:t>
            </w:r>
          </w:p>
        </w:tc>
        <w:tc>
          <w:tcPr>
            <w:tcW w:w="280" w:type="dxa"/>
            <w:vAlign w:val="bottom"/>
          </w:tcPr>
          <w:p>
            <w:pPr>
              <w:spacing w:after="0"/>
              <w:rPr>
                <w:sz w:val="24"/>
                <w:szCs w:val="24"/>
                <w:color w:val="auto"/>
              </w:rPr>
            </w:pPr>
          </w:p>
        </w:tc>
        <w:tc>
          <w:tcPr>
            <w:tcW w:w="4120" w:type="dxa"/>
            <w:vAlign w:val="bottom"/>
            <w:gridSpan w:val="18"/>
          </w:tcPr>
          <w:p>
            <w:pPr>
              <w:spacing w:after="0"/>
              <w:rPr>
                <w:rFonts w:ascii="Arial" w:cs="Arial" w:eastAsia="Arial" w:hAnsi="Arial"/>
                <w:sz w:val="18"/>
                <w:szCs w:val="18"/>
                <w:u w:val="single" w:color="auto"/>
                <w:color w:val="0000EE"/>
              </w:rPr>
            </w:pPr>
            <w:hyperlink r:id="rId147">
              <w:r>
                <w:rPr>
                  <w:rFonts w:ascii="Arial" w:cs="Arial" w:eastAsia="Arial" w:hAnsi="Arial"/>
                  <w:sz w:val="18"/>
                  <w:szCs w:val="18"/>
                  <w:u w:val="single" w:color="auto"/>
                  <w:color w:val="0000EE"/>
                </w:rPr>
                <w:t>2009 Stock Incentive Plan*</w:t>
              </w:r>
            </w:hyperlink>
          </w:p>
        </w:tc>
        <w:tc>
          <w:tcPr>
            <w:tcW w:w="11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DEF14-C</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60" w:type="dxa"/>
            <w:vAlign w:val="bottom"/>
          </w:tcPr>
          <w:p>
            <w:pPr>
              <w:spacing w:after="0"/>
              <w:rPr>
                <w:sz w:val="24"/>
                <w:szCs w:val="2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B</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1/29/10</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980" w:top="517" w:right="101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80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760" w:type="dxa"/>
            <w:vAlign w:val="bottom"/>
            <w:gridSpan w:val="21"/>
            <w:vMerge w:val="restart"/>
          </w:tcPr>
          <w:p>
            <w:pPr>
              <w:ind w:left="180"/>
              <w:spacing w:after="0"/>
              <w:rPr>
                <w:sz w:val="20"/>
                <w:szCs w:val="20"/>
                <w:color w:val="auto"/>
              </w:rPr>
            </w:pPr>
            <w:r>
              <w:rPr>
                <w:rFonts w:ascii="Arial" w:cs="Arial" w:eastAsia="Arial" w:hAnsi="Arial"/>
                <w:sz w:val="14"/>
                <w:szCs w:val="14"/>
                <w:b w:val="1"/>
                <w:bCs w:val="1"/>
                <w:color w:val="auto"/>
              </w:rPr>
              <w:t>Exhibit description</w:t>
            </w:r>
          </w:p>
        </w:tc>
        <w:tc>
          <w:tcPr>
            <w:tcW w:w="180" w:type="dxa"/>
            <w:vAlign w:val="bottom"/>
          </w:tcPr>
          <w:p>
            <w:pPr>
              <w:spacing w:after="0"/>
              <w:rPr>
                <w:sz w:val="10"/>
                <w:szCs w:val="10"/>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Form</w:t>
            </w:r>
          </w:p>
        </w:tc>
        <w:tc>
          <w:tcPr>
            <w:tcW w:w="14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File no.</w:t>
            </w: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Exhibit</w:t>
            </w: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16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60" w:type="dxa"/>
            <w:vAlign w:val="bottom"/>
            <w:gridSpan w:val="21"/>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date</w:t>
            </w: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herewith</w:t>
            </w:r>
          </w:p>
        </w:tc>
        <w:tc>
          <w:tcPr>
            <w:tcW w:w="0" w:type="dxa"/>
            <w:vAlign w:val="bottom"/>
          </w:tcPr>
          <w:p>
            <w:pPr>
              <w:spacing w:after="0"/>
              <w:rPr>
                <w:sz w:val="1"/>
                <w:szCs w:val="1"/>
                <w:color w:val="auto"/>
              </w:rPr>
            </w:pPr>
          </w:p>
        </w:tc>
      </w:tr>
      <w:tr>
        <w:trPr>
          <w:trHeight w:val="385"/>
        </w:trPr>
        <w:tc>
          <w:tcPr>
            <w:tcW w:w="6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3660" w:type="dxa"/>
            <w:vAlign w:val="bottom"/>
            <w:tcBorders>
              <w:top w:val="single" w:sz="8" w:color="auto"/>
              <w:bottom w:val="single" w:sz="8" w:color="0000EE"/>
            </w:tcBorders>
            <w:gridSpan w:val="20"/>
          </w:tcPr>
          <w:p>
            <w:pPr>
              <w:spacing w:after="0"/>
              <w:rPr>
                <w:rFonts w:ascii="Arial" w:cs="Arial" w:eastAsia="Arial" w:hAnsi="Arial"/>
                <w:sz w:val="18"/>
                <w:szCs w:val="18"/>
                <w:color w:val="0000EE"/>
                <w:w w:val="89"/>
              </w:rPr>
            </w:pPr>
            <w:hyperlink r:id="rId149">
              <w:r>
                <w:rPr>
                  <w:rFonts w:ascii="Arial" w:cs="Arial" w:eastAsia="Arial" w:hAnsi="Arial"/>
                  <w:sz w:val="18"/>
                  <w:szCs w:val="18"/>
                  <w:color w:val="0000EE"/>
                  <w:w w:val="89"/>
                </w:rPr>
                <w:t>2014 Omnibus Stock Ownership Plan, as amended</w:t>
              </w:r>
            </w:hyperlink>
          </w:p>
        </w:tc>
        <w:tc>
          <w:tcPr>
            <w:tcW w:w="340" w:type="dxa"/>
            <w:vAlign w:val="bottom"/>
            <w:tcBorders>
              <w:top w:val="single" w:sz="8" w:color="auto"/>
            </w:tcBorders>
            <w:gridSpan w:val="7"/>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49">
              <w:r>
                <w:rPr>
                  <w:rFonts w:ascii="Arial" w:cs="Arial" w:eastAsia="Arial" w:hAnsi="Arial"/>
                  <w:sz w:val="18"/>
                  <w:szCs w:val="18"/>
                  <w:color w:val="0000EE"/>
                  <w:w w:val="92"/>
                </w:rPr>
                <w:t>through August 29, 2017*</w:t>
              </w:r>
            </w:hyperlink>
          </w:p>
        </w:tc>
        <w:tc>
          <w:tcPr>
            <w:tcW w:w="2100" w:type="dxa"/>
            <w:vAlign w:val="bottom"/>
            <w:gridSpan w:val="18"/>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001-37939</w:t>
            </w:r>
          </w:p>
        </w:tc>
        <w:tc>
          <w:tcPr>
            <w:tcW w:w="16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24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Arial" w:cs="Arial" w:eastAsia="Arial" w:hAnsi="Arial"/>
                <w:sz w:val="18"/>
                <w:szCs w:val="18"/>
                <w:color w:val="auto"/>
                <w:w w:val="91"/>
              </w:rPr>
              <w:t>9/5/17</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Pr>
          <w:p>
            <w:pPr>
              <w:jc w:val="right"/>
              <w:ind w:right="32"/>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24"/>
                <w:szCs w:val="24"/>
                <w:color w:val="auto"/>
              </w:rPr>
            </w:pPr>
          </w:p>
        </w:tc>
        <w:tc>
          <w:tcPr>
            <w:tcW w:w="4000" w:type="dxa"/>
            <w:vAlign w:val="bottom"/>
            <w:gridSpan w:val="27"/>
          </w:tcPr>
          <w:p>
            <w:pPr>
              <w:spacing w:after="0"/>
              <w:rPr>
                <w:rFonts w:ascii="Arial" w:cs="Arial" w:eastAsia="Arial" w:hAnsi="Arial"/>
                <w:sz w:val="18"/>
                <w:szCs w:val="18"/>
                <w:color w:val="0000EE"/>
                <w:w w:val="93"/>
              </w:rPr>
            </w:pPr>
            <w:hyperlink r:id="rId150">
              <w:r>
                <w:rPr>
                  <w:rFonts w:ascii="Arial" w:cs="Arial" w:eastAsia="Arial" w:hAnsi="Arial"/>
                  <w:sz w:val="18"/>
                  <w:szCs w:val="18"/>
                  <w:color w:val="0000EE"/>
                  <w:w w:val="93"/>
                </w:rPr>
                <w:t>Amendment to 2014 Omnibus Stock Ownership Plan,</w:t>
              </w:r>
            </w:hyperlink>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as amended *</w:t>
              </w:r>
            </w:hyperlink>
          </w:p>
        </w:tc>
        <w:tc>
          <w:tcPr>
            <w:tcW w:w="12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001-37939</w:t>
            </w:r>
          </w:p>
        </w:tc>
        <w:tc>
          <w:tcPr>
            <w:tcW w:w="16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7"/>
              </w:rPr>
              <w:t>4.4</w:t>
            </w:r>
          </w:p>
        </w:tc>
        <w:tc>
          <w:tcPr>
            <w:tcW w:w="24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Arial" w:cs="Arial" w:eastAsia="Arial" w:hAnsi="Arial"/>
                <w:sz w:val="18"/>
                <w:szCs w:val="18"/>
                <w:color w:val="auto"/>
                <w:w w:val="91"/>
              </w:rPr>
              <w:t>10/17/18</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60" w:type="dxa"/>
            <w:vAlign w:val="bottom"/>
          </w:tcPr>
          <w:p>
            <w:pPr>
              <w:jc w:val="right"/>
              <w:ind w:right="32"/>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24"/>
                <w:szCs w:val="24"/>
                <w:color w:val="auto"/>
              </w:rPr>
            </w:pPr>
          </w:p>
        </w:tc>
        <w:tc>
          <w:tcPr>
            <w:tcW w:w="4000" w:type="dxa"/>
            <w:vAlign w:val="bottom"/>
            <w:gridSpan w:val="27"/>
          </w:tcPr>
          <w:p>
            <w:pPr>
              <w:spacing w:after="0"/>
              <w:rPr>
                <w:rFonts w:ascii="Arial" w:cs="Arial" w:eastAsia="Arial" w:hAnsi="Arial"/>
                <w:sz w:val="18"/>
                <w:szCs w:val="18"/>
                <w:u w:val="single" w:color="auto"/>
                <w:color w:val="0000EE"/>
                <w:w w:val="94"/>
              </w:rPr>
            </w:pPr>
            <w:hyperlink r:id="rId151">
              <w:r>
                <w:rPr>
                  <w:rFonts w:ascii="Arial" w:cs="Arial" w:eastAsia="Arial" w:hAnsi="Arial"/>
                  <w:sz w:val="18"/>
                  <w:szCs w:val="18"/>
                  <w:u w:val="single" w:color="auto"/>
                  <w:color w:val="0000EE"/>
                  <w:w w:val="94"/>
                </w:rPr>
                <w:t>Form of Stock Option Award Agreement –Employee*</w:t>
              </w:r>
            </w:hyperlink>
          </w:p>
        </w:tc>
        <w:tc>
          <w:tcPr>
            <w:tcW w:w="180" w:type="dxa"/>
            <w:vAlign w:val="bottom"/>
          </w:tcPr>
          <w:p>
            <w:pPr>
              <w:spacing w:after="0"/>
              <w:rPr>
                <w:sz w:val="24"/>
                <w:szCs w:val="2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001-37939</w:t>
            </w: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2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10/23/18</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0" w:type="dxa"/>
            <w:vAlign w:val="bottom"/>
          </w:tcPr>
          <w:p>
            <w:pPr>
              <w:jc w:val="right"/>
              <w:ind w:right="32"/>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24"/>
                <w:szCs w:val="24"/>
                <w:color w:val="auto"/>
              </w:rPr>
            </w:pPr>
          </w:p>
        </w:tc>
        <w:tc>
          <w:tcPr>
            <w:tcW w:w="4000" w:type="dxa"/>
            <w:vAlign w:val="bottom"/>
            <w:gridSpan w:val="27"/>
          </w:tcPr>
          <w:p>
            <w:pPr>
              <w:spacing w:after="0"/>
              <w:rPr>
                <w:rFonts w:ascii="Arial" w:cs="Arial" w:eastAsia="Arial" w:hAnsi="Arial"/>
                <w:sz w:val="18"/>
                <w:szCs w:val="18"/>
                <w:color w:val="0000EE"/>
              </w:rPr>
            </w:pPr>
            <w:hyperlink r:id="rId152">
              <w:r>
                <w:rPr>
                  <w:rFonts w:ascii="Arial" w:cs="Arial" w:eastAsia="Arial" w:hAnsi="Arial"/>
                  <w:sz w:val="18"/>
                  <w:szCs w:val="18"/>
                  <w:color w:val="0000EE"/>
                </w:rPr>
                <w:t>Form of Stock Option Award Agreement – Non-</w:t>
              </w:r>
            </w:hyperlink>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Employee Director*</w:t>
              </w:r>
            </w:hyperlink>
          </w:p>
        </w:tc>
        <w:tc>
          <w:tcPr>
            <w:tcW w:w="500" w:type="dxa"/>
            <w:vAlign w:val="bottom"/>
            <w:gridSpan w:val="11"/>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85"/>
              </w:rPr>
              <w:t>S-8</w:t>
            </w: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333-228056</w:t>
            </w:r>
          </w:p>
        </w:tc>
        <w:tc>
          <w:tcPr>
            <w:tcW w:w="16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24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Arial" w:cs="Arial" w:eastAsia="Arial" w:hAnsi="Arial"/>
                <w:sz w:val="18"/>
                <w:szCs w:val="18"/>
                <w:color w:val="auto"/>
                <w:w w:val="91"/>
              </w:rPr>
              <w:t>10/30/18</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jc w:val="right"/>
              <w:ind w:right="32"/>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24"/>
                <w:szCs w:val="24"/>
                <w:color w:val="auto"/>
              </w:rPr>
            </w:pPr>
          </w:p>
        </w:tc>
        <w:tc>
          <w:tcPr>
            <w:tcW w:w="4000" w:type="dxa"/>
            <w:vAlign w:val="bottom"/>
            <w:gridSpan w:val="27"/>
          </w:tcPr>
          <w:p>
            <w:pPr>
              <w:spacing w:after="0"/>
              <w:rPr>
                <w:rFonts w:ascii="Arial" w:cs="Arial" w:eastAsia="Arial" w:hAnsi="Arial"/>
                <w:sz w:val="18"/>
                <w:szCs w:val="18"/>
                <w:color w:val="0000EE"/>
              </w:rPr>
            </w:pPr>
            <w:hyperlink r:id="rId153">
              <w:r>
                <w:rPr>
                  <w:rFonts w:ascii="Arial" w:cs="Arial" w:eastAsia="Arial" w:hAnsi="Arial"/>
                  <w:sz w:val="18"/>
                  <w:szCs w:val="18"/>
                  <w:color w:val="0000EE"/>
                </w:rPr>
                <w:t>Form of Stock Option Award Agreement –</w:t>
              </w:r>
            </w:hyperlink>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153">
              <w:r>
                <w:rPr>
                  <w:rFonts w:ascii="Arial" w:cs="Arial" w:eastAsia="Arial" w:hAnsi="Arial"/>
                  <w:sz w:val="18"/>
                  <w:szCs w:val="18"/>
                  <w:color w:val="0000EE"/>
                  <w:w w:val="92"/>
                </w:rPr>
                <w:t>Consultant*</w:t>
              </w:r>
            </w:hyperlink>
          </w:p>
        </w:tc>
        <w:tc>
          <w:tcPr>
            <w:tcW w:w="2200" w:type="dxa"/>
            <w:vAlign w:val="bottom"/>
            <w:tcBorders>
              <w:top w:val="single" w:sz="8" w:color="0000EE"/>
            </w:tcBorders>
            <w:gridSpan w:val="9"/>
          </w:tcPr>
          <w:p>
            <w:pPr>
              <w:spacing w:after="0"/>
              <w:rPr>
                <w:sz w:val="17"/>
                <w:szCs w:val="17"/>
                <w:color w:val="auto"/>
              </w:rPr>
            </w:pPr>
          </w:p>
        </w:tc>
        <w:tc>
          <w:tcPr>
            <w:tcW w:w="920" w:type="dxa"/>
            <w:vAlign w:val="bottom"/>
            <w:gridSpan w:val="15"/>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001-37939</w:t>
            </w:r>
          </w:p>
        </w:tc>
        <w:tc>
          <w:tcPr>
            <w:tcW w:w="16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91"/>
              </w:rPr>
              <w:t>10.2</w:t>
            </w:r>
          </w:p>
        </w:tc>
        <w:tc>
          <w:tcPr>
            <w:tcW w:w="24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Arial" w:cs="Arial" w:eastAsia="Arial" w:hAnsi="Arial"/>
                <w:sz w:val="18"/>
                <w:szCs w:val="18"/>
                <w:color w:val="auto"/>
                <w:w w:val="91"/>
              </w:rPr>
              <w:t>10/23/18</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Pr>
          <w:p>
            <w:pPr>
              <w:jc w:val="right"/>
              <w:ind w:right="32"/>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24"/>
                <w:szCs w:val="24"/>
                <w:color w:val="auto"/>
              </w:rPr>
            </w:pPr>
          </w:p>
        </w:tc>
        <w:tc>
          <w:tcPr>
            <w:tcW w:w="3320" w:type="dxa"/>
            <w:vAlign w:val="bottom"/>
            <w:tcBorders>
              <w:bottom w:val="single" w:sz="8" w:color="0000EE"/>
            </w:tcBorders>
            <w:gridSpan w:val="14"/>
          </w:tcPr>
          <w:p>
            <w:pPr>
              <w:spacing w:after="0"/>
              <w:rPr>
                <w:rFonts w:ascii="Arial" w:cs="Arial" w:eastAsia="Arial" w:hAnsi="Arial"/>
                <w:sz w:val="18"/>
                <w:szCs w:val="18"/>
                <w:color w:val="0000EE"/>
                <w:w w:val="91"/>
              </w:rPr>
            </w:pPr>
            <w:hyperlink r:id="rId154">
              <w:r>
                <w:rPr>
                  <w:rFonts w:ascii="Arial" w:cs="Arial" w:eastAsia="Arial" w:hAnsi="Arial"/>
                  <w:sz w:val="18"/>
                  <w:szCs w:val="18"/>
                  <w:color w:val="0000EE"/>
                  <w:w w:val="91"/>
                </w:rPr>
                <w:t>Form of Restricted Stock Award Agreement –</w:t>
              </w:r>
            </w:hyperlink>
          </w:p>
        </w:tc>
        <w:tc>
          <w:tcPr>
            <w:tcW w:w="680" w:type="dxa"/>
            <w:vAlign w:val="bottom"/>
            <w:gridSpan w:val="13"/>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Consultant*</w:t>
              </w:r>
            </w:hyperlink>
          </w:p>
        </w:tc>
        <w:tc>
          <w:tcPr>
            <w:tcW w:w="3120" w:type="dxa"/>
            <w:vAlign w:val="bottom"/>
            <w:gridSpan w:val="24"/>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89"/>
              </w:rPr>
              <w:t>10-Q</w:t>
            </w: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90"/>
              </w:rPr>
              <w:t>000-27239</w:t>
            </w:r>
          </w:p>
        </w:tc>
        <w:tc>
          <w:tcPr>
            <w:tcW w:w="16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91"/>
              </w:rPr>
              <w:t>10.7</w:t>
            </w:r>
          </w:p>
        </w:tc>
        <w:tc>
          <w:tcPr>
            <w:tcW w:w="24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Arial" w:cs="Arial" w:eastAsia="Arial" w:hAnsi="Arial"/>
                <w:sz w:val="18"/>
                <w:szCs w:val="18"/>
                <w:color w:val="auto"/>
                <w:w w:val="91"/>
              </w:rPr>
              <w:t>11/16/15</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Pr>
          <w:p>
            <w:pPr>
              <w:jc w:val="right"/>
              <w:ind w:right="32"/>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24"/>
                <w:szCs w:val="24"/>
                <w:color w:val="auto"/>
              </w:rPr>
            </w:pPr>
          </w:p>
        </w:tc>
        <w:tc>
          <w:tcPr>
            <w:tcW w:w="4000" w:type="dxa"/>
            <w:vAlign w:val="bottom"/>
            <w:gridSpan w:val="27"/>
          </w:tcPr>
          <w:p>
            <w:pPr>
              <w:spacing w:after="0"/>
              <w:rPr>
                <w:rFonts w:ascii="Arial" w:cs="Arial" w:eastAsia="Arial" w:hAnsi="Arial"/>
                <w:sz w:val="18"/>
                <w:szCs w:val="18"/>
                <w:color w:val="0000EE"/>
                <w:w w:val="91"/>
              </w:rPr>
            </w:pPr>
            <w:hyperlink r:id="rId155">
              <w:r>
                <w:rPr>
                  <w:rFonts w:ascii="Arial" w:cs="Arial" w:eastAsia="Arial" w:hAnsi="Arial"/>
                  <w:sz w:val="18"/>
                  <w:szCs w:val="18"/>
                  <w:color w:val="0000EE"/>
                  <w:w w:val="91"/>
                </w:rPr>
                <w:t>Employment Agreement between TapImmune Inc. and</w:t>
              </w:r>
            </w:hyperlink>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60" w:type="dxa"/>
            <w:vAlign w:val="bottom"/>
            <w:tcBorders>
              <w:top w:val="single" w:sz="8" w:color="0000EE"/>
            </w:tcBorders>
            <w:gridSpan w:val="26"/>
          </w:tcPr>
          <w:p>
            <w:pPr>
              <w:spacing w:after="0"/>
              <w:rPr>
                <w:rFonts w:ascii="Arial" w:cs="Arial" w:eastAsia="Arial" w:hAnsi="Arial"/>
                <w:sz w:val="18"/>
                <w:szCs w:val="18"/>
                <w:u w:val="single" w:color="auto"/>
                <w:color w:val="0000EE"/>
              </w:rPr>
            </w:pPr>
            <w:hyperlink r:id="rId155">
              <w:r>
                <w:rPr>
                  <w:rFonts w:ascii="Arial" w:cs="Arial" w:eastAsia="Arial" w:hAnsi="Arial"/>
                  <w:sz w:val="18"/>
                  <w:szCs w:val="18"/>
                  <w:u w:val="single" w:color="auto"/>
                  <w:color w:val="0000EE"/>
                </w:rPr>
                <w:t>Peter Hoang dated as of September 22, 2017*</w:t>
              </w:r>
            </w:hyperlink>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001-37939</w:t>
            </w:r>
          </w:p>
        </w:tc>
        <w:tc>
          <w:tcPr>
            <w:tcW w:w="16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9/25/17</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60" w:type="dxa"/>
            <w:vAlign w:val="bottom"/>
          </w:tcPr>
          <w:p>
            <w:pPr>
              <w:jc w:val="right"/>
              <w:ind w:right="32"/>
              <w:spacing w:after="0"/>
              <w:rPr>
                <w:sz w:val="20"/>
                <w:szCs w:val="20"/>
                <w:color w:val="auto"/>
              </w:rPr>
            </w:pPr>
            <w:r>
              <w:rPr>
                <w:rFonts w:ascii="Arial" w:cs="Arial" w:eastAsia="Arial" w:hAnsi="Arial"/>
                <w:sz w:val="18"/>
                <w:szCs w:val="18"/>
                <w:color w:val="auto"/>
              </w:rPr>
              <w:t>10.17</w:t>
            </w:r>
          </w:p>
        </w:tc>
        <w:tc>
          <w:tcPr>
            <w:tcW w:w="140" w:type="dxa"/>
            <w:vAlign w:val="bottom"/>
          </w:tcPr>
          <w:p>
            <w:pPr>
              <w:spacing w:after="0"/>
              <w:rPr>
                <w:sz w:val="24"/>
                <w:szCs w:val="24"/>
                <w:color w:val="auto"/>
              </w:rPr>
            </w:pPr>
          </w:p>
        </w:tc>
        <w:tc>
          <w:tcPr>
            <w:tcW w:w="4000" w:type="dxa"/>
            <w:vAlign w:val="bottom"/>
            <w:gridSpan w:val="27"/>
          </w:tcPr>
          <w:p>
            <w:pPr>
              <w:spacing w:after="0"/>
              <w:rPr>
                <w:rFonts w:ascii="Arial" w:cs="Arial" w:eastAsia="Arial" w:hAnsi="Arial"/>
                <w:sz w:val="18"/>
                <w:szCs w:val="18"/>
                <w:color w:val="0000EE"/>
                <w:w w:val="93"/>
              </w:rPr>
            </w:pPr>
            <w:hyperlink r:id="rId156">
              <w:r>
                <w:rPr>
                  <w:rFonts w:ascii="Arial" w:cs="Arial" w:eastAsia="Arial" w:hAnsi="Arial"/>
                  <w:sz w:val="18"/>
                  <w:szCs w:val="18"/>
                  <w:color w:val="0000EE"/>
                  <w:w w:val="93"/>
                </w:rPr>
                <w:t>Employment Agreement by and between TapImmune</w:t>
              </w:r>
            </w:hyperlink>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60" w:type="dxa"/>
            <w:vAlign w:val="bottom"/>
            <w:tcBorders>
              <w:top w:val="single" w:sz="8" w:color="0000EE"/>
            </w:tcBorders>
            <w:gridSpan w:val="23"/>
          </w:tcPr>
          <w:p>
            <w:pPr>
              <w:spacing w:after="0" w:line="196" w:lineRule="exact"/>
              <w:rPr>
                <w:rFonts w:ascii="Arial" w:cs="Arial" w:eastAsia="Arial" w:hAnsi="Arial"/>
                <w:sz w:val="18"/>
                <w:szCs w:val="18"/>
                <w:color w:val="0000EE"/>
                <w:w w:val="92"/>
              </w:rPr>
            </w:pPr>
            <w:hyperlink r:id="rId156">
              <w:r>
                <w:rPr>
                  <w:rFonts w:ascii="Arial" w:cs="Arial" w:eastAsia="Arial" w:hAnsi="Arial"/>
                  <w:sz w:val="18"/>
                  <w:szCs w:val="18"/>
                  <w:color w:val="0000EE"/>
                  <w:w w:val="92"/>
                </w:rPr>
                <w:t>Inc. and Michael J. Loiacono dated as of August 25,</w:t>
              </w:r>
            </w:hyperlink>
          </w:p>
        </w:tc>
        <w:tc>
          <w:tcPr>
            <w:tcW w:w="14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r:id="rId156">
              <w:r>
                <w:rPr>
                  <w:rFonts w:ascii="Arial" w:cs="Arial" w:eastAsia="Arial" w:hAnsi="Arial"/>
                  <w:sz w:val="18"/>
                  <w:szCs w:val="18"/>
                  <w:color w:val="0000EE"/>
                  <w:w w:val="93"/>
                </w:rPr>
                <w:t>2016*</w:t>
              </w:r>
            </w:hyperlink>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90"/>
              </w:rPr>
              <w:t>000-27239</w:t>
            </w:r>
          </w:p>
        </w:tc>
        <w:tc>
          <w:tcPr>
            <w:tcW w:w="16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24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Arial" w:cs="Arial" w:eastAsia="Arial" w:hAnsi="Arial"/>
                <w:sz w:val="18"/>
                <w:szCs w:val="18"/>
                <w:color w:val="auto"/>
                <w:w w:val="93"/>
              </w:rPr>
              <w:t>8/25/16</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Pr>
          <w:p>
            <w:pPr>
              <w:jc w:val="right"/>
              <w:ind w:right="32"/>
              <w:spacing w:after="0"/>
              <w:rPr>
                <w:sz w:val="20"/>
                <w:szCs w:val="20"/>
                <w:color w:val="auto"/>
              </w:rPr>
            </w:pPr>
            <w:r>
              <w:rPr>
                <w:rFonts w:ascii="Arial" w:cs="Arial" w:eastAsia="Arial" w:hAnsi="Arial"/>
                <w:sz w:val="18"/>
                <w:szCs w:val="18"/>
                <w:color w:val="auto"/>
              </w:rPr>
              <w:t>10.18</w:t>
            </w:r>
          </w:p>
        </w:tc>
        <w:tc>
          <w:tcPr>
            <w:tcW w:w="140" w:type="dxa"/>
            <w:vAlign w:val="bottom"/>
          </w:tcPr>
          <w:p>
            <w:pPr>
              <w:spacing w:after="0"/>
              <w:rPr>
                <w:sz w:val="24"/>
                <w:szCs w:val="24"/>
                <w:color w:val="auto"/>
              </w:rPr>
            </w:pPr>
          </w:p>
        </w:tc>
        <w:tc>
          <w:tcPr>
            <w:tcW w:w="4000" w:type="dxa"/>
            <w:vAlign w:val="bottom"/>
            <w:gridSpan w:val="27"/>
          </w:tcPr>
          <w:p>
            <w:pPr>
              <w:spacing w:after="0"/>
              <w:rPr>
                <w:rFonts w:ascii="Arial" w:cs="Arial" w:eastAsia="Arial" w:hAnsi="Arial"/>
                <w:sz w:val="18"/>
                <w:szCs w:val="18"/>
                <w:color w:val="0000EE"/>
              </w:rPr>
            </w:pPr>
            <w:hyperlink r:id="rId157">
              <w:r>
                <w:rPr>
                  <w:rFonts w:ascii="Arial" w:cs="Arial" w:eastAsia="Arial" w:hAnsi="Arial"/>
                  <w:sz w:val="18"/>
                  <w:szCs w:val="18"/>
                  <w:color w:val="0000EE"/>
                </w:rPr>
                <w:t>Amendment to Employment Agreement between</w:t>
              </w:r>
            </w:hyperlink>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Marker Therapeutics, Inc. and Michael J. Loiacono</w:t>
              </w:r>
            </w:hyperlink>
          </w:p>
        </w:tc>
        <w:tc>
          <w:tcPr>
            <w:tcW w:w="300" w:type="dxa"/>
            <w:vAlign w:val="bottom"/>
            <w:gridSpan w:val="6"/>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dated as of November 27, 2018*</w:t>
              </w:r>
            </w:hyperlink>
          </w:p>
        </w:tc>
        <w:tc>
          <w:tcPr>
            <w:tcW w:w="1640" w:type="dxa"/>
            <w:vAlign w:val="bottom"/>
            <w:gridSpan w:val="17"/>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001-37939</w:t>
            </w:r>
          </w:p>
        </w:tc>
        <w:tc>
          <w:tcPr>
            <w:tcW w:w="16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91"/>
              </w:rPr>
              <w:t>10.2</w:t>
            </w:r>
          </w:p>
        </w:tc>
        <w:tc>
          <w:tcPr>
            <w:tcW w:w="24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Arial" w:cs="Arial" w:eastAsia="Arial" w:hAnsi="Arial"/>
                <w:sz w:val="18"/>
                <w:szCs w:val="18"/>
                <w:color w:val="auto"/>
                <w:w w:val="93"/>
              </w:rPr>
              <w:t>12/3/18</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Pr>
          <w:p>
            <w:pPr>
              <w:jc w:val="right"/>
              <w:ind w:right="32"/>
              <w:spacing w:after="0"/>
              <w:rPr>
                <w:sz w:val="20"/>
                <w:szCs w:val="20"/>
                <w:color w:val="auto"/>
              </w:rPr>
            </w:pPr>
            <w:r>
              <w:rPr>
                <w:rFonts w:ascii="Arial" w:cs="Arial" w:eastAsia="Arial" w:hAnsi="Arial"/>
                <w:sz w:val="18"/>
                <w:szCs w:val="18"/>
                <w:color w:val="auto"/>
              </w:rPr>
              <w:t>10.19</w:t>
            </w:r>
          </w:p>
        </w:tc>
        <w:tc>
          <w:tcPr>
            <w:tcW w:w="140" w:type="dxa"/>
            <w:vAlign w:val="bottom"/>
          </w:tcPr>
          <w:p>
            <w:pPr>
              <w:spacing w:after="0"/>
              <w:rPr>
                <w:sz w:val="24"/>
                <w:szCs w:val="24"/>
                <w:color w:val="auto"/>
              </w:rPr>
            </w:pPr>
          </w:p>
        </w:tc>
        <w:tc>
          <w:tcPr>
            <w:tcW w:w="3000" w:type="dxa"/>
            <w:vAlign w:val="bottom"/>
            <w:tcBorders>
              <w:bottom w:val="single" w:sz="8" w:color="0000EE"/>
            </w:tcBorders>
            <w:gridSpan w:val="11"/>
          </w:tcPr>
          <w:p>
            <w:pPr>
              <w:spacing w:after="0"/>
              <w:rPr>
                <w:rFonts w:ascii="Arial" w:cs="Arial" w:eastAsia="Arial" w:hAnsi="Arial"/>
                <w:sz w:val="18"/>
                <w:szCs w:val="18"/>
                <w:color w:val="0000EE"/>
                <w:w w:val="91"/>
              </w:rPr>
            </w:pPr>
            <w:hyperlink r:id="rId158">
              <w:r>
                <w:rPr>
                  <w:rFonts w:ascii="Arial" w:cs="Arial" w:eastAsia="Arial" w:hAnsi="Arial"/>
                  <w:sz w:val="18"/>
                  <w:szCs w:val="18"/>
                  <w:color w:val="0000EE"/>
                  <w:w w:val="91"/>
                </w:rPr>
                <w:t>Employment Agreement between Marker</w:t>
              </w:r>
            </w:hyperlink>
          </w:p>
        </w:tc>
        <w:tc>
          <w:tcPr>
            <w:tcW w:w="1000" w:type="dxa"/>
            <w:vAlign w:val="bottom"/>
            <w:gridSpan w:val="16"/>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gridSpan w:val="27"/>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Therapeutics, Inc. and Anthony Kim dated as of</w:t>
              </w:r>
            </w:hyperlink>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58">
              <w:r>
                <w:rPr>
                  <w:rFonts w:ascii="Arial" w:cs="Arial" w:eastAsia="Arial" w:hAnsi="Arial"/>
                  <w:sz w:val="18"/>
                  <w:szCs w:val="18"/>
                  <w:color w:val="0000EE"/>
                  <w:w w:val="92"/>
                </w:rPr>
                <w:t>November 27, 2018*</w:t>
              </w:r>
            </w:hyperlink>
          </w:p>
        </w:tc>
        <w:tc>
          <w:tcPr>
            <w:tcW w:w="1920" w:type="dxa"/>
            <w:vAlign w:val="bottom"/>
            <w:tcBorders>
              <w:top w:val="single" w:sz="8" w:color="0000EE"/>
            </w:tcBorders>
            <w:gridSpan w:val="7"/>
          </w:tcPr>
          <w:p>
            <w:pPr>
              <w:spacing w:after="0"/>
              <w:rPr>
                <w:sz w:val="17"/>
                <w:szCs w:val="17"/>
                <w:color w:val="auto"/>
              </w:rPr>
            </w:pPr>
          </w:p>
        </w:tc>
        <w:tc>
          <w:tcPr>
            <w:tcW w:w="540" w:type="dxa"/>
            <w:vAlign w:val="bottom"/>
            <w:gridSpan w:val="12"/>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001-37939</w:t>
            </w:r>
          </w:p>
        </w:tc>
        <w:tc>
          <w:tcPr>
            <w:tcW w:w="16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91"/>
              </w:rPr>
              <w:t>10.3</w:t>
            </w:r>
          </w:p>
        </w:tc>
        <w:tc>
          <w:tcPr>
            <w:tcW w:w="24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Arial" w:cs="Arial" w:eastAsia="Arial" w:hAnsi="Arial"/>
                <w:sz w:val="18"/>
                <w:szCs w:val="18"/>
                <w:color w:val="auto"/>
                <w:w w:val="93"/>
              </w:rPr>
              <w:t>12/3/18</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Pr>
          <w:p>
            <w:pPr>
              <w:jc w:val="right"/>
              <w:ind w:right="32"/>
              <w:spacing w:after="0"/>
              <w:rPr>
                <w:sz w:val="20"/>
                <w:szCs w:val="20"/>
                <w:color w:val="auto"/>
              </w:rPr>
            </w:pPr>
            <w:r>
              <w:rPr>
                <w:rFonts w:ascii="Arial" w:cs="Arial" w:eastAsia="Arial" w:hAnsi="Arial"/>
                <w:sz w:val="18"/>
                <w:szCs w:val="18"/>
                <w:color w:val="auto"/>
              </w:rPr>
              <w:t>10.20</w:t>
            </w:r>
          </w:p>
        </w:tc>
        <w:tc>
          <w:tcPr>
            <w:tcW w:w="140" w:type="dxa"/>
            <w:vAlign w:val="bottom"/>
          </w:tcPr>
          <w:p>
            <w:pPr>
              <w:spacing w:after="0"/>
              <w:rPr>
                <w:sz w:val="24"/>
                <w:szCs w:val="24"/>
                <w:color w:val="auto"/>
              </w:rPr>
            </w:pPr>
          </w:p>
        </w:tc>
        <w:tc>
          <w:tcPr>
            <w:tcW w:w="3620" w:type="dxa"/>
            <w:vAlign w:val="bottom"/>
            <w:tcBorders>
              <w:bottom w:val="single" w:sz="8" w:color="0000EE"/>
            </w:tcBorders>
            <w:gridSpan w:val="19"/>
          </w:tcPr>
          <w:p>
            <w:pPr>
              <w:spacing w:after="0"/>
              <w:rPr>
                <w:rFonts w:ascii="Arial" w:cs="Arial" w:eastAsia="Arial" w:hAnsi="Arial"/>
                <w:sz w:val="18"/>
                <w:szCs w:val="18"/>
                <w:color w:val="0000EE"/>
                <w:w w:val="89"/>
              </w:rPr>
            </w:pPr>
            <w:hyperlink r:id="rId159">
              <w:r>
                <w:rPr>
                  <w:rFonts w:ascii="Arial" w:cs="Arial" w:eastAsia="Arial" w:hAnsi="Arial"/>
                  <w:sz w:val="18"/>
                  <w:szCs w:val="18"/>
                  <w:color w:val="0000EE"/>
                  <w:w w:val="89"/>
                </w:rPr>
                <w:t>Consulting Agreement between Dr. Juan Vera and</w:t>
              </w:r>
            </w:hyperlink>
          </w:p>
        </w:tc>
        <w:tc>
          <w:tcPr>
            <w:tcW w:w="380" w:type="dxa"/>
            <w:vAlign w:val="bottom"/>
            <w:gridSpan w:val="8"/>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0" w:type="dxa"/>
            <w:vAlign w:val="bottom"/>
            <w:gridSpan w:val="27"/>
          </w:tcPr>
          <w:p>
            <w:pPr>
              <w:spacing w:after="0"/>
              <w:rPr>
                <w:rFonts w:ascii="Arial" w:cs="Arial" w:eastAsia="Arial" w:hAnsi="Arial"/>
                <w:sz w:val="18"/>
                <w:szCs w:val="18"/>
                <w:u w:val="single" w:color="auto"/>
                <w:color w:val="0000EE"/>
                <w:w w:val="98"/>
              </w:rPr>
            </w:pPr>
            <w:hyperlink r:id="rId159">
              <w:r>
                <w:rPr>
                  <w:rFonts w:ascii="Arial" w:cs="Arial" w:eastAsia="Arial" w:hAnsi="Arial"/>
                  <w:sz w:val="18"/>
                  <w:szCs w:val="18"/>
                  <w:u w:val="single" w:color="auto"/>
                  <w:color w:val="0000EE"/>
                  <w:w w:val="98"/>
                </w:rPr>
                <w:t>Marker Therapeutics, Inc. dated October 19, 2018*</w:t>
              </w:r>
            </w:hyperlink>
          </w:p>
        </w:tc>
        <w:tc>
          <w:tcPr>
            <w:tcW w:w="18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001-37939</w:t>
            </w:r>
          </w:p>
        </w:tc>
        <w:tc>
          <w:tcPr>
            <w:tcW w:w="16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10/23/18</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60" w:type="dxa"/>
            <w:vAlign w:val="bottom"/>
          </w:tcPr>
          <w:p>
            <w:pPr>
              <w:jc w:val="right"/>
              <w:ind w:right="32"/>
              <w:spacing w:after="0"/>
              <w:rPr>
                <w:sz w:val="20"/>
                <w:szCs w:val="20"/>
                <w:color w:val="auto"/>
              </w:rPr>
            </w:pPr>
            <w:r>
              <w:rPr>
                <w:rFonts w:ascii="Arial" w:cs="Arial" w:eastAsia="Arial" w:hAnsi="Arial"/>
                <w:sz w:val="18"/>
                <w:szCs w:val="18"/>
                <w:color w:val="auto"/>
              </w:rPr>
              <w:t>10.21</w:t>
            </w:r>
          </w:p>
        </w:tc>
        <w:tc>
          <w:tcPr>
            <w:tcW w:w="140" w:type="dxa"/>
            <w:vAlign w:val="bottom"/>
          </w:tcPr>
          <w:p>
            <w:pPr>
              <w:spacing w:after="0"/>
              <w:rPr>
                <w:sz w:val="24"/>
                <w:szCs w:val="24"/>
                <w:color w:val="auto"/>
              </w:rPr>
            </w:pPr>
          </w:p>
        </w:tc>
        <w:tc>
          <w:tcPr>
            <w:tcW w:w="3300" w:type="dxa"/>
            <w:vAlign w:val="bottom"/>
            <w:tcBorders>
              <w:bottom w:val="single" w:sz="8" w:color="0000EE"/>
            </w:tcBorders>
            <w:gridSpan w:val="13"/>
          </w:tcPr>
          <w:p>
            <w:pPr>
              <w:spacing w:after="0"/>
              <w:rPr>
                <w:rFonts w:ascii="Arial" w:cs="Arial" w:eastAsia="Arial" w:hAnsi="Arial"/>
                <w:sz w:val="18"/>
                <w:szCs w:val="18"/>
                <w:color w:val="0000EE"/>
                <w:w w:val="93"/>
              </w:rPr>
            </w:pPr>
            <w:hyperlink r:id="rId160">
              <w:r>
                <w:rPr>
                  <w:rFonts w:ascii="Arial" w:cs="Arial" w:eastAsia="Arial" w:hAnsi="Arial"/>
                  <w:sz w:val="18"/>
                  <w:szCs w:val="18"/>
                  <w:color w:val="0000EE"/>
                  <w:w w:val="93"/>
                </w:rPr>
                <w:t>Form of Director and Officer Indemnification</w:t>
              </w:r>
            </w:hyperlink>
          </w:p>
        </w:tc>
        <w:tc>
          <w:tcPr>
            <w:tcW w:w="700" w:type="dxa"/>
            <w:vAlign w:val="bottom"/>
            <w:gridSpan w:val="14"/>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60">
              <w:r>
                <w:rPr>
                  <w:rFonts w:ascii="Arial" w:cs="Arial" w:eastAsia="Arial" w:hAnsi="Arial"/>
                  <w:sz w:val="18"/>
                  <w:szCs w:val="18"/>
                  <w:color w:val="0000EE"/>
                  <w:w w:val="92"/>
                </w:rPr>
                <w:t>Agreement*</w:t>
              </w:r>
            </w:hyperlink>
          </w:p>
        </w:tc>
        <w:tc>
          <w:tcPr>
            <w:tcW w:w="3100" w:type="dxa"/>
            <w:vAlign w:val="bottom"/>
            <w:gridSpan w:val="23"/>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94"/>
              </w:rPr>
              <w:t>10-K</w:t>
            </w: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001-37939</w:t>
            </w:r>
          </w:p>
        </w:tc>
        <w:tc>
          <w:tcPr>
            <w:tcW w:w="16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8"/>
              </w:rPr>
              <w:t>10.39</w:t>
            </w:r>
          </w:p>
        </w:tc>
        <w:tc>
          <w:tcPr>
            <w:tcW w:w="24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Arial" w:cs="Arial" w:eastAsia="Arial" w:hAnsi="Arial"/>
                <w:sz w:val="18"/>
                <w:szCs w:val="18"/>
                <w:color w:val="auto"/>
                <w:w w:val="93"/>
              </w:rPr>
              <w:t>3/15/19</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Pr>
          <w:p>
            <w:pPr>
              <w:jc w:val="right"/>
              <w:ind w:right="32"/>
              <w:spacing w:after="0"/>
              <w:rPr>
                <w:sz w:val="20"/>
                <w:szCs w:val="20"/>
                <w:color w:val="auto"/>
              </w:rPr>
            </w:pPr>
            <w:r>
              <w:rPr>
                <w:rFonts w:ascii="Arial" w:cs="Arial" w:eastAsia="Arial" w:hAnsi="Arial"/>
                <w:sz w:val="18"/>
                <w:szCs w:val="18"/>
                <w:color w:val="auto"/>
              </w:rPr>
              <w:t>10.22</w:t>
            </w:r>
          </w:p>
        </w:tc>
        <w:tc>
          <w:tcPr>
            <w:tcW w:w="140" w:type="dxa"/>
            <w:vAlign w:val="bottom"/>
          </w:tcPr>
          <w:p>
            <w:pPr>
              <w:spacing w:after="0"/>
              <w:rPr>
                <w:sz w:val="24"/>
                <w:szCs w:val="24"/>
                <w:color w:val="auto"/>
              </w:rPr>
            </w:pPr>
          </w:p>
        </w:tc>
        <w:tc>
          <w:tcPr>
            <w:tcW w:w="4000" w:type="dxa"/>
            <w:vAlign w:val="bottom"/>
            <w:gridSpan w:val="27"/>
          </w:tcPr>
          <w:p>
            <w:pPr>
              <w:spacing w:after="0"/>
              <w:rPr>
                <w:rFonts w:ascii="Arial" w:cs="Arial" w:eastAsia="Arial" w:hAnsi="Arial"/>
                <w:sz w:val="18"/>
                <w:szCs w:val="18"/>
                <w:color w:val="0000EE"/>
              </w:rPr>
            </w:pPr>
            <w:hyperlink r:id="rId161">
              <w:r>
                <w:rPr>
                  <w:rFonts w:ascii="Arial" w:cs="Arial" w:eastAsia="Arial" w:hAnsi="Arial"/>
                  <w:sz w:val="18"/>
                  <w:szCs w:val="18"/>
                  <w:color w:val="0000EE"/>
                </w:rPr>
                <w:t>Amendment to Employment Agreement between</w:t>
              </w:r>
            </w:hyperlink>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300" w:type="dxa"/>
            <w:vAlign w:val="bottom"/>
            <w:gridSpan w:val="11"/>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161">
              <w:r>
                <w:rPr>
                  <w:rFonts w:ascii="Arial" w:cs="Arial" w:eastAsia="Arial" w:hAnsi="Arial"/>
                  <w:sz w:val="18"/>
                  <w:szCs w:val="18"/>
                  <w:color w:val="0000EE"/>
                  <w:w w:val="89"/>
                </w:rPr>
                <w:t>Marker Therapeutics, Inc. and Peter Hoang, dated</w:t>
              </w:r>
            </w:hyperlink>
          </w:p>
        </w:tc>
        <w:tc>
          <w:tcPr>
            <w:tcW w:w="400" w:type="dxa"/>
            <w:vAlign w:val="bottom"/>
            <w:gridSpan w:val="9"/>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gridSpan w:val="27"/>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March 14, 2019*</w:t>
              </w:r>
            </w:hyperlink>
          </w:p>
        </w:tc>
        <w:tc>
          <w:tcPr>
            <w:tcW w:w="180" w:type="dxa"/>
            <w:vAlign w:val="bottom"/>
          </w:tcPr>
          <w:p>
            <w:pPr>
              <w:spacing w:after="0"/>
              <w:rPr>
                <w:sz w:val="17"/>
                <w:szCs w:val="17"/>
                <w:color w:val="auto"/>
              </w:rPr>
            </w:pPr>
          </w:p>
        </w:tc>
        <w:tc>
          <w:tcPr>
            <w:tcW w:w="114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94"/>
              </w:rPr>
              <w:t>10-K</w:t>
            </w: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001-37939</w:t>
            </w:r>
          </w:p>
        </w:tc>
        <w:tc>
          <w:tcPr>
            <w:tcW w:w="16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88"/>
              </w:rPr>
              <w:t>10.40</w:t>
            </w:r>
          </w:p>
        </w:tc>
        <w:tc>
          <w:tcPr>
            <w:tcW w:w="24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Arial" w:cs="Arial" w:eastAsia="Arial" w:hAnsi="Arial"/>
                <w:sz w:val="18"/>
                <w:szCs w:val="18"/>
                <w:color w:val="auto"/>
                <w:w w:val="93"/>
              </w:rPr>
              <w:t>3/15/19</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700" w:type="dxa"/>
            <w:vAlign w:val="bottom"/>
            <w:gridSpan w:val="1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jc w:val="right"/>
              <w:ind w:right="32"/>
              <w:spacing w:after="0"/>
              <w:rPr>
                <w:sz w:val="20"/>
                <w:szCs w:val="20"/>
                <w:color w:val="auto"/>
              </w:rPr>
            </w:pPr>
            <w:r>
              <w:rPr>
                <w:rFonts w:ascii="Arial" w:cs="Arial" w:eastAsia="Arial" w:hAnsi="Arial"/>
                <w:sz w:val="18"/>
                <w:szCs w:val="18"/>
                <w:color w:val="auto"/>
              </w:rPr>
              <w:t>10.23</w:t>
            </w:r>
          </w:p>
        </w:tc>
        <w:tc>
          <w:tcPr>
            <w:tcW w:w="140" w:type="dxa"/>
            <w:vAlign w:val="bottom"/>
          </w:tcPr>
          <w:p>
            <w:pPr>
              <w:spacing w:after="0"/>
              <w:rPr>
                <w:sz w:val="24"/>
                <w:szCs w:val="24"/>
                <w:color w:val="auto"/>
              </w:rPr>
            </w:pPr>
          </w:p>
        </w:tc>
        <w:tc>
          <w:tcPr>
            <w:tcW w:w="3000" w:type="dxa"/>
            <w:vAlign w:val="bottom"/>
            <w:tcBorders>
              <w:bottom w:val="single" w:sz="8" w:color="0000EE"/>
            </w:tcBorders>
            <w:gridSpan w:val="11"/>
          </w:tcPr>
          <w:p>
            <w:pPr>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Employment Agreement between Marker</w:t>
              </w:r>
            </w:hyperlink>
          </w:p>
        </w:tc>
        <w:tc>
          <w:tcPr>
            <w:tcW w:w="1000" w:type="dxa"/>
            <w:vAlign w:val="bottom"/>
            <w:gridSpan w:val="16"/>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gridSpan w:val="27"/>
          </w:tcPr>
          <w:p>
            <w:pPr>
              <w:spacing w:after="0" w:line="196" w:lineRule="exact"/>
              <w:rPr>
                <w:rFonts w:ascii="Arial" w:cs="Arial" w:eastAsia="Arial" w:hAnsi="Arial"/>
                <w:sz w:val="18"/>
                <w:szCs w:val="18"/>
                <w:color w:val="0000EE"/>
                <w:w w:val="92"/>
              </w:rPr>
            </w:pPr>
            <w:hyperlink r:id="rId162">
              <w:r>
                <w:rPr>
                  <w:rFonts w:ascii="Arial" w:cs="Arial" w:eastAsia="Arial" w:hAnsi="Arial"/>
                  <w:sz w:val="18"/>
                  <w:szCs w:val="18"/>
                  <w:color w:val="0000EE"/>
                  <w:w w:val="92"/>
                </w:rPr>
                <w:t>Therapeutics, Inc. and Mythili Koneru, dated February</w:t>
              </w:r>
            </w:hyperlink>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6, 2019.*</w:t>
              </w:r>
            </w:hyperlink>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89"/>
              </w:rPr>
              <w:t>10-Q</w:t>
            </w: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001-37939</w:t>
            </w:r>
          </w:p>
        </w:tc>
        <w:tc>
          <w:tcPr>
            <w:tcW w:w="16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91"/>
              </w:rPr>
              <w:t>10.3</w:t>
            </w:r>
          </w:p>
        </w:tc>
        <w:tc>
          <w:tcPr>
            <w:tcW w:w="24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Arial" w:cs="Arial" w:eastAsia="Arial" w:hAnsi="Arial"/>
                <w:sz w:val="18"/>
                <w:szCs w:val="18"/>
                <w:color w:val="auto"/>
                <w:w w:val="93"/>
              </w:rPr>
              <w:t>5/10/19</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60" w:type="dxa"/>
            <w:vAlign w:val="bottom"/>
          </w:tcPr>
          <w:p>
            <w:pPr>
              <w:jc w:val="right"/>
              <w:ind w:right="32"/>
              <w:spacing w:after="0"/>
              <w:rPr>
                <w:sz w:val="20"/>
                <w:szCs w:val="20"/>
                <w:color w:val="auto"/>
              </w:rPr>
            </w:pPr>
            <w:r>
              <w:rPr>
                <w:rFonts w:ascii="Arial" w:cs="Arial" w:eastAsia="Arial" w:hAnsi="Arial"/>
                <w:sz w:val="18"/>
                <w:szCs w:val="18"/>
                <w:color w:val="auto"/>
              </w:rPr>
              <w:t>10.24</w:t>
            </w:r>
          </w:p>
        </w:tc>
        <w:tc>
          <w:tcPr>
            <w:tcW w:w="140" w:type="dxa"/>
            <w:vAlign w:val="bottom"/>
          </w:tcPr>
          <w:p>
            <w:pPr>
              <w:spacing w:after="0"/>
              <w:rPr>
                <w:sz w:val="24"/>
                <w:szCs w:val="24"/>
                <w:color w:val="auto"/>
              </w:rPr>
            </w:pPr>
          </w:p>
        </w:tc>
        <w:tc>
          <w:tcPr>
            <w:tcW w:w="4000" w:type="dxa"/>
            <w:vAlign w:val="bottom"/>
            <w:gridSpan w:val="27"/>
          </w:tcPr>
          <w:p>
            <w:pPr>
              <w:spacing w:after="0"/>
              <w:rPr>
                <w:rFonts w:ascii="Arial" w:cs="Arial" w:eastAsia="Arial" w:hAnsi="Arial"/>
                <w:sz w:val="18"/>
                <w:szCs w:val="18"/>
                <w:u w:val="single" w:color="auto"/>
                <w:color w:val="0000EE"/>
                <w:w w:val="94"/>
              </w:rPr>
            </w:pPr>
            <w:hyperlink r:id="rId163">
              <w:r>
                <w:rPr>
                  <w:rFonts w:ascii="Arial" w:cs="Arial" w:eastAsia="Arial" w:hAnsi="Arial"/>
                  <w:sz w:val="18"/>
                  <w:szCs w:val="18"/>
                  <w:u w:val="single" w:color="auto"/>
                  <w:color w:val="0000EE"/>
                  <w:w w:val="94"/>
                </w:rPr>
                <w:t>Marker Therapeutics, Inc. 2020 Equity Incentive Plan</w:t>
              </w:r>
            </w:hyperlink>
          </w:p>
        </w:tc>
        <w:tc>
          <w:tcPr>
            <w:tcW w:w="180" w:type="dxa"/>
            <w:vAlign w:val="bottom"/>
          </w:tcPr>
          <w:p>
            <w:pPr>
              <w:spacing w:after="0"/>
              <w:rPr>
                <w:sz w:val="24"/>
                <w:szCs w:val="2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S-8</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333-239136</w:t>
            </w: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2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6/12/20</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gridSpan w:val="2"/>
          </w:tcPr>
          <w:p>
            <w:pPr>
              <w:jc w:val="right"/>
              <w:ind w:right="791"/>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Exhibit</w:t>
            </w: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80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0" w:type="dxa"/>
            <w:vAlign w:val="bottom"/>
            <w:gridSpan w:val="14"/>
            <w:vMerge w:val="restart"/>
          </w:tcPr>
          <w:p>
            <w:pPr>
              <w:ind w:left="220"/>
              <w:spacing w:after="0"/>
              <w:rPr>
                <w:sz w:val="20"/>
                <w:szCs w:val="20"/>
                <w:color w:val="auto"/>
              </w:rPr>
            </w:pPr>
            <w:r>
              <w:rPr>
                <w:rFonts w:ascii="Arial" w:cs="Arial" w:eastAsia="Arial" w:hAnsi="Arial"/>
                <w:sz w:val="14"/>
                <w:szCs w:val="14"/>
                <w:b w:val="1"/>
                <w:bCs w:val="1"/>
                <w:color w:val="auto"/>
              </w:rPr>
              <w:t>Exhibit description</w:t>
            </w:r>
          </w:p>
        </w:tc>
        <w:tc>
          <w:tcPr>
            <w:tcW w:w="180" w:type="dxa"/>
            <w:vAlign w:val="bottom"/>
            <w:vMerge w:val="restart"/>
          </w:tcPr>
          <w:p>
            <w:pPr>
              <w:spacing w:after="0"/>
              <w:rPr>
                <w:sz w:val="10"/>
                <w:szCs w:val="10"/>
                <w:color w:val="auto"/>
              </w:rPr>
            </w:pPr>
          </w:p>
        </w:tc>
        <w:tc>
          <w:tcPr>
            <w:tcW w:w="9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Form</w:t>
            </w:r>
          </w:p>
        </w:tc>
        <w:tc>
          <w:tcPr>
            <w:tcW w:w="180" w:type="dxa"/>
            <w:vAlign w:val="bottom"/>
            <w:vMerge w:val="restart"/>
          </w:tcPr>
          <w:p>
            <w:pPr>
              <w:spacing w:after="0"/>
              <w:rPr>
                <w:sz w:val="10"/>
                <w:szCs w:val="10"/>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File no.</w:t>
            </w:r>
          </w:p>
        </w:tc>
        <w:tc>
          <w:tcPr>
            <w:tcW w:w="160" w:type="dxa"/>
            <w:vAlign w:val="bottom"/>
            <w:vMerge w:val="restart"/>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40" w:type="dxa"/>
            <w:vAlign w:val="bottom"/>
            <w:vMerge w:val="restart"/>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1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number</w:t>
            </w:r>
          </w:p>
        </w:tc>
        <w:tc>
          <w:tcPr>
            <w:tcW w:w="1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14"/>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date</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0" w:type="dxa"/>
            <w:vAlign w:val="bottom"/>
          </w:tcPr>
          <w:p>
            <w:pPr>
              <w:spacing w:after="0"/>
              <w:rPr>
                <w:sz w:val="1"/>
                <w:szCs w:val="1"/>
                <w:color w:val="auto"/>
              </w:rPr>
            </w:pPr>
          </w:p>
        </w:tc>
      </w:tr>
      <w:tr>
        <w:trPr>
          <w:trHeight w:val="385"/>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40" w:type="dxa"/>
            <w:vAlign w:val="bottom"/>
          </w:tcPr>
          <w:p>
            <w:pPr>
              <w:spacing w:after="0"/>
              <w:rPr>
                <w:sz w:val="24"/>
                <w:szCs w:val="24"/>
                <w:color w:val="auto"/>
              </w:rPr>
            </w:pPr>
          </w:p>
        </w:tc>
        <w:tc>
          <w:tcPr>
            <w:tcW w:w="3880" w:type="dxa"/>
            <w:vAlign w:val="bottom"/>
            <w:tcBorders>
              <w:bottom w:val="single" w:sz="8" w:color="0000EE"/>
            </w:tcBorders>
            <w:gridSpan w:val="13"/>
          </w:tcPr>
          <w:p>
            <w:pPr>
              <w:spacing w:after="0"/>
              <w:rPr>
                <w:rFonts w:ascii="Arial" w:cs="Arial" w:eastAsia="Arial" w:hAnsi="Arial"/>
                <w:sz w:val="18"/>
                <w:szCs w:val="18"/>
                <w:color w:val="0000EE"/>
                <w:w w:val="92"/>
              </w:rPr>
            </w:pPr>
            <w:hyperlink r:id="rId164">
              <w:r>
                <w:rPr>
                  <w:rFonts w:ascii="Arial" w:cs="Arial" w:eastAsia="Arial" w:hAnsi="Arial"/>
                  <w:sz w:val="18"/>
                  <w:szCs w:val="18"/>
                  <w:color w:val="0000EE"/>
                  <w:w w:val="92"/>
                </w:rPr>
                <w:t>Form of Stock Option Grant Notice and Stock Option</w:t>
              </w:r>
            </w:hyperlink>
          </w:p>
        </w:tc>
        <w:tc>
          <w:tcPr>
            <w:tcW w:w="300" w:type="dxa"/>
            <w:vAlign w:val="bottom"/>
            <w:gridSpan w:val="4"/>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80" w:type="dxa"/>
            <w:vAlign w:val="bottom"/>
            <w:gridSpan w:val="17"/>
          </w:tcPr>
          <w:p>
            <w:pPr>
              <w:spacing w:after="0" w:line="196" w:lineRule="exact"/>
              <w:rPr>
                <w:rFonts w:ascii="Arial" w:cs="Arial" w:eastAsia="Arial" w:hAnsi="Arial"/>
                <w:sz w:val="18"/>
                <w:szCs w:val="18"/>
                <w:color w:val="0000EE"/>
                <w:w w:val="98"/>
              </w:rPr>
            </w:pPr>
            <w:hyperlink r:id="rId164">
              <w:r>
                <w:rPr>
                  <w:rFonts w:ascii="Arial" w:cs="Arial" w:eastAsia="Arial" w:hAnsi="Arial"/>
                  <w:sz w:val="18"/>
                  <w:szCs w:val="18"/>
                  <w:color w:val="0000EE"/>
                  <w:w w:val="98"/>
                </w:rPr>
                <w:t>Agreement under the Marker Therapeutics, Inc. 2020</w:t>
              </w:r>
            </w:hyperlink>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164">
              <w:r>
                <w:rPr>
                  <w:rFonts w:ascii="Arial" w:cs="Arial" w:eastAsia="Arial" w:hAnsi="Arial"/>
                  <w:sz w:val="18"/>
                  <w:szCs w:val="18"/>
                  <w:color w:val="0000EE"/>
                  <w:w w:val="92"/>
                </w:rPr>
                <w:t>Equity Incentive Plan.</w:t>
              </w:r>
            </w:hyperlink>
          </w:p>
        </w:tc>
        <w:tc>
          <w:tcPr>
            <w:tcW w:w="2220" w:type="dxa"/>
            <w:vAlign w:val="bottom"/>
            <w:tcBorders>
              <w:top w:val="single" w:sz="8" w:color="0000EE"/>
            </w:tcBorders>
            <w:gridSpan w:val="9"/>
          </w:tcPr>
          <w:p>
            <w:pPr>
              <w:spacing w:after="0"/>
              <w:rPr>
                <w:sz w:val="17"/>
                <w:szCs w:val="17"/>
                <w:color w:val="auto"/>
              </w:rPr>
            </w:pPr>
          </w:p>
        </w:tc>
        <w:tc>
          <w:tcPr>
            <w:tcW w:w="340" w:type="dxa"/>
            <w:vAlign w:val="bottom"/>
            <w:gridSpan w:val="5"/>
          </w:tcPr>
          <w:p>
            <w:pPr>
              <w:spacing w:after="0"/>
              <w:rPr>
                <w:sz w:val="17"/>
                <w:szCs w:val="17"/>
                <w:color w:val="auto"/>
              </w:rPr>
            </w:pPr>
          </w:p>
        </w:tc>
        <w:tc>
          <w:tcPr>
            <w:tcW w:w="1140" w:type="dxa"/>
            <w:vAlign w:val="bottom"/>
            <w:gridSpan w:val="2"/>
          </w:tcPr>
          <w:p>
            <w:pPr>
              <w:ind w:left="300"/>
              <w:spacing w:after="0" w:line="196" w:lineRule="exact"/>
              <w:rPr>
                <w:sz w:val="20"/>
                <w:szCs w:val="20"/>
                <w:color w:val="auto"/>
              </w:rPr>
            </w:pPr>
            <w:r>
              <w:rPr>
                <w:rFonts w:ascii="Arial" w:cs="Arial" w:eastAsia="Arial" w:hAnsi="Arial"/>
                <w:sz w:val="18"/>
                <w:szCs w:val="18"/>
                <w:color w:val="auto"/>
              </w:rPr>
              <w:t>10-Q</w:t>
            </w:r>
          </w:p>
        </w:tc>
        <w:tc>
          <w:tcPr>
            <w:tcW w:w="130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001-37939</w:t>
            </w:r>
          </w:p>
        </w:tc>
        <w:tc>
          <w:tcPr>
            <w:tcW w:w="16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24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Arial" w:cs="Arial" w:eastAsia="Arial" w:hAnsi="Arial"/>
                <w:sz w:val="18"/>
                <w:szCs w:val="18"/>
                <w:color w:val="auto"/>
                <w:w w:val="89"/>
              </w:rPr>
              <w:t>11/9/20</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40" w:type="dxa"/>
            <w:vAlign w:val="bottom"/>
          </w:tcPr>
          <w:p>
            <w:pPr>
              <w:spacing w:after="0"/>
              <w:rPr>
                <w:sz w:val="24"/>
                <w:szCs w:val="24"/>
                <w:color w:val="auto"/>
              </w:rPr>
            </w:pPr>
          </w:p>
        </w:tc>
        <w:tc>
          <w:tcPr>
            <w:tcW w:w="3480" w:type="dxa"/>
            <w:vAlign w:val="bottom"/>
            <w:tcBorders>
              <w:bottom w:val="single" w:sz="8" w:color="0000EE"/>
            </w:tcBorders>
            <w:gridSpan w:val="6"/>
          </w:tcPr>
          <w:p>
            <w:pPr>
              <w:spacing w:after="0"/>
              <w:rPr>
                <w:rFonts w:ascii="Arial" w:cs="Arial" w:eastAsia="Arial" w:hAnsi="Arial"/>
                <w:sz w:val="18"/>
                <w:szCs w:val="18"/>
                <w:color w:val="0000EE"/>
                <w:w w:val="91"/>
              </w:rPr>
            </w:pPr>
            <w:hyperlink r:id="rId165">
              <w:r>
                <w:rPr>
                  <w:rFonts w:ascii="Arial" w:cs="Arial" w:eastAsia="Arial" w:hAnsi="Arial"/>
                  <w:sz w:val="18"/>
                  <w:szCs w:val="18"/>
                  <w:color w:val="0000EE"/>
                  <w:w w:val="91"/>
                </w:rPr>
                <w:t>Form of Restricted Stock Unit Grant Notice and</w:t>
              </w:r>
            </w:hyperlink>
          </w:p>
        </w:tc>
        <w:tc>
          <w:tcPr>
            <w:tcW w:w="700" w:type="dxa"/>
            <w:vAlign w:val="bottom"/>
            <w:gridSpan w:val="11"/>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65">
              <w:r>
                <w:rPr>
                  <w:rFonts w:ascii="Arial" w:cs="Arial" w:eastAsia="Arial" w:hAnsi="Arial"/>
                  <w:sz w:val="18"/>
                  <w:szCs w:val="18"/>
                  <w:color w:val="0000EE"/>
                  <w:w w:val="90"/>
                </w:rPr>
                <w:t>Restricted Stock Unit Award Agreement under the</w:t>
              </w:r>
            </w:hyperlink>
          </w:p>
        </w:tc>
        <w:tc>
          <w:tcPr>
            <w:tcW w:w="540" w:type="dxa"/>
            <w:vAlign w:val="bottom"/>
            <w:gridSpan w:val="10"/>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80" w:type="dxa"/>
            <w:vAlign w:val="bottom"/>
            <w:gridSpan w:val="17"/>
          </w:tcPr>
          <w:p>
            <w:pPr>
              <w:spacing w:after="0"/>
              <w:rPr>
                <w:rFonts w:ascii="Arial" w:cs="Arial" w:eastAsia="Arial" w:hAnsi="Arial"/>
                <w:sz w:val="18"/>
                <w:szCs w:val="18"/>
                <w:u w:val="single" w:color="auto"/>
                <w:color w:val="0000EE"/>
                <w:w w:val="97"/>
              </w:rPr>
            </w:pPr>
            <w:hyperlink r:id="rId165">
              <w:r>
                <w:rPr>
                  <w:rFonts w:ascii="Arial" w:cs="Arial" w:eastAsia="Arial" w:hAnsi="Arial"/>
                  <w:sz w:val="18"/>
                  <w:szCs w:val="18"/>
                  <w:u w:val="single" w:color="auto"/>
                  <w:color w:val="0000EE"/>
                  <w:w w:val="97"/>
                </w:rPr>
                <w:t>Marker Therapeutics, Inc. 2020 Equity Incentive Plan.</w:t>
              </w:r>
            </w:hyperlink>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001-37939</w:t>
            </w:r>
          </w:p>
        </w:tc>
        <w:tc>
          <w:tcPr>
            <w:tcW w:w="16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11/9/20</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40" w:type="dxa"/>
            <w:vAlign w:val="bottom"/>
          </w:tcPr>
          <w:p>
            <w:pPr>
              <w:spacing w:after="0"/>
              <w:rPr>
                <w:sz w:val="24"/>
                <w:szCs w:val="24"/>
                <w:color w:val="auto"/>
              </w:rPr>
            </w:pPr>
          </w:p>
        </w:tc>
        <w:tc>
          <w:tcPr>
            <w:tcW w:w="4180" w:type="dxa"/>
            <w:vAlign w:val="bottom"/>
            <w:gridSpan w:val="17"/>
          </w:tcPr>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List of Subsidiaries</w:t>
              </w:r>
            </w:hyperlink>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92"/>
        </w:trPr>
        <w:tc>
          <w:tcPr>
            <w:tcW w:w="66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40" w:type="dxa"/>
            <w:vAlign w:val="bottom"/>
          </w:tcPr>
          <w:p>
            <w:pPr>
              <w:spacing w:after="0"/>
              <w:rPr>
                <w:sz w:val="24"/>
                <w:szCs w:val="24"/>
                <w:color w:val="auto"/>
              </w:rPr>
            </w:pPr>
          </w:p>
        </w:tc>
        <w:tc>
          <w:tcPr>
            <w:tcW w:w="4180" w:type="dxa"/>
            <w:vAlign w:val="bottom"/>
            <w:gridSpan w:val="17"/>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Consent of Marcum LLP, an independent public</w:t>
              </w:r>
            </w:hyperlink>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120">
              <w:r>
                <w:rPr>
                  <w:rFonts w:ascii="Arial" w:cs="Arial" w:eastAsia="Arial" w:hAnsi="Arial"/>
                  <w:sz w:val="18"/>
                  <w:szCs w:val="18"/>
                  <w:color w:val="0000EE"/>
                  <w:w w:val="92"/>
                </w:rPr>
                <w:t>accounting firm.</w:t>
              </w:r>
            </w:hyperlink>
          </w:p>
        </w:tc>
        <w:tc>
          <w:tcPr>
            <w:tcW w:w="2260" w:type="dxa"/>
            <w:vAlign w:val="bottom"/>
            <w:tcBorders>
              <w:top w:val="single" w:sz="8" w:color="0000EE"/>
            </w:tcBorders>
            <w:gridSpan w:val="3"/>
          </w:tcPr>
          <w:p>
            <w:pPr>
              <w:spacing w:after="0"/>
              <w:rPr>
                <w:sz w:val="17"/>
                <w:szCs w:val="17"/>
                <w:color w:val="auto"/>
              </w:rPr>
            </w:pPr>
          </w:p>
        </w:tc>
        <w:tc>
          <w:tcPr>
            <w:tcW w:w="720" w:type="dxa"/>
            <w:vAlign w:val="bottom"/>
            <w:gridSpan w:val="12"/>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53"/>
        </w:trPr>
        <w:tc>
          <w:tcPr>
            <w:tcW w:w="66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140" w:type="dxa"/>
            <w:vAlign w:val="bottom"/>
          </w:tcPr>
          <w:p>
            <w:pPr>
              <w:spacing w:after="0"/>
              <w:rPr>
                <w:sz w:val="24"/>
                <w:szCs w:val="24"/>
                <w:color w:val="auto"/>
              </w:rPr>
            </w:pPr>
          </w:p>
        </w:tc>
        <w:tc>
          <w:tcPr>
            <w:tcW w:w="4180" w:type="dxa"/>
            <w:vAlign w:val="bottom"/>
            <w:gridSpan w:val="17"/>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Powers of Attorney (included on signature page).</w:t>
              </w:r>
            </w:hyperlink>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92"/>
        </w:trPr>
        <w:tc>
          <w:tcPr>
            <w:tcW w:w="6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40" w:type="dxa"/>
            <w:vAlign w:val="bottom"/>
          </w:tcPr>
          <w:p>
            <w:pPr>
              <w:spacing w:after="0"/>
              <w:rPr>
                <w:sz w:val="24"/>
                <w:szCs w:val="24"/>
                <w:color w:val="auto"/>
              </w:rPr>
            </w:pPr>
          </w:p>
        </w:tc>
        <w:tc>
          <w:tcPr>
            <w:tcW w:w="4180" w:type="dxa"/>
            <w:vAlign w:val="bottom"/>
            <w:gridSpan w:val="17"/>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Certification of Chief Executive Officer pursuant to</w:t>
              </w:r>
            </w:hyperlink>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121">
              <w:r>
                <w:rPr>
                  <w:rFonts w:ascii="Arial" w:cs="Arial" w:eastAsia="Arial" w:hAnsi="Arial"/>
                  <w:sz w:val="18"/>
                  <w:szCs w:val="18"/>
                  <w:color w:val="0000EE"/>
                  <w:w w:val="90"/>
                </w:rPr>
                <w:t>Securities Exchange Act of 1934 Rule 13a-14(a) or</w:t>
              </w:r>
            </w:hyperlink>
          </w:p>
        </w:tc>
        <w:tc>
          <w:tcPr>
            <w:tcW w:w="20" w:type="dxa"/>
            <w:vAlign w:val="bottom"/>
            <w:tcBorders>
              <w:top w:val="single" w:sz="8" w:color="0000EE"/>
            </w:tcBorders>
          </w:tcPr>
          <w:p>
            <w:pPr>
              <w:spacing w:after="0"/>
              <w:rPr>
                <w:sz w:val="17"/>
                <w:szCs w:val="17"/>
                <w:color w:val="auto"/>
              </w:rPr>
            </w:pPr>
          </w:p>
        </w:tc>
        <w:tc>
          <w:tcPr>
            <w:tcW w:w="460" w:type="dxa"/>
            <w:vAlign w:val="bottom"/>
            <w:gridSpan w:val="7"/>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80" w:type="dxa"/>
            <w:vAlign w:val="bottom"/>
            <w:gridSpan w:val="17"/>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15d-14(a).</w:t>
              </w:r>
            </w:hyperlink>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40" w:type="dxa"/>
            <w:vAlign w:val="bottom"/>
          </w:tcPr>
          <w:p>
            <w:pPr>
              <w:spacing w:after="0"/>
              <w:rPr>
                <w:sz w:val="24"/>
                <w:szCs w:val="24"/>
                <w:color w:val="auto"/>
              </w:rPr>
            </w:pPr>
          </w:p>
        </w:tc>
        <w:tc>
          <w:tcPr>
            <w:tcW w:w="4180" w:type="dxa"/>
            <w:vAlign w:val="bottom"/>
            <w:gridSpan w:val="17"/>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Certification of Chief Financial Officer pursuant to</w:t>
              </w:r>
            </w:hyperlink>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60" w:type="dxa"/>
            <w:vAlign w:val="bottom"/>
            <w:gridSpan w:val="4"/>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22">
              <w:r>
                <w:rPr>
                  <w:rFonts w:ascii="Arial" w:cs="Arial" w:eastAsia="Arial" w:hAnsi="Arial"/>
                  <w:sz w:val="18"/>
                  <w:szCs w:val="18"/>
                  <w:color w:val="0000EE"/>
                  <w:w w:val="90"/>
                </w:rPr>
                <w:t>Securities Exchange Act of 1934 Rule 13a-14(a) or</w:t>
              </w:r>
            </w:hyperlink>
          </w:p>
        </w:tc>
        <w:tc>
          <w:tcPr>
            <w:tcW w:w="48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80" w:type="dxa"/>
            <w:vAlign w:val="bottom"/>
            <w:gridSpan w:val="17"/>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15d-14(a).</w:t>
              </w:r>
            </w:hyperlink>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40" w:type="dxa"/>
            <w:vAlign w:val="bottom"/>
          </w:tcPr>
          <w:p>
            <w:pPr>
              <w:spacing w:after="0"/>
              <w:rPr>
                <w:sz w:val="24"/>
                <w:szCs w:val="24"/>
                <w:color w:val="auto"/>
              </w:rPr>
            </w:pPr>
          </w:p>
        </w:tc>
        <w:tc>
          <w:tcPr>
            <w:tcW w:w="3960" w:type="dxa"/>
            <w:vAlign w:val="bottom"/>
            <w:tcBorders>
              <w:bottom w:val="single" w:sz="8" w:color="0000EE"/>
            </w:tcBorders>
            <w:gridSpan w:val="15"/>
          </w:tcPr>
          <w:p>
            <w:pPr>
              <w:spacing w:after="0"/>
              <w:rPr>
                <w:rFonts w:ascii="Arial" w:cs="Arial" w:eastAsia="Arial" w:hAnsi="Arial"/>
                <w:sz w:val="18"/>
                <w:szCs w:val="18"/>
                <w:color w:val="0000EE"/>
                <w:w w:val="93"/>
              </w:rPr>
            </w:pPr>
            <w:hyperlink w:anchor="page123">
              <w:r>
                <w:rPr>
                  <w:rFonts w:ascii="Arial" w:cs="Arial" w:eastAsia="Arial" w:hAnsi="Arial"/>
                  <w:sz w:val="18"/>
                  <w:szCs w:val="18"/>
                  <w:color w:val="0000EE"/>
                  <w:w w:val="93"/>
                </w:rPr>
                <w:t>Certification of Chief Executive Officer pursuant to 18</w:t>
              </w:r>
            </w:hyperlink>
          </w:p>
        </w:tc>
        <w:tc>
          <w:tcPr>
            <w:tcW w:w="22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123">
              <w:r>
                <w:rPr>
                  <w:rFonts w:ascii="Arial" w:cs="Arial" w:eastAsia="Arial" w:hAnsi="Arial"/>
                  <w:sz w:val="18"/>
                  <w:szCs w:val="18"/>
                  <w:color w:val="0000EE"/>
                  <w:w w:val="88"/>
                </w:rPr>
                <w:t>U. S. C. Section 1350 as adopted pursuant to Section</w:t>
              </w:r>
            </w:hyperlink>
          </w:p>
        </w:tc>
        <w:tc>
          <w:tcPr>
            <w:tcW w:w="360" w:type="dxa"/>
            <w:vAlign w:val="bottom"/>
            <w:gridSpan w:val="6"/>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80" w:type="dxa"/>
            <w:vAlign w:val="bottom"/>
            <w:gridSpan w:val="17"/>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906 of the Sarbanes-Oxley Act of 2002.#</w:t>
              </w:r>
            </w:hyperlink>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60" w:type="dxa"/>
            <w:vAlign w:val="bottom"/>
            <w:gridSpan w:val="4"/>
            <w:shd w:val="clear" w:color="auto" w:fill="0000EE"/>
          </w:tcPr>
          <w:p>
            <w:pPr>
              <w:spacing w:after="0" w:line="20" w:lineRule="exact"/>
              <w:rPr>
                <w:sz w:val="1"/>
                <w:szCs w:val="1"/>
                <w:color w:val="auto"/>
              </w:rPr>
            </w:pPr>
          </w:p>
        </w:tc>
        <w:tc>
          <w:tcPr>
            <w:tcW w:w="940" w:type="dxa"/>
            <w:vAlign w:val="bottom"/>
            <w:gridSpan w:val="1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40" w:type="dxa"/>
            <w:vAlign w:val="bottom"/>
          </w:tcPr>
          <w:p>
            <w:pPr>
              <w:spacing w:after="0"/>
              <w:rPr>
                <w:sz w:val="24"/>
                <w:szCs w:val="24"/>
                <w:color w:val="auto"/>
              </w:rPr>
            </w:pPr>
          </w:p>
        </w:tc>
        <w:tc>
          <w:tcPr>
            <w:tcW w:w="4180" w:type="dxa"/>
            <w:vAlign w:val="bottom"/>
            <w:gridSpan w:val="17"/>
          </w:tcPr>
          <w:p>
            <w:pPr>
              <w:spacing w:after="0"/>
              <w:rPr>
                <w:rFonts w:ascii="Arial" w:cs="Arial" w:eastAsia="Arial" w:hAnsi="Arial"/>
                <w:sz w:val="18"/>
                <w:szCs w:val="18"/>
                <w:color w:val="0000EE"/>
                <w:w w:val="99"/>
              </w:rPr>
            </w:pPr>
            <w:hyperlink w:anchor="page124">
              <w:r>
                <w:rPr>
                  <w:rFonts w:ascii="Arial" w:cs="Arial" w:eastAsia="Arial" w:hAnsi="Arial"/>
                  <w:sz w:val="18"/>
                  <w:szCs w:val="18"/>
                  <w:color w:val="0000EE"/>
                  <w:w w:val="99"/>
                </w:rPr>
                <w:t>Certification of Chief Financial Officer pursuant to 18</w:t>
              </w:r>
            </w:hyperlink>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124">
              <w:r>
                <w:rPr>
                  <w:rFonts w:ascii="Arial" w:cs="Arial" w:eastAsia="Arial" w:hAnsi="Arial"/>
                  <w:sz w:val="18"/>
                  <w:szCs w:val="18"/>
                  <w:color w:val="0000EE"/>
                  <w:w w:val="88"/>
                </w:rPr>
                <w:t>U. S. C. Section 1350 as adopted pursuant to Section</w:t>
              </w:r>
            </w:hyperlink>
          </w:p>
        </w:tc>
        <w:tc>
          <w:tcPr>
            <w:tcW w:w="80" w:type="dxa"/>
            <w:vAlign w:val="bottom"/>
            <w:tcBorders>
              <w:top w:val="single" w:sz="8" w:color="0000EE"/>
            </w:tcBorders>
            <w:gridSpan w:val="3"/>
          </w:tcPr>
          <w:p>
            <w:pPr>
              <w:spacing w:after="0"/>
              <w:rPr>
                <w:sz w:val="17"/>
                <w:szCs w:val="17"/>
                <w:color w:val="auto"/>
              </w:rPr>
            </w:pPr>
          </w:p>
        </w:tc>
        <w:tc>
          <w:tcPr>
            <w:tcW w:w="28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80" w:type="dxa"/>
            <w:vAlign w:val="bottom"/>
            <w:gridSpan w:val="17"/>
          </w:tcPr>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906 of the Sarbanes-Oxley Act of 2002.#</w:t>
              </w:r>
            </w:hyperlink>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32"/>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101.INS</w:t>
            </w:r>
          </w:p>
        </w:tc>
        <w:tc>
          <w:tcPr>
            <w:tcW w:w="4180" w:type="dxa"/>
            <w:vAlign w:val="bottom"/>
            <w:gridSpan w:val="17"/>
          </w:tcPr>
          <w:p>
            <w:pPr>
              <w:spacing w:after="0"/>
              <w:rPr>
                <w:sz w:val="20"/>
                <w:szCs w:val="20"/>
                <w:color w:val="auto"/>
              </w:rPr>
            </w:pPr>
            <w:r>
              <w:rPr>
                <w:rFonts w:ascii="Arial" w:cs="Arial" w:eastAsia="Arial" w:hAnsi="Arial"/>
                <w:sz w:val="18"/>
                <w:szCs w:val="18"/>
                <w:color w:val="auto"/>
              </w:rPr>
              <w:t>XBRL Instance Document</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32"/>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101.SCH</w:t>
            </w:r>
          </w:p>
        </w:tc>
        <w:tc>
          <w:tcPr>
            <w:tcW w:w="4180" w:type="dxa"/>
            <w:vAlign w:val="bottom"/>
            <w:gridSpan w:val="17"/>
          </w:tcPr>
          <w:p>
            <w:pPr>
              <w:spacing w:after="0"/>
              <w:rPr>
                <w:sz w:val="20"/>
                <w:szCs w:val="20"/>
                <w:color w:val="auto"/>
              </w:rPr>
            </w:pPr>
            <w:r>
              <w:rPr>
                <w:rFonts w:ascii="Arial" w:cs="Arial" w:eastAsia="Arial" w:hAnsi="Arial"/>
                <w:sz w:val="18"/>
                <w:szCs w:val="18"/>
                <w:color w:val="auto"/>
              </w:rPr>
              <w:t>XBRL Taxonomy Extension Schema Document</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18"/>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101.CAL</w:t>
            </w:r>
          </w:p>
        </w:tc>
        <w:tc>
          <w:tcPr>
            <w:tcW w:w="4180" w:type="dxa"/>
            <w:vAlign w:val="bottom"/>
            <w:gridSpan w:val="17"/>
          </w:tcPr>
          <w:p>
            <w:pPr>
              <w:spacing w:after="0"/>
              <w:rPr>
                <w:sz w:val="20"/>
                <w:szCs w:val="20"/>
                <w:color w:val="auto"/>
              </w:rPr>
            </w:pPr>
            <w:r>
              <w:rPr>
                <w:rFonts w:ascii="Arial" w:cs="Arial" w:eastAsia="Arial" w:hAnsi="Arial"/>
                <w:sz w:val="18"/>
                <w:szCs w:val="18"/>
                <w:color w:val="auto"/>
              </w:rPr>
              <w:t>XBRL Taxonomy Extension Calculation Linkbase</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8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18"/>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101.DEF</w:t>
            </w:r>
          </w:p>
        </w:tc>
        <w:tc>
          <w:tcPr>
            <w:tcW w:w="4180" w:type="dxa"/>
            <w:vAlign w:val="bottom"/>
            <w:gridSpan w:val="17"/>
          </w:tcPr>
          <w:p>
            <w:pPr>
              <w:spacing w:after="0"/>
              <w:rPr>
                <w:sz w:val="20"/>
                <w:szCs w:val="20"/>
                <w:color w:val="auto"/>
              </w:rPr>
            </w:pPr>
            <w:r>
              <w:rPr>
                <w:rFonts w:ascii="Arial" w:cs="Arial" w:eastAsia="Arial" w:hAnsi="Arial"/>
                <w:sz w:val="18"/>
                <w:szCs w:val="18"/>
                <w:color w:val="auto"/>
              </w:rPr>
              <w:t>XBRL Taxonomy Extension Definition Linkbase</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8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18"/>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101.LAB</w:t>
            </w:r>
          </w:p>
        </w:tc>
        <w:tc>
          <w:tcPr>
            <w:tcW w:w="4180" w:type="dxa"/>
            <w:vAlign w:val="bottom"/>
            <w:gridSpan w:val="17"/>
          </w:tcPr>
          <w:p>
            <w:pPr>
              <w:spacing w:after="0"/>
              <w:rPr>
                <w:sz w:val="20"/>
                <w:szCs w:val="20"/>
                <w:color w:val="auto"/>
              </w:rPr>
            </w:pPr>
            <w:r>
              <w:rPr>
                <w:rFonts w:ascii="Arial" w:cs="Arial" w:eastAsia="Arial" w:hAnsi="Arial"/>
                <w:sz w:val="18"/>
                <w:szCs w:val="18"/>
                <w:color w:val="auto"/>
              </w:rPr>
              <w:t>XBRL Taxonomy Extension Label Linkbase</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8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18"/>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4180" w:type="dxa"/>
            <w:vAlign w:val="bottom"/>
            <w:gridSpan w:val="17"/>
          </w:tcPr>
          <w:p>
            <w:pPr>
              <w:spacing w:after="0"/>
              <w:rPr>
                <w:sz w:val="20"/>
                <w:szCs w:val="20"/>
                <w:color w:val="auto"/>
              </w:rPr>
            </w:pPr>
            <w:r>
              <w:rPr>
                <w:rFonts w:ascii="Arial" w:cs="Arial" w:eastAsia="Arial" w:hAnsi="Arial"/>
                <w:sz w:val="18"/>
                <w:szCs w:val="18"/>
                <w:color w:val="auto"/>
              </w:rPr>
              <w:t>XBRL Taxonomy Extension Presentation Linkbase</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8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6">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82" w:lineRule="exact"/>
        <w:rPr>
          <w:sz w:val="20"/>
          <w:szCs w:val="20"/>
          <w:color w:val="auto"/>
        </w:rPr>
      </w:pPr>
    </w:p>
    <w:p>
      <w:pPr>
        <w:ind w:left="4880" w:right="4480" w:hanging="4872"/>
        <w:spacing w:after="0" w:line="905" w:lineRule="auto"/>
        <w:tabs>
          <w:tab w:leader="none" w:pos="329"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Executive management contract or compensatory plan or arrangement.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hanging="332"/>
        <w:spacing w:after="0" w:line="277" w:lineRule="auto"/>
        <w:tabs>
          <w:tab w:leader="none" w:pos="357"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Confidential treatment has been granted as to certain portions of this exhibit pursuant to Rule 406 of the Securities Act of 1933, as amended, or Rule 24b-2 of the Securities Exchange Act of 1934, as amended.</w:t>
      </w:r>
    </w:p>
    <w:p>
      <w:pPr>
        <w:spacing w:after="0" w:line="170" w:lineRule="exact"/>
        <w:rPr>
          <w:rFonts w:ascii="Arial" w:cs="Arial" w:eastAsia="Arial" w:hAnsi="Arial"/>
          <w:sz w:val="18"/>
          <w:szCs w:val="18"/>
          <w:color w:val="auto"/>
        </w:rPr>
      </w:pPr>
    </w:p>
    <w:p>
      <w:pPr>
        <w:ind w:left="340" w:hanging="332"/>
        <w:spacing w:after="0" w:line="277" w:lineRule="auto"/>
        <w:tabs>
          <w:tab w:leader="none" w:pos="333" w:val="left"/>
        </w:tabs>
        <w:numPr>
          <w:ilvl w:val="0"/>
          <w:numId w:val="51"/>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conditional treatment and this exhibit has been submitted separately with the SEC.</w:t>
      </w:r>
    </w:p>
    <w:p>
      <w:pPr>
        <w:spacing w:after="0" w:line="170" w:lineRule="exact"/>
        <w:rPr>
          <w:sz w:val="20"/>
          <w:szCs w:val="20"/>
          <w:color w:val="auto"/>
        </w:rPr>
      </w:pPr>
    </w:p>
    <w:p>
      <w:pPr>
        <w:jc w:val="both"/>
        <w:ind w:left="340" w:hanging="332"/>
        <w:spacing w:after="0" w:line="259" w:lineRule="auto"/>
        <w:tabs>
          <w:tab w:leader="none" w:pos="41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Section 13 and 15 (d)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9, 2021</w:t>
      </w:r>
    </w:p>
    <w:p>
      <w:pPr>
        <w:spacing w:after="0" w:line="23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Marker Therapeutics, Inc.</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14605</wp:posOffset>
            </wp:positionV>
            <wp:extent cx="29489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9">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Peter Hoang</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Executive Officer (Principal Executive Officer)</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14605</wp:posOffset>
            </wp:positionV>
            <wp:extent cx="29489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0">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Anthony Kim</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 (Principal Financial and Accounting</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Each of the undersigned officers and directors of Marker Therapeutics, Inc., hereby constitutes and appoints Peter Hoang and Anthony Kim, their true and lawful attorney-in-fact and agent, for them and in their name, place and stead, in any and all capacities, to sign their name to any and all amendments to this Report on Form 10-K, and other related documents, and to cause the same to be filed with the Securities and Exchange Commission, granting unto said attorneys, full power and authority to do and perform any act and thing necessary and proper to be done in the premises, as fully to all intents and purposes as the undersigned could do if personally present, and the undersigned for himself hereby ratifies and confirms all that said attorney shall lawfully do or cause to be done by virtue hereof.</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March 9, 2021 on behalf of the registrant and in the capacities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3940" w:type="dxa"/>
            <w:vAlign w:val="bottom"/>
            <w:gridSpan w:val="3"/>
          </w:tcPr>
          <w:p>
            <w:pPr>
              <w:ind w:left="360"/>
              <w:spacing w:after="0"/>
              <w:rPr>
                <w:sz w:val="20"/>
                <w:szCs w:val="20"/>
                <w:color w:val="auto"/>
              </w:rPr>
            </w:pPr>
            <w:r>
              <w:rPr>
                <w:rFonts w:ascii="Arial" w:cs="Arial" w:eastAsia="Arial" w:hAnsi="Arial"/>
                <w:sz w:val="18"/>
                <w:szCs w:val="18"/>
                <w:b w:val="1"/>
                <w:bCs w:val="1"/>
                <w:color w:val="auto"/>
              </w:rPr>
              <w:t>Title</w:t>
            </w:r>
          </w:p>
        </w:tc>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195"/>
        </w:trPr>
        <w:tc>
          <w:tcPr>
            <w:tcW w:w="278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President, Chief Executive Officer and</w:t>
            </w:r>
          </w:p>
        </w:tc>
        <w:tc>
          <w:tcPr>
            <w:tcW w:w="280" w:type="dxa"/>
            <w:vAlign w:val="bottom"/>
          </w:tcPr>
          <w:p>
            <w:pPr>
              <w:spacing w:after="0"/>
              <w:rPr>
                <w:sz w:val="16"/>
                <w:szCs w:val="16"/>
                <w:color w:val="auto"/>
              </w:rPr>
            </w:pPr>
          </w:p>
        </w:tc>
        <w:tc>
          <w:tcPr>
            <w:tcW w:w="31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30"/>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Hoang</w:t>
            </w:r>
          </w:p>
        </w:tc>
        <w:tc>
          <w:tcPr>
            <w:tcW w:w="3940" w:type="dxa"/>
            <w:vAlign w:val="bottom"/>
            <w:gridSpan w:val="3"/>
          </w:tcPr>
          <w:p>
            <w:pPr>
              <w:ind w:left="360"/>
              <w:spacing w:after="0"/>
              <w:rPr>
                <w:sz w:val="20"/>
                <w:szCs w:val="20"/>
                <w:color w:val="auto"/>
              </w:rPr>
            </w:pPr>
            <w:r>
              <w:rPr>
                <w:rFonts w:ascii="Arial" w:cs="Arial" w:eastAsia="Arial" w:hAnsi="Arial"/>
                <w:sz w:val="18"/>
                <w:szCs w:val="18"/>
                <w:color w:val="auto"/>
              </w:rPr>
              <w:t>Director (Principal Executive Officer)</w:t>
            </w:r>
          </w:p>
        </w:tc>
        <w:tc>
          <w:tcPr>
            <w:tcW w:w="3200" w:type="dxa"/>
            <w:vAlign w:val="bottom"/>
            <w:gridSpan w:val="2"/>
          </w:tcPr>
          <w:p>
            <w:pPr>
              <w:spacing w:after="0"/>
              <w:rPr>
                <w:sz w:val="20"/>
                <w:szCs w:val="20"/>
                <w:color w:val="auto"/>
              </w:rPr>
            </w:pPr>
            <w:r>
              <w:rPr>
                <w:rFonts w:ascii="Arial" w:cs="Arial" w:eastAsia="Arial" w:hAnsi="Arial"/>
                <w:sz w:val="18"/>
                <w:szCs w:val="18"/>
                <w:color w:val="auto"/>
              </w:rPr>
              <w:t>March 9, 2021</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Peter Hoang</w:t>
            </w:r>
          </w:p>
        </w:tc>
        <w:tc>
          <w:tcPr>
            <w:tcW w:w="3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8"/>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Frederick Wasserman</w:t>
            </w:r>
          </w:p>
        </w:tc>
        <w:tc>
          <w:tcPr>
            <w:tcW w:w="394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3200" w:type="dxa"/>
            <w:vAlign w:val="bottom"/>
            <w:gridSpan w:val="2"/>
          </w:tcPr>
          <w:p>
            <w:pPr>
              <w:spacing w:after="0"/>
              <w:rPr>
                <w:sz w:val="20"/>
                <w:szCs w:val="20"/>
                <w:color w:val="auto"/>
              </w:rPr>
            </w:pPr>
            <w:r>
              <w:rPr>
                <w:rFonts w:ascii="Arial" w:cs="Arial" w:eastAsia="Arial" w:hAnsi="Arial"/>
                <w:sz w:val="18"/>
                <w:szCs w:val="18"/>
                <w:color w:val="auto"/>
              </w:rPr>
              <w:t>March 9, 2021</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Frederick Wasserman</w:t>
            </w:r>
          </w:p>
        </w:tc>
        <w:tc>
          <w:tcPr>
            <w:tcW w:w="3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8"/>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Laskow-Pooley</w:t>
            </w:r>
          </w:p>
        </w:tc>
        <w:tc>
          <w:tcPr>
            <w:tcW w:w="394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3200" w:type="dxa"/>
            <w:vAlign w:val="bottom"/>
            <w:gridSpan w:val="2"/>
          </w:tcPr>
          <w:p>
            <w:pPr>
              <w:spacing w:after="0"/>
              <w:rPr>
                <w:sz w:val="20"/>
                <w:szCs w:val="20"/>
                <w:color w:val="auto"/>
              </w:rPr>
            </w:pPr>
            <w:r>
              <w:rPr>
                <w:rFonts w:ascii="Arial" w:cs="Arial" w:eastAsia="Arial" w:hAnsi="Arial"/>
                <w:sz w:val="18"/>
                <w:szCs w:val="18"/>
                <w:color w:val="auto"/>
              </w:rPr>
              <w:t>March 9, 2021</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David Laskow-Pooley</w:t>
            </w:r>
          </w:p>
        </w:tc>
        <w:tc>
          <w:tcPr>
            <w:tcW w:w="3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8"/>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Wilson</w:t>
            </w:r>
          </w:p>
        </w:tc>
        <w:tc>
          <w:tcPr>
            <w:tcW w:w="394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3200" w:type="dxa"/>
            <w:vAlign w:val="bottom"/>
            <w:gridSpan w:val="2"/>
          </w:tcPr>
          <w:p>
            <w:pPr>
              <w:spacing w:after="0"/>
              <w:rPr>
                <w:sz w:val="20"/>
                <w:szCs w:val="20"/>
                <w:color w:val="auto"/>
              </w:rPr>
            </w:pPr>
            <w:r>
              <w:rPr>
                <w:rFonts w:ascii="Arial" w:cs="Arial" w:eastAsia="Arial" w:hAnsi="Arial"/>
                <w:sz w:val="18"/>
                <w:szCs w:val="18"/>
                <w:color w:val="auto"/>
              </w:rPr>
              <w:t>March 9, 2021</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John Wilson</w:t>
            </w:r>
          </w:p>
        </w:tc>
        <w:tc>
          <w:tcPr>
            <w:tcW w:w="3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8"/>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Juan Vera</w:t>
            </w:r>
          </w:p>
        </w:tc>
        <w:tc>
          <w:tcPr>
            <w:tcW w:w="394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3200" w:type="dxa"/>
            <w:vAlign w:val="bottom"/>
            <w:gridSpan w:val="2"/>
          </w:tcPr>
          <w:p>
            <w:pPr>
              <w:spacing w:after="0"/>
              <w:rPr>
                <w:sz w:val="20"/>
                <w:szCs w:val="20"/>
                <w:color w:val="auto"/>
              </w:rPr>
            </w:pPr>
            <w:r>
              <w:rPr>
                <w:rFonts w:ascii="Arial" w:cs="Arial" w:eastAsia="Arial" w:hAnsi="Arial"/>
                <w:sz w:val="18"/>
                <w:szCs w:val="18"/>
                <w:color w:val="auto"/>
              </w:rPr>
              <w:t>March 9, 2021</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Juan Vera</w:t>
            </w:r>
          </w:p>
        </w:tc>
        <w:tc>
          <w:tcPr>
            <w:tcW w:w="3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8"/>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 David Eansor</w:t>
            </w:r>
          </w:p>
        </w:tc>
        <w:tc>
          <w:tcPr>
            <w:tcW w:w="394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3200" w:type="dxa"/>
            <w:vAlign w:val="bottom"/>
            <w:gridSpan w:val="2"/>
          </w:tcPr>
          <w:p>
            <w:pPr>
              <w:spacing w:after="0"/>
              <w:rPr>
                <w:sz w:val="20"/>
                <w:szCs w:val="20"/>
                <w:color w:val="auto"/>
              </w:rPr>
            </w:pPr>
            <w:r>
              <w:rPr>
                <w:rFonts w:ascii="Arial" w:cs="Arial" w:eastAsia="Arial" w:hAnsi="Arial"/>
                <w:sz w:val="18"/>
                <w:szCs w:val="18"/>
                <w:color w:val="auto"/>
              </w:rPr>
              <w:t>March 9, 2021</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N. David Eansor</w:t>
            </w:r>
          </w:p>
        </w:tc>
        <w:tc>
          <w:tcPr>
            <w:tcW w:w="3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8"/>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Elms</w:t>
            </w:r>
          </w:p>
        </w:tc>
        <w:tc>
          <w:tcPr>
            <w:tcW w:w="394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3200" w:type="dxa"/>
            <w:vAlign w:val="bottom"/>
            <w:gridSpan w:val="2"/>
          </w:tcPr>
          <w:p>
            <w:pPr>
              <w:spacing w:after="0"/>
              <w:rPr>
                <w:sz w:val="20"/>
                <w:szCs w:val="20"/>
                <w:color w:val="auto"/>
              </w:rPr>
            </w:pPr>
            <w:r>
              <w:rPr>
                <w:rFonts w:ascii="Arial" w:cs="Arial" w:eastAsia="Arial" w:hAnsi="Arial"/>
                <w:sz w:val="18"/>
                <w:szCs w:val="18"/>
                <w:color w:val="auto"/>
              </w:rPr>
              <w:t>March 9, 2021</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Steve Elms</w:t>
            </w:r>
          </w:p>
        </w:tc>
        <w:tc>
          <w:tcPr>
            <w:tcW w:w="3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03"/>
        </w:trPr>
        <w:tc>
          <w:tcPr>
            <w:tcW w:w="2780" w:type="dxa"/>
            <w:vAlign w:val="bottom"/>
          </w:tcPr>
          <w:p>
            <w:pPr>
              <w:spacing w:after="0"/>
              <w:rPr>
                <w:sz w:val="24"/>
                <w:szCs w:val="24"/>
                <w:color w:val="auto"/>
              </w:rPr>
            </w:pPr>
          </w:p>
        </w:tc>
        <w:tc>
          <w:tcPr>
            <w:tcW w:w="3940" w:type="dxa"/>
            <w:vAlign w:val="bottom"/>
            <w:gridSpan w:val="3"/>
          </w:tcPr>
          <w:p>
            <w:pPr>
              <w:ind w:left="360"/>
              <w:spacing w:after="0"/>
              <w:rPr>
                <w:sz w:val="20"/>
                <w:szCs w:val="20"/>
                <w:color w:val="auto"/>
              </w:rPr>
            </w:pPr>
            <w:r>
              <w:rPr>
                <w:rFonts w:ascii="Arial" w:cs="Arial" w:eastAsia="Arial" w:hAnsi="Arial"/>
                <w:sz w:val="18"/>
                <w:szCs w:val="18"/>
                <w:color w:val="auto"/>
              </w:rPr>
              <w:t>Chief Financial Officer (Principal Financial</w:t>
            </w:r>
          </w:p>
        </w:tc>
        <w:tc>
          <w:tcPr>
            <w:tcW w:w="3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Kim</w:t>
            </w:r>
          </w:p>
        </w:tc>
        <w:tc>
          <w:tcPr>
            <w:tcW w:w="3940" w:type="dxa"/>
            <w:vAlign w:val="bottom"/>
            <w:gridSpan w:val="3"/>
          </w:tcPr>
          <w:p>
            <w:pPr>
              <w:ind w:left="360"/>
              <w:spacing w:after="0"/>
              <w:rPr>
                <w:sz w:val="20"/>
                <w:szCs w:val="20"/>
                <w:color w:val="auto"/>
              </w:rPr>
            </w:pPr>
            <w:r>
              <w:rPr>
                <w:rFonts w:ascii="Arial" w:cs="Arial" w:eastAsia="Arial" w:hAnsi="Arial"/>
                <w:sz w:val="18"/>
                <w:szCs w:val="18"/>
                <w:color w:val="auto"/>
              </w:rPr>
              <w:t>and Accounting Officer)</w:t>
            </w:r>
          </w:p>
        </w:tc>
        <w:tc>
          <w:tcPr>
            <w:tcW w:w="3200" w:type="dxa"/>
            <w:vAlign w:val="bottom"/>
            <w:gridSpan w:val="2"/>
          </w:tcPr>
          <w:p>
            <w:pPr>
              <w:spacing w:after="0"/>
              <w:rPr>
                <w:sz w:val="20"/>
                <w:szCs w:val="20"/>
                <w:color w:val="auto"/>
              </w:rPr>
            </w:pPr>
            <w:r>
              <w:rPr>
                <w:rFonts w:ascii="Arial" w:cs="Arial" w:eastAsia="Arial" w:hAnsi="Arial"/>
                <w:sz w:val="18"/>
                <w:szCs w:val="18"/>
                <w:color w:val="auto"/>
              </w:rPr>
              <w:t>March 9, 2021</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Anthony Kim</w:t>
            </w:r>
          </w:p>
        </w:tc>
        <w:tc>
          <w:tcPr>
            <w:tcW w:w="3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863"/>
        </w:trPr>
        <w:tc>
          <w:tcPr>
            <w:tcW w:w="2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80" w:type="dxa"/>
            <w:vAlign w:val="bottom"/>
            <w:gridSpan w:val="2"/>
          </w:tcPr>
          <w:p>
            <w:pPr>
              <w:ind w:left="1700"/>
              <w:spacing w:after="0"/>
              <w:rPr>
                <w:sz w:val="20"/>
                <w:szCs w:val="20"/>
                <w:color w:val="auto"/>
              </w:rPr>
            </w:pPr>
            <w:r>
              <w:rPr>
                <w:rFonts w:ascii="Arial" w:cs="Arial" w:eastAsia="Arial" w:hAnsi="Arial"/>
                <w:sz w:val="18"/>
                <w:szCs w:val="18"/>
                <w:color w:val="auto"/>
              </w:rPr>
              <w:t>S-2</w:t>
            </w:r>
          </w:p>
        </w:tc>
        <w:tc>
          <w:tcPr>
            <w:tcW w:w="3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0"/>
        </w:trPr>
        <w:tc>
          <w:tcPr>
            <w:tcW w:w="2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CONSOLIDATED FINANCIAL STATEMENTS</w:t>
      </w:r>
    </w:p>
    <w:p>
      <w:pPr>
        <w:spacing w:after="0" w:line="207"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DECEMBER 31, 2020 AND DECEMBER 31, 2019</w:t>
      </w:r>
    </w:p>
    <w:p>
      <w:pPr>
        <w:spacing w:after="0" w:line="25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99">
        <w:r>
          <w:rPr>
            <w:rFonts w:ascii="Arial" w:cs="Arial" w:eastAsia="Arial" w:hAnsi="Arial"/>
            <w:sz w:val="18"/>
            <w:szCs w:val="18"/>
            <w:b w:val="1"/>
            <w:bCs w:val="1"/>
            <w:u w:val="single" w:color="auto"/>
            <w:color w:val="0000EE"/>
          </w:rPr>
          <w:t>Report of Independent Registered Public Accounting Firm</w:t>
        </w:r>
      </w:hyperlink>
    </w:p>
    <w:p>
      <w:pPr>
        <w:spacing w:after="0" w:line="5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00">
        <w:r>
          <w:rPr>
            <w:rFonts w:ascii="Arial" w:cs="Arial" w:eastAsia="Arial" w:hAnsi="Arial"/>
            <w:sz w:val="18"/>
            <w:szCs w:val="18"/>
            <w:b w:val="1"/>
            <w:bCs w:val="1"/>
            <w:u w:val="single" w:color="auto"/>
            <w:color w:val="0000EE"/>
          </w:rPr>
          <w:t>Consolidated Balance Sheets</w:t>
        </w:r>
      </w:hyperlink>
    </w:p>
    <w:p>
      <w:pPr>
        <w:spacing w:after="0" w:line="5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01">
        <w:r>
          <w:rPr>
            <w:rFonts w:ascii="Arial" w:cs="Arial" w:eastAsia="Arial" w:hAnsi="Arial"/>
            <w:sz w:val="18"/>
            <w:szCs w:val="18"/>
            <w:b w:val="1"/>
            <w:bCs w:val="1"/>
            <w:u w:val="single" w:color="auto"/>
            <w:color w:val="0000EE"/>
          </w:rPr>
          <w:t>Consolidated Statements of Operations</w:t>
        </w:r>
      </w:hyperlink>
    </w:p>
    <w:p>
      <w:pPr>
        <w:spacing w:after="0" w:line="5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02">
        <w:r>
          <w:rPr>
            <w:rFonts w:ascii="Arial" w:cs="Arial" w:eastAsia="Arial" w:hAnsi="Arial"/>
            <w:sz w:val="18"/>
            <w:szCs w:val="18"/>
            <w:b w:val="1"/>
            <w:bCs w:val="1"/>
            <w:u w:val="single" w:color="auto"/>
            <w:color w:val="0000EE"/>
          </w:rPr>
          <w:t>Consolidated Statements of Stockholders’ Equity</w:t>
        </w:r>
      </w:hyperlink>
    </w:p>
    <w:p>
      <w:pPr>
        <w:spacing w:after="0" w:line="5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03">
        <w:r>
          <w:rPr>
            <w:rFonts w:ascii="Arial" w:cs="Arial" w:eastAsia="Arial" w:hAnsi="Arial"/>
            <w:sz w:val="18"/>
            <w:szCs w:val="18"/>
            <w:b w:val="1"/>
            <w:bCs w:val="1"/>
            <w:u w:val="single" w:color="auto"/>
            <w:color w:val="0000EE"/>
          </w:rPr>
          <w:t>Consolidated Statements of Cash Flows</w:t>
        </w:r>
      </w:hyperlink>
    </w:p>
    <w:p>
      <w:pPr>
        <w:spacing w:after="0" w:line="5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04">
        <w:r>
          <w:rPr>
            <w:rFonts w:ascii="Arial" w:cs="Arial" w:eastAsia="Arial" w:hAnsi="Arial"/>
            <w:sz w:val="18"/>
            <w:szCs w:val="18"/>
            <w:b w:val="1"/>
            <w:bCs w:val="1"/>
            <w:u w:val="single" w:color="auto"/>
            <w:color w:val="0000EE"/>
          </w:rPr>
          <w:t>Notes to the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Marker Therapeutics,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 of Marker Therapeutics, Inc. (the “Company”) as of December 31, 2020 and 2019, the related consolidated statements of operations, stockholders’ equity (deficit)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2021</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21,352,382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43,903,949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00"/>
              <w:spacing w:after="0"/>
              <w:rPr>
                <w:sz w:val="20"/>
                <w:szCs w:val="20"/>
                <w:color w:val="auto"/>
              </w:rPr>
            </w:pPr>
            <w:r>
              <w:rPr>
                <w:rFonts w:ascii="Arial" w:cs="Arial" w:eastAsia="Arial" w:hAnsi="Arial"/>
                <w:sz w:val="18"/>
                <w:szCs w:val="18"/>
                <w:color w:val="auto"/>
              </w:rPr>
              <w:t>Prepaid expenses and deposits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2,057,924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1,526,442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receivable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receivable</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24,410,865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45,486,580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Non-current assets: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3,570,736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00"/>
              <w:spacing w:after="0"/>
              <w:rPr>
                <w:sz w:val="20"/>
                <w:szCs w:val="20"/>
                <w:color w:val="auto"/>
              </w:rPr>
            </w:pPr>
            <w:r>
              <w:rPr>
                <w:rFonts w:ascii="Arial" w:cs="Arial" w:eastAsia="Arial" w:hAnsi="Arial"/>
                <w:sz w:val="18"/>
                <w:szCs w:val="18"/>
                <w:color w:val="auto"/>
              </w:rPr>
              <w:t>Construction in progress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6,789,098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Right-of-use assets, net</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10,844,116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non-current assets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21,203,950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45,614,815</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46,359,282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0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6,013,010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1,757,680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 liability</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Warrant liability</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6,401,802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 liability, net of current portion</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11,868,440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non-current liabilities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11,868,440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18,270,242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Commitments and contingencies (see Note 15)</w:t>
            </w:r>
          </w:p>
        </w:tc>
        <w:tc>
          <w:tcPr>
            <w:tcW w:w="2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8"/>
              </w:rPr>
              <w:t>Preferred stock - $0.001 par value, 5 million shares authorized and 0 shares issued and</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outstanding at December 31, 2020 and 2019, respectively</w:t>
            </w:r>
          </w:p>
        </w:tc>
        <w:tc>
          <w:tcPr>
            <w:tcW w:w="2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tcPr>
          <w:p>
            <w:pPr>
              <w:ind w:left="100"/>
              <w:spacing w:after="0" w:line="201" w:lineRule="exact"/>
              <w:rPr>
                <w:sz w:val="20"/>
                <w:szCs w:val="20"/>
                <w:color w:val="auto"/>
              </w:rPr>
            </w:pPr>
            <w:r>
              <w:rPr>
                <w:rFonts w:ascii="Arial" w:cs="Arial" w:eastAsia="Arial" w:hAnsi="Arial"/>
                <w:sz w:val="18"/>
                <w:szCs w:val="18"/>
                <w:color w:val="auto"/>
              </w:rPr>
              <w:t>Common stock, $0.001 par value, 150 million shares authorized, 50.7 million and 45.7</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ind w:left="100"/>
              <w:spacing w:after="0"/>
              <w:rPr>
                <w:sz w:val="20"/>
                <w:szCs w:val="20"/>
                <w:color w:val="auto"/>
              </w:rPr>
            </w:pPr>
            <w:r>
              <w:rPr>
                <w:rFonts w:ascii="Arial" w:cs="Arial" w:eastAsia="Arial" w:hAnsi="Arial"/>
                <w:sz w:val="18"/>
                <w:szCs w:val="18"/>
                <w:color w:val="auto"/>
                <w:w w:val="99"/>
              </w:rPr>
              <w:t>million shares issued and outstanding as of December 31, 2020 and 2019, respectively</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50,731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45,728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383,533,326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371,573,909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0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(356,239,484)</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2"/>
              </w:rPr>
              <w:t>(327,533,414)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27,344,573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44,086,223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45,614,815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46,359,282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6"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For the Years Ended</w:t>
      </w:r>
    </w:p>
    <w:p>
      <w:pPr>
        <w:ind w:left="82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8"/>
                <w:szCs w:val="18"/>
                <w:color w:val="auto"/>
              </w:rPr>
              <w:t>Grant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466,785</w:t>
            </w:r>
          </w:p>
        </w:tc>
        <w:tc>
          <w:tcPr>
            <w:tcW w:w="100" w:type="dxa"/>
            <w:vAlign w:val="bottom"/>
          </w:tcPr>
          <w:p>
            <w:pPr>
              <w:spacing w:after="0"/>
              <w:rPr>
                <w:sz w:val="18"/>
                <w:szCs w:val="18"/>
                <w:color w:val="auto"/>
              </w:rPr>
            </w:pP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213,194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18,880,751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12,764,804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10,471,846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9,977,196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29,352,597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(28,885,812)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(22,528,806)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8"/>
                <w:szCs w:val="18"/>
                <w:color w:val="auto"/>
              </w:rPr>
              <w:t>Change in fair value of warrant liabilities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(28,706,070)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(21,427,964)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(0.61)</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(0.47)</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number of common shares outstanding</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47,039,862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45,587,734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760" w:type="dxa"/>
            <w:vAlign w:val="bottom"/>
            <w:gridSpan w:val="3"/>
            <w:vMerge w:val="restart"/>
          </w:tcPr>
          <w:p>
            <w:pPr>
              <w:jc w:val="right"/>
              <w:ind w:right="313"/>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2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Additional Paid-</w:t>
            </w:r>
          </w:p>
        </w:tc>
        <w:tc>
          <w:tcPr>
            <w:tcW w:w="13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98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6"/>
        </w:trPr>
        <w:tc>
          <w:tcPr>
            <w:tcW w:w="4340" w:type="dxa"/>
            <w:vAlign w:val="bottom"/>
          </w:tcPr>
          <w:p>
            <w:pPr>
              <w:spacing w:after="0"/>
              <w:rPr>
                <w:sz w:val="14"/>
                <w:szCs w:val="14"/>
                <w:color w:val="auto"/>
              </w:rPr>
            </w:pPr>
          </w:p>
        </w:tc>
        <w:tc>
          <w:tcPr>
            <w:tcW w:w="1760" w:type="dxa"/>
            <w:vAlign w:val="bottom"/>
            <w:tcBorders>
              <w:bottom w:val="single" w:sz="8" w:color="auto"/>
            </w:tcBorders>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13"/>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92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9"/>
              </w:rPr>
              <w:t>Par value</w:t>
            </w:r>
          </w:p>
        </w:tc>
        <w:tc>
          <w:tcPr>
            <w:tcW w:w="140" w:type="dxa"/>
            <w:vAlign w:val="bottom"/>
          </w:tcPr>
          <w:p>
            <w:pPr>
              <w:spacing w:after="0"/>
              <w:rPr>
                <w:sz w:val="12"/>
                <w:szCs w:val="12"/>
                <w:color w:val="auto"/>
              </w:rPr>
            </w:pPr>
          </w:p>
        </w:tc>
        <w:tc>
          <w:tcPr>
            <w:tcW w:w="12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5"/>
              </w:rPr>
              <w:t>in Capital</w:t>
            </w:r>
          </w:p>
        </w:tc>
        <w:tc>
          <w:tcPr>
            <w:tcW w:w="13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Deficit</w:t>
            </w:r>
          </w:p>
        </w:tc>
        <w:tc>
          <w:tcPr>
            <w:tcW w:w="120" w:type="dxa"/>
            <w:vAlign w:val="bottom"/>
          </w:tcPr>
          <w:p>
            <w:pPr>
              <w:spacing w:after="0"/>
              <w:rPr>
                <w:sz w:val="12"/>
                <w:szCs w:val="12"/>
                <w:color w:val="auto"/>
              </w:rPr>
            </w:pPr>
          </w:p>
        </w:tc>
        <w:tc>
          <w:tcPr>
            <w:tcW w:w="980" w:type="dxa"/>
            <w:vAlign w:val="bottom"/>
          </w:tcPr>
          <w:p>
            <w:pPr>
              <w:jc w:val="center"/>
              <w:ind w:right="33"/>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45,440,704</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$ 45,440</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$ 365,400,748</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(306,105,450)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59,340,738</w:t>
            </w:r>
          </w:p>
        </w:tc>
        <w:tc>
          <w:tcPr>
            <w:tcW w:w="0" w:type="dxa"/>
            <w:vAlign w:val="bottom"/>
          </w:tcPr>
          <w:p>
            <w:pPr>
              <w:spacing w:after="0"/>
              <w:rPr>
                <w:sz w:val="1"/>
                <w:szCs w:val="1"/>
                <w:color w:val="auto"/>
              </w:rPr>
            </w:pPr>
          </w:p>
        </w:tc>
      </w:tr>
      <w:tr>
        <w:trPr>
          <w:trHeight w:val="216"/>
        </w:trPr>
        <w:tc>
          <w:tcPr>
            <w:tcW w:w="4340" w:type="dxa"/>
            <w:vAlign w:val="bottom"/>
          </w:tcPr>
          <w:p>
            <w:pPr>
              <w:ind w:left="120"/>
              <w:spacing w:after="0"/>
              <w:rPr>
                <w:sz w:val="20"/>
                <w:szCs w:val="20"/>
                <w:color w:val="auto"/>
              </w:rPr>
            </w:pPr>
            <w:r>
              <w:rPr>
                <w:rFonts w:ascii="Arial" w:cs="Arial" w:eastAsia="Arial" w:hAnsi="Arial"/>
                <w:sz w:val="18"/>
                <w:szCs w:val="18"/>
                <w:color w:val="auto"/>
              </w:rPr>
              <w:t>Stock options exercised for cash</w:t>
            </w:r>
          </w:p>
        </w:tc>
        <w:tc>
          <w:tcPr>
            <w:tcW w:w="920" w:type="dxa"/>
            <w:vAlign w:val="bottom"/>
          </w:tcPr>
          <w:p>
            <w:pPr>
              <w:jc w:val="right"/>
              <w:spacing w:after="0"/>
              <w:rPr>
                <w:sz w:val="20"/>
                <w:szCs w:val="20"/>
                <w:color w:val="auto"/>
              </w:rPr>
            </w:pPr>
            <w:r>
              <w:rPr>
                <w:rFonts w:ascii="Arial" w:cs="Arial" w:eastAsia="Arial" w:hAnsi="Arial"/>
                <w:sz w:val="18"/>
                <w:szCs w:val="18"/>
                <w:color w:val="auto"/>
              </w:rPr>
              <w:t>11,980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57,732</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57,744</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Warrants exercised for cash</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190,258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758,543</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758,733</w:t>
            </w:r>
          </w:p>
        </w:tc>
        <w:tc>
          <w:tcPr>
            <w:tcW w:w="0" w:type="dxa"/>
            <w:vAlign w:val="bottom"/>
          </w:tcPr>
          <w:p>
            <w:pPr>
              <w:spacing w:after="0"/>
              <w:rPr>
                <w:sz w:val="1"/>
                <w:szCs w:val="1"/>
                <w:color w:val="auto"/>
              </w:rPr>
            </w:pPr>
          </w:p>
        </w:tc>
      </w:tr>
      <w:tr>
        <w:trPr>
          <w:trHeight w:val="216"/>
        </w:trPr>
        <w:tc>
          <w:tcPr>
            <w:tcW w:w="4340" w:type="dxa"/>
            <w:vAlign w:val="bottom"/>
          </w:tcPr>
          <w:p>
            <w:pPr>
              <w:ind w:left="120"/>
              <w:spacing w:after="0"/>
              <w:rPr>
                <w:sz w:val="20"/>
                <w:szCs w:val="20"/>
                <w:color w:val="auto"/>
              </w:rPr>
            </w:pPr>
            <w:r>
              <w:rPr>
                <w:rFonts w:ascii="Arial" w:cs="Arial" w:eastAsia="Arial" w:hAnsi="Arial"/>
                <w:sz w:val="18"/>
                <w:szCs w:val="18"/>
                <w:color w:val="auto"/>
              </w:rPr>
              <w:t>Stock warrants cashless exercised</w:t>
            </w:r>
          </w:p>
        </w:tc>
        <w:tc>
          <w:tcPr>
            <w:tcW w:w="920" w:type="dxa"/>
            <w:vAlign w:val="bottom"/>
          </w:tcPr>
          <w:p>
            <w:pPr>
              <w:jc w:val="right"/>
              <w:spacing w:after="0"/>
              <w:rPr>
                <w:sz w:val="20"/>
                <w:szCs w:val="20"/>
                <w:color w:val="auto"/>
              </w:rPr>
            </w:pPr>
            <w:r>
              <w:rPr>
                <w:rFonts w:ascii="Arial" w:cs="Arial" w:eastAsia="Arial" w:hAnsi="Arial"/>
                <w:sz w:val="18"/>
                <w:szCs w:val="18"/>
                <w:color w:val="auto"/>
              </w:rPr>
              <w:t>9,449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(9)</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76,440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5,356,895</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5,356,972</w:t>
            </w:r>
          </w:p>
        </w:tc>
        <w:tc>
          <w:tcPr>
            <w:tcW w:w="0" w:type="dxa"/>
            <w:vAlign w:val="bottom"/>
          </w:tcPr>
          <w:p>
            <w:pPr>
              <w:spacing w:after="0"/>
              <w:rPr>
                <w:sz w:val="1"/>
                <w:szCs w:val="1"/>
                <w:color w:val="auto"/>
              </w:rPr>
            </w:pPr>
          </w:p>
        </w:tc>
      </w:tr>
      <w:tr>
        <w:trPr>
          <w:trHeight w:val="216"/>
        </w:trPr>
        <w:tc>
          <w:tcPr>
            <w:tcW w:w="4340" w:type="dxa"/>
            <w:vAlign w:val="bottom"/>
          </w:tcPr>
          <w:p>
            <w:pPr>
              <w:ind w:left="12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(21,427,964)</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4"/>
              </w:rPr>
              <w:t>(21,427,964)</w:t>
            </w: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45,728,831</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45,728</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371,573,909</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(327,533,414)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44,086,223</w:t>
            </w:r>
          </w:p>
        </w:tc>
        <w:tc>
          <w:tcPr>
            <w:tcW w:w="0" w:type="dxa"/>
            <w:vAlign w:val="bottom"/>
          </w:tcPr>
          <w:p>
            <w:pPr>
              <w:spacing w:after="0"/>
              <w:rPr>
                <w:sz w:val="1"/>
                <w:szCs w:val="1"/>
                <w:color w:val="auto"/>
              </w:rPr>
            </w:pPr>
          </w:p>
        </w:tc>
      </w:tr>
      <w:tr>
        <w:trPr>
          <w:trHeight w:val="216"/>
        </w:trPr>
        <w:tc>
          <w:tcPr>
            <w:tcW w:w="4340" w:type="dxa"/>
            <w:vAlign w:val="bottom"/>
          </w:tcPr>
          <w:p>
            <w:pPr>
              <w:ind w:left="120"/>
              <w:spacing w:after="0"/>
              <w:rPr>
                <w:sz w:val="20"/>
                <w:szCs w:val="20"/>
                <w:color w:val="auto"/>
              </w:rPr>
            </w:pPr>
            <w:r>
              <w:rPr>
                <w:rFonts w:ascii="Arial" w:cs="Arial" w:eastAsia="Arial" w:hAnsi="Arial"/>
                <w:sz w:val="18"/>
                <w:szCs w:val="18"/>
                <w:color w:val="auto"/>
              </w:rPr>
              <w:t>Issuance common stock for cash</w:t>
            </w:r>
          </w:p>
        </w:tc>
        <w:tc>
          <w:tcPr>
            <w:tcW w:w="920" w:type="dxa"/>
            <w:vAlign w:val="bottom"/>
          </w:tcPr>
          <w:p>
            <w:pPr>
              <w:jc w:val="right"/>
              <w:spacing w:after="0"/>
              <w:rPr>
                <w:sz w:val="20"/>
                <w:szCs w:val="20"/>
                <w:color w:val="auto"/>
              </w:rPr>
            </w:pPr>
            <w:r>
              <w:rPr>
                <w:rFonts w:ascii="Arial" w:cs="Arial" w:eastAsia="Arial" w:hAnsi="Arial"/>
                <w:sz w:val="18"/>
                <w:szCs w:val="18"/>
                <w:color w:val="auto"/>
              </w:rPr>
              <w:t>4,113,440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4,114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6,181,897</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6,186,011</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Warrants exercised for cash</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458,334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549,541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02"/>
        </w:trPr>
        <w:tc>
          <w:tcPr>
            <w:tcW w:w="4340" w:type="dxa"/>
            <w:vAlign w:val="bottom"/>
          </w:tcPr>
          <w:p>
            <w:pPr>
              <w:ind w:left="120"/>
              <w:spacing w:after="0" w:line="201" w:lineRule="exact"/>
              <w:rPr>
                <w:sz w:val="20"/>
                <w:szCs w:val="20"/>
                <w:color w:val="auto"/>
              </w:rPr>
            </w:pPr>
            <w:r>
              <w:rPr>
                <w:rFonts w:ascii="Arial" w:cs="Arial" w:eastAsia="Arial" w:hAnsi="Arial"/>
                <w:sz w:val="18"/>
                <w:szCs w:val="18"/>
                <w:color w:val="auto"/>
                <w:w w:val="93"/>
              </w:rPr>
              <w:t>Issuance of common stock as commitment fee for future</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financing</w:t>
            </w:r>
          </w:p>
        </w:tc>
        <w:tc>
          <w:tcPr>
            <w:tcW w:w="920" w:type="dxa"/>
            <w:vAlign w:val="bottom"/>
          </w:tcPr>
          <w:p>
            <w:pPr>
              <w:jc w:val="right"/>
              <w:spacing w:after="0"/>
              <w:rPr>
                <w:sz w:val="20"/>
                <w:szCs w:val="20"/>
                <w:color w:val="auto"/>
              </w:rPr>
            </w:pPr>
            <w:r>
              <w:rPr>
                <w:rFonts w:ascii="Arial" w:cs="Arial" w:eastAsia="Arial" w:hAnsi="Arial"/>
                <w:sz w:val="18"/>
                <w:szCs w:val="18"/>
                <w:color w:val="auto"/>
              </w:rPr>
              <w:t>345,357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345</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(345)</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85,110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5,228,324</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5,228,409</w:t>
            </w:r>
          </w:p>
        </w:tc>
        <w:tc>
          <w:tcPr>
            <w:tcW w:w="0" w:type="dxa"/>
            <w:vAlign w:val="bottom"/>
          </w:tcPr>
          <w:p>
            <w:pPr>
              <w:spacing w:after="0"/>
              <w:rPr>
                <w:sz w:val="1"/>
                <w:szCs w:val="1"/>
                <w:color w:val="auto"/>
              </w:rPr>
            </w:pPr>
          </w:p>
        </w:tc>
      </w:tr>
      <w:tr>
        <w:trPr>
          <w:trHeight w:val="216"/>
        </w:trPr>
        <w:tc>
          <w:tcPr>
            <w:tcW w:w="4340" w:type="dxa"/>
            <w:vAlign w:val="bottom"/>
          </w:tcPr>
          <w:p>
            <w:pPr>
              <w:ind w:left="12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(28,706,070)</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4"/>
              </w:rPr>
              <w:t>(28,706,070)</w:t>
            </w: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50,731,072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$ 50,731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$ 383,533,326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(356,239,484)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27,344,573</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6"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For the Years Ended</w:t>
      </w:r>
    </w:p>
    <w:p>
      <w:pPr>
        <w:ind w:left="82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9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Arial" w:cs="Arial" w:eastAsia="Arial" w:hAnsi="Arial"/>
                <w:sz w:val="18"/>
                <w:szCs w:val="18"/>
                <w:b w:val="1"/>
                <w:bCs w:val="1"/>
                <w:color w:val="auto"/>
              </w:rPr>
              <w:t>Net loss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(28,706,070)</w:t>
            </w:r>
          </w:p>
        </w:tc>
        <w:tc>
          <w:tcPr>
            <w:tcW w:w="280" w:type="dxa"/>
            <w:vAlign w:val="bottom"/>
            <w:gridSpan w:val="3"/>
          </w:tcPr>
          <w:p>
            <w:pPr>
              <w:jc w:val="right"/>
              <w:ind w:right="29"/>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(21,427,964)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Reconciliation of net loss to net cash used in operating activities: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485,641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fair value of warrant liabilities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(31,000)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5,228,409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5,356,972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on right-of-use assets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b w:val="1"/>
                <w:bCs w:val="1"/>
                <w:color w:val="auto"/>
              </w:rPr>
              <w:t>Changes in operating assets and liabilities: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deposits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(531,482)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20"/>
              <w:spacing w:after="0"/>
              <w:rPr>
                <w:sz w:val="20"/>
                <w:szCs w:val="20"/>
                <w:color w:val="auto"/>
              </w:rPr>
            </w:pPr>
            <w:r>
              <w:rPr>
                <w:rFonts w:ascii="Arial" w:cs="Arial" w:eastAsia="Arial" w:hAnsi="Arial"/>
                <w:sz w:val="18"/>
                <w:szCs w:val="18"/>
                <w:color w:val="auto"/>
              </w:rPr>
              <w:t>Interest receivable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55,630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4,222,470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20"/>
              <w:spacing w:after="0"/>
              <w:rPr>
                <w:sz w:val="20"/>
                <w:szCs w:val="20"/>
                <w:color w:val="auto"/>
              </w:rPr>
            </w:pPr>
            <w:r>
              <w:rPr>
                <w:rFonts w:ascii="Arial" w:cs="Arial" w:eastAsia="Arial" w:hAnsi="Arial"/>
                <w:sz w:val="18"/>
                <w:szCs w:val="18"/>
                <w:color w:val="auto"/>
              </w:rPr>
              <w:t>Lease liability</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(173,268)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(185,179)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(18,859,631)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(18,284,293)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property and equipment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(3,638,849)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Arial" w:cs="Arial" w:eastAsia="Arial" w:hAnsi="Arial"/>
                <w:sz w:val="18"/>
                <w:szCs w:val="18"/>
                <w:color w:val="auto"/>
              </w:rPr>
              <w:t>Purchase of construction in progress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(6,789,098)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(10,427,947)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(374,983)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issuance of common stock</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6,186,011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exercise of warrants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6,736,011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816,477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(22,551,567)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(17,842,799)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43,903,949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61,746,748</w:t>
            </w:r>
          </w:p>
        </w:tc>
        <w:tc>
          <w:tcPr>
            <w:tcW w:w="0" w:type="dxa"/>
            <w:vAlign w:val="bottom"/>
          </w:tcPr>
          <w:p>
            <w:pPr>
              <w:spacing w:after="0"/>
              <w:rPr>
                <w:sz w:val="1"/>
                <w:szCs w:val="1"/>
                <w:color w:val="auto"/>
              </w:rPr>
            </w:pPr>
          </w:p>
        </w:tc>
      </w:tr>
      <w:tr>
        <w:trPr>
          <w:trHeight w:val="210"/>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3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21,352,382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43,903,949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6"/>
          </w:tcPr>
          <w:p>
            <w:pPr>
              <w:jc w:val="right"/>
              <w:ind w:right="571"/>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ind w:right="8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financing activities: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Arial" w:cs="Arial" w:eastAsia="Arial" w:hAnsi="Arial"/>
                <w:sz w:val="18"/>
                <w:szCs w:val="18"/>
                <w:color w:val="auto"/>
              </w:rPr>
              <w:t>Issuance of common stock as commitment fee for future financing</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c>
          <w:tcPr>
            <w:tcW w:w="280" w:type="dxa"/>
            <w:vAlign w:val="bottom"/>
            <w:gridSpan w:val="3"/>
          </w:tcPr>
          <w:p>
            <w:pPr>
              <w:jc w:val="right"/>
              <w:ind w:right="29"/>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Recognition of right-of-use assets and lease liability from new operating lease agreements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11,114,300</w:t>
            </w:r>
          </w:p>
        </w:tc>
        <w:tc>
          <w:tcPr>
            <w:tcW w:w="1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100"/>
              <w:spacing w:after="0"/>
              <w:rPr>
                <w:sz w:val="20"/>
                <w:szCs w:val="20"/>
                <w:color w:val="auto"/>
              </w:rPr>
            </w:pPr>
            <w:r>
              <w:rPr>
                <w:rFonts w:ascii="Arial" w:cs="Arial" w:eastAsia="Arial" w:hAnsi="Arial"/>
                <w:sz w:val="18"/>
                <w:szCs w:val="18"/>
                <w:color w:val="auto"/>
              </w:rPr>
              <w:t>Stock warrants cashless exercised</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ind w:right="29"/>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DECEMBER 31, 2020 AND 2019</w:t>
      </w:r>
    </w:p>
    <w:p>
      <w:pPr>
        <w:spacing w:after="0" w:line="20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OPERATIONS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Marker Therapeutics, Inc., a Delaware corporation (the “Company” or “we”), is a clinical-stage immuno-oncology company specializing in the development and commercialization of novel T cell-based immunotherapies and innovative peptide-based vaccines for the treatment of hematological malignancies and solid tumor indications. The Company’s MultiTAA-specific T cell technology is based on the selective expansion of non-engineered, tumor-specific T cells that recognize tumor associated antigens, which are tumor targets, and kill tumor cells expressing those targets. These T cells are designed to recognize multiple tumor targets to produce broad spectrum anti-tumor activity. The Company was incorporated in Nevada in 1992 and reincorporated in Delaware in October 2018.</w:t>
      </w:r>
    </w:p>
    <w:p>
      <w:pPr>
        <w:spacing w:after="0" w:line="16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2:</w:t>
        <w:tab/>
        <w:t>FINANCIAL CONDITION, GOING CONCERN AND MANAGEMENT PLANS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December 31, 2020, the Company had cash and cash equivalents of approximately $21.4 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successfully progress its product candidates through preclinical and clinical development; obtain regulatory approval of one or more of its product candidates; maintain and enforce intellectual property rights; develop a customer base; attract, retain and motivate qualified personnel; and develop strategic alliances and collaborations. From inception, the Company has been funded by a combination of equity and debt financings.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expects to continue to incur substantial losses over the next several years during its development phase. To fully execute its business plan, the Company will need to complete certain research and development activities and clinical trials. Further, the Company’s product candidates will require regulatory approval prior to commercialization. These activities will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sales of its product candidates, if approved.</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Based on the Company’s clinical and research and development plans and its timing expectations related to the progress of its programs, the Company expects that its cash and cash equivalents as of December 31, 2020 will enable the Company to fund its operating expenses and capital expenditure requirements into the third quarter of 2021, as such these factors raise substantial doubt regarding the Company's ability to continue as a going concern. The Company has based this estimate on assumptions that may prove to be wrong, and the Company could utilize its available capital resources sooner than it currently expects. Furthermore, the Company’s operating plan may change, and it may need additional funds sooner than planned in order to meet operational needs and capital requirements for product development and commercialization. Because of the numerous risks and uncertainties associated with the development and commercialization of the Company’s product candidates and the extent to which the Company may enter into additional collaborations with third parties to participate in their development and commercialization, the Company is unable to estimate the amounts of increased capital outlays and operating expenditures associated with its current and anticipated clinical trials. The Company’s future funding requirements will depend on many factors, as it:</w:t>
      </w:r>
    </w:p>
    <w:p>
      <w:pPr>
        <w:spacing w:after="0" w:line="182" w:lineRule="exact"/>
        <w:rPr>
          <w:sz w:val="20"/>
          <w:szCs w:val="20"/>
          <w:color w:val="auto"/>
        </w:rPr>
      </w:pPr>
    </w:p>
    <w:p>
      <w:pPr>
        <w:ind w:left="680" w:hanging="321"/>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initiates or continues clinical trials of its product candidates;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continues the research and development of its product candidates and seeks to discover additional product candidates;</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seeks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maintains and enforces intellectual property rights;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establishes sales, marketing and distribution infrastructure and scale-up manufacturing capabilities to commercialize any product candidates that may receive regulatory approval;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hanging="321"/>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evaluates strategic transactions the Company may undertake; and</w:t>
      </w:r>
    </w:p>
    <w:p>
      <w:pPr>
        <w:spacing w:after="0" w:line="225" w:lineRule="exact"/>
        <w:rPr>
          <w:rFonts w:ascii="Arial" w:cs="Arial" w:eastAsia="Arial" w:hAnsi="Arial"/>
          <w:sz w:val="18"/>
          <w:szCs w:val="18"/>
          <w:color w:val="auto"/>
        </w:rPr>
      </w:pPr>
    </w:p>
    <w:p>
      <w:pPr>
        <w:ind w:left="680" w:hanging="321"/>
        <w:spacing w:after="0" w:line="308" w:lineRule="auto"/>
        <w:tabs>
          <w:tab w:leader="none" w:pos="6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enhances operational, financial and information management systems and hires additional personnel, including personnel to support development of product candidates and, if a product candidate is approved, commercialization efforts.</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factors raise substantial doubt regarding the Company’s ability to continue as a going concern. The accompanying consolidated financial statements have been prepared on a going concern basis, which implies that the Company will continue to realize its assets and discharge its liabilities in the normal course of business. The consolidated financial statements do not include any adjustments to the recoverability and classification of recorded asset amounts and classification of liabilities that might be necessary should the Company be unable to continue as a going concern.</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foregoing, based on the Company’s current assessment, the Company does not expect any material impact on its long-term liquidity due to the COVID-19 pandemic. However, the Company will continue to assess the effect of the pandemic on its operations, including its clinical programs. The extent to which the COVID-19 pandemic will impact the Company’s business and operations will depend on future developments that are highly uncertain and cannot be predicted with confidence,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While the potential economic impact brought by, and the duration of, COVID-19 may be difficult to assess or predict, a widespread pandemic could result in significant disruption of global financial markets, reducing the Company’s ability to access capital, which could in the future negatively affect the Company’s liquidity. In addition, a recession or market correction resulting from the spread of COVID-19 could materially affect the Company’s business and the value of its common stock.</w:t>
      </w:r>
    </w:p>
    <w:p>
      <w:pPr>
        <w:spacing w:after="0" w:line="17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3:</w:t>
        <w:tab/>
        <w:t>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Any reference in these footnotes to applicable guidance is meant to refer to the authoritative U.S. generally accepted accounting principles (“GAAP”) as found in the Accounting Standards Codification (“ASC”) and Accounting Standards Update (“ASU”) of the Financial Accounting Standards Board (“FASB”).</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consolidated financial statements include the accounts of the Company and its wholly-owned subsidiaries, Marker Cell Therapy, Inc. and GeneMax Pharmaceuticals Inc. – a dormant subsidiary that wholly owns GeneMax Pharmaceuticals Canada, Inc. All significant intercompany balances and transactions are eliminated upon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Preparation of the Company’s consolidated financial statements in conformity with GAAP requires management to make estimates and assumptions that affect certain reported amounts and disclosures. Accordingly, actual results could differ materially from those estimates. Significant areas requiring management’s estimates and assumptions include valuation allowance on deferred tax assets, determining the fair value of stock-based compensation and stock-based transactions, the fair value of the components of the warrant liabilities and accrued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Credit Risk</w:t>
      </w:r>
    </w:p>
    <w:p>
      <w:pPr>
        <w:spacing w:after="0" w:line="22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Company considers highly liquid investments with a maturity of three months or less when purchased to be cash equivalents. Cash and cash equivalents at December 31, 2020 consisted of cash and certificates of deposit in institutions in the United States. Balances at certain institutions have exceeded Federal Deposit Insurance Corporation insured limits and U.S. government agency securities.</w:t>
      </w:r>
    </w:p>
    <w:p>
      <w:pPr>
        <w:spacing w:after="0" w:line="1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maintains cash in accounts which are in excess of the Federal Deposit Insurance Corporation (“FDIC”) insured limits of $250,000. As of December 31, 2020, approximately $2.7 million in cash was uninsured based upon the FDIC insurance coverage limits.</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Leasehold improvements, furniture, equipment and software are recorded at cost and are depreciated using the straight-line method over the estimated useful lives of the related assets, which range from three to five years. Leasehold improvements are amortized over the shorter of the estimated useful life or the remaining lease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 Construction in Progress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2020, the Company entered into a lease for a manufacturing facility in Houston, Texas. In connection with the manufacturing facility, the Company has incurred costs pursuant to an agreement with a vendor to design, engineer, build and install modular cleanrooms in a manufacturing facility. The facility's construction was completed during December 2020, and a certificate of occupancy was delivered to the Company in January 2021, and as such was placed into service in January 2021. All costs associated with the buildout will be recorded as either manufacturing equipment and/or leasehold improvements and amortized over the estimated useful life of the asset and/or leasehold lease.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follows Accounting Standards Codification (“ASC”) 820, “Fair Value Measurements and Disclosures,” (“ASC 820”) for the Company’s financial assets and liabilities that are re-measured and reported at fair value at each reporting period and are re-measured and reported at fair value at least annually using a fair value hierarchy that is broken down into three levels. Level inputs are defined as follows:</w:t>
      </w:r>
    </w:p>
    <w:p>
      <w:pPr>
        <w:spacing w:after="0" w:line="187" w:lineRule="exact"/>
        <w:rPr>
          <w:sz w:val="20"/>
          <w:szCs w:val="20"/>
          <w:color w:val="auto"/>
        </w:rPr>
      </w:pPr>
    </w:p>
    <w:p>
      <w:pPr>
        <w:ind w:left="880" w:hanging="332"/>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and liabilities.</w:t>
      </w:r>
    </w:p>
    <w:p>
      <w:pPr>
        <w:spacing w:after="0" w:line="225" w:lineRule="exact"/>
        <w:rPr>
          <w:rFonts w:ascii="Arial" w:cs="Arial" w:eastAsia="Arial" w:hAnsi="Arial"/>
          <w:sz w:val="18"/>
          <w:szCs w:val="18"/>
          <w:color w:val="auto"/>
        </w:rPr>
      </w:pPr>
    </w:p>
    <w:p>
      <w:pPr>
        <w:jc w:val="both"/>
        <w:ind w:left="880" w:hanging="332"/>
        <w:spacing w:after="0" w:line="286" w:lineRule="auto"/>
        <w:tabs>
          <w:tab w:leader="none" w:pos="8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65" w:lineRule="exact"/>
        <w:rPr>
          <w:rFonts w:ascii="Arial" w:cs="Arial" w:eastAsia="Arial" w:hAnsi="Arial"/>
          <w:sz w:val="17"/>
          <w:szCs w:val="17"/>
          <w:color w:val="auto"/>
        </w:rPr>
      </w:pPr>
    </w:p>
    <w:p>
      <w:pPr>
        <w:ind w:left="880" w:hanging="332"/>
        <w:spacing w:after="0" w:line="277"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 financial instruments and concentration of credit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Patent Application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the Company believes that its patents and underlying technology have continuing value, the amount of future benefits to be derived from the patents is uncertain. Patent costs are, therefore, expensed as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incurs stock-based compensation expense related to the issuance of common stock and stock options. The Company estimates the fair value of stock options granted using the Black-Scholes option pricing model. The Black-Scholes option pricing model was developed for use in estimating the fair value of traded options, which have no vesting restrictions and are fully transferable. In addition, option valuation models require the input of highly subjective assumptions, including the expected stock price volatility and expected option life:</w:t>
      </w:r>
    </w:p>
    <w:p>
      <w:pPr>
        <w:spacing w:after="0" w:line="18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life of stock options was estimated using the "simplified method," as the Company has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information to develop reasonable expectations about future exercise patterns and post-vesting employment termination behavior for its stock options grants. The simplified method is based on the average of the vesting tranches and the contractual life of each grant.</w:t>
      </w:r>
    </w:p>
    <w:p>
      <w:pPr>
        <w:spacing w:after="0" w:line="18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The Company computes stock price volatility over expected terms based on its historical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prices.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Company bases the risk-free interest rate on the implied yield available on U. S. Treasury zero-coupon issues with an equivalent remaining term.</w:t>
      </w:r>
    </w:p>
    <w:p>
      <w:pPr>
        <w:spacing w:after="0" w:line="17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i w:val="1"/>
          <w:iCs w:val="1"/>
          <w:color w:val="auto"/>
        </w:rPr>
        <w:t xml:space="preserve">Expected Dividend </w:t>
      </w:r>
      <w:r>
        <w:rPr>
          <w:rFonts w:ascii="Arial" w:cs="Arial" w:eastAsia="Arial" w:hAnsi="Arial"/>
          <w:sz w:val="18"/>
          <w:szCs w:val="18"/>
          <w:color w:val="auto"/>
        </w:rPr>
        <w:t>— The Company has never declared or paid any cash dividends on its common shares and does not plan to</w:t>
      </w:r>
      <w:r>
        <w:rPr>
          <w:rFonts w:ascii="Arial" w:cs="Arial" w:eastAsia="Arial" w:hAnsi="Arial"/>
          <w:sz w:val="18"/>
          <w:szCs w:val="18"/>
          <w:i w:val="1"/>
          <w:iCs w:val="1"/>
          <w:color w:val="auto"/>
        </w:rPr>
        <w:t xml:space="preserve"> </w:t>
      </w:r>
      <w:r>
        <w:rPr>
          <w:rFonts w:ascii="Arial" w:cs="Arial" w:eastAsia="Arial" w:hAnsi="Arial"/>
          <w:sz w:val="18"/>
          <w:szCs w:val="18"/>
          <w:color w:val="auto"/>
        </w:rPr>
        <w:t>pay cash dividends in the foreseeable future, and, therefore, uses an expected dividend yield of zero in its valuation models. The Company amortizes the fair value of the awards expected to vest on a straight-line basis over the requisite service period of the awards. The Company recognizes fair value of stock options granted to nonemployees as stock-based compensation expense over the period in which the related services are received as if the Company had paid cash for those services. Forfeitures are accounted for as incurred.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Research and development expenses consist of expenses incurred in performing research and development activities, including compensation and benefits for research and development employees and consultants, facilities expenses, overhead expenses, cost of laboratory supplies, manufacturing expenses, fees paid to third parties and other outside expenses.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Research and development costs are expensed as incurred. Clinical trial and other development costs incurred by third parties are expensed as the contracted work is performed. The Company accrues for costs incurred as the services are being provided by monitoring the status of the clinical trial or project and the invoices received from its external service providers. The Company estimates depend on the timeliness and accuracy of the data provided by the vendors regarding the status of each project and total project spending. The Company adjusts its accrual as actual costs become known. Where contingent milestone payments are due to third parties under research and development arrangements, the milestone payment obligations are expensed when the milestone events are achieved.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follows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Potential deferred tax assets and liabilities are measured using enacted tax rates expected to apply to the taxable income in the years in which those differences are expected to be recovered or settled. The effect on potential deferred tax assets and liabilities of a change in tax rates is recognized in the statement of operations in the period that includes the date of allowances against deferred tax assets.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As of December 31, 2020 and 2019, no liability for unrecognized tax benefits was required to be reported. The guidance also discusses the classification of related interest and penalties on income taxes. The Company’s policy is to record interest and penalties on uncertain tax positions as a component of income tax expense. No interest or penalties were recorded during the years ended December 31, 2020 and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evaluates options, warrants or other contracts to determine if those contracts or embedded components of those contracts qualify as derivatives to be separately accounted for. This accounting treatment requires that the carrying amounts of embedded derivatives be marked-to-market at each balance sheet date and carried at fair value. If the fair value is recorded as a liability, the change in fair value during the period is recorded in the Statement of Operations as either income or expense. Upon conversion, exercise or modification to the terms of a derivative instrument, the instrument is marked to fair value at the conversion date and then the related fair value is reclassified to equity.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circumstances where the embedded conversion option in a convertible instrument is required to be bifurcated and there are also other embedded derivative instruments in the convertible instrument that are required to be bifurcated, the bifurcated derivative instruments are accounted for as a single, compound derivative instrument.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classification of financial instruments, including whether such instruments should be recorded as liabilities or as equity, is re-assessed at the end of each reporting period. Equity instruments that are initially classified as equity that become subject to reclassification are reclassified to liability at the fair value of the instrument on the reclassification date. Derivative instrument liabilities will be classified in the balance sheet as current or non-current based on whether or not net-cash settlement of the derivative instrument is expected within 12 months of the balance sheet date.</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must determine whether an instrument (or an embedded feature) is indexed to the Company’s own stock. An entity should use a two-step approach to evaluate whether an equity-linked financial instrument (or embedded feature) is indexed to its own stock, including evaluating the instrument’s contingent exercise and settlement provisions. This exercise affects the accounting for (i) certain freestanding warrants that contain exercise price adjustment features and (ii) convertible notes containing full-ratchet and anti-dilution protections (iii) certain free-standing warrants that contain contingently putable cash settlement.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recognizes grant income in accordance with the terms stipulated under the grant awarded to the Company’s collaborators at the Mayo Foundation from the U. S. Department of Defense. In various situations, the Company receives certain payments from the U.S. Department of Defense for reimbursement of clinical supplies. These payments are non-refundable and are not dependent on the Company’s ongoing future performance. The Company has adopted a policy of recognizing these payments when received and as revenue in accordance with Accounting Standards Update No. 2014-09, “Revenue from Contracts with Customers (Topic 606)” issued by the Financial Accounting Standards Board.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Common Share</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Basic loss per share includes only the weighted average common shares outstanding, without consideration of potentially dilutive securities. Diluted loss per share includes the weighted average common shares outstanding and any potentially dilutive common stock equivalent shares in the calculation.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we adopt as of the specified effective date. Unless otherwise discussed, the Company does not believe that the impact of recently issued standards that are not yet effective will have a material impact on its financial position or results of operations upon adoption.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 Not Yet Adopted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(“ASU 2019-12”), which is intended to simplify various aspects related to accounting for income taxes. ASU 2019-12 removes certain exceptions to the general principles in Topic 740 and also clarifies and amends existing guidance to improve consistent application. This guidance is effective for fiscal years, and interim periods within those fiscal years, beginning after December 15, 2020, with early adoption permitted. The Company has adopted the new standard effective January 1, 2021 and is currently evaluating the impact of this standard on its consolidated financial statements and related disclosures.</w:t>
      </w:r>
    </w:p>
    <w:p>
      <w:pPr>
        <w:spacing w:after="0" w:line="18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NET LOSS PER SHARE APPLICABLE TO COMMON SHAREHOLDERS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Applicable to Common Stockholders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computation of loss per share for the years ended December 31, 2020 and 2019, respectively:</w:t>
      </w:r>
    </w:p>
    <w:p>
      <w:pPr>
        <w:spacing w:after="0" w:line="242" w:lineRule="exact"/>
        <w:rPr>
          <w:sz w:val="20"/>
          <w:szCs w:val="20"/>
          <w:color w:val="auto"/>
        </w:rPr>
      </w:pPr>
    </w:p>
    <w:p>
      <w:pPr>
        <w:ind w:left="7900"/>
        <w:spacing w:after="0"/>
        <w:rPr>
          <w:sz w:val="20"/>
          <w:szCs w:val="20"/>
          <w:color w:val="auto"/>
        </w:rPr>
      </w:pPr>
      <w:r>
        <w:rPr>
          <w:rFonts w:ascii="Arial" w:cs="Arial" w:eastAsia="Arial" w:hAnsi="Arial"/>
          <w:sz w:val="14"/>
          <w:szCs w:val="14"/>
          <w:b w:val="1"/>
          <w:bCs w:val="1"/>
          <w:color w:val="auto"/>
        </w:rPr>
        <w:t>For the Years Ended</w:t>
      </w:r>
    </w:p>
    <w:p>
      <w:pPr>
        <w:ind w:left="80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(28,706,070)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(21,427,964)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47,039,862</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45,587,734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data:</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Basic and 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(0.61)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securities, rounded to the thousand, were not included in the diluted net loss per share calculation because their effect was anti-dilutive for the periods presented:</w:t>
      </w:r>
    </w:p>
    <w:p>
      <w:pPr>
        <w:spacing w:after="0" w:line="175"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auto"/>
        </w:rPr>
        <w:t>For the Years Ended</w:t>
      </w:r>
    </w:p>
    <w:p>
      <w:pPr>
        <w:ind w:left="83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540" w:type="dxa"/>
            <w:vAlign w:val="bottom"/>
            <w:tcBorders>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6,002,000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4,983,000</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Common stock purchase warrants</w:t>
            </w:r>
          </w:p>
        </w:tc>
        <w:tc>
          <w:tcPr>
            <w:tcW w:w="1060" w:type="dxa"/>
            <w:vAlign w:val="bottom"/>
          </w:tcPr>
          <w:p>
            <w:pPr>
              <w:jc w:val="right"/>
              <w:spacing w:after="0"/>
              <w:rPr>
                <w:sz w:val="20"/>
                <w:szCs w:val="20"/>
                <w:color w:val="auto"/>
              </w:rPr>
            </w:pPr>
            <w:r>
              <w:rPr>
                <w:rFonts w:ascii="Arial" w:cs="Arial" w:eastAsia="Arial" w:hAnsi="Arial"/>
                <w:sz w:val="18"/>
                <w:szCs w:val="18"/>
                <w:color w:val="auto"/>
              </w:rPr>
              <w:t>20,830,000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22,605,000</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 - liability treatment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59,000</w:t>
            </w:r>
          </w:p>
        </w:tc>
      </w:tr>
      <w:tr>
        <w:trPr>
          <w:trHeight w:val="210"/>
        </w:trPr>
        <w:tc>
          <w:tcPr>
            <w:tcW w:w="754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26,832,000</w:t>
            </w:r>
          </w:p>
        </w:tc>
        <w:tc>
          <w:tcPr>
            <w:tcW w:w="2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27,647,000</w:t>
            </w: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5:</w:t>
        <w:tab/>
        <w:t>OTHER RECEIVABLE</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Company’s lease agreement for its manufacturing facility, the Company incurred and paid for the construction invoices directly for both the structural improvements of the facility and the building of the manufacturing modular cleanroom (i.e. leasehold improvements and manufacturing equipment). At the time the construction invoices are received by the Company, a fixed asset is recorded in construction-in-progress. In accordance with the agreement, upon completion of the facility’s construction, the Company is owed up to $1.0 million as reimbursement, and as such a landlord receivable is recorded, which provides for a legal right to receive construction reimbursements from the landlord for tenant improvement allowances. The construction of the facility was completed during December 2020, and a certificate was occupancy was delivered to the Company in January 2021. During the fiscal year ended 2020, the Company recorded a $1.0 million receivable in its consolidated financial statements. The Company expects to receive the $1.0 million in the first half of 2021.</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6:</w:t>
        <w:tab/>
        <w:t>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as of December 31, 2020 and 2019, respectively: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Estimated Useful Lives</w:t>
            </w:r>
          </w:p>
        </w:tc>
        <w:tc>
          <w:tcPr>
            <w:tcW w:w="1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30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32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5 Years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2,360,000</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Computers, equipment and software</w:t>
            </w:r>
          </w:p>
        </w:tc>
        <w:tc>
          <w:tcPr>
            <w:tcW w:w="322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3-5 Years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835,000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w:t>
            </w:r>
          </w:p>
        </w:tc>
        <w:tc>
          <w:tcPr>
            <w:tcW w:w="32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5 Years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322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Lesser of lease term or estimated useful</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3220" w:type="dxa"/>
            <w:vAlign w:val="bottom"/>
            <w:gridSpan w:val="2"/>
          </w:tcPr>
          <w:p>
            <w:pPr>
              <w:jc w:val="center"/>
              <w:ind w:right="180"/>
              <w:spacing w:after="0"/>
              <w:rPr>
                <w:sz w:val="20"/>
                <w:szCs w:val="20"/>
                <w:color w:val="auto"/>
              </w:rPr>
            </w:pPr>
            <w:r>
              <w:rPr>
                <w:rFonts w:ascii="Arial" w:cs="Arial" w:eastAsia="Arial" w:hAnsi="Arial"/>
                <w:sz w:val="18"/>
                <w:szCs w:val="18"/>
                <w:color w:val="auto"/>
              </w:rPr>
              <w:t>life</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289,000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3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4,162,000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w:t>
            </w:r>
          </w:p>
        </w:tc>
        <w:tc>
          <w:tcPr>
            <w:tcW w:w="30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(591,000)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3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6,789,000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60" w:type="dxa"/>
            <w:vAlign w:val="bottom"/>
            <w:gridSpan w:val="2"/>
          </w:tcPr>
          <w:p>
            <w:pPr>
              <w:spacing w:after="0"/>
              <w:rPr>
                <w:sz w:val="20"/>
                <w:szCs w:val="20"/>
                <w:color w:val="auto"/>
              </w:rPr>
            </w:pPr>
            <w:r>
              <w:rPr>
                <w:rFonts w:ascii="Arial" w:cs="Arial" w:eastAsia="Arial" w:hAnsi="Arial"/>
                <w:sz w:val="18"/>
                <w:szCs w:val="18"/>
                <w:color w:val="auto"/>
              </w:rPr>
              <w:t>Total fixed assets, net</w:t>
            </w: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10,360,000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the years ended December 31, 2020 and 2019 was approximately $0.5 million and $0.1 million, respectively.</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2020, the Company entered into a lease for a manufacturing facility in Houston, Texas. In connection with the manufacturing facility, the Company has incurred costs pursuant to an agreement with a vendor to design, engineer, build and eventually install modular cleanrooms in a manufacturing facility. $6.8 million is recorded in fixed assets – construction in progress on the balance sheet as of December 31, 2020. The completion of the facility’s construction occurred during December 2020 and the Company received its certificate of occupancy in January 2021, and as such was placed into service in January 2021. During January 2021, all costs associated with the buildout will be recorded as either manufacturing equipment and/or leasehold improvements and amortized over the estimated useful life of the asset and/or leasehold lease.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research facility that the Company opened during the second quarter of 2020, the Company incurred approximately $2.2 million of costs acquiring necessary lab equipment to carry out its experiments. The $2.2 million is included in Lab equipment within fixed assets and is being depreciated over five years. Additionally, the Company incurred $0.3 million in leasehold improvements relating to the research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entered into a new agreement for its corporate headquarters in Houston, Texas, which commenced in August of 2020. The initial lease term is ten years with two five-year renewal options. Fixed rent payments under the initial term are approximately $5.6 million. Additionally, the Company is also responsible for its share of operating expenses. As of December 31, 2020, the Company had remaining $4.1 million from the lease liability and $4.0 million of the related right-of-use asset resulting from the lease of its corporate headquarters.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April 2020, the Company entered into a lease for a research facility in Houston, Texas. The lease term is 71 months. Fixed rent payments under the initial term are approximately $1.1 million. As of December 31, 2020, the Company had remaining $0.8 million from the lease liability and $0.8 million of the related right-of-use asset resulting from the lease of its research facility.</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2020, the Company entered into a lease for a manufacturing facility in Houston, Texas. The initial lease term is ten years from the rent commencement date in the fourth quarter of 2020 with two five-year renewal options. Fixed rent payments under the initial term are approximately $9.8 million. Additionally, the Company is also responsible for its share of operating expenses. In accordance with the agreement, upon completion of the facility’s construction, the Company is owed up to $1.0 million as reimbursement, and as such a landlord receivable is recorded, which provides for a legal right to receive construction reimbursements from the landlord for tenant improvement allowances. As of December 31, 2020, the Company had remaining $7.2 million from the lease liability and $5.8 million of the related right-of-use asset resulting from the lease of its manufacturing facility.</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leases office space under agreements classified as operating leases that expire in 2022. As of December 31, 2020, the Company had remaining $0.2 million from the lease liability and $0.2 million of the related right-of-use asset resulting from the lease of its Jacksonville, Florida office space, which expires in 2022.</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Such leases do not require any contingent rental payments, impose any financial restrictions, or contain any residual value guarantees. Certain of the Company’s leases include renewal options and escalation clauses; renewal options have not been included in the calculation of the lease liabilities and right-of-use assets as the Company is not reasonably certain to exercise the options. Variable expenses generally represent the Company’s share of the landlord’s operating expenses. The Company does not act as a lessor or have any leases classified as financing leases.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2020, the Company had operating lease liabilities of approximately $12.3 million and right-of-use assets of approximately $10.8 million, which were included in the consolidated balance sheet.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quantitative information about the Company’s operating leases: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December 31,</w:t>
            </w:r>
          </w:p>
        </w:tc>
        <w:tc>
          <w:tcPr>
            <w:tcW w:w="86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expense summary:</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Operating lease expense</w:t>
            </w:r>
          </w:p>
        </w:tc>
        <w:tc>
          <w:tcPr>
            <w:tcW w:w="5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960,000</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expense</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Variable lease expense</w:t>
            </w:r>
          </w:p>
        </w:tc>
        <w:tc>
          <w:tcPr>
            <w:tcW w:w="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167,000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1,149,000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410,000</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Operating cash flows - operating leases</w:t>
            </w:r>
          </w:p>
        </w:tc>
        <w:tc>
          <w:tcPr>
            <w:tcW w:w="5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544,000</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 operating leases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Weighted-average discount rate as of adoption date – operating leases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5.7 %</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418"/>
        </w:trPr>
        <w:tc>
          <w:tcPr>
            <w:tcW w:w="6800" w:type="dxa"/>
            <w:vAlign w:val="bottom"/>
            <w:gridSpan w:val="2"/>
          </w:tcPr>
          <w:p>
            <w:pPr>
              <w:spacing w:after="0"/>
              <w:rPr>
                <w:sz w:val="20"/>
                <w:szCs w:val="20"/>
                <w:color w:val="auto"/>
              </w:rPr>
            </w:pPr>
            <w:r>
              <w:rPr>
                <w:rFonts w:ascii="Arial" w:cs="Arial" w:eastAsia="Arial" w:hAnsi="Arial"/>
                <w:sz w:val="18"/>
                <w:szCs w:val="18"/>
                <w:color w:val="auto"/>
                <w:w w:val="94"/>
              </w:rPr>
              <w:t>Maturities of the Company’s operating leases, excluding short-term leases, are as follows: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1,077,000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Year ended December 31, 2022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1,278,000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Year ended December 31, 2024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1,826,000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8,772,000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16,369,000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present value discount</w:t>
            </w:r>
          </w:p>
        </w:tc>
        <w:tc>
          <w:tcPr>
            <w:tcW w:w="3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(4,112,000)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Operating lease liabilities included in the Condensed Consolidated Balance Sheet at December 31, 2020</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12,257,000</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8:</w:t>
        <w:tab/>
        <w:t>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consist of the following as of December 31, 2020 and 2019, respectively: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15"/>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15"/>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4040" w:type="dxa"/>
            <w:vAlign w:val="bottom"/>
            <w:tcBorders>
              <w:bottom w:val="single" w:sz="8" w:color="CCEEFF"/>
            </w:tcBorders>
          </w:tcPr>
          <w:p>
            <w:pPr>
              <w:spacing w:after="0"/>
              <w:rPr>
                <w:sz w:val="14"/>
                <w:szCs w:val="14"/>
                <w:color w:val="auto"/>
              </w:rPr>
            </w:pPr>
          </w:p>
        </w:tc>
        <w:tc>
          <w:tcPr>
            <w:tcW w:w="3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993,000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1,694,000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323,000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Technology license fees</w:t>
            </w: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105,000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404,000</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243,000</w:t>
            </w:r>
          </w:p>
        </w:tc>
      </w:tr>
      <w:tr>
        <w:trPr>
          <w:trHeight w:val="210"/>
        </w:trPr>
        <w:tc>
          <w:tcPr>
            <w:tcW w:w="4040" w:type="dxa"/>
            <w:vAlign w:val="bottom"/>
          </w:tcPr>
          <w:p>
            <w:pPr>
              <w:spacing w:after="0"/>
              <w:rPr>
                <w:sz w:val="20"/>
                <w:szCs w:val="20"/>
                <w:color w:val="auto"/>
              </w:rPr>
            </w:pPr>
            <w:r>
              <w:rPr>
                <w:rFonts w:ascii="Arial" w:cs="Arial" w:eastAsia="Arial" w:hAnsi="Arial"/>
                <w:sz w:val="18"/>
                <w:szCs w:val="18"/>
                <w:color w:val="auto"/>
              </w:rPr>
              <w:t>Total accounts payable and accrued liabilities</w:t>
            </w:r>
          </w:p>
        </w:tc>
        <w:tc>
          <w:tcPr>
            <w:tcW w:w="3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6,013,000</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1,758,000</w:t>
            </w:r>
          </w:p>
        </w:tc>
      </w:tr>
      <w:tr>
        <w:trPr>
          <w:trHeight w:val="20"/>
        </w:trPr>
        <w:tc>
          <w:tcPr>
            <w:tcW w:w="40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58"/>
        </w:trPr>
        <w:tc>
          <w:tcPr>
            <w:tcW w:w="4040" w:type="dxa"/>
            <w:vAlign w:val="bottom"/>
          </w:tcPr>
          <w:p>
            <w:pPr>
              <w:spacing w:after="0"/>
              <w:rPr>
                <w:sz w:val="24"/>
                <w:szCs w:val="24"/>
                <w:color w:val="auto"/>
              </w:rPr>
            </w:pPr>
          </w:p>
        </w:tc>
        <w:tc>
          <w:tcPr>
            <w:tcW w:w="3420" w:type="dxa"/>
            <w:vAlign w:val="bottom"/>
            <w:gridSpan w:val="2"/>
          </w:tcPr>
          <w:p>
            <w:pPr>
              <w:jc w:val="right"/>
              <w:ind w:right="2230"/>
              <w:spacing w:after="0"/>
              <w:rPr>
                <w:sz w:val="20"/>
                <w:szCs w:val="20"/>
                <w:color w:val="auto"/>
              </w:rPr>
            </w:pPr>
            <w:r>
              <w:rPr>
                <w:rFonts w:ascii="Arial" w:cs="Arial" w:eastAsia="Arial" w:hAnsi="Arial"/>
                <w:sz w:val="18"/>
                <w:szCs w:val="18"/>
                <w:color w:val="auto"/>
              </w:rPr>
              <w:t>F-14</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60"/>
        </w:trPr>
        <w:tc>
          <w:tcPr>
            <w:tcW w:w="40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9:</w:t>
        <w:tab/>
        <w:t>WARRANT LIABILITY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weighted average summary of quantitative information with respect to valuation methodology and significant unobservable inputs used for the Company’s common stock purchase warrants that are categorized within Level 3 of the fair value hierarchy for the years ended 2020 and 2019, respectively:</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3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1"/>
              </w:rPr>
              <w:t>Weighted Average Inputs</w:t>
            </w:r>
          </w:p>
        </w:tc>
      </w:tr>
      <w:tr>
        <w:trPr>
          <w:trHeight w:val="119"/>
        </w:trPr>
        <w:tc>
          <w:tcPr>
            <w:tcW w:w="37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160" w:type="dxa"/>
            <w:vAlign w:val="bottom"/>
            <w:tcBorders>
              <w:top w:val="single" w:sz="8" w:color="auto"/>
            </w:tcBorders>
            <w:gridSpan w:val="5"/>
          </w:tcPr>
          <w:p>
            <w:pPr>
              <w:jc w:val="center"/>
              <w:spacing w:after="0" w:line="119" w:lineRule="exact"/>
              <w:rPr>
                <w:sz w:val="20"/>
                <w:szCs w:val="20"/>
                <w:color w:val="auto"/>
              </w:rPr>
            </w:pPr>
            <w:r>
              <w:rPr>
                <w:rFonts w:ascii="Arial" w:cs="Arial" w:eastAsia="Arial" w:hAnsi="Arial"/>
                <w:sz w:val="13"/>
                <w:szCs w:val="13"/>
                <w:b w:val="1"/>
                <w:bCs w:val="1"/>
                <w:color w:val="auto"/>
                <w:w w:val="99"/>
              </w:rPr>
              <w:t>For the Years Ended</w:t>
            </w:r>
          </w:p>
        </w:tc>
        <w:tc>
          <w:tcPr>
            <w:tcW w:w="160" w:type="dxa"/>
            <w:vAlign w:val="bottom"/>
          </w:tcPr>
          <w:p>
            <w:pPr>
              <w:spacing w:after="0"/>
              <w:rPr>
                <w:sz w:val="10"/>
                <w:szCs w:val="10"/>
                <w:color w:val="auto"/>
              </w:rPr>
            </w:pPr>
          </w:p>
        </w:tc>
      </w:tr>
      <w:tr>
        <w:trPr>
          <w:trHeight w:val="171"/>
        </w:trPr>
        <w:tc>
          <w:tcPr>
            <w:tcW w:w="37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76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CCEEFF"/>
            </w:tcBorders>
          </w:tcPr>
          <w:p>
            <w:pPr>
              <w:spacing w:after="0"/>
              <w:rPr>
                <w:sz w:val="12"/>
                <w:szCs w:val="12"/>
                <w:color w:val="auto"/>
              </w:rPr>
            </w:pPr>
          </w:p>
        </w:tc>
      </w:tr>
      <w:tr>
        <w:trPr>
          <w:trHeight w:val="209"/>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8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9"/>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6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Volatility (annual)</w:t>
            </w:r>
          </w:p>
        </w:tc>
        <w:tc>
          <w:tcPr>
            <w:tcW w:w="1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83 %</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Risk-free rate</w:t>
            </w:r>
          </w:p>
        </w:tc>
        <w:tc>
          <w:tcPr>
            <w:tcW w:w="1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2 %</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(per share)</w:t>
            </w:r>
          </w:p>
        </w:tc>
        <w:tc>
          <w:tcPr>
            <w:tcW w:w="1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0 %</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assumptions are recalculated every reporting period and are subject to change based primarily on management’s assessment of the probability of the events described occurring. Accordingly, changes to these assessments could materially affect the valuations.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changes in Level 3 warrant liabilities, reflected in accrued expenses measured at fair value for the years ended December 31, 2020 and 2019, respectively:</w:t>
      </w:r>
    </w:p>
    <w:p>
      <w:pPr>
        <w:spacing w:after="0" w:line="16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15"/>
              <w:spacing w:after="0"/>
              <w:rPr>
                <w:sz w:val="20"/>
                <w:szCs w:val="20"/>
                <w:color w:val="auto"/>
              </w:rPr>
            </w:pPr>
            <w:r>
              <w:rPr>
                <w:rFonts w:ascii="Arial" w:cs="Arial" w:eastAsia="Arial" w:hAnsi="Arial"/>
                <w:sz w:val="14"/>
                <w:szCs w:val="14"/>
                <w:b w:val="1"/>
                <w:bCs w:val="1"/>
                <w:color w:val="auto"/>
              </w:rPr>
              <w:t>Warrant</w:t>
            </w:r>
          </w:p>
        </w:tc>
      </w:tr>
      <w:tr>
        <w:trPr>
          <w:trHeight w:val="171"/>
        </w:trPr>
        <w:tc>
          <w:tcPr>
            <w:tcW w:w="484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Liability</w:t>
            </w:r>
          </w:p>
        </w:tc>
      </w:tr>
      <w:tr>
        <w:trPr>
          <w:trHeight w:val="209"/>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2019</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w:t>
            </w:r>
          </w:p>
        </w:tc>
      </w:tr>
      <w:tr>
        <w:trPr>
          <w:trHeight w:val="216"/>
        </w:trPr>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 of warrant liability</w:t>
            </w:r>
          </w:p>
        </w:tc>
        <w:tc>
          <w:tcPr>
            <w:tcW w:w="19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(18,000)</w:t>
            </w: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2019</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r>
      <w:tr>
        <w:trPr>
          <w:trHeight w:val="216"/>
        </w:trPr>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 of warrant liability</w:t>
            </w:r>
          </w:p>
        </w:tc>
        <w:tc>
          <w:tcPr>
            <w:tcW w:w="19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(31,000)</w:t>
            </w:r>
          </w:p>
        </w:tc>
      </w:tr>
      <w:tr>
        <w:trPr>
          <w:trHeight w:val="210"/>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2020</w:t>
            </w:r>
          </w:p>
        </w:tc>
        <w:tc>
          <w:tcPr>
            <w:tcW w:w="1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Financial assets and liabilities measured at fair value on a recurring basis are summarized below and disclosed on the balance sheet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Warrant liability: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8"/>
          </w:tcPr>
          <w:p>
            <w:pPr>
              <w:ind w:left="1120"/>
              <w:spacing w:after="0"/>
              <w:rPr>
                <w:sz w:val="20"/>
                <w:szCs w:val="20"/>
                <w:color w:val="auto"/>
              </w:rPr>
            </w:pPr>
            <w:r>
              <w:rPr>
                <w:rFonts w:ascii="Arial" w:cs="Arial" w:eastAsia="Arial" w:hAnsi="Arial"/>
                <w:sz w:val="14"/>
                <w:szCs w:val="14"/>
                <w:b w:val="1"/>
                <w:bCs w:val="1"/>
                <w:color w:val="auto"/>
              </w:rPr>
              <w:t>Fair value measured at December 31, 2020</w:t>
            </w: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14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Quoted prices in active</w:t>
            </w:r>
          </w:p>
        </w:tc>
        <w:tc>
          <w:tcPr>
            <w:tcW w:w="140" w:type="dxa"/>
            <w:vAlign w:val="bottom"/>
          </w:tcPr>
          <w:p>
            <w:pPr>
              <w:spacing w:after="0"/>
              <w:rPr>
                <w:sz w:val="10"/>
                <w:szCs w:val="10"/>
                <w:color w:val="auto"/>
              </w:rPr>
            </w:pPr>
          </w:p>
        </w:tc>
        <w:tc>
          <w:tcPr>
            <w:tcW w:w="11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 other</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Significant</w:t>
            </w:r>
          </w:p>
        </w:tc>
        <w:tc>
          <w:tcPr>
            <w:tcW w:w="140" w:type="dxa"/>
            <w:vAlign w:val="bottom"/>
          </w:tcPr>
          <w:p>
            <w:pPr>
              <w:spacing w:after="0"/>
              <w:rPr>
                <w:sz w:val="10"/>
                <w:szCs w:val="10"/>
                <w:color w:val="auto"/>
              </w:rPr>
            </w:pPr>
          </w:p>
        </w:tc>
        <w:tc>
          <w:tcPr>
            <w:tcW w:w="10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6"/>
              </w:rPr>
              <w:t>markets</w:t>
            </w:r>
          </w:p>
        </w:tc>
        <w:tc>
          <w:tcPr>
            <w:tcW w:w="14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140" w:type="dxa"/>
            <w:vAlign w:val="bottom"/>
          </w:tcPr>
          <w:p>
            <w:pPr>
              <w:spacing w:after="0"/>
              <w:rPr>
                <w:sz w:val="12"/>
                <w:szCs w:val="12"/>
                <w:color w:val="auto"/>
              </w:rPr>
            </w:pPr>
          </w:p>
        </w:tc>
        <w:tc>
          <w:tcPr>
            <w:tcW w:w="14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unobservable inputs</w:t>
            </w: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center"/>
              <w:ind w:right="184"/>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8"/>
        </w:trPr>
        <w:tc>
          <w:tcPr>
            <w:tcW w:w="45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8"/>
          </w:tcPr>
          <w:p>
            <w:pPr>
              <w:ind w:left="1120"/>
              <w:spacing w:after="0"/>
              <w:rPr>
                <w:sz w:val="20"/>
                <w:szCs w:val="20"/>
                <w:color w:val="auto"/>
              </w:rPr>
            </w:pPr>
            <w:r>
              <w:rPr>
                <w:rFonts w:ascii="Arial" w:cs="Arial" w:eastAsia="Arial" w:hAnsi="Arial"/>
                <w:sz w:val="14"/>
                <w:szCs w:val="14"/>
                <w:b w:val="1"/>
                <w:bCs w:val="1"/>
                <w:color w:val="auto"/>
              </w:rPr>
              <w:t>Fair value measured at December 31, 2019</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14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Quoted prices in active</w:t>
            </w:r>
          </w:p>
        </w:tc>
        <w:tc>
          <w:tcPr>
            <w:tcW w:w="140" w:type="dxa"/>
            <w:vAlign w:val="bottom"/>
          </w:tcPr>
          <w:p>
            <w:pPr>
              <w:spacing w:after="0"/>
              <w:rPr>
                <w:sz w:val="10"/>
                <w:szCs w:val="10"/>
                <w:color w:val="auto"/>
              </w:rPr>
            </w:pPr>
          </w:p>
        </w:tc>
        <w:tc>
          <w:tcPr>
            <w:tcW w:w="11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 other</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Significant</w:t>
            </w:r>
          </w:p>
        </w:tc>
        <w:tc>
          <w:tcPr>
            <w:tcW w:w="140" w:type="dxa"/>
            <w:vAlign w:val="bottom"/>
          </w:tcPr>
          <w:p>
            <w:pPr>
              <w:spacing w:after="0"/>
              <w:rPr>
                <w:sz w:val="10"/>
                <w:szCs w:val="10"/>
                <w:color w:val="auto"/>
              </w:rPr>
            </w:pPr>
          </w:p>
        </w:tc>
        <w:tc>
          <w:tcPr>
            <w:tcW w:w="10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6"/>
              </w:rPr>
              <w:t>markets</w:t>
            </w:r>
          </w:p>
        </w:tc>
        <w:tc>
          <w:tcPr>
            <w:tcW w:w="14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140" w:type="dxa"/>
            <w:vAlign w:val="bottom"/>
          </w:tcPr>
          <w:p>
            <w:pPr>
              <w:spacing w:after="0"/>
              <w:rPr>
                <w:sz w:val="12"/>
                <w:szCs w:val="12"/>
                <w:color w:val="auto"/>
              </w:rPr>
            </w:pPr>
          </w:p>
        </w:tc>
        <w:tc>
          <w:tcPr>
            <w:tcW w:w="14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unobservable inputs</w:t>
            </w: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center"/>
              <w:ind w:right="184"/>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December 31, 2019</w:t>
            </w: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2 or 3 during the years ended December 31, 2020 and 2019,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valuation of warrants is subjective and is affected by changes in inputs to the valuation model including the price per share of common stock, the historical volatility of the stock price, risk-free rates based on U. 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net cash settlement value at the time of any future transactions, where the Company consolidates or merges with another entity, will depend upon the value of the following inputs at that time: the consideration value per share of the Company’s common stock, the volatility of the Company’s common stock, the remaining term of the warrant from announcement date, the risk-free interest rate based on U. S. Treasury security yields, and the Company’s dividend yield. The warrant requires use of a volatility assumption equal to the greater of 100% and the 100-day volatility function determined as of the trading day immediately following announcement of a Fundamental Transaction.</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11:</w:t>
        <w:tab/>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authorized up to 5,000,000 shares of preferred stock, $0.001 par value per share, for issuance. The preferred stock will have such rights, privileges and restrictions, including voting rights, dividend conversion rights, redemption privileges and liquidation preferences, as shall be determined by the Company’s board of directors upon its issuance. To date, the Company has not issued any preferred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authorized up to 150,000,000 shares of common stock, $0.001 par value per share, for issuance. Significant 2020 and 2019 common stock transactions were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Common Stock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of Stock Warrants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2020, certain outstanding warrants were exercised for 0.5 million shares of common stock providing aggregate proceeds to the Company of approximately $0.6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Board Compensation</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the year ended December 31, 2020, the Company issued an aggregate of 0.1 million shares of common stock to its non-employee directors. The fair value of the common stock of approximately $0.2 million was recognized as a component of stock-based compensation expense in general and administrative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Aspire Capital</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28, 2020, the Company entered into a common stock purchase agreement (the “Purchase Agreement”) with Aspire Capital Fund, LLC (“Aspire Capital”) which provides that, upon the terms and subject to the conditions and limitations set forth therein, Aspire Capital is committed to purchase up to an aggregate of $30.0 million of shares of the Company’s common stock over the 30-month term of the purchase agreement. In consideration for entering into the purchase agreement, the Company issued to Aspire Capital 0.3 million shares of the Company’s common stock as a commitment fee. The Company recorded the commitment fee to additional paid in capital. As of December 31, 2020, Aspire Capital had purchased 4.1 million shares under the Purchase Agreement, providing aggregate proceeds to the Company of approximately $6.2 million.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Common Stock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Consulting Arrangements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2019, the Company issued 0.05 million shares of common stock in connection with consulting agreements. The fair value of the common stock of approximately $0.3 million was recognized as stock-based compensation expense in general and administrative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Board Compensation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2019, the Company issued an aggregate of 0.03 million shares of common stock to its non-employee directors. The fair value of the common stock of approximately $0.2 million was recognized as stock-based compensation expense in general and administrative expenses.</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Purchase Warrants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summary of the Company’s share purchase warrants as of December 31, 2020 and 2019, respectively, and changes during the period is presented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3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Weighted Average</w:t>
            </w: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 Average</w:t>
            </w:r>
          </w:p>
        </w:tc>
        <w:tc>
          <w:tcPr>
            <w:tcW w:w="80" w:type="dxa"/>
            <w:vAlign w:val="bottom"/>
          </w:tcPr>
          <w:p>
            <w:pPr>
              <w:spacing w:after="0"/>
              <w:rPr>
                <w:sz w:val="14"/>
                <w:szCs w:val="14"/>
                <w:color w:val="auto"/>
              </w:rPr>
            </w:pPr>
          </w:p>
        </w:tc>
        <w:tc>
          <w:tcPr>
            <w:tcW w:w="9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3"/>
              </w:rPr>
              <w:t>Total Intrinsic</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Warrants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Exercise Price</w:t>
            </w: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Life (in years)</w:t>
            </w:r>
          </w:p>
        </w:tc>
        <w:tc>
          <w:tcPr>
            <w:tcW w:w="80" w:type="dxa"/>
            <w:vAlign w:val="bottom"/>
          </w:tcPr>
          <w:p>
            <w:pPr>
              <w:spacing w:after="0"/>
              <w:rPr>
                <w:sz w:val="14"/>
                <w:szCs w:val="14"/>
                <w:color w:val="auto"/>
              </w:rPr>
            </w:pPr>
          </w:p>
        </w:tc>
        <w:tc>
          <w:tcPr>
            <w:tcW w:w="980" w:type="dxa"/>
            <w:vAlign w:val="bottom"/>
          </w:tcPr>
          <w:p>
            <w:pPr>
              <w:jc w:val="right"/>
              <w:ind w:right="27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23,016,000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4.78</w:t>
            </w:r>
          </w:p>
        </w:tc>
        <w:tc>
          <w:tcPr>
            <w:tcW w:w="1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26,066,000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Warrants 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45,000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4.26</w:t>
            </w:r>
          </w:p>
        </w:tc>
        <w:tc>
          <w:tcPr>
            <w:tcW w:w="1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Exercised for cash</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Cashless exercise</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(17,000)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Expired or cancelled</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Arial" w:cs="Arial" w:eastAsia="Arial" w:hAnsi="Arial"/>
                <w:sz w:val="18"/>
                <w:szCs w:val="18"/>
                <w:b w:val="1"/>
                <w:bCs w:val="1"/>
                <w:color w:val="auto"/>
              </w:rPr>
              <w:t>Balance - December 31, 2019</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22,664,000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4.71</w:t>
            </w:r>
          </w:p>
        </w:tc>
        <w:tc>
          <w:tcPr>
            <w:tcW w:w="16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3.33</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954,000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Exercised for cash</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(458,000)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Expired or cancelled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(1,376,000)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9.46</w:t>
            </w:r>
          </w:p>
        </w:tc>
        <w:tc>
          <w:tcPr>
            <w:tcW w:w="1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20,830,000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Warrant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of Stock Warrants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2020, certain outstanding warrants were exercised for 0.5 million shares of common stock providing aggregate proceeds to the Company of approximately $0.6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Warrant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of Stock Warrants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2019, certain outstanding warrants were exercised for 0.2 million shares of common stock providing aggregate proceeds to the Company of approximately $0.8 million.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STOCK OPTION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to Purchase Shares of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2020 Equity Incentive Plan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19, 2020, the Board adopted the 2020 Equity Incentive Plan ("2020 Plan") which replaced the 2014 Omnibus Stock Option Plan (“2014 Plan”). The 2020 Plan allows for grants of stock options, restricted shares, stock bonuses and other equity-based awards to employees and non-employee directors of the Company. Awards under the 2020 Plan may be at prices and for terms as determined by the Board of Directors and may have vesting requirements as determined by the Board, provided that the exercise price for any stock option must be at least equal to the fair market value (as defined in the 2020 Plan) of a share of the stock on the grant date. Once granted, the exercise price of an option may not be reduced without the approval of the Company’s stockholders, other than under certain limited circumstances such as a stock split or take any other action with respect to a stock option that would be treated as a repricing under the rules and regulations of the New York Stock Exchange.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Options granted under the 2020 Plan have a maximum term of ten years from the date of grant. Options granted in 2020 and 2019 generally vest over four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approximately 4.7 million options are available to be issued from the 2020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2014 Omnibus Stock Ownership Plan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2014 Plan, which the Board adopted on May 19, 2020 and subsequently amended from time to time, allowed for grants of stock options, restricted shares, stock bonuses and other equity-based awards to employees and non-employee directors of the Company. The terms of the 2014 plan are substantially identical to the terms of the 2020 Plan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is as follows for stock options: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Weighted 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 Intrinsic</w:t>
            </w: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1"/>
              </w:rPr>
              <w:t>Number of Shares</w:t>
            </w: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Exercise Price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4,983,314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1,531,000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Canceled</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(512,500)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as of December 31, 2020</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6,001,814</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vested and exercisable</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2,598,981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Black-Scholes option pricing model is used to estimate the fair value of stock options granted under the Company’s share-based compensation plans. The weighted average assumptions used in calculating the fair values of stock options that were granted during the years ended December 31, 2020 and 2019, respectively, were as follows:</w:t>
      </w:r>
    </w:p>
    <w:p>
      <w:pPr>
        <w:spacing w:after="0" w:line="189"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auto"/>
        </w:rPr>
        <w:t>For the Years Ended</w:t>
      </w:r>
    </w:p>
    <w:p>
      <w:pPr>
        <w:ind w:left="73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1000" w:type="dxa"/>
            <w:vAlign w:val="bottom"/>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980" w:type="dxa"/>
            <w:vAlign w:val="bottom"/>
          </w:tcPr>
          <w:p>
            <w:pPr>
              <w:spacing w:after="0"/>
              <w:rPr>
                <w:sz w:val="12"/>
                <w:szCs w:val="12"/>
                <w:color w:val="auto"/>
              </w:rPr>
            </w:pPr>
          </w:p>
        </w:tc>
      </w:tr>
      <w:tr>
        <w:trPr>
          <w:trHeight w:val="209"/>
        </w:trPr>
        <w:tc>
          <w:tcPr>
            <w:tcW w:w="10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6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Expected term (years)</w:t>
            </w: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108 %</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126 %</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Risk-free rate of interest</w:t>
            </w: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1 %</w:t>
            </w: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2 %</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rate</w:t>
            </w:r>
          </w:p>
        </w:tc>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0 %</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0 %</w:t>
            </w:r>
          </w:p>
        </w:tc>
        <w:tc>
          <w:tcPr>
            <w:tcW w:w="980" w:type="dxa"/>
            <w:vAlign w:val="bottom"/>
          </w:tcPr>
          <w:p>
            <w:pPr>
              <w:spacing w:after="0"/>
              <w:rPr>
                <w:sz w:val="18"/>
                <w:szCs w:val="18"/>
                <w:color w:val="auto"/>
              </w:rPr>
            </w:pPr>
          </w:p>
        </w:tc>
      </w:tr>
      <w:tr>
        <w:trPr>
          <w:trHeight w:val="864"/>
        </w:trPr>
        <w:tc>
          <w:tcPr>
            <w:tcW w:w="10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940" w:type="dxa"/>
            <w:vAlign w:val="bottom"/>
            <w:gridSpan w:val="2"/>
          </w:tcPr>
          <w:p>
            <w:pPr>
              <w:jc w:val="right"/>
              <w:ind w:right="1727"/>
              <w:spacing w:after="0"/>
              <w:rPr>
                <w:sz w:val="20"/>
                <w:szCs w:val="20"/>
                <w:color w:val="auto"/>
              </w:rPr>
            </w:pPr>
            <w:r>
              <w:rPr>
                <w:rFonts w:ascii="Arial" w:cs="Arial" w:eastAsia="Arial" w:hAnsi="Arial"/>
                <w:sz w:val="18"/>
                <w:szCs w:val="18"/>
                <w:color w:val="auto"/>
              </w:rPr>
              <w:t>F-18</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1"/>
        </w:trPr>
        <w:tc>
          <w:tcPr>
            <w:tcW w:w="10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stock-based compensation expenses recorded during the respective periods:</w:t>
      </w:r>
    </w:p>
    <w:p>
      <w:pPr>
        <w:spacing w:after="0" w:line="230"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For the Years Ended</w:t>
      </w:r>
    </w:p>
    <w:p>
      <w:pPr>
        <w:ind w:left="74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2"/>
        </w:trPr>
        <w:tc>
          <w:tcPr>
            <w:tcW w:w="414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14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17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2,588,000</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2,574,000</w:t>
            </w:r>
          </w:p>
        </w:tc>
      </w:tr>
      <w:tr>
        <w:trPr>
          <w:trHeight w:val="216"/>
        </w:trPr>
        <w:tc>
          <w:tcPr>
            <w:tcW w:w="4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1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2,640,000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2,783,000</w:t>
            </w:r>
          </w:p>
        </w:tc>
      </w:tr>
      <w:tr>
        <w:trPr>
          <w:trHeight w:val="210"/>
        </w:trPr>
        <w:tc>
          <w:tcPr>
            <w:tcW w:w="4140" w:type="dxa"/>
            <w:vAlign w:val="bottom"/>
          </w:tcPr>
          <w:p>
            <w:pPr>
              <w:spacing w:after="0"/>
              <w:rPr>
                <w:sz w:val="20"/>
                <w:szCs w:val="20"/>
                <w:color w:val="auto"/>
              </w:rPr>
            </w:pPr>
            <w:r>
              <w:rPr>
                <w:rFonts w:ascii="Arial" w:cs="Arial" w:eastAsia="Arial" w:hAnsi="Arial"/>
                <w:sz w:val="18"/>
                <w:szCs w:val="18"/>
                <w:color w:val="auto"/>
              </w:rPr>
              <w:t>Total stock compensation expenses</w:t>
            </w:r>
          </w:p>
        </w:tc>
        <w:tc>
          <w:tcPr>
            <w:tcW w:w="16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5,228,000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5,357,000</w:t>
            </w:r>
          </w:p>
        </w:tc>
      </w:tr>
    </w:tbl>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At December 31, 2020, the total stock-based compensation cost related to unvested awards not yet recognized was $10.6 million. The expected weighted average period compensation costs to be recognized was 2.2 years. Future option grants will impact the compensation expense recognized.</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14:</w:t>
        <w:tab/>
        <w:t>GRANT INCOME</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years ended December 31, 2020 and 2019, the Company received $0.5 million and $0.2 million, respectively, of a grant awarded to Mayo Foundation from the U.S. Department of Defense for the Phase II Clinical Trial of TPIV200. The grant compensated the Company for clinical supplies manufactured and provided by the Company for the clinical study. In accordance with Accounting Standards Update No. 2014-09, “Revenue from Contracts with Customers (Topic 606)” issued by the Financial Accounting Standards Board, the Company recorded the $0.5 million and $0.2 million, respectively, of grant income as revenue.</w:t>
      </w:r>
    </w:p>
    <w:p>
      <w:pPr>
        <w:spacing w:after="0" w:line="1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15:</w:t>
        <w:tab/>
        <w:t>COMMITMENTS AND CONTINGENCIES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 arbitration proceeding was brought against the Company before the Financial Industry Regulatory Authority, Inc. by a broker seeking to be paid approximately $1.0 million as compensation for two financing transactions that occurred in 2018, a warrant conversion and a private placement brokered by another broker. The broker’s claims are based on a placement agent agreement for a private placement it brokered in 2017, under which it alleges it is entitled to compensation for the 2018 transactions. The Company believes it has defenses to all of the allegations and intends to vigorously defend itself in this matter.</w:t>
      </w:r>
    </w:p>
    <w:p>
      <w:pPr>
        <w:spacing w:after="0" w:line="1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16:</w:t>
        <w:tab/>
        <w:t>LEGAL PROCEEDINGS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time to time, the Company may be party to ordinary, routine litigation incidental to their business. The Company knows of no material, active or pending legal proceedings against the Company, nor is the Company involved as a plaintiff in any material proceeding or pending litigation. There are no proceedings in which any of the Company’s directors, officers or affiliates, or any registered or beneficial shareholder, is an adverse party or has a material interest adverse to the Company’s interest.</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related party transaction expenses recorded for the years ended December 31, 2020 and 2019, respectively.</w:t>
      </w:r>
    </w:p>
    <w:p>
      <w:pPr>
        <w:spacing w:after="0" w:line="253"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For the Years Ended</w:t>
      </w:r>
    </w:p>
    <w:p>
      <w:pPr>
        <w:spacing w:after="0" w:line="4"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4660900</wp:posOffset>
            </wp:positionH>
            <wp:positionV relativeFrom="paragraph">
              <wp:posOffset>-3175</wp:posOffset>
            </wp:positionV>
            <wp:extent cx="163703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8">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Baylor College of Medicine</w:t>
            </w:r>
          </w:p>
        </w:tc>
        <w:tc>
          <w:tcPr>
            <w:tcW w:w="25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1,818,000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69,000</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Bio-Techne Corporation</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152,000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51,000</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Dr Juan Vera</w:t>
            </w:r>
          </w:p>
        </w:tc>
        <w:tc>
          <w:tcPr>
            <w:tcW w:w="27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233,000</w:t>
            </w:r>
          </w:p>
        </w:tc>
      </w:tr>
      <w:tr>
        <w:trPr>
          <w:trHeight w:val="209"/>
        </w:trPr>
        <w:tc>
          <w:tcPr>
            <w:tcW w:w="4840" w:type="dxa"/>
            <w:vAlign w:val="bottom"/>
          </w:tcPr>
          <w:p>
            <w:pPr>
              <w:spacing w:after="0"/>
              <w:rPr>
                <w:sz w:val="20"/>
                <w:szCs w:val="20"/>
                <w:color w:val="auto"/>
              </w:rPr>
            </w:pPr>
            <w:r>
              <w:rPr>
                <w:rFonts w:ascii="Arial" w:cs="Arial" w:eastAsia="Arial" w:hAnsi="Arial"/>
                <w:sz w:val="18"/>
                <w:szCs w:val="18"/>
                <w:color w:val="auto"/>
              </w:rPr>
              <w:t>Total Research and development</w:t>
            </w:r>
          </w:p>
        </w:tc>
        <w:tc>
          <w:tcPr>
            <w:tcW w:w="25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1,970,000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353,000</w:t>
            </w:r>
          </w:p>
        </w:tc>
      </w:tr>
      <w:tr>
        <w:trPr>
          <w:trHeight w:val="20"/>
        </w:trPr>
        <w:tc>
          <w:tcPr>
            <w:tcW w:w="48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Agreements with The Baylor College of Medicine (“BCM”)</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November 2018 and February 2020, the Company entered in Sponsored Research Agreements with BCM, which provided for the conduct of research for the Company by credentialed personnel at BCM’s Center for Cell and Gene Therapy.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2019, the Company entered in a Clinical Supply Agreement with BCM, which provided for BCM to provide to the Company multi tumor antigen specific products.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2019, the Company entered in a Workforce Grant Agreement with BCM, which provided for BCM to provide to the Company manpower costs of projects for manufacturing, quality control testing and validation run activities.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August 2020, the Company entered in a Clinical Trial Agreement with BCM, which provided for BCM to provide to the Company investigator-initiated research studies.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Purchases from Bio-Techne Corporation</w:t>
      </w:r>
      <w:r>
        <w:rPr>
          <w:rFonts w:ascii="Arial" w:cs="Arial" w:eastAsia="Arial" w:hAnsi="Arial"/>
          <w:sz w:val="18"/>
          <w:szCs w:val="18"/>
          <w:i w:val="1"/>
          <w:iCs w:val="1"/>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currently utilizing Bio-Techne Corporation and two of its brands for the purchases of reagents, primarily cytokines. Mr. David Eansor is a member of the Company's board of directors and is serving as the President of the Protein Sciences Segment of Bio-Techne Corporation.</w:t>
      </w:r>
    </w:p>
    <w:p>
      <w:pPr>
        <w:spacing w:after="0" w:line="18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i w:val="1"/>
          <w:iCs w:val="1"/>
          <w:u w:val="single" w:color="auto"/>
          <w:color w:val="auto"/>
        </w:rPr>
        <w:t>Consulting Agreement with Dr. Juan Vera</w:t>
      </w:r>
      <w:r>
        <w:rPr>
          <w:rFonts w:ascii="Arial" w:cs="Arial" w:eastAsia="Arial" w:hAnsi="Arial"/>
          <w:sz w:val="16"/>
          <w:szCs w:val="16"/>
          <w:i w:val="1"/>
          <w:iCs w:val="1"/>
          <w:color w:val="auto"/>
        </w:rPr>
        <w:t xml:space="preserve">. </w:t>
      </w:r>
      <w:r>
        <w:rPr>
          <w:rFonts w:ascii="Arial" w:cs="Arial" w:eastAsia="Arial" w:hAnsi="Arial"/>
          <w:sz w:val="16"/>
          <w:szCs w:val="16"/>
          <w:color w:val="auto"/>
        </w:rPr>
        <w:t>On October 19, 2018, after the closing of the Company’s merger, the Company entered into a</w:t>
      </w:r>
      <w:r>
        <w:rPr>
          <w:rFonts w:ascii="Arial" w:cs="Arial" w:eastAsia="Arial" w:hAnsi="Arial"/>
          <w:sz w:val="16"/>
          <w:szCs w:val="16"/>
          <w:i w:val="1"/>
          <w:iCs w:val="1"/>
          <w:color w:val="auto"/>
        </w:rPr>
        <w:t xml:space="preserve"> </w:t>
      </w:r>
      <w:r>
        <w:rPr>
          <w:rFonts w:ascii="Arial" w:cs="Arial" w:eastAsia="Arial" w:hAnsi="Arial"/>
          <w:sz w:val="16"/>
          <w:szCs w:val="16"/>
          <w:color w:val="auto"/>
        </w:rPr>
        <w:t>consulting agreement with Dr. Juan Vera, a member of the Company’s board of directors, to serve as the Company’s Chief Development Officer. On September 1, 2019, Dr. Vera became an employee of the Company and his consulting agreement was terminated.</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18:</w:t>
        <w:tab/>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no income tax expense due to operating losses incurred for the years ended December 31, 2020 and 2019.</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effects of temporary differences that give rise to significant portions of the deferred tax assets as of December 31, 2020 and 2019 are as follows:</w:t>
      </w:r>
    </w:p>
    <w:p>
      <w:pPr>
        <w:spacing w:after="0" w:line="175"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auto"/>
        </w:rPr>
        <w:t>For the Years Ended</w:t>
      </w:r>
    </w:p>
    <w:p>
      <w:pPr>
        <w:ind w:left="83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780" w:type="dxa"/>
            <w:vAlign w:val="bottom"/>
            <w:tcBorders>
              <w:bottom w:val="single" w:sz="8" w:color="CCEEFF"/>
            </w:tcBorders>
          </w:tcPr>
          <w:p>
            <w:pPr>
              <w:spacing w:after="0"/>
              <w:rPr>
                <w:sz w:val="12"/>
                <w:szCs w:val="12"/>
                <w:color w:val="auto"/>
              </w:rPr>
            </w:pPr>
          </w:p>
        </w:tc>
        <w:tc>
          <w:tcPr>
            <w:tcW w:w="3740" w:type="dxa"/>
            <w:vAlign w:val="bottom"/>
            <w:tcBorders>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00"/>
              <w:spacing w:after="0"/>
              <w:rPr>
                <w:sz w:val="20"/>
                <w:szCs w:val="20"/>
                <w:color w:val="auto"/>
              </w:rPr>
            </w:pPr>
            <w:r>
              <w:rPr>
                <w:rFonts w:ascii="Arial" w:cs="Arial" w:eastAsia="Arial" w:hAnsi="Arial"/>
                <w:sz w:val="18"/>
                <w:szCs w:val="18"/>
                <w:color w:val="auto"/>
              </w:rPr>
              <w:t>Net Operating Loss Carryforward</w:t>
            </w:r>
          </w:p>
        </w:tc>
        <w:tc>
          <w:tcPr>
            <w:tcW w:w="4800" w:type="dxa"/>
            <w:vAlign w:val="bottom"/>
            <w:gridSpan w:val="2"/>
          </w:tcPr>
          <w:p>
            <w:pPr>
              <w:jc w:val="right"/>
              <w:spacing w:after="0"/>
              <w:rPr>
                <w:sz w:val="20"/>
                <w:szCs w:val="20"/>
                <w:color w:val="auto"/>
              </w:rPr>
            </w:pPr>
            <w:r>
              <w:rPr>
                <w:rFonts w:ascii="Arial" w:cs="Arial" w:eastAsia="Arial" w:hAnsi="Arial"/>
                <w:sz w:val="18"/>
                <w:szCs w:val="18"/>
                <w:color w:val="auto"/>
              </w:rPr>
              <w:t>21,783,000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17,166,000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 Compensation</w:t>
            </w:r>
          </w:p>
        </w:tc>
        <w:tc>
          <w:tcPr>
            <w:tcW w:w="4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6,775,000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00"/>
              <w:spacing w:after="0"/>
              <w:rPr>
                <w:sz w:val="20"/>
                <w:szCs w:val="20"/>
                <w:color w:val="auto"/>
              </w:rPr>
            </w:pPr>
            <w:r>
              <w:rPr>
                <w:rFonts w:ascii="Arial" w:cs="Arial" w:eastAsia="Arial" w:hAnsi="Arial"/>
                <w:sz w:val="18"/>
                <w:szCs w:val="18"/>
                <w:color w:val="auto"/>
              </w:rPr>
              <w:t>License Agreements</w:t>
            </w:r>
          </w:p>
        </w:tc>
        <w:tc>
          <w:tcPr>
            <w:tcW w:w="4800" w:type="dxa"/>
            <w:vAlign w:val="bottom"/>
            <w:gridSpan w:val="2"/>
          </w:tcPr>
          <w:p>
            <w:pPr>
              <w:jc w:val="right"/>
              <w:spacing w:after="0"/>
              <w:rPr>
                <w:sz w:val="20"/>
                <w:szCs w:val="20"/>
                <w:color w:val="auto"/>
              </w:rPr>
            </w:pPr>
            <w:r>
              <w:rPr>
                <w:rFonts w:ascii="Arial" w:cs="Arial" w:eastAsia="Arial" w:hAnsi="Arial"/>
                <w:sz w:val="18"/>
                <w:szCs w:val="18"/>
                <w:color w:val="auto"/>
              </w:rPr>
              <w:t>144,000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4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733,000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00"/>
              <w:spacing w:after="0"/>
              <w:rPr>
                <w:sz w:val="20"/>
                <w:szCs w:val="20"/>
                <w:color w:val="auto"/>
              </w:rPr>
            </w:pPr>
            <w:r>
              <w:rPr>
                <w:rFonts w:ascii="Arial" w:cs="Arial" w:eastAsia="Arial" w:hAnsi="Arial"/>
                <w:sz w:val="18"/>
                <w:szCs w:val="18"/>
                <w:color w:val="auto"/>
              </w:rPr>
              <w:t>Charitable Contributions</w:t>
            </w:r>
          </w:p>
        </w:tc>
        <w:tc>
          <w:tcPr>
            <w:tcW w:w="480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Liability</w:t>
            </w:r>
          </w:p>
        </w:tc>
        <w:tc>
          <w:tcPr>
            <w:tcW w:w="4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2,626,000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32,069,000</w:t>
            </w:r>
          </w:p>
        </w:tc>
        <w:tc>
          <w:tcPr>
            <w:tcW w:w="24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24,738,000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5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(29,689,000)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0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374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2,380,000</w:t>
            </w:r>
          </w:p>
        </w:tc>
        <w:tc>
          <w:tcPr>
            <w:tcW w:w="24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780" w:type="dxa"/>
            <w:vAlign w:val="bottom"/>
            <w:tcBorders>
              <w:top w:val="single" w:sz="8" w:color="CCEEFF"/>
            </w:tcBorders>
            <w:shd w:val="clear" w:color="auto" w:fill="CCEEFF"/>
          </w:tcPr>
          <w:p>
            <w:pPr>
              <w:spacing w:after="0"/>
              <w:rPr>
                <w:sz w:val="17"/>
                <w:szCs w:val="17"/>
                <w:color w:val="auto"/>
              </w:rPr>
            </w:pPr>
          </w:p>
        </w:tc>
        <w:tc>
          <w:tcPr>
            <w:tcW w:w="37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Fixed Assets</w:t>
            </w:r>
          </w:p>
        </w:tc>
        <w:tc>
          <w:tcPr>
            <w:tcW w:w="37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00"/>
              <w:spacing w:after="0"/>
              <w:rPr>
                <w:sz w:val="20"/>
                <w:szCs w:val="20"/>
                <w:color w:val="auto"/>
              </w:rPr>
            </w:pPr>
            <w:r>
              <w:rPr>
                <w:rFonts w:ascii="Arial" w:cs="Arial" w:eastAsia="Arial" w:hAnsi="Arial"/>
                <w:sz w:val="18"/>
                <w:szCs w:val="18"/>
                <w:color w:val="auto"/>
              </w:rPr>
              <w:t>Right-of-Use Assets</w:t>
            </w:r>
          </w:p>
        </w:tc>
        <w:tc>
          <w:tcPr>
            <w:tcW w:w="5040" w:type="dxa"/>
            <w:vAlign w:val="bottom"/>
            <w:gridSpan w:val="3"/>
          </w:tcPr>
          <w:p>
            <w:pPr>
              <w:jc w:val="right"/>
              <w:ind w:right="240"/>
              <w:spacing w:after="0"/>
              <w:rPr>
                <w:sz w:val="20"/>
                <w:szCs w:val="20"/>
                <w:color w:val="auto"/>
              </w:rPr>
            </w:pPr>
            <w:r>
              <w:rPr>
                <w:rFonts w:ascii="Arial" w:cs="Arial" w:eastAsia="Arial" w:hAnsi="Arial"/>
                <w:sz w:val="18"/>
                <w:szCs w:val="18"/>
                <w:color w:val="auto"/>
              </w:rPr>
              <w:t>(2,380,000)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80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374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(2,380,000)</w:t>
            </w:r>
          </w:p>
        </w:tc>
        <w:tc>
          <w:tcPr>
            <w:tcW w:w="24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80" w:type="dxa"/>
            <w:vAlign w:val="bottom"/>
            <w:tcBorders>
              <w:top w:val="single" w:sz="8" w:color="CCEEFF"/>
            </w:tcBorders>
            <w:shd w:val="clear" w:color="auto" w:fill="CCEEFF"/>
          </w:tcPr>
          <w:p>
            <w:pPr>
              <w:spacing w:after="0"/>
              <w:rPr>
                <w:sz w:val="17"/>
                <w:szCs w:val="17"/>
                <w:color w:val="auto"/>
              </w:rPr>
            </w:pPr>
          </w:p>
        </w:tc>
        <w:tc>
          <w:tcPr>
            <w:tcW w:w="37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Net Deferred Tax Assets/(Liabilities)</w:t>
            </w:r>
          </w:p>
        </w:tc>
        <w:tc>
          <w:tcPr>
            <w:tcW w:w="374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040" w:type="dxa"/>
            <w:vAlign w:val="bottom"/>
            <w:gridSpan w:val="3"/>
          </w:tcPr>
          <w:p>
            <w:pPr>
              <w:jc w:val="right"/>
              <w:ind w:right="3700"/>
              <w:spacing w:after="0"/>
              <w:rPr>
                <w:sz w:val="20"/>
                <w:szCs w:val="20"/>
                <w:color w:val="auto"/>
              </w:rPr>
            </w:pPr>
            <w:r>
              <w:rPr>
                <w:rFonts w:ascii="Arial" w:cs="Arial" w:eastAsia="Arial" w:hAnsi="Arial"/>
                <w:sz w:val="18"/>
                <w:szCs w:val="18"/>
                <w:color w:val="auto"/>
              </w:rPr>
              <w:t>F-20</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assesses the likelihood that deferred tax assets will be realized. To the extent that realization is not likely, a valuation allowance is established. Based upon the history of losses, management believes that it is more likely than not that future benefits of deferred tax assets will not be realized and has established a full valuation allowance for the years ended December 31, 2020 and 2019. The valuation allowance increased by $5.1 million as of December 31, 2020. The Company has research and development tax credit carryforwards of $0.7 million available to offset future federal income taxes. The research and development tax credit carryforwards begin to expire in 2030.</w:t>
      </w:r>
    </w:p>
    <w:p>
      <w:pPr>
        <w:spacing w:after="0" w:line="1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approximately $97.2 million of federal and $39.0 million of state Net Operating Losses (“NOL”s) that may be available to offset future taxable income, if any. The federal net operating loss carryforwards of $41.6 million, if not utilized, will expire between 2029 and 2037. The federal net operating loss carryforwards of $55.6 million generated in 2018 and thereafter are subject to an 80% limitation on taxable income, do not expire and will carry forward indefinitely. The state net operating loss carryforwards of $21.9 million, if not utilized, will begin to expire in 2035. The state net operating loss carryforwards of $17.1 million generated in 2018 and thereafter are subject to an 80% limitation on taxable income, do not expire and will carry forward indefinitely.</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accordance with Section 382 of the Internal Revenue code, the usage of the Company’s net operating loss carryforwards may be limited in the event of a change in ownership. A full Section 382 analysis has not been prepared and NOLs could be subject to limitation under Section 382.</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income tax returns for 2016 to 2019 are still open and subject to audit. In addition, net operating losses arising from prior years are also subject to examination at the time they are utilized in future years.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years ended December 31, 2020 and 2019, the expected tax expense (benefit) based on the U. S. federal statutory rate is reconciled with the actual tax provision (benefit)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5"/>
              </w:rPr>
              <w:t>For the Years Ended December 31,</w:t>
            </w: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960" w:type="dxa"/>
            <w:vAlign w:val="bottom"/>
            <w:tcBorders>
              <w:bottom w:val="single" w:sz="8" w:color="auto"/>
            </w:tcBorders>
            <w:gridSpan w:val="4"/>
          </w:tcPr>
          <w:p>
            <w:pPr>
              <w:jc w:val="right"/>
              <w:ind w:right="76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2020" w:type="dxa"/>
            <w:vAlign w:val="bottom"/>
            <w:tcBorders>
              <w:bottom w:val="single" w:sz="8" w:color="auto"/>
            </w:tcBorders>
            <w:gridSpan w:val="3"/>
          </w:tcPr>
          <w:p>
            <w:pPr>
              <w:jc w:val="right"/>
              <w:ind w:right="77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540" w:type="dxa"/>
            <w:vAlign w:val="bottom"/>
          </w:tcPr>
          <w:p>
            <w:pPr>
              <w:spacing w:after="0"/>
              <w:rPr>
                <w:sz w:val="10"/>
                <w:szCs w:val="10"/>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0"/>
                <w:szCs w:val="10"/>
                <w:color w:val="auto"/>
              </w:rPr>
            </w:pPr>
          </w:p>
        </w:tc>
        <w:tc>
          <w:tcPr>
            <w:tcW w:w="920" w:type="dxa"/>
            <w:vAlign w:val="bottom"/>
          </w:tcPr>
          <w:p>
            <w:pPr>
              <w:jc w:val="right"/>
              <w:ind w:right="84"/>
              <w:spacing w:after="0" w:line="119" w:lineRule="exact"/>
              <w:rPr>
                <w:sz w:val="20"/>
                <w:szCs w:val="20"/>
                <w:color w:val="auto"/>
              </w:rPr>
            </w:pPr>
            <w:r>
              <w:rPr>
                <w:rFonts w:ascii="Arial" w:cs="Arial" w:eastAsia="Arial" w:hAnsi="Arial"/>
                <w:sz w:val="13"/>
                <w:szCs w:val="13"/>
                <w:b w:val="1"/>
                <w:bCs w:val="1"/>
                <w:color w:val="auto"/>
              </w:rPr>
              <w:t>Percent of</w:t>
            </w:r>
          </w:p>
        </w:tc>
        <w:tc>
          <w:tcPr>
            <w:tcW w:w="240" w:type="dxa"/>
            <w:vAlign w:val="bottom"/>
          </w:tcPr>
          <w:p>
            <w:pPr>
              <w:spacing w:after="0"/>
              <w:rPr>
                <w:sz w:val="10"/>
                <w:szCs w:val="10"/>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Amount</w:t>
            </w:r>
          </w:p>
        </w:tc>
        <w:tc>
          <w:tcPr>
            <w:tcW w:w="980" w:type="dxa"/>
            <w:vAlign w:val="bottom"/>
          </w:tcPr>
          <w:p>
            <w:pPr>
              <w:jc w:val="right"/>
              <w:ind w:right="94"/>
              <w:spacing w:after="0" w:line="119" w:lineRule="exact"/>
              <w:rPr>
                <w:sz w:val="20"/>
                <w:szCs w:val="20"/>
                <w:color w:val="auto"/>
              </w:rPr>
            </w:pPr>
            <w:r>
              <w:rPr>
                <w:rFonts w:ascii="Arial" w:cs="Arial" w:eastAsia="Arial" w:hAnsi="Arial"/>
                <w:sz w:val="13"/>
                <w:szCs w:val="13"/>
                <w:b w:val="1"/>
                <w:bCs w:val="1"/>
                <w:color w:val="auto"/>
              </w:rPr>
              <w:t>Percent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w w:val="95"/>
              </w:rPr>
              <w:t>Pre-Tax Loss</w:t>
            </w:r>
          </w:p>
        </w:tc>
        <w:tc>
          <w:tcPr>
            <w:tcW w:w="1040" w:type="dxa"/>
            <w:vAlign w:val="bottom"/>
            <w:gridSpan w:val="2"/>
            <w:vMerge w:val="continue"/>
          </w:tcPr>
          <w:p>
            <w:pPr>
              <w:spacing w:after="0"/>
              <w:rPr>
                <w:sz w:val="14"/>
                <w:szCs w:val="14"/>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Pre-Tax Loss</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(6,028,000)</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21.00 %</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(4,500,000)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21.00 %</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(118,000)</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0.41 %</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(600,000)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2.80 %</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Tax rate change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677,000</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665,000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Permanent Differences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Change in fair value of derivative liabilities</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(7,000)</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0.02 %</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0.02 %</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Arial" w:cs="Arial" w:eastAsia="Arial" w:hAnsi="Arial"/>
                <w:sz w:val="18"/>
                <w:szCs w:val="18"/>
                <w:color w:val="auto"/>
              </w:rPr>
              <w:t>- Other permanent differences</w:t>
            </w:r>
          </w:p>
        </w:tc>
        <w:tc>
          <w:tcPr>
            <w:tcW w:w="880" w:type="dxa"/>
            <w:vAlign w:val="bottom"/>
          </w:tcPr>
          <w:p>
            <w:pPr>
              <w:jc w:val="right"/>
              <w:spacing w:after="0"/>
              <w:rPr>
                <w:sz w:val="20"/>
                <w:szCs w:val="20"/>
                <w:color w:val="auto"/>
              </w:rPr>
            </w:pPr>
            <w:r>
              <w:rPr>
                <w:rFonts w:ascii="Arial" w:cs="Arial" w:eastAsia="Arial" w:hAnsi="Arial"/>
                <w:sz w:val="18"/>
                <w:szCs w:val="18"/>
                <w:color w:val="auto"/>
              </w:rPr>
              <w:t>182,000</w:t>
            </w:r>
          </w:p>
        </w:tc>
        <w:tc>
          <w:tcPr>
            <w:tcW w:w="8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(0.63)%</w:t>
            </w:r>
          </w:p>
        </w:tc>
        <w:tc>
          <w:tcPr>
            <w:tcW w:w="900" w:type="dxa"/>
            <w:vAlign w:val="bottom"/>
          </w:tcPr>
          <w:p>
            <w:pPr>
              <w:jc w:val="right"/>
              <w:spacing w:after="0"/>
              <w:rPr>
                <w:sz w:val="20"/>
                <w:szCs w:val="20"/>
                <w:color w:val="auto"/>
              </w:rPr>
            </w:pPr>
            <w:r>
              <w:rPr>
                <w:rFonts w:ascii="Arial" w:cs="Arial" w:eastAsia="Arial" w:hAnsi="Arial"/>
                <w:sz w:val="18"/>
                <w:szCs w:val="18"/>
                <w:color w:val="auto"/>
              </w:rPr>
              <w:t>32,000</w:t>
            </w: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5,057,000</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4,681,000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Deferred true-up</w:t>
            </w:r>
          </w:p>
        </w:tc>
        <w:tc>
          <w:tcPr>
            <w:tcW w:w="880" w:type="dxa"/>
            <w:vAlign w:val="bottom"/>
          </w:tcPr>
          <w:p>
            <w:pPr>
              <w:jc w:val="right"/>
              <w:spacing w:after="0"/>
              <w:rPr>
                <w:sz w:val="20"/>
                <w:szCs w:val="20"/>
                <w:color w:val="auto"/>
              </w:rPr>
            </w:pPr>
            <w:r>
              <w:rPr>
                <w:rFonts w:ascii="Arial" w:cs="Arial" w:eastAsia="Arial" w:hAnsi="Arial"/>
                <w:sz w:val="18"/>
                <w:szCs w:val="18"/>
                <w:color w:val="auto"/>
              </w:rPr>
              <w:t>237,000</w:t>
            </w:r>
          </w:p>
        </w:tc>
        <w:tc>
          <w:tcPr>
            <w:tcW w:w="8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(0.83)%</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(274,000)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provision/(benefit)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As of December 31, 2020, and 2019, there were no unrecognized tax benefits. The Company recognizes accrued interest and penalties as income tax expense. No amounts were accrued for the payment of interest and penalties at December 31, 2020 and 2019. The Company is currently not aware of any issues under review that could result in significant payments, accruals or material deviation from its position in the next year.</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March 27, 2020, the CARES Act was enabled in response to COVID-19 pandemic. Under ASC 740, the effects of changes in tax rates and laws are recognized in the period which the new legislation is enacted. The CARES Act made various tax law changes including among other things (i) increasing the limitation under Section 163(j) of the Internal Revenue Code of 1986, as amended (the “IRC”) for 2019 and 2020 to permit additional expensing of interest, (ii) enacting a technical correction so that qualified improvement property can be immediately expensed under IRC Section 168(k),(iii) making modifications to the federal net operating loss rules including permitting federal net operating losses incurred in 2018, 2019 and 2020 to be carried back to the five preceding taxable years in order to generate a refund of previously paid income taxes and (iv) enhancing the recoverability of alternative minimum tax credits. Given the Company’s full valuation allowance position, the CARES Act did not have an impact on the financial statements.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Marker Cell Therapy,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GeneMax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GeneMax Pharmaceuticals Canada,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23.1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FIRM’S CONSENT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consent to the incorporation by reference in the Registration Statement of Marker Therapeutics, Inc., on Form S-3 File No. 333-215258, No. 333-220538, No. 333-228059 and No. 333-232122 and on Form S-8 File No. 333-223900, No. 333-228056 and 333-239136 of our report dated March 9, 2021, which includes an explanatory paragraph as to the Company’s ability to continue as a going concern, with respect to our audits of the consolidated financial statements of Marker Therapeutics, Inc. as of December 31, 2020 and 2019 and for each of the two years in the period ended December 31, 2020, which report is included in this Annual Report on Form 10-K of Marker Therapeutics, Inc. for the year ended December 31,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L. Hoang, certify that:</w:t>
      </w:r>
    </w:p>
    <w:p>
      <w:pPr>
        <w:spacing w:after="0" w:line="225"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Marker Therapeutics, Inc.;</w:t>
      </w:r>
    </w:p>
    <w:p>
      <w:pPr>
        <w:spacing w:after="0" w:line="225" w:lineRule="exact"/>
        <w:rPr>
          <w:rFonts w:ascii="Arial" w:cs="Arial" w:eastAsia="Arial" w:hAnsi="Arial"/>
          <w:sz w:val="18"/>
          <w:szCs w:val="18"/>
          <w:color w:val="auto"/>
        </w:rPr>
      </w:pPr>
    </w:p>
    <w:p>
      <w:pPr>
        <w:ind w:right="420" w:firstLine="8"/>
        <w:spacing w:after="0" w:line="263" w:lineRule="auto"/>
        <w:tabs>
          <w:tab w:leader="none" w:pos="648"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8"/>
        <w:spacing w:after="0" w:line="263" w:lineRule="auto"/>
        <w:tabs>
          <w:tab w:leader="none" w:pos="648"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8"/>
        <w:spacing w:after="0" w:line="263" w:lineRule="auto"/>
        <w:tabs>
          <w:tab w:leader="none" w:pos="64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60" w:firstLine="656"/>
        <w:spacing w:after="0" w:line="311" w:lineRule="auto"/>
        <w:tabs>
          <w:tab w:leader="none" w:pos="1296" w:val="left"/>
        </w:tabs>
        <w:numPr>
          <w:ilvl w:val="1"/>
          <w:numId w:val="5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right="280" w:firstLine="656"/>
        <w:spacing w:after="0" w:line="286" w:lineRule="auto"/>
        <w:tabs>
          <w:tab w:leader="none" w:pos="1296" w:val="left"/>
        </w:tabs>
        <w:numPr>
          <w:ilvl w:val="1"/>
          <w:numId w:val="5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right="100" w:firstLine="656"/>
        <w:spacing w:after="0" w:line="263" w:lineRule="auto"/>
        <w:tabs>
          <w:tab w:leader="none" w:pos="1296"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83" w:lineRule="exact"/>
        <w:rPr>
          <w:rFonts w:ascii="Arial" w:cs="Arial" w:eastAsia="Arial" w:hAnsi="Arial"/>
          <w:sz w:val="18"/>
          <w:szCs w:val="18"/>
          <w:color w:val="auto"/>
        </w:rPr>
      </w:pPr>
    </w:p>
    <w:p>
      <w:pPr>
        <w:ind w:right="120" w:firstLine="656"/>
        <w:spacing w:after="0" w:line="263" w:lineRule="auto"/>
        <w:tabs>
          <w:tab w:leader="none" w:pos="1296"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80" w:firstLine="8"/>
        <w:spacing w:after="0" w:line="263" w:lineRule="auto"/>
        <w:tabs>
          <w:tab w:leader="none" w:pos="64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right="540" w:firstLine="656"/>
        <w:spacing w:after="0" w:line="263" w:lineRule="auto"/>
        <w:tabs>
          <w:tab w:leader="none" w:pos="1296"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right="260" w:firstLine="656"/>
        <w:spacing w:after="0" w:line="277" w:lineRule="auto"/>
        <w:tabs>
          <w:tab w:leader="none" w:pos="1296"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0324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3">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Peter L Hoang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Anthony Kim, certify that:</w:t>
      </w:r>
    </w:p>
    <w:p>
      <w:pPr>
        <w:spacing w:after="0" w:line="225"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Marker Therapeutics, Inc.;</w:t>
      </w:r>
    </w:p>
    <w:p>
      <w:pPr>
        <w:spacing w:after="0" w:line="225" w:lineRule="exact"/>
        <w:rPr>
          <w:rFonts w:ascii="Arial" w:cs="Arial" w:eastAsia="Arial" w:hAnsi="Arial"/>
          <w:sz w:val="18"/>
          <w:szCs w:val="18"/>
          <w:color w:val="auto"/>
        </w:rPr>
      </w:pPr>
    </w:p>
    <w:p>
      <w:pPr>
        <w:ind w:right="420" w:firstLine="8"/>
        <w:spacing w:after="0" w:line="263"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8"/>
        <w:spacing w:after="0" w:line="263"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8"/>
        <w:spacing w:after="0" w:line="263"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60" w:firstLine="656"/>
        <w:spacing w:after="0" w:line="311" w:lineRule="auto"/>
        <w:tabs>
          <w:tab w:leader="none" w:pos="1296" w:val="left"/>
        </w:tabs>
        <w:numPr>
          <w:ilvl w:val="1"/>
          <w:numId w:val="5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right="280" w:firstLine="656"/>
        <w:spacing w:after="0" w:line="286" w:lineRule="auto"/>
        <w:tabs>
          <w:tab w:leader="none" w:pos="1296"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right="100" w:firstLine="656"/>
        <w:spacing w:after="0" w:line="263" w:lineRule="auto"/>
        <w:tabs>
          <w:tab w:leader="none" w:pos="1296"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83" w:lineRule="exact"/>
        <w:rPr>
          <w:rFonts w:ascii="Arial" w:cs="Arial" w:eastAsia="Arial" w:hAnsi="Arial"/>
          <w:sz w:val="18"/>
          <w:szCs w:val="18"/>
          <w:color w:val="auto"/>
        </w:rPr>
      </w:pPr>
    </w:p>
    <w:p>
      <w:pPr>
        <w:ind w:right="120" w:firstLine="656"/>
        <w:spacing w:after="0" w:line="263" w:lineRule="auto"/>
        <w:tabs>
          <w:tab w:leader="none" w:pos="1296"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80" w:firstLine="8"/>
        <w:spacing w:after="0" w:line="263"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right="540" w:firstLine="656"/>
        <w:spacing w:after="0" w:line="263" w:lineRule="auto"/>
        <w:tabs>
          <w:tab w:leader="none" w:pos="1296"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right="260" w:firstLine="656"/>
        <w:spacing w:after="0" w:line="277" w:lineRule="auto"/>
        <w:tabs>
          <w:tab w:leader="none" w:pos="1296"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032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5">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Anthony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Marker Therapeutics, Inc. (the “Company”) on Form 10-K for the period ended December 31, 2020 as filed with the Securities and Exchange Commission on the date hereof (the “Report”), I, Peter L. Hoang, Principal Executive Officer of the Company, certify, pursuant to 18 U.S.C. Section 1350, as adopted pursuant to Section 906 of the Sarbanes-Oxley Act of 2002, that:</w:t>
      </w:r>
    </w:p>
    <w:p>
      <w:pPr>
        <w:spacing w:after="0" w:line="187" w:lineRule="exact"/>
        <w:rPr>
          <w:sz w:val="20"/>
          <w:szCs w:val="20"/>
          <w:color w:val="auto"/>
        </w:rPr>
      </w:pPr>
    </w:p>
    <w:p>
      <w:pPr>
        <w:ind w:left="260" w:hanging="252"/>
        <w:spacing w:after="0"/>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right="20" w:hanging="252"/>
        <w:spacing w:after="0" w:line="277" w:lineRule="auto"/>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this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2021</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5715</wp:posOffset>
            </wp:positionV>
            <wp:extent cx="28289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b w:val="1"/>
          <w:bCs w:val="1"/>
          <w:color w:val="auto"/>
        </w:rPr>
        <w:t>Peter L. Hoang</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Marker Therapeutics, Inc. (the “Company”) on Form 10-K for the period ended December 31, 2020 as filed with the Securities and Exchange Commission on the date hereof (the “Report”), I, Anthony Kim, Principal Financial Officer of the Company, certify, pursuant to 18 U.S.C. Section 1350, as adopted pursuant to Section 906 of the Sarbanes-Oxley Act of 2002, that:</w:t>
      </w:r>
    </w:p>
    <w:p>
      <w:pPr>
        <w:spacing w:after="0" w:line="187" w:lineRule="exact"/>
        <w:rPr>
          <w:sz w:val="20"/>
          <w:szCs w:val="20"/>
          <w:color w:val="auto"/>
        </w:rPr>
      </w:pPr>
    </w:p>
    <w:p>
      <w:pPr>
        <w:ind w:left="260" w:hanging="252"/>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right="20" w:hanging="252"/>
        <w:spacing w:after="0" w:line="277" w:lineRule="auto"/>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this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2021</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5715</wp:posOffset>
            </wp:positionV>
            <wp:extent cx="28289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b w:val="1"/>
          <w:bCs w:val="1"/>
          <w:color w:val="auto"/>
        </w:rPr>
        <w:t>Anthony Kim</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lvl w:ilvl="1">
      <w:lvlJc w:val="left"/>
      <w:lvlText w:val="o"/>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1."/>
      <w:numFmt w:val="decimal"/>
      <w:start w:val="1"/>
    </w:lvl>
  </w:abstractNum>
  <w:abstractNum w:abstractNumId="18">
    <w:nsid w:val="5E884ADC"/>
    <w:multiLevelType w:val="hybridMultilevel"/>
    <w:lvl w:ilvl="0">
      <w:lvlJc w:val="left"/>
      <w:lvlText w:val="(%1)"/>
      <w:numFmt w:val="decimal"/>
      <w:start w:val="1"/>
    </w:lvl>
  </w:abstractNum>
  <w:abstractNum w:abstractNumId="19">
    <w:nsid w:val="51EAD36B"/>
    <w:multiLevelType w:val="hybridMultilevel"/>
    <w:lvl w:ilvl="0">
      <w:lvlJc w:val="left"/>
      <w:lvlText w:val="(%1)"/>
      <w:numFmt w:val="decimal"/>
      <w:start w:val="3"/>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o"/>
      <w:numFmt w:val="bullet"/>
      <w:start w:val="1"/>
    </w:lvl>
  </w:abstractNum>
  <w:abstractNum w:abstractNumId="44">
    <w:nsid w:val="75C6C33A"/>
    <w:multiLevelType w:val="hybridMultilevel"/>
    <w:lvl w:ilvl="0">
      <w:lvlJc w:val="left"/>
      <w:lvlText w:val="o"/>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1)"/>
      <w:numFmt w:val="lowerLetter"/>
      <w:start w:val="1"/>
    </w:lvl>
  </w:abstractNum>
  <w:abstractNum w:abstractNumId="47">
    <w:nsid w:val="520EEDD1"/>
    <w:multiLevelType w:val="hybridMultilevel"/>
    <w:lvl w:ilvl="0">
      <w:lvlJc w:val="left"/>
      <w:lvlText w:val="%1."/>
      <w:numFmt w:val="decimal"/>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25" Type="http://schemas.openxmlformats.org/officeDocument/2006/relationships/image" Target="media/image104.png"/><Relationship Id="rId148" Type="http://schemas.openxmlformats.org/officeDocument/2006/relationships/image" Target="media/image105.png"/><Relationship Id="rId166" Type="http://schemas.openxmlformats.org/officeDocument/2006/relationships/image" Target="media/image106.png"/><Relationship Id="rId167" Type="http://schemas.openxmlformats.org/officeDocument/2006/relationships/image" Target="media/image107.png"/><Relationship Id="rId168" Type="http://schemas.openxmlformats.org/officeDocument/2006/relationships/image" Target="media/image108.png"/><Relationship Id="rId169" Type="http://schemas.openxmlformats.org/officeDocument/2006/relationships/image" Target="media/image109.png"/><Relationship Id="rId170" Type="http://schemas.openxmlformats.org/officeDocument/2006/relationships/image" Target="media/image110.png"/><Relationship Id="rId171" Type="http://schemas.openxmlformats.org/officeDocument/2006/relationships/image" Target="media/image111.png"/><Relationship Id="rId172" Type="http://schemas.openxmlformats.org/officeDocument/2006/relationships/image" Target="media/image112.png"/><Relationship Id="rId173" Type="http://schemas.openxmlformats.org/officeDocument/2006/relationships/image" Target="media/image113.png"/><Relationship Id="rId174" Type="http://schemas.openxmlformats.org/officeDocument/2006/relationships/image" Target="media/image114.png"/><Relationship Id="rId175" Type="http://schemas.openxmlformats.org/officeDocument/2006/relationships/image" Target="media/image115.png"/><Relationship Id="rId176" Type="http://schemas.openxmlformats.org/officeDocument/2006/relationships/image" Target="media/image116.png"/><Relationship Id="rId177" Type="http://schemas.openxmlformats.org/officeDocument/2006/relationships/image" Target="media/image117.png"/><Relationship Id="rId178" Type="http://schemas.openxmlformats.org/officeDocument/2006/relationships/image" Target="media/image118.png"/><Relationship Id="rId179" Type="http://schemas.openxmlformats.org/officeDocument/2006/relationships/image" Target="media/image119.png"/><Relationship Id="rId180" Type="http://schemas.openxmlformats.org/officeDocument/2006/relationships/image" Target="media/image120.png"/><Relationship Id="rId181" Type="http://schemas.openxmlformats.org/officeDocument/2006/relationships/image" Target="media/image121.png"/><Relationship Id="rId182" Type="http://schemas.openxmlformats.org/officeDocument/2006/relationships/image" Target="media/image122.png"/><Relationship Id="rId183" Type="http://schemas.openxmlformats.org/officeDocument/2006/relationships/image" Target="media/image123.png"/><Relationship Id="rId184" Type="http://schemas.openxmlformats.org/officeDocument/2006/relationships/image" Target="media/image124.png"/><Relationship Id="rId185" Type="http://schemas.openxmlformats.org/officeDocument/2006/relationships/image" Target="media/image125.png"/><Relationship Id="rId186" Type="http://schemas.openxmlformats.org/officeDocument/2006/relationships/image" Target="media/image126.png"/><Relationship Id="rId187" Type="http://schemas.openxmlformats.org/officeDocument/2006/relationships/image" Target="media/image127.png"/><Relationship Id="rId188" Type="http://schemas.openxmlformats.org/officeDocument/2006/relationships/image" Target="media/image128.png"/><Relationship Id="rId189" Type="http://schemas.openxmlformats.org/officeDocument/2006/relationships/image" Target="media/image129.png"/><Relationship Id="rId190" Type="http://schemas.openxmlformats.org/officeDocument/2006/relationships/image" Target="media/image130.png"/><Relationship Id="rId191" Type="http://schemas.openxmlformats.org/officeDocument/2006/relationships/image" Target="media/image131.png"/><Relationship Id="rId192" Type="http://schemas.openxmlformats.org/officeDocument/2006/relationships/image" Target="media/image132.png"/><Relationship Id="rId193" Type="http://schemas.openxmlformats.org/officeDocument/2006/relationships/image" Target="media/image133.png"/><Relationship Id="rId194" Type="http://schemas.openxmlformats.org/officeDocument/2006/relationships/image" Target="media/image134.png"/><Relationship Id="rId195" Type="http://schemas.openxmlformats.org/officeDocument/2006/relationships/image" Target="media/image135.png"/><Relationship Id="rId196" Type="http://schemas.openxmlformats.org/officeDocument/2006/relationships/image" Target="media/image136.png"/><Relationship Id="rId197" Type="http://schemas.openxmlformats.org/officeDocument/2006/relationships/image" Target="media/image137.png"/><Relationship Id="rId198" Type="http://schemas.openxmlformats.org/officeDocument/2006/relationships/image" Target="media/image138.png"/><Relationship Id="rId199" Type="http://schemas.openxmlformats.org/officeDocument/2006/relationships/image" Target="media/image139.png"/><Relationship Id="rId200" Type="http://schemas.openxmlformats.org/officeDocument/2006/relationships/image" Target="media/image140.png"/><Relationship Id="rId111" Type="http://schemas.openxmlformats.org/officeDocument/2006/relationships/hyperlink" Target="https://www.sec.gov/Archives/edgar/data/1094038/000114420418054209/tv504951_ex3-4.htm" TargetMode="External"/><Relationship Id="rId112" Type="http://schemas.openxmlformats.org/officeDocument/2006/relationships/hyperlink" Target="https://www.sec.gov/Archives/edgar/data/1094038/000114420418054209/tv504951_ex3-6.htm" TargetMode="External"/><Relationship Id="rId113" Type="http://schemas.openxmlformats.org/officeDocument/2006/relationships/hyperlink" Target="https://www.sec.gov/Archives/edgar/data/1094038/000114420418054210/tv504949_ex4-1.htm" TargetMode="External"/><Relationship Id="rId114" Type="http://schemas.openxmlformats.org/officeDocument/2006/relationships/hyperlink" Target="https://www.sec.gov/Archives/edgar/data/1094038/000142488414000086/exhibit4-1.htm" TargetMode="External"/><Relationship Id="rId115" Type="http://schemas.openxmlformats.org/officeDocument/2006/relationships/hyperlink" Target="https://www.sec.gov/Archives/edgar/data/1094038/000142488415000006/exhibit4-6.htm" TargetMode="External"/><Relationship Id="rId116" Type="http://schemas.openxmlformats.org/officeDocument/2006/relationships/hyperlink" Target="https://www.sec.gov/Archives/edgar/data/1094038/000142488415000006/exhibit4-8.htm" TargetMode="External"/><Relationship Id="rId117" Type="http://schemas.openxmlformats.org/officeDocument/2006/relationships/hyperlink" Target="https://www.sec.gov/Archives/edgar/data/1094038/000142488415000006/exhibit4-9.htm" TargetMode="External"/><Relationship Id="rId118" Type="http://schemas.openxmlformats.org/officeDocument/2006/relationships/hyperlink" Target="https://www.sec.gov/Archives/edgar/data/1094038/000142488415000006/exhibit4-10.htm" TargetMode="External"/><Relationship Id="rId119" Type="http://schemas.openxmlformats.org/officeDocument/2006/relationships/hyperlink" Target="https://www.sec.gov/Archives/edgar/data/1094038/000142488415000030/exhibit4-6.htm" TargetMode="External"/><Relationship Id="rId120" Type="http://schemas.openxmlformats.org/officeDocument/2006/relationships/hyperlink" Target="https://www.sec.gov/Archives/edgar/data/1094038/000142488415000030/exhibit4-10.htm" TargetMode="External"/><Relationship Id="rId121" Type="http://schemas.openxmlformats.org/officeDocument/2006/relationships/hyperlink" Target="https://www.sec.gov/Archives/edgar/data/1094038/000119312516678673/d161424dex42.htm" TargetMode="External"/><Relationship Id="rId122" Type="http://schemas.openxmlformats.org/officeDocument/2006/relationships/hyperlink" Target="https://www.sec.gov/Archives/edgar/data/1094038/000119312516678673/d161424dex43.htm" TargetMode="External"/><Relationship Id="rId123" Type="http://schemas.openxmlformats.org/officeDocument/2006/relationships/hyperlink" Target="https://www.sec.gov/Archives/edgar/data/1094038/000119312516678673/d161424dex44.htm" TargetMode="External"/><Relationship Id="rId124" Type="http://schemas.openxmlformats.org/officeDocument/2006/relationships/hyperlink" Target="https://www.sec.gov/Archives/edgar/data/1094038/000119312516678673/d161424dex45.htm" TargetMode="External"/><Relationship Id="rId126" Type="http://schemas.openxmlformats.org/officeDocument/2006/relationships/hyperlink" Target="https://www.sec.gov/Archives/edgar/data/1094038/000119312516678673/d161424dex46.htm" TargetMode="External"/><Relationship Id="rId127" Type="http://schemas.openxmlformats.org/officeDocument/2006/relationships/hyperlink" Target="https://www.sec.gov/Archives/edgar/data/1094038/000119312516678673/d161424dex47.htm" TargetMode="External"/><Relationship Id="rId128" Type="http://schemas.openxmlformats.org/officeDocument/2006/relationships/hyperlink" Target="https://www.sec.gov/Archives/edgar/data/1094038/000119312516678673/d161424dex49.htm" TargetMode="External"/><Relationship Id="rId129" Type="http://schemas.openxmlformats.org/officeDocument/2006/relationships/hyperlink" Target="https://www.sec.gov/Archives/edgar/data/1094038/000119312516678673/d161424dex410.htm" TargetMode="External"/><Relationship Id="rId130" Type="http://schemas.openxmlformats.org/officeDocument/2006/relationships/hyperlink" Target="https://www.sec.gov/Archives/edgar/data/1094038/000119312516678673/d161424dex41.htm" TargetMode="External"/><Relationship Id="rId131" Type="http://schemas.openxmlformats.org/officeDocument/2006/relationships/hyperlink" Target="https://www.sec.gov/Archives/edgar/data/1094038/000119312516678673/d161424dex411.htm" TargetMode="External"/><Relationship Id="rId132" Type="http://schemas.openxmlformats.org/officeDocument/2006/relationships/hyperlink" Target="https://www.sec.gov/Archives/edgar/data/1094038/000114420417033502/v469341_ex4-1.htm" TargetMode="External"/><Relationship Id="rId133" Type="http://schemas.openxmlformats.org/officeDocument/2006/relationships/hyperlink" Target="https://www.sec.gov/Archives/edgar/data/1094038/000114420417033502/v469341_ex4-2.htm" TargetMode="External"/><Relationship Id="rId134" Type="http://schemas.openxmlformats.org/officeDocument/2006/relationships/hyperlink" Target="https://www.sec.gov/Archives/edgar/data/1094038/000119312516678673/d161424dex103.htm" TargetMode="External"/><Relationship Id="rId135" Type="http://schemas.openxmlformats.org/officeDocument/2006/relationships/hyperlink" Target="https://www.sec.gov/Archives/edgar/data/1094038/000114420417033502/v469341_ex10-3.htm" TargetMode="External"/><Relationship Id="rId136" Type="http://schemas.openxmlformats.org/officeDocument/2006/relationships/hyperlink" Target="https://www.sec.gov/Archives/edgar/data/1094038/000114420418033374/tv496182_ex4-1.htm" TargetMode="External"/><Relationship Id="rId137" Type="http://schemas.openxmlformats.org/officeDocument/2006/relationships/hyperlink" Target="https://www.sec.gov/Archives/edgar/data/1094038/000114420418033374/tv496182_ex4-2.htm" TargetMode="External"/><Relationship Id="rId138" Type="http://schemas.openxmlformats.org/officeDocument/2006/relationships/hyperlink" Target="https://www.sec.gov/Archives/edgar/data/1094038/000114420418028370/tv494002_ex2-1.htm" TargetMode="External"/><Relationship Id="rId139" Type="http://schemas.openxmlformats.org/officeDocument/2006/relationships/hyperlink" Target="https://www.sec.gov/Archives/edgar/data/1094038/000110465920032463/tm205467d1_ex4-25.htm" TargetMode="External"/><Relationship Id="rId140" Type="http://schemas.openxmlformats.org/officeDocument/2006/relationships/hyperlink" Target="https://www.sec.gov/Archives/edgar/data/1094038/000142488415000054/exhibit10-1.htm" TargetMode="External"/><Relationship Id="rId141" Type="http://schemas.openxmlformats.org/officeDocument/2006/relationships/hyperlink" Target="https://www.sec.gov/Archives/edgar/data/1094038/000142488415000057/exhibit10-1.htm" TargetMode="External"/><Relationship Id="rId142" Type="http://schemas.openxmlformats.org/officeDocument/2006/relationships/hyperlink" Target="https://www.sec.gov/Archives/edgar/data/1094038/000114420418033374/tv496182_ex10-1.htm" TargetMode="External"/><Relationship Id="rId143" Type="http://schemas.openxmlformats.org/officeDocument/2006/relationships/hyperlink" Target="https://www.sec.gov/Archives/edgar/data/1094038/000142488415000124/exhibit10-1.htm" TargetMode="External"/><Relationship Id="rId144" Type="http://schemas.openxmlformats.org/officeDocument/2006/relationships/hyperlink" Target="https://www.sec.gov/Archives/edgar/data/1094038/000119312516682054/d157003dex107.htm" TargetMode="External"/><Relationship Id="rId145" Type="http://schemas.openxmlformats.org/officeDocument/2006/relationships/hyperlink" Target="https://www.sec.gov/Archives/edgar/data/1094038/000114420419014350/tv514406_ex10-21.htm" TargetMode="External"/><Relationship Id="rId146" Type="http://schemas.openxmlformats.org/officeDocument/2006/relationships/hyperlink" Target="https://www.sec.gov/Archives/edgar/data/1094038/000114420419014350/tv514406_ex10-22.htm" TargetMode="External"/><Relationship Id="rId147" Type="http://schemas.openxmlformats.org/officeDocument/2006/relationships/hyperlink" Target="https://www.sec.gov/Archives/edgar/data/1094038/000142488410000008/forddef14-c.htm" TargetMode="External"/><Relationship Id="rId149" Type="http://schemas.openxmlformats.org/officeDocument/2006/relationships/hyperlink" Target="https://www.sec.gov/Archives/edgar/data/1094038/000114420417046574/v474594_ex10-1.htm" TargetMode="External"/><Relationship Id="rId150" Type="http://schemas.openxmlformats.org/officeDocument/2006/relationships/hyperlink" Target="https://www.sec.gov/Archives/edgar/data/1094038/000114420418054209/tv504951_ex4-4.htm" TargetMode="External"/><Relationship Id="rId151" Type="http://schemas.openxmlformats.org/officeDocument/2006/relationships/hyperlink" Target="https://www.sec.gov/Archives/edgar/data/1094038/000114420418054989/tv505356_ex10-3.htm" TargetMode="External"/><Relationship Id="rId152" Type="http://schemas.openxmlformats.org/officeDocument/2006/relationships/hyperlink" Target="https://www.sec.gov/Archives/edgar/data/1094038/000114420418056172/tv505663_ex10-1.htm" TargetMode="External"/><Relationship Id="rId153" Type="http://schemas.openxmlformats.org/officeDocument/2006/relationships/hyperlink" Target="https://www.sec.gov/Archives/edgar/data/1094038/000114420418054989/tv505356_ex10-2.htm" TargetMode="External"/><Relationship Id="rId154" Type="http://schemas.openxmlformats.org/officeDocument/2006/relationships/hyperlink" Target="https://www.sec.gov/Archives/edgar/data/1094038/000142488415000168/exhibit10-7.htm" TargetMode="External"/><Relationship Id="rId155" Type="http://schemas.openxmlformats.org/officeDocument/2006/relationships/hyperlink" Target="https://www.sec.gov/Archives/edgar/data/1094038/000114420417049357/v475675_ex10-1.htm" TargetMode="External"/><Relationship Id="rId156" Type="http://schemas.openxmlformats.org/officeDocument/2006/relationships/hyperlink" Target="https://www.sec.gov/Archives/edgar/data/1094038/000119312516690727/d230909dex101.htm" TargetMode="External"/><Relationship Id="rId157" Type="http://schemas.openxmlformats.org/officeDocument/2006/relationships/hyperlink" Target="https://www.sec.gov/Archives/edgar/data/1094038/000114420418062867/tv508378_ex10-2.htm" TargetMode="External"/><Relationship Id="rId158" Type="http://schemas.openxmlformats.org/officeDocument/2006/relationships/hyperlink" Target="https://www.sec.gov/Archives/edgar/data/1094038/000114420418062867/tv508378_ex10-3.htm" TargetMode="External"/><Relationship Id="rId159" Type="http://schemas.openxmlformats.org/officeDocument/2006/relationships/hyperlink" Target="https://www.sec.gov/Archives/edgar/data/1094038/000114420418054989/tv505356_ex10-1.htm" TargetMode="External"/><Relationship Id="rId160" Type="http://schemas.openxmlformats.org/officeDocument/2006/relationships/hyperlink" Target="https://www.sec.gov/Archives/edgar/data/1094038/000114420419014350/tv514406_ex10-39.htm" TargetMode="External"/><Relationship Id="rId161" Type="http://schemas.openxmlformats.org/officeDocument/2006/relationships/hyperlink" Target="https://www.sec.gov/Archives/edgar/data/1094038/000114420419014350/tv514406_ex10-40.htm" TargetMode="External"/><Relationship Id="rId162" Type="http://schemas.openxmlformats.org/officeDocument/2006/relationships/hyperlink" Target="https://www.sec.gov/Archives/edgar/data/1094038/000114420419025316/tv520511_ex10-3.htm" TargetMode="External"/><Relationship Id="rId163" Type="http://schemas.openxmlformats.org/officeDocument/2006/relationships/hyperlink" Target="https://www.sec.gov/Archives/edgar/data/1094038/000110465920072918/tm2022347d1_ex99-1.htm" TargetMode="External"/><Relationship Id="rId164" Type="http://schemas.openxmlformats.org/officeDocument/2006/relationships/hyperlink" Target="https://www.sec.gov/Archives/edgar/data/1094038/000110465920123055/mrkr-20200930xex10d1.htm" TargetMode="External"/><Relationship Id="rId165" Type="http://schemas.openxmlformats.org/officeDocument/2006/relationships/hyperlink" Target="https://www.sec.gov/Archives/edgar/data/1094038/000110465920123055/mrkr-20200930x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2021-03-09T15:55:12Z</dcterms:created>
  <dcterms:modified xsi:type="dcterms:W3CDTF">2021-03-09T15:55:12Z</dcterms:modified>
</cp:coreProperties>
</file>