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4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3742055</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2450 Holcombe Blvd, Suite BCM-A, MS: BCM251</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Texas77021</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June 6, 2025</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0"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(the “Company”). The meeting will be held on Friday, June 6, 2025 at 10:00 a.m. Eastern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https://web.viewproxy.com/markertherapeutics/2025AM</w:t>
      </w:r>
      <w:r>
        <w:rPr>
          <w:rFonts w:ascii="Times New Roman" w:cs="Times New Roman" w:eastAsia="Times New Roman" w:hAnsi="Times New Roman"/>
          <w:sz w:val="18"/>
          <w:szCs w:val="18"/>
          <w:color w:val="auto"/>
        </w:rPr>
        <w:t xml:space="preserve"> no later than 11:59 p.m. Eastern Time on Thursday, June 5, 2025. The meeting will be held for the following purposes:</w:t>
      </w:r>
    </w:p>
    <w:p>
      <w:pPr>
        <w:spacing w:after="0" w:line="117" w:lineRule="exact"/>
        <w:rPr>
          <w:sz w:val="20"/>
          <w:szCs w:val="20"/>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four nominees for director to hold office until the next Annual Meeting of Stockholders.</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80"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Marcum LLP as the independent registered public accounting firm of the Company for its fiscal year ending December 31, 2025.</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4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10, 2025. Only stockholders of record at the close of business on that date may vote at the meeting or any adjournment thereof.</w:t>
      </w:r>
    </w:p>
    <w:p>
      <w:pPr>
        <w:spacing w:after="0" w:line="133" w:lineRule="exact"/>
        <w:rPr>
          <w:sz w:val="20"/>
          <w:szCs w:val="20"/>
          <w:color w:val="auto"/>
        </w:rPr>
      </w:pPr>
    </w:p>
    <w:tbl>
      <w:tblPr>
        <w:tblLayout w:type="fixed"/>
        <w:tblInd w:w="1270" w:type="dxa"/>
        <w:tblCellMar>
          <w:top w:w="0" w:type="dxa"/>
          <w:left w:w="0" w:type="dxa"/>
          <w:bottom w:w="0" w:type="dxa"/>
          <w:right w:w="0" w:type="dxa"/>
        </w:tblCellMar>
      </w:tblPr>
      <w:tr>
        <w:trPr>
          <w:trHeight w:val="275"/>
        </w:trPr>
        <w:tc>
          <w:tcPr>
            <w:tcW w:w="7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460" w:type="dxa"/>
            <w:vAlign w:val="bottom"/>
            <w:tcBorders>
              <w:top w:val="single" w:sz="8" w:color="auto"/>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Important Notice Regarding the Availability of Proxy Materials</w:t>
            </w:r>
          </w:p>
        </w:tc>
      </w:tr>
      <w:tr>
        <w:trPr>
          <w:trHeight w:val="216"/>
        </w:trPr>
        <w:tc>
          <w:tcPr>
            <w:tcW w:w="7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for the Virtual Annual Meeting of Stockholders</w:t>
            </w:r>
          </w:p>
        </w:tc>
      </w:tr>
      <w:tr>
        <w:trPr>
          <w:trHeight w:val="238"/>
        </w:trPr>
        <w:tc>
          <w:tcPr>
            <w:tcW w:w="7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5"/>
              </w:rPr>
              <w:t>to Be Held on Friday, June 6, 2025 at 10:00 a.m. Eastern Time.</w:t>
            </w:r>
          </w:p>
        </w:tc>
      </w:tr>
      <w:tr>
        <w:trPr>
          <w:trHeight w:val="302"/>
        </w:trPr>
        <w:tc>
          <w:tcPr>
            <w:tcW w:w="7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Register for the virtual Annual Meeting</w:t>
            </w:r>
          </w:p>
        </w:tc>
      </w:tr>
      <w:tr>
        <w:trPr>
          <w:trHeight w:val="238"/>
        </w:trPr>
        <w:tc>
          <w:tcPr>
            <w:tcW w:w="7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5"/>
              </w:rPr>
              <w:t xml:space="preserve">via </w:t>
            </w:r>
            <w:r>
              <w:rPr>
                <w:rFonts w:ascii="Times New Roman" w:cs="Times New Roman" w:eastAsia="Times New Roman" w:hAnsi="Times New Roman"/>
                <w:sz w:val="18"/>
                <w:szCs w:val="18"/>
                <w:b w:val="1"/>
                <w:bCs w:val="1"/>
                <w:i w:val="1"/>
                <w:iCs w:val="1"/>
                <w:color w:val="auto"/>
                <w:w w:val="95"/>
              </w:rPr>
              <w:t>https://web.viewproxy.com/markertherapeutics/2025AM</w:t>
            </w:r>
          </w:p>
        </w:tc>
      </w:tr>
      <w:tr>
        <w:trPr>
          <w:trHeight w:val="304"/>
        </w:trPr>
        <w:tc>
          <w:tcPr>
            <w:tcW w:w="7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tc>
      </w:tr>
      <w:tr>
        <w:trPr>
          <w:trHeight w:val="236"/>
        </w:trPr>
        <w:tc>
          <w:tcPr>
            <w:tcW w:w="7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i w:val="1"/>
                <w:iCs w:val="1"/>
                <w:color w:val="auto"/>
              </w:rPr>
              <w:t>http://www.web.viewproxy.com/markertherapeutics/2025AM</w:t>
            </w:r>
          </w:p>
        </w:tc>
      </w:tr>
      <w:tr>
        <w:trPr>
          <w:trHeight w:val="68"/>
        </w:trPr>
        <w:tc>
          <w:tcPr>
            <w:tcW w:w="760" w:type="dxa"/>
            <w:vAlign w:val="bottom"/>
            <w:tcBorders>
              <w:left w:val="single" w:sz="8" w:color="auto"/>
              <w:bottom w:val="single" w:sz="8" w:color="auto"/>
            </w:tcBorders>
          </w:tcPr>
          <w:p>
            <w:pPr>
              <w:spacing w:after="0"/>
              <w:rPr>
                <w:sz w:val="5"/>
                <w:szCs w:val="5"/>
                <w:color w:val="auto"/>
              </w:rPr>
            </w:pPr>
          </w:p>
        </w:tc>
        <w:tc>
          <w:tcPr>
            <w:tcW w:w="7460" w:type="dxa"/>
            <w:vAlign w:val="bottom"/>
            <w:tcBorders>
              <w:bottom w:val="single" w:sz="8" w:color="auto"/>
              <w:right w:val="single" w:sz="8" w:color="auto"/>
            </w:tcBorders>
          </w:tcPr>
          <w:p>
            <w:pPr>
              <w:spacing w:after="0"/>
              <w:rPr>
                <w:sz w:val="5"/>
                <w:szCs w:val="5"/>
                <w:color w:val="auto"/>
              </w:rPr>
            </w:pPr>
          </w:p>
        </w:tc>
      </w:tr>
    </w:tbl>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Juan Vera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Juan Vera, M. 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1038860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1200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360" w:right="519"/>
        <w:spacing w:after="0" w:line="272" w:lineRule="auto"/>
        <w:rPr>
          <w:sz w:val="20"/>
          <w:szCs w:val="20"/>
          <w:color w:val="auto"/>
        </w:rPr>
      </w:pPr>
      <w:r>
        <w:rPr>
          <w:rFonts w:ascii="Times New Roman" w:cs="Times New Roman" w:eastAsia="Times New Roman" w:hAnsi="Times New Roman"/>
          <w:sz w:val="17"/>
          <w:szCs w:val="17"/>
          <w:b w:val="1"/>
          <w:bCs w:val="1"/>
          <w:color w:val="auto"/>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6976745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9"/>
        </w:trPr>
        <w:tc>
          <w:tcPr>
            <w:tcW w:w="67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100" w:type="dxa"/>
            <w:vAlign w:val="bottom"/>
            <w:gridSpan w:val="3"/>
            <w:shd w:val="clear" w:color="auto" w:fill="CCEEFF"/>
          </w:tcPr>
          <w:p>
            <w:pPr>
              <w:spacing w:after="0"/>
              <w:rPr>
                <w:sz w:val="19"/>
                <w:szCs w:val="19"/>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67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1100" w:type="dxa"/>
            <w:vAlign w:val="bottom"/>
            <w:gridSpan w:val="3"/>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80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shd w:val="clear" w:color="auto" w:fill="CCEEFF"/>
              </w:rPr>
              <w:t>INFORMATION REGARDING THE BOARD OF DIRECTORS AND CORPORATE GOVERNANCE</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shd w:val="clear" w:color="auto" w:fill="CCEEFF"/>
              </w:rPr>
              <w:t>10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3 RATIFICATION OF SELECTION OF INDEPENDENT REGISTERED PUBLIC</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080" w:type="dxa"/>
            <w:vAlign w:val="bottom"/>
            <w:tcBorders>
              <w:top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43"/>
        </w:trPr>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EXECUTIVE OFFICERS AND KEY EMPLOYEES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96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4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52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280" w:type="dxa"/>
            <w:vAlign w:val="bottom"/>
            <w:tcBorders>
              <w:bottom w:val="single" w:sz="8" w:color="CCEEFF"/>
            </w:tcBorders>
            <w:gridSpan w:val="10"/>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33</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84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TRANSACTIONS WITH RELATED PERSONS AND INDEMNIFICATION</w:t>
            </w:r>
          </w:p>
        </w:tc>
        <w:tc>
          <w:tcPr>
            <w:tcW w:w="1960" w:type="dxa"/>
            <w:vAlign w:val="bottom"/>
            <w:tcBorders>
              <w:bottom w:val="single" w:sz="8" w:color="CCEEFF"/>
            </w:tcBorders>
            <w:gridSpan w:val="4"/>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38</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39</w:t>
            </w:r>
          </w:p>
        </w:tc>
        <w:tc>
          <w:tcPr>
            <w:tcW w:w="2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2450 Holcombe Blvd, Suite BCM-A, MS: BCM251</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Texas77021</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JUNE 6, 2025</w:t>
      </w:r>
    </w:p>
    <w:p>
      <w:pPr>
        <w:spacing w:after="0" w:line="18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2025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mail these proxy materials on or about April 24, 2025 to all stockholders of record entitled to vote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through which you can listen to the meeting, submit questions and vote online. In order to attend the Annual Meeting, you must first register at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web.viewproxy.com/markertherapeutics/2025AM </w:t>
      </w:r>
      <w:r>
        <w:rPr>
          <w:rFonts w:ascii="Times New Roman" w:cs="Times New Roman" w:eastAsia="Times New Roman" w:hAnsi="Times New Roman"/>
          <w:sz w:val="18"/>
          <w:szCs w:val="18"/>
          <w:color w:val="auto"/>
        </w:rPr>
        <w:t>by 11:59 p.m. Eastern Time on Thursday, June 5,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Please follow the instructions on the registration page. You will then receive a meeting invitation by email with your unique link to join the Annual Meeting along with a password prior to the meeting date. We recommend that you log on a few minutes before the Annual Meeting to ensure that you are logged in when the meeting begins. Information on how to vote online during the Annual Meeting is discussed below.</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have decided to hold a virtual stockholder meeting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Annual Meeting in person.</w:t>
      </w:r>
    </w:p>
    <w:p>
      <w:pPr>
        <w:spacing w:after="0" w:line="11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Annual Meeting via live audio webcast, submit their questions during the meeting and vote their shares electronically at the Annual Meeting.</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48"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10, 2025 will be entitled to vote at the Annual Meeting. On this record date, there were 11,314,835 shares of common stock outstanding and entitled to vote.</w:t>
      </w: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on April 10, 2025 your shares were registered directly in your name with Marker’s transfer agent, Equiniti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stockholder of record, your virtual control number will be on your Notice of Internet Availability of Proxy Materials or proxy card.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6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on April 10, 2025 your shares were held, not in your name, but rather in an account at a brokerage firm, bank or other similar organization, then you are the beneficial owner of shares held in “street name” and these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However, since you are not the stockholder of record, you may not vote your shares online during the Annual Meeting unless you request and obtain a legal proxy from your broker, bank or other agent. During the registration process, you will be asked to upload or email the legal proxy provided to you by your broker, bank or other agent. You are also invited to attend the Annual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https://web.viewproxy.com/markertherapeutics/2025AM</w:t>
      </w:r>
      <w:r>
        <w:rPr>
          <w:rFonts w:ascii="Times New Roman" w:cs="Times New Roman" w:eastAsia="Times New Roman" w:hAnsi="Times New Roman"/>
          <w:sz w:val="18"/>
          <w:szCs w:val="18"/>
          <w:color w:val="auto"/>
        </w:rPr>
        <w:t xml:space="preserve">. On the day of the Annual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17"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four directors (Proposal 1);</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the Company’s named executive officers, as disclosed in this proxy statement (Proposal 2);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the Board of Directors of Marcum LLP as the independent registered public accounting firm of the Company for its fiscal year ending December 31, 2025 (Proposal 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Proposals 2 and 3, you may vote “For” or “Against” or abstain from voting.</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7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2" w:lineRule="exact"/>
        <w:rPr>
          <w:sz w:val="20"/>
          <w:szCs w:val="20"/>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Thursday, June 5, 2025 to be counted.</w:t>
      </w:r>
    </w:p>
    <w:p>
      <w:pPr>
        <w:spacing w:after="0" w:line="69" w:lineRule="exact"/>
        <w:rPr>
          <w:rFonts w:ascii="Times New Roman" w:cs="Times New Roman" w:eastAsia="Times New Roman" w:hAnsi="Times New Roman"/>
          <w:sz w:val="18"/>
          <w:szCs w:val="18"/>
          <w:color w:val="auto"/>
        </w:rPr>
      </w:pPr>
    </w:p>
    <w:p>
      <w:pPr>
        <w:ind w:left="1800" w:right="419" w:hanging="180"/>
        <w:spacing w:after="0" w:line="284"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w:t>
      </w:r>
    </w:p>
    <w:p>
      <w:pPr>
        <w:sectPr>
          <w:pgSz w:w="11900" w:h="16838" w:orient="portrait"/>
          <w:cols w:equalWidth="0" w:num="1">
            <w:col w:w="9879"/>
          </w:cols>
          <w:pgMar w:left="580" w:top="97" w:right="1440" w:bottom="1440" w:gutter="0" w:footer="0" w:header="0"/>
        </w:sect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prompts to vote your shares. Your internet vote must be received by 11:59 p.m. Eastern Time on Thursday, June 5, 2025 to be counted.</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In advance of the Annual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Annual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521208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390" w:lineRule="exact"/>
        <w:rPr>
          <w:sz w:val="20"/>
          <w:szCs w:val="20"/>
          <w:color w:val="auto"/>
        </w:rPr>
      </w:pPr>
    </w:p>
    <w:p>
      <w:pPr>
        <w:jc w:val="both"/>
        <w:ind w:left="1320" w:right="47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April 10, 2025.</w:t>
      </w:r>
    </w:p>
    <w:p>
      <w:pPr>
        <w:spacing w:after="0" w:line="158"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7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95"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68"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four nominees for director;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approval of compensation of the Company’s named executive officers;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Marcum LLP as independent auditors for the year ending December 31, 2025.</w:t>
      </w:r>
    </w:p>
    <w:p>
      <w:pPr>
        <w:spacing w:after="0" w:line="3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72"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9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and 2 are considered to be “non-routine” under such rules, meaning that your broker may not vote your shares on those proposals in the absence of your voting instructions. However, Proposal 3 is considered to be “routine” under such rules, meaning that if you do not return voting instructions to your broker by its deadline, your shares may be voted by your broker in its discretion on Proposal 3.</w:t>
      </w:r>
    </w:p>
    <w:p>
      <w:pPr>
        <w:spacing w:after="0" w:line="3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2450 Holcombe Blvd, Suite BCM-A, MS: BCM251, Houston, Texas77021.</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virtually and vote online. Simply attending the meeting virtually will not, by itself, revoke your proxy.</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written proposal must be received by our Secretary by December 30, 2025. If you wish to submit a proposal (including a director nomination) at the meeting that is not to be included in next year’s proxy materials, you must do so not earlier than February 7, 2026 and not later than March 7, 2026. Stockholder proposals and director nominations should be addressed to Marker Therapeutics, Inc., Attention: Secretary, 2450 Holcombe Blvd, Suite BCM-A, MS: BCM251, Houston, Texas 77021. Your notice to the Secretary must set forth information specified in our bylaws.</w:t>
      </w:r>
    </w:p>
    <w:p>
      <w:pPr>
        <w:spacing w:after="0" w:line="12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 (3) any material interest you have in that proposal.</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0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2018.</w:t>
      </w:r>
    </w:p>
    <w:p>
      <w:pPr>
        <w:spacing w:after="0" w:line="8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and the additional information required by Rule 14a-19 under the Exchange Act.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48"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and with respect to Proposal 2 and 3, votes “For” and “Against,” abstentions and, if applicable, broker non- votes. Abstentions will be counted towards the vote total for each of Proposals 2 and 3 and, with respect to Proposals 2 and 3, will have the same effect as “Against” votes. Broker non-votes on Proposal 2 will have no effect and will not be counted towards the vote total for any of those proposals. Since brokers have authority to vote on your behalf with respect to Proposal 3, we do not expect broker non-votes on this proposal.</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are counted as “broker non-votes.” Proposals 1 and 2 are considered to be “non-routine” under stock exchange rules and we therefore expect broker non -votes on these proposals. However, as Proposal 3 is considered “routine” under stock exchange rules, we do not expect broker non-votes on this proposal.</w:t>
      </w:r>
    </w:p>
    <w:p>
      <w:pPr>
        <w:spacing w:after="0" w:line="379"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Proposal 1, the election of directors, the four nominees receiving the most “For” votes from the holders of shares present online at the meeting or represented by proxy and entitled to vote on the election of directors will be elected. Only votes “For” will affect the outcome.</w:t>
      </w:r>
    </w:p>
    <w:p>
      <w:pPr>
        <w:spacing w:after="0" w:line="10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Proposal 2, the advisory approval of the compensation of the Company’s named executive officers,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Proposal 3, the ratification of the selection of Marcum LLP as the Company’s independent registered public accounting firm for fiscal year 2025, will be approved if it receives “For” votes from the holders of a majority of shares present online at the meeting or represented by proxy and entitled to vote on the matter. If you “Abstain” from voting, it will have the same effect as an “Against” vote. Since brokers have authority to vote on your behalf with respect to Proposal 3, we do not expect broker non-votes on this proposal.</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online at the virtual meeting</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or represented by proxy. On the record date, there were 11,314,835 shares outstanding and entitled to vote. Thus, the holders of 3,771,612 shares must be present online at the virtual meeting or represented by proxy at the meeting to have a quorum.</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the holders of a majority of shares present online at the meeting at the virtual meeting or represented by proxy may adjourn the meeting to another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 xml:space="preserve">Only stockholders of record as of April 10, 2025 may submit questions or comments at the Annual Meeting. If you would like to submit a question, you must first register for the Annual Meeting at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web.viewproxy.com/markertherapeutics/2025AM </w:t>
      </w:r>
      <w:r>
        <w:rPr>
          <w:rFonts w:ascii="Times New Roman" w:cs="Times New Roman" w:eastAsia="Times New Roman" w:hAnsi="Times New Roman"/>
          <w:sz w:val="18"/>
          <w:szCs w:val="18"/>
          <w:color w:val="auto"/>
        </w:rPr>
        <w:t>by 11:59 p.m. Eastern Time on Thursday, June 5,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once you join the meeting, you can type your question in the questions/chat box in the meeting portal.</w:t>
      </w:r>
    </w:p>
    <w:p>
      <w:pPr>
        <w:spacing w:after="0" w:line="9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by 9:45 a.m. Eastern Time on June 6, 2025, the day of the meeting, so that any technical difficulties may be addressed before the annual meeting live audio webcast begins. If you encounter any difficulties accessing the webcast during the check-in or meeting time, please email VirtualMeeting@viewproxy.com or call 1-866-612-8937.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annual meeting, the list will be available for examination by any stockholder of record for a legally valid purpose at our corporate headquarters during regular business hours.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1</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four directors, all of whom are nominees for re-election as a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See “Information Regarding the Board of Directors and Corporate Governance – Nominating and Corporate Governance Committee.”</w:t>
      </w:r>
    </w:p>
    <w:p>
      <w:pPr>
        <w:spacing w:after="0" w:line="10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It is our policy to invite and encourage nominees for directors to attend the Annual Meeting. All four of the directors then in office attended the 2024 Annual Meeting of Stockholders.</w:t>
      </w:r>
    </w:p>
    <w:p>
      <w:pPr>
        <w:spacing w:after="0" w:line="9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virtual meeting or represented by proxy and entitled to vote on the election of directors. Accordingly, the four nominees receiving the highest number of affirmative votes will be elected. Shares represented by executed proxies will be voted, if authority to do so is not withheld, for the election of the eight nominees named below. If any nominee becomes unavailable for election as a result of an unexpected occurrence, shares that would have been voted for that nominee will instead be voted for the election of a substitute nominee that we propose. Each person nominated for election has agreed to serve if elected. We have no reason to believe that any nominee will be unable to serve.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OMINEES</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is a brief biography, as of the date of this proxy statement,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9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w:t>
      </w:r>
    </w:p>
    <w:p>
      <w:pPr>
        <w:spacing w:after="0" w:line="34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brief biographies below include information, as of April 10, 2025,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believes a particular person would be an appropriate nominee for the Board, and these views may differ from the views of other members.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Eansor, </w:t>
      </w:r>
      <w:r>
        <w:rPr>
          <w:rFonts w:ascii="Times New Roman" w:cs="Times New Roman" w:eastAsia="Times New Roman" w:hAnsi="Times New Roman"/>
          <w:sz w:val="18"/>
          <w:szCs w:val="18"/>
          <w:i w:val="1"/>
          <w:iCs w:val="1"/>
          <w:color w:val="auto"/>
        </w:rPr>
        <w:t>age 64</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Eansor joined the Board in October 2018 and became the chair of the Board following the Annual Meeting in 2022. Mr. Eansor served as the President of the Protein Sciences Segment of Bio-Techne Corporation from April 2018 until his retirement in March 2022. From 2014 to April 2018, Mr. Eansor served as Senior Vice President of Bio-Techne’s Biotechnology Division, which he joined as result of Bio-Techne’s acquisition of 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Elms, </w:t>
      </w:r>
      <w:r>
        <w:rPr>
          <w:rFonts w:ascii="Times New Roman" w:cs="Times New Roman" w:eastAsia="Times New Roman" w:hAnsi="Times New Roman"/>
          <w:sz w:val="18"/>
          <w:szCs w:val="18"/>
          <w:i w:val="1"/>
          <w:iCs w:val="1"/>
          <w:color w:val="auto"/>
        </w:rPr>
        <w:t>age 61</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Elms joined the Board in August 2019, and previously served as a non-voting board observer. Mr. Elms currently serves as Managing Partner at Aisling Capital, a life sciences investment firm, which he joined in 2000. Mr. Elms has served as chairman of the board of directors of ADMA Biologics, Inc. since 2007 and Elevation Oncology, Inc. since May 2019. He previously served as a member of the board of directors of Zosano Pharma Corp. from May 2018 to May 2022 and as a director of LOXO Oncology from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Katharine Knobil, </w:t>
      </w:r>
      <w:r>
        <w:rPr>
          <w:rFonts w:ascii="Times New Roman" w:cs="Times New Roman" w:eastAsia="Times New Roman" w:hAnsi="Times New Roman"/>
          <w:sz w:val="18"/>
          <w:szCs w:val="18"/>
          <w:i w:val="1"/>
          <w:iCs w:val="1"/>
          <w:color w:val="auto"/>
        </w:rPr>
        <w:t>age 61</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Dr. Knobil joined the Board in December 2021. Dr. Knobil served as Chief Medical Officer of Agilent Technologies Inc., a position she held from April 2021 to January 2024. Dr. Knobil previously served as Chief Medical Officer and Head of Research &amp; Development at Kaleido Biosciences, Inc. from December 2018 to January 2021. Previously, Dr. Knobil spent more than 20 years in roles of increasing responsibility at GlaxoSmithKline plc, most recently serving as the corporate Chief Medical Officer from 2017 to December 2018, and as Chief Medical Officer for Pharmaceuticals at GSK from 2015 to 2017. She served as a member of the board of directors of Arena Pharmaceuticals, Inc. from June 2020 until its acquisition by Pfizer Inc. in March 2022. Dr. Knobil currently serves on the Board of Directors of Nimbus Therapeutics, LLC, KorroBio, Inc., Infinant Health Inc., and Pliant Therapeutics, Inc. Dr. Knobil received her B.A. from Cornell University, her M.D. from University of Texas Southwestern Medical School, and completed a Fellowship in Pulmonary and Critical Care Medicine at the Johns Hopkins Medical School. The Board believes that Dr. Knobil’s years of leadership experience in the pharmaceutical and healthcare industry and her medical degree qualify her to serve on the Board.</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Juan Vera, M.D., </w:t>
      </w:r>
      <w:r>
        <w:rPr>
          <w:rFonts w:ascii="Times New Roman" w:cs="Times New Roman" w:eastAsia="Times New Roman" w:hAnsi="Times New Roman"/>
          <w:sz w:val="18"/>
          <w:szCs w:val="18"/>
          <w:i w:val="1"/>
          <w:iCs w:val="1"/>
          <w:color w:val="auto"/>
        </w:rPr>
        <w:t>age 45</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Dr. Vera began service as our President and Chief Executive Officer effective May 1, 2023. Dr. Vera also serves as our Principal Executive Officer and Principal Financial Officer. He joined the Board in October 2018 and previously served as our Chief Operating Officer from November 2021 to April 2023 and served as our Chief Scientific Officer from October 2018 to April 2023. Dr. Vera is a co-inventor of the Multi-Antigen Recognizing (MAR)-T cell technology and co-founder of our predecessor, Marker Cell Therapy, Inc. Dr. Vera has held various positions at the Center for Cell and Gene Therapy at Baylor College of Medicine, most recently as an Associate Professor from 2015 to present. Dr. Vera is also a co-founder of AlloVir, Inc. where he has served as a member of the board of directors since 2014 and previously served as its Chief Product Development Officer from 2014 to June 2020.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MAR-T cell technology, qualifies him to serve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ATRIX</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summarizes certain self-identified personal characteristics of our four directors serving on the Board as of April 10, 2025, in accordance with Nasdaq listing Rule 5605(f). Each term used in the table has the definition provided in the rule and related instructions.</w:t>
      </w:r>
    </w:p>
    <w:p>
      <w:pPr>
        <w:spacing w:after="0" w:line="134" w:lineRule="exact"/>
        <w:rPr>
          <w:sz w:val="20"/>
          <w:szCs w:val="20"/>
          <w:color w:val="auto"/>
        </w:rPr>
      </w:pPr>
    </w:p>
    <w:tbl>
      <w:tblPr>
        <w:tblLayout w:type="fixed"/>
        <w:tblInd w:w="1630" w:type="dxa"/>
        <w:tblCellMar>
          <w:top w:w="0" w:type="dxa"/>
          <w:left w:w="0" w:type="dxa"/>
          <w:bottom w:w="0" w:type="dxa"/>
          <w:right w:w="0" w:type="dxa"/>
        </w:tblCellMar>
      </w:tblPr>
      <w:tr>
        <w:trPr>
          <w:trHeight w:val="338"/>
        </w:trPr>
        <w:tc>
          <w:tcPr>
            <w:tcW w:w="200" w:type="dxa"/>
            <w:vAlign w:val="bottom"/>
            <w:tcBorders>
              <w:top w:val="single" w:sz="8" w:color="auto"/>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800" w:type="dxa"/>
            <w:vAlign w:val="bottom"/>
            <w:tcBorders>
              <w:top w:val="single" w:sz="8" w:color="auto"/>
              <w:bottom w:val="single" w:sz="8" w:color="auto"/>
            </w:tcBorders>
            <w:gridSpan w:val="4"/>
          </w:tcPr>
          <w:p>
            <w:pPr>
              <w:ind w:left="190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26, 2025)</w:t>
            </w: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820" w:type="dxa"/>
            <w:vAlign w:val="bottom"/>
            <w:tcBorders>
              <w:left w:val="single" w:sz="8" w:color="auto"/>
              <w:bottom w:val="single" w:sz="8" w:color="auto"/>
            </w:tcBorders>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Total Number of Directors</w:t>
            </w:r>
          </w:p>
        </w:tc>
        <w:tc>
          <w:tcPr>
            <w:tcW w:w="112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200" w:type="dxa"/>
            <w:vAlign w:val="bottom"/>
            <w:tcBorders>
              <w:left w:val="single" w:sz="8" w:color="auto"/>
              <w:bottom w:val="single" w:sz="8" w:color="auto"/>
            </w:tcBorders>
            <w:gridSpan w:val="2"/>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spacing w:after="0"/>
              <w:rPr>
                <w:sz w:val="21"/>
                <w:szCs w:val="21"/>
                <w:color w:val="auto"/>
              </w:rPr>
            </w:pP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CCCC"/>
          </w:tcPr>
          <w:p>
            <w:pPr>
              <w:spacing w:after="0"/>
              <w:rPr>
                <w:sz w:val="21"/>
                <w:szCs w:val="21"/>
                <w:color w:val="auto"/>
              </w:rPr>
            </w:pPr>
          </w:p>
        </w:tc>
        <w:tc>
          <w:tcPr>
            <w:tcW w:w="3620" w:type="dxa"/>
            <w:vAlign w:val="bottom"/>
            <w:tcBorders>
              <w:bottom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-1379220</wp:posOffset>
            </wp:positionV>
            <wp:extent cx="51435"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342900"/>
                    </a:xfrm>
                    <a:prstGeom prst="rect">
                      <a:avLst/>
                    </a:prstGeom>
                    <a:noFill/>
                  </pic:spPr>
                </pic:pic>
              </a:graphicData>
            </a:graphic>
          </wp:anchor>
        </w:drawing>
      </w:r>
    </w:p>
    <w:p>
      <w:pPr>
        <w:spacing w:after="0" w:line="11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Our Board Diversity Matrix as of April 1, 2024 can be found in our proxy statement for the 2024 Annual Meeting filed with the SEC on April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EGARDING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OVERNANCE</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2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three directors who are standing for re-election at the Annual Meeting are independent directors within the meaning of the applicable Nasdaq listing standards: David Eansor, Steven Elms, and Katharine Knobil. In making this determination, the Board found that none of these directors or nominees for director had a material or other disqualifying relationship with the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7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Board of Directors of the Company has an independent chair, currently Mr. Eansor. The Board Chair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7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Board of Directors met eight times during the last fiscal year. Each director attended 75% or more of the number of meetings of the Board and of the committees on which he served held during the portion of aggregate the last fiscal year for which he was a director or committee member.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2024 for each of the Board committees: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Nominating and</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Audit</w:t>
            </w: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Compensation</w:t>
            </w:r>
          </w:p>
        </w:tc>
        <w:tc>
          <w:tcPr>
            <w:tcW w:w="220" w:type="dxa"/>
            <w:vAlign w:val="bottom"/>
          </w:tcPr>
          <w:p>
            <w:pPr>
              <w:spacing w:after="0"/>
              <w:rPr>
                <w:sz w:val="21"/>
                <w:szCs w:val="21"/>
                <w:color w:val="auto"/>
              </w:rPr>
            </w:pPr>
          </w:p>
        </w:tc>
        <w:tc>
          <w:tcPr>
            <w:tcW w:w="17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5"/>
              </w:rPr>
              <w:t>Corporate Governance</w:t>
            </w:r>
          </w:p>
        </w:tc>
      </w:tr>
      <w:tr>
        <w:trPr>
          <w:trHeight w:val="20"/>
        </w:trPr>
        <w:tc>
          <w:tcPr>
            <w:tcW w:w="4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David Eansor</w:t>
            </w:r>
          </w:p>
        </w:tc>
        <w:tc>
          <w:tcPr>
            <w:tcW w:w="20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 ​</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Elms</w:t>
            </w:r>
          </w:p>
        </w:tc>
        <w:tc>
          <w:tcPr>
            <w:tcW w:w="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Wilson</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fiscal 2024</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-848360</wp:posOffset>
            </wp:positionV>
            <wp:extent cx="52120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2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The Audit Committee currently is composed of three directors: David Eansor, Katherine Knobil and Steven Elms, with Mr. Eansor serving as chairman. The Audit Committee met four times during fiscal 2024. The 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The Board of Directors has also determined that Mr. Eansor qualifies as an “audit committee financial expert,” as defined in applicable SEC rules.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2024 with management of the Company. The Audit Committee has discussed with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2024.</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Eansor, Chair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Elms</w:t>
      </w:r>
    </w:p>
    <w:p>
      <w:pPr>
        <w:ind w:left="1260"/>
        <w:spacing w:after="0"/>
        <w:rPr>
          <w:sz w:val="20"/>
          <w:szCs w:val="20"/>
          <w:color w:val="auto"/>
        </w:rPr>
      </w:pPr>
      <w:r>
        <w:rPr>
          <w:rFonts w:ascii="Times New Roman" w:cs="Times New Roman" w:eastAsia="Times New Roman" w:hAnsi="Times New Roman"/>
          <w:sz w:val="18"/>
          <w:szCs w:val="18"/>
          <w:color w:val="auto"/>
        </w:rPr>
        <w:t>Katherine Knobil</w:t>
      </w:r>
    </w:p>
    <w:p>
      <w:pPr>
        <w:spacing w:after="0" w:line="203"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and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“Compensation Committee”) acts on behalf of the Board to review and oversee the Company’s compensation strategy, policies, plans and programs, including:</w:t>
      </w:r>
    </w:p>
    <w:p>
      <w:pPr>
        <w:spacing w:after="0" w:line="277" w:lineRule="exact"/>
        <w:rPr>
          <w:sz w:val="20"/>
          <w:szCs w:val="20"/>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and approval of the individual elements of total compensation and other terms of employment or service, including severance and change-in-control arrangements, of the Company’s executive officers, other than the Chief Executive Officer;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and recommendation to the Board for approval, the individual elements of total compensation and other terms of employment or service, including severance and change-in-control arrangements, of the Chief Executive Officer;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and other benefit plans.</w:t>
      </w:r>
    </w:p>
    <w:p>
      <w:pPr>
        <w:spacing w:after="0" w:line="15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 xml:space="preserve">The Compensation Committee currently is composed of three directors: David Eansor, Steven Elms and Katharine Knobil, with Mr. Eansor serving as chairman. All current members of the Company’s Compensation Committee are independent (as independence is currently defined in Rule 5605(d)(2) of the Nasdaq listing standards. The Compensation Committee met four times during fiscal 2024. The Board has adopted a written Compensation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p>
    <w:p>
      <w:pPr>
        <w:spacing w:after="0" w:line="10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agenda for each meeting is usually developed by the chair of the Compensation Committee, in consultation with the Chief Executive Officer and Radford, the compensation consultant engaged by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399"/>
        <w:spacing w:after="0" w:line="243" w:lineRule="auto"/>
        <w:rPr>
          <w:sz w:val="20"/>
          <w:szCs w:val="20"/>
          <w:color w:val="auto"/>
        </w:rPr>
      </w:pPr>
      <w:r>
        <w:rPr>
          <w:rFonts w:ascii="Times New Roman" w:cs="Times New Roman" w:eastAsia="Times New Roman" w:hAnsi="Times New Roman"/>
          <w:sz w:val="18"/>
          <w:szCs w:val="18"/>
          <w:color w:val="auto"/>
        </w:rPr>
        <w:t>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2023,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w:t>
      </w:r>
    </w:p>
    <w:p>
      <w:pPr>
        <w:spacing w:after="0" w:line="11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The Compensation Committee has formed a Non -Officer Stock Option Subcommittee, composed of Dr. Juan Vera, during his service as our President and Chief Executive Officer to which it has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2024, the subcommittee did not grant options to non-officer employees.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4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currently is composed of two directors: Katharine Knobil and David Eansor, with Dr. Knobil serving as chairperson. All members of the Nominating and Corporate Governance Committee are independent (as independence is currently defined in Rule 5605(a)(2) of the Nasdaq listing standards). The Nominating and Corporate Governance Committee met four times during fiscal 2024. The Board has adopted a written Nominating and Corporate Governance Committee charter that is available to stockholders on the Company’s website and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w:t>
      </w:r>
    </w:p>
    <w:p>
      <w:pPr>
        <w:spacing w:after="0" w:line="32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However, the Nominating and Corporate Governance Committee retains the right to modify these qualifications from time to time. Board diversity and inclusion is critical to the Company’s success. Candidates for director nominees are reviewed in the context of the current composition of the Board, the operating requirements of the Company and the long- 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continued commitment to diversity and inclusion.</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333"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Company previously granted board observer rights to Aisling Capital, pursuant to which Mr. Elms was designated as a board observer prior to being appointed as a director. The Company also previously granted board observer rights to New Enterprise Associates 16, L.P. (“NEA”), pursuant to which NEA may designate either a board observer or a director until a change of control transaction occurs or NEA ceases to own at least 250,000 shares (as adjusted for the ten-for-one (10:1) reverse stock split we completed on January 26, 2023 (the “Reverse Stock Split”)) of the Company’s common stock. NEA has designated a non-voting observe to the Board.</w:t>
      </w:r>
    </w:p>
    <w:p>
      <w:pPr>
        <w:spacing w:after="0" w:line="11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Secretary, 2450 Holcombe Blvd, Suite BCM-A, MS: BCM251, Houston Texas 77021, at least 90 days, but not more than 120 days prior to the anniversary date of the preceding year’s annual meeting of stockholders. Submissions must include</w:t>
      </w:r>
    </w:p>
    <w:p>
      <w:pPr>
        <w:spacing w:after="0" w:line="6" w:lineRule="exact"/>
        <w:rPr>
          <w:sz w:val="20"/>
          <w:szCs w:val="20"/>
          <w:color w:val="auto"/>
        </w:rPr>
      </w:pPr>
    </w:p>
    <w:p>
      <w:pPr>
        <w:jc w:val="both"/>
        <w:ind w:left="1260" w:right="419"/>
        <w:spacing w:after="0" w:line="251" w:lineRule="auto"/>
        <w:tabs>
          <w:tab w:leader="none" w:pos="15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related to such nominee that would be required to be disclosed in solicitations of proxies for the election of such nominee as a director pursuant to Regulation 14A under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may do so by sending written communications addressed to the Secretary of the Company Secretary, 2450 Holcombe Blvd, Suite BCM-A, MS: BCM251, Houston, Texas 77021. All communications will be compiled by the Secretary of the Company and submitted to the Board or the individual directors on a periodic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75"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that applies to all officers, directors and employees, including our principal executive officer, principal financial officer, principal accounting officer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 xml:space="preserve">persons performing similar functions. The Code of Business Conduct and Ethics is available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17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7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2</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108"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compensation tables and narrative discussion, is hereby APPROVED.”</w:t>
      </w:r>
    </w:p>
    <w:p>
      <w:pPr>
        <w:spacing w:after="0" w:line="9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1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online at the virtual meeting or represented by proxy and entitled to vote on the matter at the annual meeting. The next scheduled say-on-pay vote will be determined by our Board.</w:t>
      </w:r>
    </w:p>
    <w:p>
      <w:pPr>
        <w:spacing w:after="0" w:line="17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3</w:t>
      </w:r>
    </w:p>
    <w:p>
      <w:pPr>
        <w:spacing w:after="0" w:line="24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ATIFICATION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NDEPENDENT</w:t>
      </w:r>
    </w:p>
    <w:p>
      <w:pPr>
        <w:spacing w:after="0" w:line="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IRM</w:t>
      </w:r>
    </w:p>
    <w:p>
      <w:pPr>
        <w:spacing w:after="0" w:line="151" w:lineRule="exact"/>
        <w:rPr>
          <w:sz w:val="20"/>
          <w:szCs w:val="20"/>
          <w:color w:val="auto"/>
        </w:rPr>
      </w:pPr>
    </w:p>
    <w:p>
      <w:pPr>
        <w:jc w:val="both"/>
        <w:ind w:left="1260" w:right="126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Marcum LLP as the Company’s independent registered public accounting firm for the fiscal year ending December 31, 2025 and has further directed that management submit the selection of its independent registered public accounting firm for ratification by the stockholders at the Annual Meeting. Marcum LLP has audited the Company’s financial statements since 2014. Representatives of Marcum LLP are expected to be present online at the Annual Meeting. They will have an opportunity to make a statement if they so desire and will be available to respond to appropriate questions.</w:t>
      </w:r>
    </w:p>
    <w:p>
      <w:pPr>
        <w:spacing w:after="0" w:line="336" w:lineRule="exact"/>
        <w:rPr>
          <w:sz w:val="20"/>
          <w:szCs w:val="20"/>
          <w:color w:val="auto"/>
        </w:rPr>
      </w:pPr>
    </w:p>
    <w:p>
      <w:pPr>
        <w:jc w:val="both"/>
        <w:ind w:left="1260" w:right="1260"/>
        <w:spacing w:after="0" w:line="255"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Marcum LLP as the Company’s independent registered public accounting firm. However, the Audit Committee of the Board is submitting the selection of Marcum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324" w:lineRule="exact"/>
        <w:rPr>
          <w:sz w:val="20"/>
          <w:szCs w:val="20"/>
          <w:color w:val="auto"/>
        </w:rPr>
      </w:pPr>
    </w:p>
    <w:p>
      <w:pPr>
        <w:jc w:val="both"/>
        <w:ind w:left="1260" w:right="1260"/>
        <w:spacing w:after="0" w:line="256" w:lineRule="auto"/>
        <w:rPr>
          <w:sz w:val="20"/>
          <w:szCs w:val="20"/>
          <w:color w:val="auto"/>
        </w:rPr>
      </w:pPr>
      <w:r>
        <w:rPr>
          <w:rFonts w:ascii="Times New Roman" w:cs="Times New Roman" w:eastAsia="Times New Roman" w:hAnsi="Times New Roman"/>
          <w:sz w:val="18"/>
          <w:szCs w:val="18"/>
          <w:color w:val="auto"/>
        </w:rPr>
        <w:t>On November 1, 2024, CBIZ CPAs P.C. (“CBIZ”) previously known as Mayer Hoffman McCann P.C., purchased the attest business assets of Marcum, and substantially all of the partners and staff that provided attestation services for Marcum joined CBIZ. In connection with such transaction, the Company expects that, subsequent to the filing of this proxy statement with the Securities and Exchange Commission CBIZ will be engaged as the Company’s independent registered public accounting firm for the fiscal year ending December 31, 2025.</w:t>
      </w:r>
    </w:p>
    <w:p>
      <w:pPr>
        <w:spacing w:after="0" w:line="120" w:lineRule="exact"/>
        <w:rPr>
          <w:sz w:val="20"/>
          <w:szCs w:val="20"/>
          <w:color w:val="auto"/>
        </w:rPr>
      </w:pPr>
    </w:p>
    <w:p>
      <w:pPr>
        <w:jc w:val="both"/>
        <w:ind w:left="1260" w:right="1260"/>
        <w:spacing w:after="0" w:line="258" w:lineRule="auto"/>
        <w:rPr>
          <w:sz w:val="20"/>
          <w:szCs w:val="20"/>
          <w:color w:val="auto"/>
        </w:rPr>
      </w:pPr>
      <w:r>
        <w:rPr>
          <w:rFonts w:ascii="Times New Roman" w:cs="Times New Roman" w:eastAsia="Times New Roman" w:hAnsi="Times New Roman"/>
          <w:sz w:val="18"/>
          <w:szCs w:val="18"/>
          <w:color w:val="auto"/>
        </w:rPr>
        <w:t>The engagement of CBIZ will be subject to the approval of the Audit Committee of the Board and the completion of CBIZ’s customary client acceptance procedures. Upon such engagement, the services previously provided by Marcum to the Company will be provided by CBIZ, and the Company anticipates that the CBIZ audit team that will service the Company will initially be substantially the same as the audit team from Marcum that previously serviced the Company.</w:t>
      </w:r>
    </w:p>
    <w:p>
      <w:pPr>
        <w:spacing w:after="0" w:line="116" w:lineRule="exact"/>
        <w:rPr>
          <w:sz w:val="20"/>
          <w:szCs w:val="20"/>
          <w:color w:val="auto"/>
        </w:rPr>
      </w:pPr>
    </w:p>
    <w:p>
      <w:pPr>
        <w:jc w:val="both"/>
        <w:ind w:left="1260" w:right="1260"/>
        <w:spacing w:after="0" w:line="266" w:lineRule="auto"/>
        <w:rPr>
          <w:sz w:val="20"/>
          <w:szCs w:val="20"/>
          <w:color w:val="auto"/>
        </w:rPr>
      </w:pPr>
      <w:r>
        <w:rPr>
          <w:rFonts w:ascii="Times New Roman" w:cs="Times New Roman" w:eastAsia="Times New Roman" w:hAnsi="Times New Roman"/>
          <w:sz w:val="18"/>
          <w:szCs w:val="18"/>
          <w:color w:val="auto"/>
        </w:rPr>
        <w:t>Because the Company expects CBIZ to be appointed as its independent registered public accounting firm for the fiscal year ending December 31, 2025, any vote for Marcum in Proposal 3 will be deemed to be a vote for CBIZ, assuming the Company, acting through the Audit Committee of the Board, elects to engage CBIZ.</w:t>
      </w:r>
    </w:p>
    <w:p>
      <w:pPr>
        <w:spacing w:after="0" w:line="95" w:lineRule="exact"/>
        <w:rPr>
          <w:sz w:val="20"/>
          <w:szCs w:val="20"/>
          <w:color w:val="auto"/>
        </w:rPr>
      </w:pPr>
    </w:p>
    <w:p>
      <w:pPr>
        <w:jc w:val="both"/>
        <w:ind w:left="1260" w:right="1260"/>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online at the virtual meeting or represented by proxy and entitled to vote on the matter at the Annual Meeting will be required to ratify the selection of Marcum LLP.</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RINCIPAL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CCOUNTANT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EES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p>
    <w:p>
      <w:pPr>
        <w:spacing w:after="0" w:line="170" w:lineRule="exact"/>
        <w:rPr>
          <w:sz w:val="20"/>
          <w:szCs w:val="20"/>
          <w:color w:val="auto"/>
        </w:rPr>
      </w:pPr>
    </w:p>
    <w:p>
      <w:pPr>
        <w:jc w:val="both"/>
        <w:ind w:left="1260" w:right="12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years ended December 31, 2024 and 2023 by Marcum LLP, the Company’s principal accountant.</w:t>
      </w:r>
    </w:p>
    <w:p>
      <w:pPr>
        <w:spacing w:after="0" w:line="12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22225</wp:posOffset>
            </wp:positionV>
            <wp:extent cx="1028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80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60" w:type="dxa"/>
            <w:vAlign w:val="bottom"/>
          </w:tcPr>
          <w:p>
            <w:pPr>
              <w:spacing w:after="0"/>
              <w:rPr>
                <w:sz w:val="16"/>
                <w:szCs w:val="16"/>
                <w:color w:val="auto"/>
              </w:rPr>
            </w:pPr>
          </w:p>
        </w:tc>
      </w:tr>
      <w:tr>
        <w:trPr>
          <w:trHeight w:val="37"/>
        </w:trPr>
        <w:tc>
          <w:tcPr>
            <w:tcW w:w="1260" w:type="dxa"/>
            <w:vAlign w:val="bottom"/>
          </w:tcPr>
          <w:p>
            <w:pPr>
              <w:spacing w:after="0"/>
              <w:rPr>
                <w:sz w:val="3"/>
                <w:szCs w:val="3"/>
                <w:color w:val="auto"/>
              </w:rPr>
            </w:pPr>
          </w:p>
        </w:tc>
        <w:tc>
          <w:tcPr>
            <w:tcW w:w="2480" w:type="dxa"/>
            <w:vAlign w:val="bottom"/>
            <w:tcBorders>
              <w:bottom w:val="single" w:sz="8" w:color="CCEDFF"/>
            </w:tcBorders>
          </w:tcPr>
          <w:p>
            <w:pPr>
              <w:spacing w:after="0"/>
              <w:rPr>
                <w:sz w:val="3"/>
                <w:szCs w:val="3"/>
                <w:color w:val="auto"/>
              </w:rPr>
            </w:pPr>
          </w:p>
        </w:tc>
        <w:tc>
          <w:tcPr>
            <w:tcW w:w="3900" w:type="dxa"/>
            <w:vAlign w:val="bottom"/>
            <w:tcBorders>
              <w:bottom w:val="single" w:sz="8" w:color="CCEDFF"/>
            </w:tcBorders>
          </w:tcPr>
          <w:p>
            <w:pPr>
              <w:spacing w:after="0"/>
              <w:rPr>
                <w:sz w:val="3"/>
                <w:szCs w:val="3"/>
                <w:color w:val="auto"/>
              </w:rPr>
            </w:pPr>
          </w:p>
        </w:tc>
        <w:tc>
          <w:tcPr>
            <w:tcW w:w="220" w:type="dxa"/>
            <w:vAlign w:val="bottom"/>
            <w:tcBorders>
              <w:bottom w:val="single" w:sz="8" w:color="CCED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CCED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r>
      <w:tr>
        <w:trPr>
          <w:trHeight w:val="196"/>
        </w:trPr>
        <w:tc>
          <w:tcPr>
            <w:tcW w:w="1260" w:type="dxa"/>
            <w:vAlign w:val="bottom"/>
          </w:tcPr>
          <w:p>
            <w:pPr>
              <w:spacing w:after="0"/>
              <w:rPr>
                <w:sz w:val="17"/>
                <w:szCs w:val="17"/>
                <w:color w:val="auto"/>
              </w:rPr>
            </w:pPr>
          </w:p>
        </w:tc>
        <w:tc>
          <w:tcPr>
            <w:tcW w:w="2480" w:type="dxa"/>
            <w:vAlign w:val="bottom"/>
            <w:shd w:val="clear" w:color="auto" w:fill="CCEDFF"/>
          </w:tcPr>
          <w:p>
            <w:pPr>
              <w:spacing w:after="0" w:line="19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2"/>
                <w:szCs w:val="22"/>
                <w:color w:val="auto"/>
                <w:vertAlign w:val="superscript"/>
              </w:rPr>
              <w:t>(1)</w:t>
            </w:r>
          </w:p>
        </w:tc>
        <w:tc>
          <w:tcPr>
            <w:tcW w:w="3900" w:type="dxa"/>
            <w:vAlign w:val="bottom"/>
            <w:shd w:val="clear" w:color="auto" w:fill="CCEDFF"/>
          </w:tcPr>
          <w:p>
            <w:pPr>
              <w:spacing w:after="0"/>
              <w:rPr>
                <w:sz w:val="17"/>
                <w:szCs w:val="17"/>
                <w:color w:val="auto"/>
              </w:rPr>
            </w:pPr>
          </w:p>
        </w:tc>
        <w:tc>
          <w:tcPr>
            <w:tcW w:w="1140" w:type="dxa"/>
            <w:vAlign w:val="bottom"/>
            <w:tcBorders>
              <w:right w:val="single" w:sz="8" w:color="CCEDFF"/>
            </w:tcBorders>
            <w:gridSpan w:val="3"/>
            <w:shd w:val="clear" w:color="auto" w:fill="CCEDFF"/>
          </w:tcPr>
          <w:p>
            <w:pPr>
              <w:jc w:val="right"/>
              <w:ind w:right="220"/>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292,000</w:t>
            </w:r>
          </w:p>
        </w:tc>
        <w:tc>
          <w:tcPr>
            <w:tcW w:w="680" w:type="dxa"/>
            <w:vAlign w:val="bottom"/>
            <w:shd w:val="clear" w:color="auto" w:fill="CCEDFF"/>
          </w:tcPr>
          <w:p>
            <w:pPr>
              <w:jc w:val="center"/>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316,000</w:t>
            </w:r>
          </w:p>
        </w:tc>
        <w:tc>
          <w:tcPr>
            <w:tcW w:w="1260" w:type="dxa"/>
            <w:vAlign w:val="bottom"/>
          </w:tcPr>
          <w:p>
            <w:pPr>
              <w:spacing w:after="0"/>
              <w:rPr>
                <w:sz w:val="17"/>
                <w:szCs w:val="17"/>
                <w:color w:val="auto"/>
              </w:rPr>
            </w:pPr>
          </w:p>
        </w:tc>
      </w:tr>
      <w:tr>
        <w:trPr>
          <w:trHeight w:val="68"/>
        </w:trPr>
        <w:tc>
          <w:tcPr>
            <w:tcW w:w="1260" w:type="dxa"/>
            <w:vAlign w:val="bottom"/>
          </w:tcPr>
          <w:p>
            <w:pPr>
              <w:spacing w:after="0"/>
              <w:rPr>
                <w:sz w:val="5"/>
                <w:szCs w:val="5"/>
                <w:color w:val="auto"/>
              </w:rPr>
            </w:pPr>
          </w:p>
        </w:tc>
        <w:tc>
          <w:tcPr>
            <w:tcW w:w="2480" w:type="dxa"/>
            <w:vAlign w:val="bottom"/>
            <w:shd w:val="clear" w:color="auto" w:fill="CCEDFF"/>
          </w:tcPr>
          <w:p>
            <w:pPr>
              <w:spacing w:after="0"/>
              <w:rPr>
                <w:sz w:val="5"/>
                <w:szCs w:val="5"/>
                <w:color w:val="auto"/>
              </w:rPr>
            </w:pPr>
          </w:p>
        </w:tc>
        <w:tc>
          <w:tcPr>
            <w:tcW w:w="3900" w:type="dxa"/>
            <w:vAlign w:val="bottom"/>
            <w:shd w:val="clear" w:color="auto" w:fill="CCEDFF"/>
          </w:tcPr>
          <w:p>
            <w:pPr>
              <w:spacing w:after="0"/>
              <w:rPr>
                <w:sz w:val="5"/>
                <w:szCs w:val="5"/>
                <w:color w:val="auto"/>
              </w:rPr>
            </w:pPr>
          </w:p>
        </w:tc>
        <w:tc>
          <w:tcPr>
            <w:tcW w:w="220" w:type="dxa"/>
            <w:vAlign w:val="bottom"/>
            <w:tcBorders>
              <w:right w:val="single" w:sz="8" w:color="CCEDFF"/>
            </w:tcBorders>
            <w:shd w:val="clear" w:color="auto" w:fill="CCEDFF"/>
          </w:tcPr>
          <w:p>
            <w:pPr>
              <w:spacing w:after="0"/>
              <w:rPr>
                <w:sz w:val="5"/>
                <w:szCs w:val="5"/>
                <w:color w:val="auto"/>
              </w:rPr>
            </w:pPr>
          </w:p>
        </w:tc>
        <w:tc>
          <w:tcPr>
            <w:tcW w:w="920" w:type="dxa"/>
            <w:vAlign w:val="bottom"/>
            <w:tcBorders>
              <w:right w:val="single" w:sz="8" w:color="CCEDFF"/>
            </w:tcBorders>
            <w:gridSpan w:val="2"/>
            <w:shd w:val="clear" w:color="auto" w:fill="CCEDFF"/>
          </w:tcPr>
          <w:p>
            <w:pPr>
              <w:jc w:val="right"/>
              <w:ind w:right="880"/>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shd w:val="clear" w:color="auto" w:fill="CCED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260" w:type="dxa"/>
            <w:vAlign w:val="bottom"/>
          </w:tcPr>
          <w:p>
            <w:pPr>
              <w:spacing w:after="0"/>
              <w:rPr>
                <w:sz w:val="5"/>
                <w:szCs w:val="5"/>
                <w:color w:val="auto"/>
              </w:rPr>
            </w:pPr>
          </w:p>
        </w:tc>
      </w:tr>
      <w:tr>
        <w:trPr>
          <w:trHeight w:val="20"/>
        </w:trPr>
        <w:tc>
          <w:tcPr>
            <w:tcW w:w="1260" w:type="dxa"/>
            <w:vAlign w:val="bottom"/>
          </w:tcPr>
          <w:p>
            <w:pPr>
              <w:spacing w:after="0" w:line="20" w:lineRule="exact"/>
              <w:rPr>
                <w:sz w:val="1"/>
                <w:szCs w:val="1"/>
                <w:color w:val="auto"/>
              </w:rPr>
            </w:pPr>
          </w:p>
        </w:tc>
        <w:tc>
          <w:tcPr>
            <w:tcW w:w="2480" w:type="dxa"/>
            <w:vAlign w:val="bottom"/>
            <w:shd w:val="clear" w:color="auto" w:fill="CCEDFF"/>
          </w:tcPr>
          <w:p>
            <w:pPr>
              <w:spacing w:after="0" w:line="20" w:lineRule="exact"/>
              <w:rPr>
                <w:sz w:val="1"/>
                <w:szCs w:val="1"/>
                <w:color w:val="auto"/>
              </w:rPr>
            </w:pPr>
          </w:p>
        </w:tc>
        <w:tc>
          <w:tcPr>
            <w:tcW w:w="3900" w:type="dxa"/>
            <w:vAlign w:val="bottom"/>
            <w:shd w:val="clear" w:color="auto" w:fill="CCEDFF"/>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8"/>
        </w:trPr>
        <w:tc>
          <w:tcPr>
            <w:tcW w:w="126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$292,000</w:t>
            </w:r>
          </w:p>
        </w:tc>
        <w:tc>
          <w:tcPr>
            <w:tcW w:w="1940" w:type="dxa"/>
            <w:vAlign w:val="bottom"/>
            <w:gridSpan w:val="2"/>
          </w:tcPr>
          <w:p>
            <w:pPr>
              <w:jc w:val="center"/>
              <w:ind w:right="12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$316,000</w:t>
            </w:r>
          </w:p>
        </w:tc>
      </w:tr>
      <w:tr>
        <w:trPr>
          <w:trHeight w:val="403"/>
        </w:trPr>
        <w:tc>
          <w:tcPr>
            <w:tcW w:w="1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900" w:type="dxa"/>
            <w:vAlign w:val="bottom"/>
          </w:tcPr>
          <w:p>
            <w:pPr>
              <w:jc w:val="right"/>
              <w:ind w:right="2119"/>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-1010920</wp:posOffset>
            </wp:positionV>
            <wp:extent cx="47663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825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620" w:right="419" w:hanging="360"/>
        <w:spacing w:after="0" w:line="261"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17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rendered by the Company’s independent registered public accounting firm, Marcum LLP.</w:t>
      </w:r>
    </w:p>
    <w:p>
      <w:pPr>
        <w:spacing w:after="0" w:line="9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Marcum LLP is compatible with maintaining the principal accountant’s independence.</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K</w:t>
      </w:r>
      <w:r>
        <w:rPr>
          <w:rFonts w:ascii="Times New Roman" w:cs="Times New Roman" w:eastAsia="Times New Roman" w:hAnsi="Times New Roman"/>
          <w:sz w:val="16"/>
          <w:szCs w:val="16"/>
          <w:b w:val="1"/>
          <w:bCs w:val="1"/>
          <w:color w:val="auto"/>
        </w:rPr>
        <w:t>EY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MPLOYEES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officers and key employees and their respective ages as of April 10, 2025 are as follows:</w:t>
      </w: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4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 M.D.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Treasurer and Director</w:t>
            </w:r>
          </w:p>
        </w:tc>
      </w:tr>
      <w:tr>
        <w:trPr>
          <w:trHeight w:val="311"/>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Bernadette Madel,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Operations and External Communications</w:t>
            </w:r>
          </w:p>
        </w:tc>
      </w:tr>
    </w:tbl>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biography of Juan Vera is set forth in “Proposal 1: Election of Directors” above.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Employees</w:t>
      </w:r>
    </w:p>
    <w:p>
      <w:pPr>
        <w:spacing w:after="0" w:line="15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Maria-Bernadette Madel, Ph.D. </w:t>
      </w:r>
      <w:r>
        <w:rPr>
          <w:rFonts w:ascii="Times New Roman" w:cs="Times New Roman" w:eastAsia="Times New Roman" w:hAnsi="Times New Roman"/>
          <w:sz w:val="18"/>
          <w:szCs w:val="18"/>
          <w:color w:val="auto"/>
        </w:rPr>
        <w:t>has served as our Director of Corporate Operations and External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since December 2023. Dr. Madel joined the Company in 2022 after accruing valuable experience in academic institutions, including Baylor College of Medicine. Dr. Madel earned a B.Sc. and M.Sc. in Molecular Medicine from the Medical University of Innsbruck, Austria, and a Ph.D. in Immunology and Microbiology from the University Côte d’Azur, Nice, France.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Management Transition</w:t>
      </w:r>
    </w:p>
    <w:p>
      <w:pPr>
        <w:spacing w:after="0" w:line="16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On April 27, 2023, Peter Hoang resigned from our Board of Directors, effective immediately, and as our President and Chief Executive Officer, effective May 1, 2023. The Board appointed Juan Vera to serve as our President and Chief Executive Officer, effective May 1, 2023. In connection with his resignation, Mr. Hoang and the Company entered into the Separation Agreement (the “Separation Agreement”), dated as of April 27, 2023, providing for the terms of Mr. Hoang’s separation from employment with the Company effective May 1, 2023. Under the Separation Agreement, the Company has agreed, provided that Mr. Hoang does not revoke the Separation Agreement during the seven-day period following his signing of the agreement, to provide Mr. Hoang with the following separation payments and benefits: (i) a payment equal to 12 months of his annual base salary, as in effect at the date of his separation from the Company, less all applicable taxes and withholdings, to be paid in a lump sum; and (ii) subject to Mr. Hoang’s election of COBRA, payment of the premiums for group health and/or dental insurance coverage under COBRA until the earlier of (a) May 30, 2024, (b) the date on which Mr. Hoang becomes eligible to receive group health insurance coverage through another employer, or (c) the date Mr. Hoang ceases to be eligible for COBRA continuation coverage for any reason. The Separation Agreement contains releases, subject to customary exceptions, and covenants not to disparage.</w:t>
      </w:r>
    </w:p>
    <w:p>
      <w:pPr>
        <w:spacing w:after="0" w:line="33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On March 13, 2023, Mythili Koneru, Chief Medical Officer of Marker Therapeutics, Inc. (the “Company”), notified the Company of her intent to resign as Chief Medical Officer of the Company effective as of April 9, 2023.</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Effective June 30, 2023, Michael Loiacono, the Chief Accounting Officer of Marker Therapeutics, Inc. (the “Company”), was separated from the Company. In recognition of Mr. Loiacono’s service to the Company, the Company has agreed to provide Mr. Loiacono with severance benefits that are consistent with those contemplated by his Employment Agreement, as amended as of November 27, 2018, by and between the Company and Mr. Loiacono (the “Employment Agreement”) upon Mr. Loiacono’s execution of a release agreement, the form of which is included in the Employment Agreement.</w:t>
      </w:r>
    </w:p>
    <w:p>
      <w:pPr>
        <w:spacing w:after="0" w:line="12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Also effective June 30, 2023, the Company appointed Eliot M. Lurier as the Company’s Interim Chief Financial Officer. Mr. Lurier provided consulting services to the Company pursuant to a consulting agreement (the “Danforth Consulting Agreement”) between the Company and Danforth Advisors, LLC (“Danforth”) and receives no compensation directly from the Company. However, on November 17, 2023, Mr. Lurier ceased serving as the Company’s Interim Chief Financial Officer and Principal Financial and Accounting Officer and Juan Vera, the Company’s President and Chief Executive Officer, was appointed as the Company’s Principal Financial and Accounting Officer.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April 10, 2025 by: (i) each director and nominee for director; (ii) each named executive officer; (iii) 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April 10, 2025.</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267"/>
        </w:trPr>
        <w:tc>
          <w:tcPr>
            <w:tcW w:w="5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w w:val="92"/>
              </w:rPr>
              <w:t>Beneficial Ownership</w:t>
            </w:r>
            <w:r>
              <w:rPr>
                <w:rFonts w:ascii="Times New Roman" w:cs="Times New Roman" w:eastAsia="Times New Roman" w:hAnsi="Times New Roman"/>
                <w:sz w:val="23"/>
                <w:szCs w:val="23"/>
                <w:b w:val="1"/>
                <w:bCs w:val="1"/>
                <w:color w:val="auto"/>
                <w:w w:val="92"/>
                <w:vertAlign w:val="superscript"/>
              </w:rPr>
              <w:t>(1)</w:t>
            </w:r>
          </w:p>
        </w:tc>
        <w:tc>
          <w:tcPr>
            <w:tcW w:w="6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02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vMerge w:val="restart"/>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DFF"/>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CCEDFF"/>
            </w:tcBorders>
          </w:tcPr>
          <w:p>
            <w:pPr>
              <w:spacing w:after="0"/>
              <w:rPr>
                <w:sz w:val="21"/>
                <w:szCs w:val="21"/>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Percent of Total</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5% or greater stockholders:</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shd w:val="clear" w:color="auto" w:fill="CCEDFF"/>
          </w:tcPr>
          <w:p>
            <w:pPr>
              <w:spacing w:after="0"/>
              <w:rPr>
                <w:sz w:val="22"/>
                <w:szCs w:val="22"/>
                <w:color w:val="auto"/>
              </w:rPr>
            </w:pP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tcBorders>
              <w:right w:val="single" w:sz="8" w:color="CCEDFF"/>
            </w:tcBorders>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Enterprise Associates</w:t>
            </w:r>
            <w:r>
              <w:rPr>
                <w:rFonts w:ascii="Times New Roman" w:cs="Times New Roman" w:eastAsia="Times New Roman" w:hAnsi="Times New Roman"/>
                <w:sz w:val="23"/>
                <w:szCs w:val="23"/>
                <w:color w:val="auto"/>
                <w:vertAlign w:val="superscript"/>
              </w:rPr>
              <w:t>(2)</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​4,196,428</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Alyeska Fund GP, LLC</w:t>
            </w:r>
            <w:r>
              <w:rPr>
                <w:rFonts w:ascii="Times New Roman" w:cs="Times New Roman" w:eastAsia="Times New Roman" w:hAnsi="Times New Roman"/>
                <w:sz w:val="23"/>
                <w:szCs w:val="23"/>
                <w:color w:val="auto"/>
                <w:vertAlign w:val="superscript"/>
              </w:rPr>
              <w:t>(3)</w:t>
            </w:r>
          </w:p>
        </w:tc>
        <w:tc>
          <w:tcPr>
            <w:tcW w:w="1220" w:type="dxa"/>
            <w:vAlign w:val="bottom"/>
            <w:gridSpan w:val="2"/>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​1,875,000</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DFF"/>
            </w:tcBorders>
            <w:gridSpan w:val="2"/>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Blue Owl Capital Holdings LP</w:t>
            </w:r>
            <w:r>
              <w:rPr>
                <w:rFonts w:ascii="Times New Roman" w:cs="Times New Roman" w:eastAsia="Times New Roman" w:hAnsi="Times New Roman"/>
                <w:sz w:val="23"/>
                <w:szCs w:val="23"/>
                <w:color w:val="auto"/>
                <w:vertAlign w:val="superscript"/>
              </w:rPr>
              <w:t>(4)</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​3,125,000</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shd w:val="clear" w:color="auto" w:fill="CCEDFF"/>
          </w:tcPr>
          <w:p>
            <w:pPr>
              <w:spacing w:after="0"/>
              <w:rPr>
                <w:sz w:val="22"/>
                <w:szCs w:val="22"/>
                <w:color w:val="auto"/>
              </w:rPr>
            </w:pP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tcBorders>
              <w:right w:val="single" w:sz="8" w:color="CCEDFF"/>
            </w:tcBorders>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David Eansor</w:t>
            </w:r>
            <w:r>
              <w:rPr>
                <w:rFonts w:ascii="Times New Roman" w:cs="Times New Roman" w:eastAsia="Times New Roman" w:hAnsi="Times New Roman"/>
                <w:sz w:val="23"/>
                <w:szCs w:val="23"/>
                <w:color w:val="auto"/>
                <w:vertAlign w:val="superscript"/>
              </w:rPr>
              <w:t>(5)</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20,944</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Steven Elms</w:t>
            </w:r>
            <w:r>
              <w:rPr>
                <w:rFonts w:ascii="Times New Roman" w:cs="Times New Roman" w:eastAsia="Times New Roman" w:hAnsi="Times New Roman"/>
                <w:sz w:val="23"/>
                <w:szCs w:val="23"/>
                <w:color w:val="auto"/>
                <w:vertAlign w:val="superscript"/>
              </w:rPr>
              <w:t>(6)</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389,003</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DFF"/>
            </w:tcBorders>
            <w:gridSpan w:val="2"/>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 3.6%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Juan Vera</w:t>
            </w:r>
            <w:r>
              <w:rPr>
                <w:rFonts w:ascii="Times New Roman" w:cs="Times New Roman" w:eastAsia="Times New Roman" w:hAnsi="Times New Roman"/>
                <w:sz w:val="23"/>
                <w:szCs w:val="23"/>
                <w:color w:val="auto"/>
                <w:vertAlign w:val="superscript"/>
              </w:rPr>
              <w:t>(7)</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413,761</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3.8%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Katharine Knobil</w:t>
            </w:r>
            <w:r>
              <w:rPr>
                <w:rFonts w:ascii="Times New Roman" w:cs="Times New Roman" w:eastAsia="Times New Roman" w:hAnsi="Times New Roman"/>
                <w:sz w:val="23"/>
                <w:szCs w:val="23"/>
                <w:color w:val="auto"/>
                <w:vertAlign w:val="superscript"/>
              </w:rPr>
              <w:t>(8)</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28,650</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DFF"/>
            </w:tcBorders>
            <w:shd w:val="clear" w:color="auto" w:fill="CCED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executive officers and directors as a group 4 persons)</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852,358</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7.8%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-1774190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-1774190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234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77" w:lineRule="exact"/>
        <w:rPr>
          <w:sz w:val="20"/>
          <w:szCs w:val="20"/>
          <w:color w:val="auto"/>
        </w:rPr>
      </w:pPr>
    </w:p>
    <w:p>
      <w:pPr>
        <w:jc w:val="both"/>
        <w:ind w:left="1620" w:right="419" w:hanging="360"/>
        <w:spacing w:after="0" w:line="25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 13D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11,214,835 shares outstanding on April 10, 2025, adjusted as required by rules promulgated by the SEC.</w:t>
      </w:r>
    </w:p>
    <w:p>
      <w:pPr>
        <w:spacing w:after="0" w:line="38"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December 23, 2024, with the SEC by New Enterprise Associates 16, L.P. (“NEA 16”) and its affiliates. Consists of (a) 1,625,678 shares of common stock and (b) 2,570,750 warrants to purchase shares of the Company’s Common Stock held directly by NEA 16 (“NEA Partners 16”) is the sole general partner of NEA 16, and NEA 16 GP, LLC (“NEA 16 LLC”) is the sole general partner of NEA Partners 16. The managers of NEA 16 LLC are Forest Baskett, Ali Behbahani, Carmen Chang, Anthony A. Florence, Jr., Mohamad H. Makhzoumi, Scott D. Sandell,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59"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filed on February 14, 2025 with the SEC by Alyeska Investment Group L.P. and its affiliates. Consists of (a) 332,550 shares of Common Stock and (b) warrants to purchase 1,542,450 shares of the Company’s Common Stock, (the “Warrants”). However, per their terms, the Warrants can only be exercised into such number of shares that would constitute 9.99% of the total number of Common Stock. The principal business address for all entities and individuals affiliated with Alyeska Investment Group L.P. is 77 West Wacker Drive, 7th Floor, Chicago, IL 60601.</w:t>
      </w:r>
    </w:p>
    <w:p>
      <w:pPr>
        <w:spacing w:after="0" w:line="25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filed on February 14, 2025 with the SEC by Blue Owl Capital Holdings LP. Consists of (a) 554,250 shares of Common Stock, par value $0.001 and (b) warrants to purchase 2,570,750 shares of the Issuer’s Common Stock (the “Warrants”). However, per their terms, the Warrants can only be exercised into such number of shares that would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constitute 9.99% of the total number of Common Stock. The principal business address for Blue Owl Capital Holdings LP is 399 Park Avenue, New York, NY 10022.</w:t>
      </w:r>
    </w:p>
    <w:p>
      <w:pPr>
        <w:spacing w:after="0" w:line="27" w:lineRule="exact"/>
        <w:rPr>
          <w:sz w:val="20"/>
          <w:szCs w:val="20"/>
          <w:color w:val="auto"/>
        </w:rPr>
      </w:pPr>
    </w:p>
    <w:p>
      <w:pPr>
        <w:ind w:left="1620" w:right="419" w:hanging="36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 shares of common stock and (b) 17,250 shares of common stock issuable upon exercise of options within 60 days of April 10, 2025.</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314,285 shares of common stock held directly by Aisling Capital where Mr. Elms shares voting and dispositive power (b) warrants to purchase 51,415 shares of Company Common Stock which is directly held by Aisling Capital where Mr. Elms shares voting and dispositive power, (c) 2,968 shares of common stock held directly by Mr. Elms and (d) 9,250 shares of common stock issuable upon exercise of options within 60 days of April 10, 2025.</w:t>
      </w:r>
    </w:p>
    <w:p>
      <w:pPr>
        <w:spacing w:after="0" w:line="3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267,184 shares of common stock, and (b) 146,577 shares of common stock issuable upon exercise of options within 60 days of April 10, 2025.</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 shares of common stock and (b) 28,500 shares of common stock issuable upon exercise of options within 60 days of April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ELINQUENT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16(A) R</w:t>
      </w:r>
      <w:r>
        <w:rPr>
          <w:rFonts w:ascii="Times New Roman" w:cs="Times New Roman" w:eastAsia="Times New Roman" w:hAnsi="Times New Roman"/>
          <w:sz w:val="16"/>
          <w:szCs w:val="16"/>
          <w:b w:val="1"/>
          <w:bCs w:val="1"/>
          <w:color w:val="auto"/>
        </w:rPr>
        <w:t>EPORTS</w:t>
      </w:r>
    </w:p>
    <w:p>
      <w:pPr>
        <w:spacing w:after="0" w:line="17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fiscal year ended December 31, 2024, all Section 16(a) filing requirements applicable to its officers, directors and greater than ten percent beneficial owners were complied with the applicable filing requirements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the fiscal years ended December 31, 2024 and 2023. Our named executive officers for the fiscal year ended December 31, 2024 are as follows:</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Juan Vera, M.D., our President and Chief Executive Officer;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6"/>
          <w:szCs w:val="16"/>
          <w:b w:val="1"/>
          <w:bCs w:val="1"/>
          <w:color w:val="auto"/>
        </w:rPr>
        <w:t>UMMARY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6"/>
          <w:szCs w:val="16"/>
          <w:b w:val="1"/>
          <w:bCs w:val="1"/>
          <w:color w:val="auto"/>
        </w:rPr>
        <w:t>ABLE</w:t>
      </w:r>
    </w:p>
    <w:p>
      <w:pPr>
        <w:spacing w:after="0" w:line="16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2024 and 2023, respectively.</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3"/>
              </w:rPr>
              <w:t>Awards</w:t>
            </w:r>
            <w:r>
              <w:rPr>
                <w:rFonts w:ascii="Times New Roman" w:cs="Times New Roman" w:eastAsia="Times New Roman" w:hAnsi="Times New Roman"/>
                <w:sz w:val="17"/>
                <w:szCs w:val="17"/>
                <w:b w:val="1"/>
                <w:bCs w:val="1"/>
                <w:color w:val="auto"/>
                <w:w w:val="93"/>
                <w:vertAlign w:val="superscript"/>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w:t>
            </w:r>
          </w:p>
        </w:tc>
        <w:tc>
          <w:tcPr>
            <w:tcW w:w="8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260" w:type="dxa"/>
            <w:vAlign w:val="bottom"/>
            <w:tcBorders>
              <w:top w:val="single" w:sz="8" w:color="auto"/>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80" w:type="dxa"/>
            <w:vAlign w:val="bottom"/>
            <w:tcBorders>
              <w:top w:val="single" w:sz="8" w:color="CCEDFF"/>
              <w:bottom w:val="single" w:sz="8" w:color="CCEDFF"/>
            </w:tcBorders>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auto"/>
              <w:bottom w:val="single" w:sz="8" w:color="CCEDFF"/>
            </w:tcBorders>
            <w:shd w:val="clear" w:color="auto" w:fill="CCED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DFF"/>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CCEDFF"/>
            </w:tcBorders>
            <w:shd w:val="clear" w:color="auto" w:fill="CCEDFF"/>
          </w:tcPr>
          <w:p>
            <w:pPr>
              <w:spacing w:after="0"/>
              <w:rPr>
                <w:sz w:val="20"/>
                <w:szCs w:val="20"/>
                <w:color w:val="auto"/>
              </w:rPr>
            </w:pPr>
          </w:p>
        </w:tc>
        <w:tc>
          <w:tcPr>
            <w:tcW w:w="14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DFF"/>
            </w:tcBorders>
            <w:shd w:val="clear" w:color="auto" w:fill="CCED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CCEDFF"/>
            </w:tcBorders>
            <w:shd w:val="clear" w:color="auto" w:fill="CCEDFF"/>
          </w:tcPr>
          <w:p>
            <w:pPr>
              <w:spacing w:after="0"/>
              <w:rPr>
                <w:sz w:val="20"/>
                <w:szCs w:val="20"/>
                <w:color w:val="auto"/>
              </w:rPr>
            </w:pPr>
          </w:p>
        </w:tc>
        <w:tc>
          <w:tcPr>
            <w:tcW w:w="12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DFF"/>
            </w:tcBorders>
            <w:shd w:val="clear" w:color="auto" w:fill="CCED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CCEDFF"/>
            </w:tcBorders>
            <w:shd w:val="clear" w:color="auto" w:fill="CCEDFF"/>
          </w:tcPr>
          <w:p>
            <w:pPr>
              <w:spacing w:after="0"/>
              <w:rPr>
                <w:sz w:val="20"/>
                <w:szCs w:val="20"/>
                <w:color w:val="auto"/>
              </w:rPr>
            </w:pPr>
          </w:p>
        </w:tc>
        <w:tc>
          <w:tcPr>
            <w:tcW w:w="12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22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6"/>
            <w:shd w:val="clear" w:color="auto" w:fill="CCEDFF"/>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​2024</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​400,000</w:t>
            </w:r>
            <w:r>
              <w:rPr>
                <w:rFonts w:ascii="Times New Roman" w:cs="Times New Roman" w:eastAsia="Times New Roman" w:hAnsi="Times New Roman"/>
                <w:sz w:val="27"/>
                <w:szCs w:val="27"/>
                <w:color w:val="auto"/>
                <w:vertAlign w:val="superscript"/>
              </w:rPr>
              <w:t>​​</w:t>
            </w:r>
          </w:p>
        </w:tc>
        <w:tc>
          <w:tcPr>
            <w:tcW w:w="160" w:type="dxa"/>
            <w:vAlign w:val="bottom"/>
            <w:gridSpan w:val="2"/>
            <w:shd w:val="clear" w:color="auto" w:fill="CCEDFF"/>
          </w:tcPr>
          <w:p>
            <w:pPr>
              <w:ind w:left="40"/>
              <w:spacing w:after="0" w:line="23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80" w:type="dxa"/>
            <w:vAlign w:val="bottom"/>
            <w:gridSpan w:val="2"/>
            <w:shd w:val="clear" w:color="auto" w:fill="CCEDFF"/>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DFF"/>
          </w:tcPr>
          <w:p>
            <w:pPr>
              <w:ind w:left="3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1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DFF"/>
          </w:tcPr>
          <w:p>
            <w:pPr>
              <w:ind w:left="3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14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ind w:left="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​400,000</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
        </w:trPr>
        <w:tc>
          <w:tcPr>
            <w:tcW w:w="2260" w:type="dxa"/>
            <w:vAlign w:val="bottom"/>
            <w:gridSpan w:val="2"/>
            <w:vMerge w:val="restart"/>
            <w:shd w:val="clear" w:color="auto" w:fill="CCEDFF"/>
          </w:tcPr>
          <w:p>
            <w:pPr>
              <w:ind w:left="180"/>
              <w:spacing w:after="0" w:line="211" w:lineRule="exact"/>
              <w:rPr>
                <w:sz w:val="20"/>
                <w:szCs w:val="20"/>
                <w:color w:val="auto"/>
              </w:rPr>
            </w:pP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38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380" w:type="dxa"/>
            <w:vAlign w:val="bottom"/>
            <w:shd w:val="clear" w:color="auto" w:fill="CCEDFF"/>
          </w:tcPr>
          <w:p>
            <w:pPr>
              <w:spacing w:after="0"/>
              <w:rPr>
                <w:sz w:val="5"/>
                <w:szCs w:val="5"/>
                <w:color w:val="auto"/>
              </w:rPr>
            </w:pPr>
          </w:p>
        </w:tc>
        <w:tc>
          <w:tcPr>
            <w:tcW w:w="120" w:type="dxa"/>
            <w:vAlign w:val="bottom"/>
            <w:shd w:val="clear" w:color="auto" w:fill="CCEDFF"/>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60" w:type="dxa"/>
            <w:vAlign w:val="bottom"/>
            <w:shd w:val="clear" w:color="auto" w:fill="CCEDFF"/>
          </w:tcPr>
          <w:p>
            <w:pPr>
              <w:spacing w:after="0"/>
              <w:rPr>
                <w:sz w:val="5"/>
                <w:szCs w:val="5"/>
                <w:color w:val="auto"/>
              </w:rPr>
            </w:pPr>
          </w:p>
        </w:tc>
        <w:tc>
          <w:tcPr>
            <w:tcW w:w="540" w:type="dxa"/>
            <w:vAlign w:val="bottom"/>
            <w:shd w:val="clear" w:color="auto" w:fill="CCEDFF"/>
          </w:tcPr>
          <w:p>
            <w:pPr>
              <w:spacing w:after="0"/>
              <w:rPr>
                <w:sz w:val="5"/>
                <w:szCs w:val="5"/>
                <w:color w:val="auto"/>
              </w:rPr>
            </w:pPr>
          </w:p>
        </w:tc>
        <w:tc>
          <w:tcPr>
            <w:tcW w:w="140" w:type="dxa"/>
            <w:vAlign w:val="bottom"/>
            <w:shd w:val="clear" w:color="auto" w:fill="CCEDFF"/>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860" w:type="dxa"/>
            <w:vAlign w:val="bottom"/>
            <w:shd w:val="clear" w:color="auto" w:fill="CCEDFF"/>
          </w:tcPr>
          <w:p>
            <w:pPr>
              <w:spacing w:after="0"/>
              <w:rPr>
                <w:sz w:val="5"/>
                <w:szCs w:val="5"/>
                <w:color w:val="auto"/>
              </w:rPr>
            </w:pPr>
          </w:p>
        </w:tc>
        <w:tc>
          <w:tcPr>
            <w:tcW w:w="40" w:type="dxa"/>
            <w:vAlign w:val="bottom"/>
            <w:shd w:val="clear" w:color="auto" w:fill="CCEDFF"/>
          </w:tcPr>
          <w:p>
            <w:pPr>
              <w:spacing w:after="0"/>
              <w:rPr>
                <w:sz w:val="5"/>
                <w:szCs w:val="5"/>
                <w:color w:val="auto"/>
              </w:rPr>
            </w:pPr>
          </w:p>
        </w:tc>
        <w:tc>
          <w:tcPr>
            <w:tcW w:w="120" w:type="dxa"/>
            <w:vAlign w:val="bottom"/>
            <w:shd w:val="clear" w:color="auto" w:fill="CCEDFF"/>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880" w:type="dxa"/>
            <w:vAlign w:val="bottom"/>
            <w:shd w:val="clear" w:color="auto" w:fill="CCEDFF"/>
          </w:tcPr>
          <w:p>
            <w:pPr>
              <w:spacing w:after="0"/>
              <w:rPr>
                <w:sz w:val="5"/>
                <w:szCs w:val="5"/>
                <w:color w:val="auto"/>
              </w:rPr>
            </w:pPr>
          </w:p>
        </w:tc>
        <w:tc>
          <w:tcPr>
            <w:tcW w:w="20" w:type="dxa"/>
            <w:vAlign w:val="bottom"/>
            <w:shd w:val="clear" w:color="auto" w:fill="CCEDFF"/>
          </w:tcPr>
          <w:p>
            <w:pPr>
              <w:spacing w:after="0"/>
              <w:rPr>
                <w:sz w:val="5"/>
                <w:szCs w:val="5"/>
                <w:color w:val="auto"/>
              </w:rPr>
            </w:pPr>
          </w:p>
        </w:tc>
        <w:tc>
          <w:tcPr>
            <w:tcW w:w="120" w:type="dxa"/>
            <w:vAlign w:val="bottom"/>
            <w:shd w:val="clear" w:color="auto" w:fill="CCEDFF"/>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600" w:type="dxa"/>
            <w:vAlign w:val="bottom"/>
            <w:shd w:val="clear" w:color="auto" w:fill="CCEDFF"/>
          </w:tcPr>
          <w:p>
            <w:pPr>
              <w:spacing w:after="0"/>
              <w:rPr>
                <w:sz w:val="5"/>
                <w:szCs w:val="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260" w:type="dxa"/>
            <w:vAlign w:val="bottom"/>
            <w:gridSpan w:val="2"/>
            <w:vMerge w:val="continue"/>
            <w:shd w:val="clear" w:color="auto" w:fill="CCEDFF"/>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3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DFF"/>
          </w:tcPr>
          <w:p>
            <w:pPr>
              <w:spacing w:after="0"/>
              <w:rPr>
                <w:sz w:val="16"/>
                <w:szCs w:val="16"/>
                <w:color w:val="auto"/>
              </w:rPr>
            </w:pPr>
          </w:p>
        </w:tc>
        <w:tc>
          <w:tcPr>
            <w:tcW w:w="1900" w:type="dxa"/>
            <w:vAlign w:val="bottom"/>
            <w:shd w:val="clear" w:color="auto" w:fill="CCEDFF"/>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​399,251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​186,000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​581,923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-556895</wp:posOffset>
            </wp:positionV>
            <wp:extent cx="3317240" cy="402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17240" cy="4025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-728345</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-728345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-728345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-728345</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-728345</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-728345</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97" w:lineRule="exact"/>
        <w:rPr>
          <w:sz w:val="20"/>
          <w:szCs w:val="20"/>
          <w:color w:val="auto"/>
        </w:rPr>
      </w:pPr>
    </w:p>
    <w:p>
      <w:pPr>
        <w:jc w:val="both"/>
        <w:ind w:left="2340" w:right="419" w:hanging="360"/>
        <w:spacing w:after="0" w:line="252" w:lineRule="auto"/>
        <w:tabs>
          <w:tab w:leader="none" w:pos="2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years ended December 31, 2024 and December 31, 2023, as computed in accordance with Financial Accounting Standard Board Accounting Standards Codification Topic 718 for stock-based compensation transactions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266"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Vera was appointed President and Chief Executive officer effective May 1, 2023. Throughout 2024, he also served as the Company’s principal financial officer.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compensation program is designed to achieve the following objectives:</w:t>
      </w:r>
    </w:p>
    <w:p>
      <w:pPr>
        <w:spacing w:after="0" w:line="117" w:lineRule="exact"/>
        <w:rPr>
          <w:sz w:val="20"/>
          <w:szCs w:val="20"/>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reward our named executive officers whose knowledge, skills, performance and business relationships are critical to our success;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named executive officers to manage our business to meet short-term and long-range goals designed to drive the responsible creation of stockholder value and reward accomplishment of these goals;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linking their long-term incentive compensation opportunities to stockholder value creation;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within the context of responsible cost management.</w:t>
      </w:r>
    </w:p>
    <w:p>
      <w:pPr>
        <w:spacing w:after="0" w:line="15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Executive Officers in Setting Executive Compensation</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The Compensation Committee of our Board (“Compensation Committee”) is responsible for determining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w:t>
      </w:r>
    </w:p>
    <w:p>
      <w:pPr>
        <w:spacing w:after="0" w:line="3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In 2023, after taking into consideration the factors prescribed by the SEC and Nasdaq described above, the Compensation Committee engaged Radford, which is part of the Rewards Solutions practice at Aon plc, as its compensation consultant (“Radford”). Our Compensation Committee identified Radford based on Radford’s general reputation in the industry. The Compensation Committee requested that Radford:</w:t>
      </w:r>
    </w:p>
    <w:p>
      <w:pPr>
        <w:spacing w:after="0" w:line="91" w:lineRule="exact"/>
        <w:rPr>
          <w:sz w:val="20"/>
          <w:szCs w:val="20"/>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94"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As part of its engagement in 2023, Radford was also requested by the Compensation Committee to develop a comparative group of companies and to perform analyses of competitive performance and compensation levels for that group and ultimately developed recommendations that were presented to the Compensation Committee for its consideration. Following an active dialogue with Radford, in 2023 the Compensation Committee approved the recommendations.</w:t>
      </w:r>
    </w:p>
    <w:p>
      <w:pPr>
        <w:spacing w:after="0" w:line="105"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Radford, including analyses of executive and director compensation paid at other companies identified by Radford.</w:t>
      </w:r>
    </w:p>
    <w:p>
      <w:pPr>
        <w:spacing w:after="0" w:line="121"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17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w:t>
      </w:r>
    </w:p>
    <w:p>
      <w:pPr>
        <w:spacing w:after="0" w:line="32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annual base salaries for each of our named executive officers for 2024 and 2023, as determined by the Board or Compensation Committee, as applicable:</w:t>
      </w:r>
    </w:p>
    <w:p>
      <w:pPr>
        <w:spacing w:after="0" w:line="129"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2024 Annual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2023 Annual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tcPr>
          <w:p>
            <w:pPr>
              <w:spacing w:after="0"/>
              <w:rPr>
                <w:sz w:val="16"/>
                <w:szCs w:val="16"/>
                <w:color w:val="auto"/>
              </w:rPr>
            </w:pPr>
          </w:p>
        </w:tc>
        <w:tc>
          <w:tcPr>
            <w:tcW w:w="66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9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Hoang</w:t>
            </w:r>
          </w:p>
        </w:tc>
        <w:tc>
          <w:tcPr>
            <w:tcW w:w="50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D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D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​156,884</w:t>
            </w:r>
          </w:p>
        </w:tc>
        <w:tc>
          <w:tcPr>
            <w:tcW w:w="160" w:type="dxa"/>
            <w:vAlign w:val="bottom"/>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w:t>
            </w:r>
          </w:p>
        </w:tc>
        <w:tc>
          <w:tcPr>
            <w:tcW w:w="11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​400,000</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​399,251</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500" w:type="dxa"/>
            <w:vAlign w:val="bottom"/>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D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D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DFF"/>
          </w:tcPr>
          <w:p>
            <w:pPr>
              <w:jc w:val="center"/>
              <w:ind w:left="78"/>
              <w:spacing w:after="0"/>
              <w:rPr>
                <w:sz w:val="20"/>
                <w:szCs w:val="20"/>
                <w:color w:val="auto"/>
              </w:rPr>
            </w:pPr>
            <w:r>
              <w:rPr>
                <w:rFonts w:ascii="Times New Roman" w:cs="Times New Roman" w:eastAsia="Times New Roman" w:hAnsi="Times New Roman"/>
                <w:sz w:val="18"/>
                <w:szCs w:val="18"/>
                <w:color w:val="auto"/>
              </w:rPr>
              <w:t>​135,346</w:t>
            </w:r>
          </w:p>
        </w:tc>
        <w:tc>
          <w:tcPr>
            <w:tcW w:w="160" w:type="dxa"/>
            <w:vAlign w:val="bottom"/>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Loiacono</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​175,915</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-676275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-676275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incentive compensation based on the satisfaction of individual and corporate performance objectives established by the Board. Each named executive officer has a target annual incentive opportunity, calculated as a percentage of annual base salary, and may earn more or less than the target amount based on our company’s and his or her individual performance. For 2024, the target annual incentive opportunities as a percentage of base salary for our named executive officers was 40% for Dr. Vera. For 2023, the target annual incentive opportunities as a percentage of base salary for our named executive officers were 40% for Dr. Vera, 50% for Mr. Hoang, 35% for Dr. Koneru and 35% Loiacono. The amounts of any annual incentives earned are determined after the end of the year, based on the achievement of the designated corporate and individual performance objectives, and may be paid in cash or equity-based awards.</w:t>
      </w:r>
    </w:p>
    <w:p>
      <w:pPr>
        <w:spacing w:after="0" w:line="32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For 2024 and 2023, annual incentives were earned based on the Compensation Committee’s assessment of each executive’s performance. The amounts of such annual incentives, which are set forth in the “Summary Compensation Table” above, were recommended by the Compensation Committee and approved by the Board in February 2024 and February 2023 based on each executive’s and our corporate performance in 2024 and 2023, respectively. The annual incentives paid to the named executive officers for 2024 performance are included in the “Non-Equity Incentive Plan Compensation” column of the Summary Compensation Table above.</w:t>
      </w: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2024, the Board did not grant any awards to any of its officers.</w:t>
      </w:r>
    </w:p>
    <w:p>
      <w:pPr>
        <w:spacing w:after="0" w:line="144"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For 2023, the Board determined not to pay Mr. Hoang an award and to pay 51% and 55% of these awards for Dr. Vera and Dr. Koneru, respectively, in the form of stock options. Such stock options were granted under the Company’s 2020 Plan and are set forth in the table below. These stock options vest in equal monthly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installments over a four-year period commencing on March 27, 2023, subject to each officer’s continuous service with us at each vesting date.</w:t>
      </w:r>
    </w:p>
    <w:p>
      <w:pPr>
        <w:spacing w:after="0" w:line="101"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Options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 In Lieu</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Earned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Annual Incentive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2023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spacing w:after="0"/>
              <w:rPr>
                <w:sz w:val="18"/>
                <w:szCs w:val="18"/>
                <w:color w:val="auto"/>
              </w:rPr>
            </w:pPr>
          </w:p>
        </w:tc>
        <w:tc>
          <w:tcPr>
            <w:tcW w:w="144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w w:val="98"/>
              </w:rPr>
              <w:t>Underlying Options)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spacing w:after="0"/>
              <w:rPr>
                <w:sz w:val="18"/>
                <w:szCs w:val="18"/>
                <w:color w:val="auto"/>
              </w:rPr>
            </w:pPr>
          </w:p>
        </w:tc>
        <w:tc>
          <w:tcPr>
            <w:tcW w:w="1380" w:type="dxa"/>
            <w:vAlign w:val="bottom"/>
            <w:tcBorders>
              <w:bottom w:val="single" w:sz="8" w:color="auto"/>
            </w:tcBorders>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2"/>
              </w:rPr>
              <w:t>Fair Value ($)</w:t>
            </w:r>
            <w:r>
              <w:rPr>
                <w:rFonts w:ascii="Times New Roman" w:cs="Times New Roman" w:eastAsia="Times New Roman" w:hAnsi="Times New Roman"/>
                <w:sz w:val="17"/>
                <w:szCs w:val="17"/>
                <w:b w:val="1"/>
                <w:bCs w:val="1"/>
                <w:color w:val="auto"/>
                <w:w w:val="92"/>
                <w:vertAlign w:val="superscript"/>
              </w:rPr>
              <w:t>(1)</w:t>
            </w: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25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440" w:type="dxa"/>
            <w:vAlign w:val="bottom"/>
            <w:shd w:val="clear" w:color="auto" w:fill="CCEDFF"/>
          </w:tcPr>
          <w:p>
            <w:pPr>
              <w:jc w:val="center"/>
              <w:ind w:left="3"/>
              <w:spacing w:after="0"/>
              <w:rPr>
                <w:sz w:val="20"/>
                <w:szCs w:val="20"/>
                <w:color w:val="auto"/>
              </w:rPr>
            </w:pPr>
            <w:r>
              <w:rPr>
                <w:rFonts w:ascii="Times New Roman" w:cs="Times New Roman" w:eastAsia="Times New Roman" w:hAnsi="Times New Roman"/>
                <w:sz w:val="18"/>
                <w:szCs w:val="18"/>
                <w:color w:val="auto"/>
              </w:rPr>
              <w:t>​46,487</w:t>
            </w:r>
          </w:p>
        </w:tc>
        <w:tc>
          <w:tcPr>
            <w:tcW w:w="300" w:type="dxa"/>
            <w:vAlign w:val="bottom"/>
            <w:gridSpan w:val="2"/>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DFF"/>
          </w:tcPr>
          <w:p>
            <w:pPr>
              <w:jc w:val="center"/>
              <w:ind w:left="57"/>
              <w:spacing w:after="0"/>
              <w:rPr>
                <w:sz w:val="20"/>
                <w:szCs w:val="20"/>
                <w:color w:val="auto"/>
              </w:rPr>
            </w:pPr>
            <w:r>
              <w:rPr>
                <w:rFonts w:ascii="Times New Roman" w:cs="Times New Roman" w:eastAsia="Times New Roman" w:hAnsi="Times New Roman"/>
                <w:sz w:val="18"/>
                <w:szCs w:val="18"/>
                <w:color w:val="auto"/>
              </w:rPr>
              <w:t>​$75,894</w:t>
            </w:r>
          </w:p>
        </w:tc>
        <w:tc>
          <w:tcPr>
            <w:tcW w:w="160" w:type="dxa"/>
            <w:vAlign w:val="bottom"/>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Mythili Koneru</w:t>
            </w:r>
          </w:p>
        </w:tc>
        <w:tc>
          <w:tcPr>
            <w:tcW w:w="1440" w:type="dxa"/>
            <w:vAlign w:val="bottom"/>
          </w:tcPr>
          <w:p>
            <w:pPr>
              <w:jc w:val="center"/>
              <w:ind w:left="3"/>
              <w:spacing w:after="0"/>
              <w:rPr>
                <w:sz w:val="20"/>
                <w:szCs w:val="20"/>
                <w:color w:val="auto"/>
              </w:rPr>
            </w:pPr>
            <w:r>
              <w:rPr>
                <w:rFonts w:ascii="Times New Roman" w:cs="Times New Roman" w:eastAsia="Times New Roman" w:hAnsi="Times New Roman"/>
                <w:sz w:val="18"/>
                <w:szCs w:val="18"/>
                <w:color w:val="auto"/>
              </w:rPr>
              <w:t>​51,918</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rPr>
              <w:t>​$84,757</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5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Michael Loiacono</w:t>
            </w:r>
          </w:p>
        </w:tc>
        <w:tc>
          <w:tcPr>
            <w:tcW w:w="1440" w:type="dxa"/>
            <w:vAlign w:val="bottom"/>
            <w:shd w:val="clear" w:color="auto" w:fill="CCEDFF"/>
          </w:tcPr>
          <w:p>
            <w:pPr>
              <w:jc w:val="center"/>
              <w:ind w:left="3"/>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38,480</w:t>
            </w:r>
          </w:p>
        </w:tc>
        <w:tc>
          <w:tcPr>
            <w:tcW w:w="300" w:type="dxa"/>
            <w:vAlign w:val="bottom"/>
            <w:gridSpan w:val="2"/>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DFF"/>
          </w:tcPr>
          <w:p>
            <w:pPr>
              <w:jc w:val="center"/>
              <w:ind w:left="57"/>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$62,819</w:t>
            </w:r>
          </w:p>
        </w:tc>
        <w:tc>
          <w:tcPr>
            <w:tcW w:w="160" w:type="dxa"/>
            <w:vAlign w:val="bottom"/>
            <w:shd w:val="clear" w:color="auto" w:fill="CCED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-548005</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-548005</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145415</wp:posOffset>
            </wp:positionV>
            <wp:extent cx="18345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53" w:lineRule="exact"/>
        <w:rPr>
          <w:sz w:val="20"/>
          <w:szCs w:val="20"/>
          <w:color w:val="auto"/>
        </w:rPr>
      </w:pPr>
    </w:p>
    <w:p>
      <w:pPr>
        <w:jc w:val="both"/>
        <w:ind w:left="2340" w:right="419" w:hanging="360"/>
        <w:spacing w:after="0" w:line="254" w:lineRule="auto"/>
        <w:tabs>
          <w:tab w:leader="none" w:pos="2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2023,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w:t>
      </w:r>
    </w:p>
    <w:p>
      <w:pPr>
        <w:spacing w:after="0" w:line="11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annual incentives paid to the named executive officers for 2024 and 2023 performance are included in the “Non-Equity Incentive Plan Compensation” column of the Summary Compensation Table above.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equity- 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Awards are granted pursuant to our 2020 Plan. Our executives generally are awarded an initial new hire grant upon commencement of employment and thereafter on an annual basis, subject to the discretion of the Board or Compensation Committee, as applicable. The equity awards described in this section are included in the “Option Awards” column of the Summary Compensation Table above.</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2024.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2024.</w:t>
      </w:r>
    </w:p>
    <w:p>
      <w:pPr>
        <w:spacing w:after="0" w:line="389" w:lineRule="exact"/>
        <w:rPr>
          <w:sz w:val="20"/>
          <w:szCs w:val="20"/>
          <w:color w:val="auto"/>
        </w:rPr>
      </w:pPr>
    </w:p>
    <w:p>
      <w:pPr>
        <w:jc w:val="both"/>
        <w:ind w:left="1260" w:right="419"/>
        <w:spacing w:after="0" w:line="30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77"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Peter Hoang</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entered into an employment agreement with Mr. Hoang in September 2017 and an amendment thereto in March 2019. The term of the agreement was for three years and automatically extended for successive additional 12 months terms unless terminated by Mr. Hoang or us. Under the terms of his employment agreement, Mr. Hoang was eligible to receive a base salary of $362,500, which was subsequently increased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18"/>
          <w:szCs w:val="18"/>
          <w:color w:val="auto"/>
        </w:rPr>
        <w:t>the Board to $380,000 by the March 2019 amendment, and an annual target incentive opportunity of up to 50% of his annual base salary based upon the assessment by the Board of Mr. Hoang’s performance and other conditions as the Board shall have determined in its sole discretion on an annual basis. Pursuant his employment agreement, Mr. Hoang was subject to a covenant not to disclose our confidential information during his employment term and an assignment of intellectual property rights. Also, during his employment term and for a period of 12 months thereafter, Mr. Hoang covenanted not to compete with us and not to solicit any of our customers, vendors or employees.</w:t>
      </w:r>
    </w:p>
    <w:p>
      <w:pPr>
        <w:spacing w:after="0" w:line="1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Under Mr. Hoang’s employment agreement, if his employment had been terminated by us for cause or by Mr. Hoang without good reason (each, as defined in his employment agreement) during the term of the agreement, he would have been entitled to received (i) his then-current annual base salary through the date of termination; (ii) any reimbursable expenses for which he had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 If Mr. Hoang’s employment was terminated by us without cause or by Mr. Hoang for good reason, subject to Mr. Hoang’s execution of a release of claims against us, and in addition to the payment of the Accrued Compensation, Mr. Hoang would have been entitled to (i) a payment equal to 12 months of his annual base salary, as in effect at the termination date; (ii) any earned but unpaid bonus for the prior calendar year; and (iii) a pro-rated bonus payment equal to his target annual performance bonus for the calendar year in which his employment was terminated provided that, Mr. Hoang had served a minimum of six months during the calendar year in which his termination occurred (the “Hoang Additional Severance Payments”). Mr. Hoang is eligible for continued health insurance coverage for 12 months after the date of Mr. Hoang’s termination. Further, if we did not renew Mr. Hoang’s employment agreement at the end of the term, Mr. Hoang would have been entitled to be paid 12 months of his annual base salary over a 12-month period.</w:t>
      </w:r>
    </w:p>
    <w:p>
      <w:pPr>
        <w:spacing w:after="0" w:line="19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If Mr. Hoang’s employment had been terminated by us without cause or by him for good reason during the period of six months following a change in control (as defined in his employment agreement), in lieu of the Hoang Additional Severance Payments and health insurance coverage described above, Mr. Hoang would have been entitled to receive a severance payment equal to the sum of (i) 18 months of his annual base salary, at the higher of the base salary rate in effect on the date of termination or the base salary rate in effect immediately before the effective date of the change in control, and (ii) his performance bonus for the year, which includes the effective date of the change in control, payable at the limit of performance amount. In addition, he would have also received in the same payment the amount of any performance bonus that, as of the date of termination, he had earned but had not yet been paid by us, and he would have been entitled to the vesting of all of outstanding equity awards, such that all such equity awards would have been fully vested as of the date of Mr. Hoang’s termination. Mr. Hoang would also have been eligible for continued health insurance coverage for 18 months after the date of his termination.</w:t>
      </w:r>
    </w:p>
    <w:p>
      <w:pPr>
        <w:spacing w:after="0" w:line="11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Mr. Hoang resigned as our President and Chief Executive Officer effective May 1, 2023. In connection with his resignation, Mr. Hoang and the Company entered into the Separation Agreement (the “Separation Agreement”), dated as of April 27, 2023, providing for the terms of Mr. Hoang’s separation from employment with the Company effective May 1, 2023. Under the Separation Agreement, the Company has agreed, provided that Mr. Hoang does not revoke the Separation Agreement during the seven-day period following his signing of the agreement, to provide Mr. Hoang with the following separation payments and benefits: (i) a payment equal to 12 months of his annual base salary, as in effect at the date of his separation from the Company, less all applicable taxes and withholdings, to be paid in a lump sum; and (ii) subject to Mr. Hoang’s election of COBRA, payment of the premiums for group health and/or dental insurance coverage under COBRA until the earlier of (a) May 30, 2024, (b) the date on which Mr. Hoang becomes eligible to receive group health insurance coverage through another employer, or (c) the date Mr. Hoang ceases to be eligible for COBRA continuation coverage for any reason. The Separation Agreement contains releases, subject to customary exceptions, and covenants not to disparage.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Juan Vera</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We entered into an employment agreement with Dr. Vera in July 2019. Under the terms of his employment agreement, Dr. Vera is eligible to receive a base salary of $350,000 and an annual target incentive opportunity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of 35% of his annual base salary based upon the assessment by the Compensation Committee of Dr. Vera’s performance and other conditions as the Board shall have determined in its sole discretion on an annual basis. Pursuant to his employment agreement, Dr. Vera is subject to a covenant not to disclose our confidential information during his employment term and an assignment of intellectual property rights. Also, during his employment term and for a period of 12 months thereafter, Dr. Vera has covenanted not to compete with us and not to solicit any of our customers, vendors or employees.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Under Dr. Vera’s employment agreement, if his employment is terminated by us for cause or by Dr. Vera without good reason (each as defined in his employment agreement) during the term of the agreement, he will be entitled to receive his Accrued Compensation. If Dr. Vera’s employment is terminated by us without cause or by Dr. Vera for good reason, subject to Dr. Vera’s execution of a release of claims against us, and in addition to the payment of the Accrued Compensation, Dr. Vera will be entitled to (i) a payment equal to 12 months of his annual base salary as in effect at the termination date and (ii) a pro-rated bonus payment equal to his target annual performance bonus for the calendar year in which his employment was terminated (the “Vera Additional Severance Payments”). Dr. Vera will also be eligible for continued health insurance coverage until the earliest of (i) 12 months after the date of Dr. Vera’s termination, (ii) the expiration of Dr. Vera’s eligibility for COBRA coverage and (iii) the date Dr. Vera becomes eligible for substantially equivalent health insurance coverage.</w:t>
      </w:r>
    </w:p>
    <w:p>
      <w:pPr>
        <w:spacing w:after="0" w:line="32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If Dr. Vera’s employment is terminated by us without cause or by him for good reason during the period of 12 months following a change in control of us (as defined in his employment agreement), in lieu of the Additional Severance Payments and health insurance coverage described above and subject to Dr. Vera’s execution of a release of claims, Dr. Vera will be entitled to (i) a payment equal to 12 months of his annual base salary as in effect at the termination date, (ii) a bonus payment equal to his target annual performance bonus for the year of termination and (iii) vesting of all of Dr. Vera’s outstanding equity awards subject to time-based vesting requirements, such that all such equity awards will be fully vested as of the date of Dr. Vera’s termination.</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Mythili Koneru</w:t>
      </w:r>
    </w:p>
    <w:p>
      <w:pPr>
        <w:spacing w:after="0" w:line="148"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We entered into an employment agreement with Dr. Koneru in February 2019. Under the terms of her employment agreement, Dr. Koneru was eligible to receive a base salary of $350,000 and an annual target incentive opportunity of 35% of her annual base salary based upon the assessment by the Compensation Committee of Dr. Koneru’s performance and other conditions as the Board shall have determined in its sole discretion on an annual basis. Pursuant to her employment agreement, Dr. Koneru was subject to a covenant not to disclose our confidential information during her employment term and an assignment of intellectual property rights. Also, during her employment term and for a period of 12 months thereafter, Dr. Koneru covenanted not to compete with us and not to solicit any of our customers, vendors or employees.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Under Dr. Koneru’s employment agreement, if her employment had been terminated by us for cause or by Dr. Koneru without good reason (each as defined in her employment agreement) during the term of the agreement, she would have been entitled to receive her Accrued Compensation. If Dr. Koneru’s employment was terminated by us without cause or by Dr. Koneru for good reason, subject to Dr. Koneru’s execution of a release of claims against us, and in addition to the payment of the Accrued Compensation, Dr. Koneru would have been entitled to (i) a payment equal to 12 months of her annual base salary as in effect at the termination date and (ii) a pro-rated bonus payment equal to her target annual performance bonus for the calendar year in which her employment was terminated (the “Koneru Additional Severance Payments”). Dr. Koneru would have also been eligible for continued health insurance coverage until the earliest of 12 months after the date of Dr. Koneru’s termination, (ii) the expiration of Dr. Koneru’s eligibility for COBRA coverage and (iii) the date Dr. Koneru becomes eligible for substantially equivalent health insurance coverage.</w:t>
      </w:r>
    </w:p>
    <w:p>
      <w:pPr>
        <w:spacing w:after="0" w:line="333"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If Dr. Koneru’s employment had been terminated by us without cause or by her for good reason during the period of 12 months following a change in control of us (as defined in her employment agreement), in lieu of the Additional Severance Payments and health insurance coverage described above and subject to Dr. Koneru’s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execution of a release of claims, Dr. Koneru would have been entitled to (i) a payment equal to 12 months of her annual base salary as in effect at the termination date, (ii) a bonus payment equal to her target annual performance bonus for the year of termination and (iii) vesting of all of Dr. Koneru’s outstanding equity awards subject to time-based vesting requirements, such that all such equity awards would have been fully vested as of the date of Dr. Koneru’s termination.</w:t>
      </w:r>
    </w:p>
    <w:p>
      <w:pPr>
        <w:spacing w:after="0" w:line="105"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Dr. Koneru resigned as our Chief Medical Officer in April 2023 and pursuant to the terms of her employment agreement was not eligible for any of the severance benefits described above.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Michael Loiacono</w:t>
      </w:r>
    </w:p>
    <w:p>
      <w:pPr>
        <w:spacing w:after="0" w:line="148"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We entered into an employment agreement with Mr. Loiacono in August 2016, which was later amended on November 27, 2018. Under the terms of his employment agreement, Mr. Loiacono was eligible to receive a base salary of $275,000 and an annual performance bonus of up to thirty-five percent (35%) of his annual base salary, based on goals and other conditions as the Board (or duly authorized committee thereof), shall determine in its sole discretion on an annual basis. Pursuant to his employment agreement, Mr. Loiacono was subject to a covenant not to disclose our confidential information during his employment term and an assignment of intellectual property rights. Also, during his employment term and for a period of 12 months thereafter, Mr. Loiacono covenanted not to compete with us and not to solicit any of our customers, vendors or employees.</w:t>
      </w: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60"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Under Mr. Loiacono’s employment agreement, if his employment had been terminated by us for cause or by Mr. Loiacono without good reason (each as defined in his employment agreement) during the term of the agreement, he would have been entitled to receive his Accrued Compensation. If Mr. Loiacono’s employment was terminated by us without cause or by Mr. Loiacono for good reason, subject to Mr. Loiacono’s execution of a release of claims against us, and in addition to the payment of the Accrued Compensation, Mr. Loiacono would have been entitled to a payment equal to 12 months of his annual base salary as in effect at the termination date. In addition, he also was entitled to receive upon termination any annual performance bonus that, as of the date of termination, has been earned by Mr. Loiacono but has not yet been paid by the Company to Mr. Loiacono for the calendar year prior to the calendar year in which termination occurs. For the calendar year in which termination occurs, he also was entitled to receive an Annual Performance Bonus payable at the highest performance amount for the pro rata portion of the calendar year he served the Company, provided that, he had served a minimum of six months during the calendar year of any termination under this subsection. In addition, the Company shall pay the cost for Mr. Loiacono to continue his health insurance benefits under COBRA for a period of twelve (12) months after termination of employment, or the Company will fund an alternative health care insurance plan for the same dollar amount as would be payable under COBRA for such period (collectively, the “Loiacono Additional Severance Payments”).</w:t>
      </w:r>
    </w:p>
    <w:p>
      <w:pPr>
        <w:spacing w:after="0" w:line="354"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If Mr. Loiacono’s employment had been terminated by us without cause or by him for good reason during the period of 12 months following a change in control of us (as defined in his employment agreement), in lieu of the Loiacono Additional Severance Payments described above and subject to Mr. Loiacono’s execution of a release of claims, Mr. Loiacono would have been entitled to (i) a payment equal to eight months of his annual base salary as in effect at the termination date and (ii) a bonus payment equal to his target annual performance bonus for the year of termination. Mr. Loiacono would have also been eligible for continued health insurance coverage until the earliest of (i) eight months after the date of Mr. Loiacono’s termination, (ii) the expiration of Mr. Loiacono’s eligibility for COBRA coverage and (iii) the date Mr. Loiacono becomes eligible for substantially equivalent health insurance coverage.</w:t>
      </w:r>
    </w:p>
    <w:p>
      <w:pPr>
        <w:spacing w:after="0" w:line="111"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Effective June 30, 2023, Mr. Loiacono was separated from the Company. In recognition of Mr. Loiacono’s service to the Company, the Company has agreed to provide Mr. Loiacono with severance benefits that are consistent with those contemplated by his Employment Agreement, as amended as of November 27, 2018, by and between the Company and Mr. Loiacono (the “Employment Agreement”) upon Mr. Loiacono’s execution of a release agreement, the form of which is included in his Employment Agreement.</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31, 2024</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2024, as adjusted for the ten-for-one (10:1) reverse stock split we completed on January 26, 2023 (the “Reverse Stock Split”).</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58"/>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3"/>
                <w:szCs w:val="13"/>
                <w:color w:val="auto"/>
              </w:rPr>
            </w:pPr>
          </w:p>
        </w:tc>
        <w:tc>
          <w:tcPr>
            <w:tcW w:w="14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9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Option</w:t>
            </w:r>
          </w:p>
        </w:tc>
      </w:tr>
      <w:tr>
        <w:trPr>
          <w:trHeight w:val="214"/>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Exercisable</w:t>
            </w: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 Unexercisable</w:t>
            </w:r>
            <w:r>
              <w:rPr>
                <w:rFonts w:ascii="Times New Roman" w:cs="Times New Roman" w:eastAsia="Times New Roman" w:hAnsi="Times New Roman"/>
                <w:sz w:val="17"/>
                <w:szCs w:val="17"/>
                <w:b w:val="1"/>
                <w:bCs w:val="1"/>
                <w:color w:val="auto"/>
                <w:w w:val="95"/>
                <w:vertAlign w:val="superscript"/>
              </w:rPr>
              <w:t>(4)</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r>
      <w:tr>
        <w:trPr>
          <w:trHeight w:val="228"/>
        </w:trPr>
        <w:tc>
          <w:tcPr>
            <w:tcW w:w="262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00" w:type="dxa"/>
            <w:vAlign w:val="bottom"/>
            <w:tcBorders>
              <w:top w:val="single" w:sz="8" w:color="CCEDFF"/>
            </w:tcBorders>
            <w:shd w:val="clear" w:color="auto" w:fill="CCEDFF"/>
          </w:tcPr>
          <w:p>
            <w:pPr>
              <w:spacing w:after="0"/>
              <w:rPr>
                <w:sz w:val="19"/>
                <w:szCs w:val="19"/>
                <w:color w:val="auto"/>
              </w:rPr>
            </w:pPr>
          </w:p>
        </w:tc>
        <w:tc>
          <w:tcPr>
            <w:tcW w:w="120" w:type="dxa"/>
            <w:vAlign w:val="bottom"/>
            <w:tcBorders>
              <w:top w:val="single" w:sz="8" w:color="CCEDFF"/>
            </w:tcBorders>
            <w:shd w:val="clear" w:color="auto" w:fill="CCEDFF"/>
          </w:tcPr>
          <w:p>
            <w:pPr>
              <w:spacing w:after="0"/>
              <w:rPr>
                <w:sz w:val="19"/>
                <w:szCs w:val="19"/>
                <w:color w:val="auto"/>
              </w:rPr>
            </w:pPr>
          </w:p>
        </w:tc>
        <w:tc>
          <w:tcPr>
            <w:tcW w:w="8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5/10/2023</w:t>
            </w:r>
          </w:p>
        </w:tc>
        <w:tc>
          <w:tcPr>
            <w:tcW w:w="100" w:type="dxa"/>
            <w:vAlign w:val="bottom"/>
            <w:tcBorders>
              <w:top w:val="single" w:sz="8" w:color="CCEDFF"/>
            </w:tcBorders>
            <w:shd w:val="clear" w:color="auto" w:fill="CCEDFF"/>
          </w:tcPr>
          <w:p>
            <w:pPr>
              <w:spacing w:after="0"/>
              <w:rPr>
                <w:sz w:val="19"/>
                <w:szCs w:val="19"/>
                <w:color w:val="auto"/>
              </w:rPr>
            </w:pPr>
          </w:p>
        </w:tc>
        <w:tc>
          <w:tcPr>
            <w:tcW w:w="100" w:type="dxa"/>
            <w:vAlign w:val="bottom"/>
            <w:tcBorders>
              <w:top w:val="single" w:sz="8" w:color="CCEDFF"/>
            </w:tcBorders>
            <w:shd w:val="clear" w:color="auto" w:fill="CCEDFF"/>
          </w:tcPr>
          <w:p>
            <w:pPr>
              <w:spacing w:after="0"/>
              <w:rPr>
                <w:sz w:val="19"/>
                <w:szCs w:val="19"/>
                <w:color w:val="auto"/>
              </w:rPr>
            </w:pPr>
          </w:p>
        </w:tc>
        <w:tc>
          <w:tcPr>
            <w:tcW w:w="940" w:type="dxa"/>
            <w:vAlign w:val="bottom"/>
            <w:tcBorders>
              <w:top w:val="single" w:sz="8" w:color="auto"/>
            </w:tcBorders>
            <w:shd w:val="clear" w:color="auto" w:fill="CCED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DFF"/>
            </w:tcBorders>
            <w:shd w:val="clear" w:color="auto" w:fill="CCEDFF"/>
          </w:tcPr>
          <w:p>
            <w:pPr>
              <w:spacing w:after="0"/>
              <w:rPr>
                <w:sz w:val="19"/>
                <w:szCs w:val="19"/>
                <w:color w:val="auto"/>
              </w:rPr>
            </w:pPr>
          </w:p>
        </w:tc>
        <w:tc>
          <w:tcPr>
            <w:tcW w:w="1220" w:type="dxa"/>
            <w:vAlign w:val="bottom"/>
            <w:tcBorders>
              <w:top w:val="single" w:sz="8" w:color="auto"/>
            </w:tcBorders>
            <w:shd w:val="clear" w:color="auto" w:fill="CCED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top w:val="single" w:sz="8" w:color="CCEDFF"/>
            </w:tcBorders>
            <w:shd w:val="clear" w:color="auto" w:fill="CCEDFF"/>
          </w:tcPr>
          <w:p>
            <w:pPr>
              <w:spacing w:after="0"/>
              <w:rPr>
                <w:sz w:val="19"/>
                <w:szCs w:val="19"/>
                <w:color w:val="auto"/>
              </w:rPr>
            </w:pPr>
          </w:p>
        </w:tc>
        <w:tc>
          <w:tcPr>
            <w:tcW w:w="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top w:val="single" w:sz="8" w:color="CCEDFF"/>
            </w:tcBorders>
            <w:shd w:val="clear" w:color="auto" w:fill="CCEDFF"/>
          </w:tcPr>
          <w:p>
            <w:pPr>
              <w:spacing w:after="0"/>
              <w:rPr>
                <w:sz w:val="19"/>
                <w:szCs w:val="19"/>
                <w:color w:val="auto"/>
              </w:rPr>
            </w:pPr>
          </w:p>
        </w:tc>
        <w:tc>
          <w:tcPr>
            <w:tcW w:w="9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5/10/33</w:t>
            </w:r>
          </w:p>
        </w:tc>
      </w:tr>
      <w:tr>
        <w:trPr>
          <w:trHeight w:val="265"/>
        </w:trPr>
        <w:tc>
          <w:tcPr>
            <w:tcW w:w="2620" w:type="dxa"/>
            <w:vAlign w:val="bottom"/>
            <w:shd w:val="clear" w:color="auto" w:fill="CCEDFF"/>
          </w:tcPr>
          <w:p>
            <w:pPr>
              <w:spacing w:after="0"/>
              <w:rPr>
                <w:sz w:val="23"/>
                <w:szCs w:val="23"/>
                <w:color w:val="auto"/>
              </w:rPr>
            </w:pPr>
          </w:p>
        </w:tc>
        <w:tc>
          <w:tcPr>
            <w:tcW w:w="100" w:type="dxa"/>
            <w:vAlign w:val="bottom"/>
            <w:shd w:val="clear" w:color="auto" w:fill="CCEDFF"/>
          </w:tcPr>
          <w:p>
            <w:pPr>
              <w:spacing w:after="0"/>
              <w:rPr>
                <w:sz w:val="23"/>
                <w:szCs w:val="23"/>
                <w:color w:val="auto"/>
              </w:rPr>
            </w:pPr>
          </w:p>
        </w:tc>
        <w:tc>
          <w:tcPr>
            <w:tcW w:w="120" w:type="dxa"/>
            <w:vAlign w:val="bottom"/>
            <w:shd w:val="clear" w:color="auto" w:fill="CCEDFF"/>
          </w:tcPr>
          <w:p>
            <w:pPr>
              <w:spacing w:after="0"/>
              <w:rPr>
                <w:sz w:val="23"/>
                <w:szCs w:val="23"/>
                <w:color w:val="auto"/>
              </w:rPr>
            </w:pPr>
          </w:p>
        </w:tc>
        <w:tc>
          <w:tcPr>
            <w:tcW w:w="94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2/27/2023</w:t>
            </w:r>
          </w:p>
        </w:tc>
        <w:tc>
          <w:tcPr>
            <w:tcW w:w="1040" w:type="dxa"/>
            <w:vAlign w:val="bottom"/>
            <w:gridSpan w:val="2"/>
            <w:shd w:val="clear" w:color="auto" w:fill="CCEDFF"/>
          </w:tcPr>
          <w:p>
            <w:pPr>
              <w:jc w:val="right"/>
              <w:ind w:right="139"/>
              <w:spacing w:after="0"/>
              <w:rPr>
                <w:sz w:val="20"/>
                <w:szCs w:val="20"/>
                <w:color w:val="auto"/>
              </w:rPr>
            </w:pPr>
            <w:r>
              <w:rPr>
                <w:rFonts w:ascii="Times New Roman" w:cs="Times New Roman" w:eastAsia="Times New Roman" w:hAnsi="Times New Roman"/>
                <w:sz w:val="18"/>
                <w:szCs w:val="18"/>
                <w:color w:val="auto"/>
              </w:rPr>
              <w:t>9,680</w:t>
            </w:r>
          </w:p>
        </w:tc>
        <w:tc>
          <w:tcPr>
            <w:tcW w:w="1440" w:type="dxa"/>
            <w:vAlign w:val="bottom"/>
            <w:gridSpan w:val="2"/>
            <w:shd w:val="clear" w:color="auto" w:fill="CCEDFF"/>
          </w:tcPr>
          <w:p>
            <w:pPr>
              <w:jc w:val="right"/>
              <w:ind w:right="240"/>
              <w:spacing w:after="0"/>
              <w:rPr>
                <w:sz w:val="20"/>
                <w:szCs w:val="20"/>
                <w:color w:val="auto"/>
              </w:rPr>
            </w:pPr>
            <w:r>
              <w:rPr>
                <w:rFonts w:ascii="Times New Roman" w:cs="Times New Roman" w:eastAsia="Times New Roman" w:hAnsi="Times New Roman"/>
                <w:sz w:val="18"/>
                <w:szCs w:val="18"/>
                <w:color w:val="auto"/>
              </w:rPr>
              <w:t>36,807</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2/27/32</w:t>
            </w:r>
          </w:p>
        </w:tc>
      </w:tr>
      <w:tr>
        <w:trPr>
          <w:trHeight w:val="270"/>
        </w:trPr>
        <w:tc>
          <w:tcPr>
            <w:tcW w:w="2620" w:type="dxa"/>
            <w:vAlign w:val="bottom"/>
            <w:shd w:val="clear" w:color="auto" w:fill="CCEDFF"/>
          </w:tcPr>
          <w:p>
            <w:pPr>
              <w:spacing w:after="0"/>
              <w:rPr>
                <w:sz w:val="23"/>
                <w:szCs w:val="23"/>
                <w:color w:val="auto"/>
              </w:rPr>
            </w:pPr>
          </w:p>
        </w:tc>
        <w:tc>
          <w:tcPr>
            <w:tcW w:w="100" w:type="dxa"/>
            <w:vAlign w:val="bottom"/>
            <w:shd w:val="clear" w:color="auto" w:fill="CCEDFF"/>
          </w:tcPr>
          <w:p>
            <w:pPr>
              <w:spacing w:after="0"/>
              <w:rPr>
                <w:sz w:val="23"/>
                <w:szCs w:val="23"/>
                <w:color w:val="auto"/>
              </w:rPr>
            </w:pPr>
          </w:p>
        </w:tc>
        <w:tc>
          <w:tcPr>
            <w:tcW w:w="120" w:type="dxa"/>
            <w:vAlign w:val="bottom"/>
            <w:shd w:val="clear" w:color="auto" w:fill="CCEDFF"/>
          </w:tcPr>
          <w:p>
            <w:pPr>
              <w:spacing w:after="0"/>
              <w:rPr>
                <w:sz w:val="23"/>
                <w:szCs w:val="23"/>
                <w:color w:val="auto"/>
              </w:rPr>
            </w:pPr>
          </w:p>
        </w:tc>
        <w:tc>
          <w:tcPr>
            <w:tcW w:w="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2/17/2022</w:t>
            </w:r>
          </w:p>
        </w:tc>
        <w:tc>
          <w:tcPr>
            <w:tcW w:w="100" w:type="dxa"/>
            <w:vAlign w:val="bottom"/>
            <w:shd w:val="clear" w:color="auto" w:fill="CCEDFF"/>
          </w:tcPr>
          <w:p>
            <w:pPr>
              <w:spacing w:after="0"/>
              <w:rPr>
                <w:sz w:val="23"/>
                <w:szCs w:val="23"/>
                <w:color w:val="auto"/>
              </w:rPr>
            </w:pPr>
          </w:p>
        </w:tc>
        <w:tc>
          <w:tcPr>
            <w:tcW w:w="1040" w:type="dxa"/>
            <w:vAlign w:val="bottom"/>
            <w:gridSpan w:val="2"/>
            <w:shd w:val="clear" w:color="auto" w:fill="CCEDFF"/>
          </w:tcPr>
          <w:p>
            <w:pPr>
              <w:jc w:val="right"/>
              <w:ind w:right="139"/>
              <w:spacing w:after="0"/>
              <w:rPr>
                <w:sz w:val="20"/>
                <w:szCs w:val="20"/>
                <w:color w:val="auto"/>
              </w:rPr>
            </w:pPr>
            <w:r>
              <w:rPr>
                <w:rFonts w:ascii="Times New Roman" w:cs="Times New Roman" w:eastAsia="Times New Roman" w:hAnsi="Times New Roman"/>
                <w:sz w:val="18"/>
                <w:szCs w:val="18"/>
                <w:color w:val="auto"/>
              </w:rPr>
              <w:t>7,336</w:t>
            </w:r>
          </w:p>
        </w:tc>
        <w:tc>
          <w:tcPr>
            <w:tcW w:w="1440" w:type="dxa"/>
            <w:vAlign w:val="bottom"/>
            <w:gridSpan w:val="2"/>
            <w:shd w:val="clear" w:color="auto" w:fill="CCEDFF"/>
          </w:tcPr>
          <w:p>
            <w:pPr>
              <w:jc w:val="right"/>
              <w:ind w:right="240"/>
              <w:spacing w:after="0"/>
              <w:rPr>
                <w:sz w:val="20"/>
                <w:szCs w:val="20"/>
                <w:color w:val="auto"/>
              </w:rPr>
            </w:pPr>
            <w:r>
              <w:rPr>
                <w:rFonts w:ascii="Times New Roman" w:cs="Times New Roman" w:eastAsia="Times New Roman" w:hAnsi="Times New Roman"/>
                <w:sz w:val="18"/>
                <w:szCs w:val="18"/>
                <w:color w:val="auto"/>
              </w:rPr>
              <w:t>8,665</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2/17/2032</w:t>
            </w:r>
          </w:p>
        </w:tc>
      </w:tr>
      <w:tr>
        <w:trPr>
          <w:trHeight w:val="270"/>
        </w:trPr>
        <w:tc>
          <w:tcPr>
            <w:tcW w:w="2620" w:type="dxa"/>
            <w:vAlign w:val="bottom"/>
            <w:shd w:val="clear" w:color="auto" w:fill="CCEDFF"/>
          </w:tcPr>
          <w:p>
            <w:pPr>
              <w:spacing w:after="0"/>
              <w:rPr>
                <w:sz w:val="23"/>
                <w:szCs w:val="23"/>
                <w:color w:val="auto"/>
              </w:rPr>
            </w:pPr>
          </w:p>
        </w:tc>
        <w:tc>
          <w:tcPr>
            <w:tcW w:w="100" w:type="dxa"/>
            <w:vAlign w:val="bottom"/>
            <w:shd w:val="clear" w:color="auto" w:fill="CCEDFF"/>
          </w:tcPr>
          <w:p>
            <w:pPr>
              <w:spacing w:after="0"/>
              <w:rPr>
                <w:sz w:val="23"/>
                <w:szCs w:val="23"/>
                <w:color w:val="auto"/>
              </w:rPr>
            </w:pPr>
          </w:p>
        </w:tc>
        <w:tc>
          <w:tcPr>
            <w:tcW w:w="120" w:type="dxa"/>
            <w:vAlign w:val="bottom"/>
            <w:shd w:val="clear" w:color="auto" w:fill="CCEDFF"/>
          </w:tcPr>
          <w:p>
            <w:pPr>
              <w:spacing w:after="0"/>
              <w:rPr>
                <w:sz w:val="23"/>
                <w:szCs w:val="23"/>
                <w:color w:val="auto"/>
              </w:rPr>
            </w:pPr>
          </w:p>
        </w:tc>
        <w:tc>
          <w:tcPr>
            <w:tcW w:w="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2/10/2021</w:t>
            </w:r>
          </w:p>
        </w:tc>
        <w:tc>
          <w:tcPr>
            <w:tcW w:w="100" w:type="dxa"/>
            <w:vAlign w:val="bottom"/>
            <w:shd w:val="clear" w:color="auto" w:fill="CCEDFF"/>
          </w:tcPr>
          <w:p>
            <w:pPr>
              <w:spacing w:after="0"/>
              <w:rPr>
                <w:sz w:val="23"/>
                <w:szCs w:val="23"/>
                <w:color w:val="auto"/>
              </w:rPr>
            </w:pPr>
          </w:p>
        </w:tc>
        <w:tc>
          <w:tcPr>
            <w:tcW w:w="1040" w:type="dxa"/>
            <w:vAlign w:val="bottom"/>
            <w:gridSpan w:val="2"/>
            <w:shd w:val="clear" w:color="auto" w:fill="CCEDFF"/>
          </w:tcPr>
          <w:p>
            <w:pPr>
              <w:jc w:val="right"/>
              <w:ind w:right="139"/>
              <w:spacing w:after="0"/>
              <w:rPr>
                <w:sz w:val="20"/>
                <w:szCs w:val="20"/>
                <w:color w:val="auto"/>
              </w:rPr>
            </w:pPr>
            <w:r>
              <w:rPr>
                <w:rFonts w:ascii="Times New Roman" w:cs="Times New Roman" w:eastAsia="Times New Roman" w:hAnsi="Times New Roman"/>
                <w:sz w:val="18"/>
                <w:szCs w:val="18"/>
                <w:color w:val="auto"/>
              </w:rPr>
              <w:t>9,923</w:t>
            </w:r>
          </w:p>
        </w:tc>
        <w:tc>
          <w:tcPr>
            <w:tcW w:w="1440" w:type="dxa"/>
            <w:vAlign w:val="bottom"/>
            <w:gridSpan w:val="2"/>
            <w:shd w:val="clear" w:color="auto" w:fill="CCEDFF"/>
          </w:tcPr>
          <w:p>
            <w:pPr>
              <w:jc w:val="right"/>
              <w:ind w:right="240"/>
              <w:spacing w:after="0"/>
              <w:rPr>
                <w:sz w:val="20"/>
                <w:szCs w:val="20"/>
                <w:color w:val="auto"/>
              </w:rPr>
            </w:pPr>
            <w:r>
              <w:rPr>
                <w:rFonts w:ascii="Times New Roman" w:cs="Times New Roman" w:eastAsia="Times New Roman" w:hAnsi="Times New Roman"/>
                <w:sz w:val="18"/>
                <w:szCs w:val="18"/>
                <w:color w:val="auto"/>
              </w:rPr>
              <w:t>4,077</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2/10/2031</w:t>
            </w:r>
          </w:p>
        </w:tc>
      </w:tr>
      <w:tr>
        <w:trPr>
          <w:trHeight w:val="270"/>
        </w:trPr>
        <w:tc>
          <w:tcPr>
            <w:tcW w:w="2620" w:type="dxa"/>
            <w:vAlign w:val="bottom"/>
            <w:shd w:val="clear" w:color="auto" w:fill="CCEDFF"/>
          </w:tcPr>
          <w:p>
            <w:pPr>
              <w:spacing w:after="0"/>
              <w:rPr>
                <w:sz w:val="23"/>
                <w:szCs w:val="23"/>
                <w:color w:val="auto"/>
              </w:rPr>
            </w:pPr>
          </w:p>
        </w:tc>
        <w:tc>
          <w:tcPr>
            <w:tcW w:w="100" w:type="dxa"/>
            <w:vAlign w:val="bottom"/>
            <w:shd w:val="clear" w:color="auto" w:fill="CCEDFF"/>
          </w:tcPr>
          <w:p>
            <w:pPr>
              <w:spacing w:after="0"/>
              <w:rPr>
                <w:sz w:val="23"/>
                <w:szCs w:val="23"/>
                <w:color w:val="auto"/>
              </w:rPr>
            </w:pPr>
          </w:p>
        </w:tc>
        <w:tc>
          <w:tcPr>
            <w:tcW w:w="120" w:type="dxa"/>
            <w:vAlign w:val="bottom"/>
            <w:shd w:val="clear" w:color="auto" w:fill="CCEDFF"/>
          </w:tcPr>
          <w:p>
            <w:pPr>
              <w:spacing w:after="0"/>
              <w:rPr>
                <w:sz w:val="23"/>
                <w:szCs w:val="23"/>
                <w:color w:val="auto"/>
              </w:rPr>
            </w:pPr>
          </w:p>
        </w:tc>
        <w:tc>
          <w:tcPr>
            <w:tcW w:w="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3/10/2020</w:t>
            </w:r>
          </w:p>
        </w:tc>
        <w:tc>
          <w:tcPr>
            <w:tcW w:w="100" w:type="dxa"/>
            <w:vAlign w:val="bottom"/>
            <w:shd w:val="clear" w:color="auto" w:fill="CCEDFF"/>
          </w:tcPr>
          <w:p>
            <w:pPr>
              <w:spacing w:after="0"/>
              <w:rPr>
                <w:sz w:val="23"/>
                <w:szCs w:val="23"/>
                <w:color w:val="auto"/>
              </w:rPr>
            </w:pPr>
          </w:p>
        </w:tc>
        <w:tc>
          <w:tcPr>
            <w:tcW w:w="100" w:type="dxa"/>
            <w:vAlign w:val="bottom"/>
            <w:shd w:val="clear" w:color="auto" w:fill="CCEDFF"/>
          </w:tcPr>
          <w:p>
            <w:pPr>
              <w:spacing w:after="0"/>
              <w:rPr>
                <w:sz w:val="23"/>
                <w:szCs w:val="23"/>
                <w:color w:val="auto"/>
              </w:rPr>
            </w:pPr>
          </w:p>
        </w:tc>
        <w:tc>
          <w:tcPr>
            <w:tcW w:w="940" w:type="dxa"/>
            <w:vAlign w:val="bottom"/>
            <w:shd w:val="clear" w:color="auto" w:fill="CCEDFF"/>
          </w:tcPr>
          <w:p>
            <w:pPr>
              <w:jc w:val="right"/>
              <w:ind w:right="139"/>
              <w:spacing w:after="0"/>
              <w:rPr>
                <w:sz w:val="20"/>
                <w:szCs w:val="20"/>
                <w:color w:val="auto"/>
              </w:rPr>
            </w:pPr>
            <w:r>
              <w:rPr>
                <w:rFonts w:ascii="Times New Roman" w:cs="Times New Roman" w:eastAsia="Times New Roman" w:hAnsi="Times New Roman"/>
                <w:sz w:val="18"/>
                <w:szCs w:val="18"/>
                <w:color w:val="auto"/>
              </w:rPr>
              <w:t>13,127</w:t>
            </w:r>
          </w:p>
        </w:tc>
        <w:tc>
          <w:tcPr>
            <w:tcW w:w="1440" w:type="dxa"/>
            <w:vAlign w:val="bottom"/>
            <w:gridSpan w:val="2"/>
            <w:shd w:val="clear" w:color="auto" w:fill="CCEDFF"/>
          </w:tcPr>
          <w:p>
            <w:pPr>
              <w:jc w:val="right"/>
              <w:ind w:right="240"/>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3/10/2030</w:t>
            </w:r>
          </w:p>
        </w:tc>
      </w:tr>
      <w:tr>
        <w:trPr>
          <w:trHeight w:val="277"/>
        </w:trPr>
        <w:tc>
          <w:tcPr>
            <w:tcW w:w="2620" w:type="dxa"/>
            <w:vAlign w:val="bottom"/>
            <w:tcBorders>
              <w:bottom w:val="single" w:sz="8" w:color="CCEDFF"/>
            </w:tcBorders>
            <w:shd w:val="clear" w:color="auto" w:fill="CCEDFF"/>
          </w:tcPr>
          <w:p>
            <w:pPr>
              <w:spacing w:after="0"/>
              <w:rPr>
                <w:sz w:val="24"/>
                <w:szCs w:val="24"/>
                <w:color w:val="auto"/>
              </w:rPr>
            </w:pPr>
          </w:p>
        </w:tc>
        <w:tc>
          <w:tcPr>
            <w:tcW w:w="10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CCEDFF"/>
            </w:tcBorders>
            <w:shd w:val="clear" w:color="auto" w:fill="CCEDFF"/>
          </w:tcPr>
          <w:p>
            <w:pPr>
              <w:spacing w:after="0"/>
              <w:rPr>
                <w:sz w:val="24"/>
                <w:szCs w:val="24"/>
                <w:color w:val="auto"/>
              </w:rPr>
            </w:pPr>
          </w:p>
        </w:tc>
        <w:tc>
          <w:tcPr>
            <w:tcW w:w="8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9"/>
              </w:rPr>
              <w:t>10/19/2018</w:t>
            </w:r>
          </w:p>
        </w:tc>
        <w:tc>
          <w:tcPr>
            <w:tcW w:w="100" w:type="dxa"/>
            <w:vAlign w:val="bottom"/>
            <w:tcBorders>
              <w:bottom w:val="single" w:sz="8" w:color="CCEDFF"/>
            </w:tcBorders>
            <w:shd w:val="clear" w:color="auto" w:fill="CCEDFF"/>
          </w:tcPr>
          <w:p>
            <w:pPr>
              <w:spacing w:after="0"/>
              <w:rPr>
                <w:sz w:val="24"/>
                <w:szCs w:val="24"/>
                <w:color w:val="auto"/>
              </w:rPr>
            </w:pPr>
          </w:p>
        </w:tc>
        <w:tc>
          <w:tcPr>
            <w:tcW w:w="100" w:type="dxa"/>
            <w:vAlign w:val="bottom"/>
            <w:tcBorders>
              <w:bottom w:val="single" w:sz="8" w:color="CCEDFF"/>
            </w:tcBorders>
            <w:shd w:val="clear" w:color="auto" w:fill="CCEDFF"/>
          </w:tcPr>
          <w:p>
            <w:pPr>
              <w:spacing w:after="0"/>
              <w:rPr>
                <w:sz w:val="24"/>
                <w:szCs w:val="24"/>
                <w:color w:val="auto"/>
              </w:rPr>
            </w:pPr>
          </w:p>
        </w:tc>
        <w:tc>
          <w:tcPr>
            <w:tcW w:w="940" w:type="dxa"/>
            <w:vAlign w:val="bottom"/>
            <w:tcBorders>
              <w:bottom w:val="single" w:sz="8" w:color="CCEDFF"/>
            </w:tcBorders>
            <w:shd w:val="clear" w:color="auto" w:fill="CCEDFF"/>
          </w:tcPr>
          <w:p>
            <w:pPr>
              <w:jc w:val="right"/>
              <w:ind w:right="139"/>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bottom w:val="single" w:sz="8" w:color="CCEDFF"/>
            </w:tcBorders>
            <w:shd w:val="clear" w:color="auto" w:fill="CCEDFF"/>
          </w:tcPr>
          <w:p>
            <w:pPr>
              <w:spacing w:after="0"/>
              <w:rPr>
                <w:sz w:val="24"/>
                <w:szCs w:val="24"/>
                <w:color w:val="auto"/>
              </w:rPr>
            </w:pPr>
          </w:p>
        </w:tc>
        <w:tc>
          <w:tcPr>
            <w:tcW w:w="1420" w:type="dxa"/>
            <w:vAlign w:val="bottom"/>
            <w:tcBorders>
              <w:bottom w:val="single" w:sz="8" w:color="CCEDFF"/>
            </w:tcBorders>
            <w:gridSpan w:val="2"/>
            <w:shd w:val="clear" w:color="auto" w:fill="CCED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20" w:type="dxa"/>
            <w:vAlign w:val="bottom"/>
            <w:tcBorders>
              <w:bottom w:val="single" w:sz="8" w:color="CCEDFF"/>
            </w:tcBorders>
            <w:shd w:val="clear" w:color="auto" w:fill="CCEDFF"/>
          </w:tcPr>
          <w:p>
            <w:pPr>
              <w:spacing w:after="0"/>
              <w:rPr>
                <w:sz w:val="24"/>
                <w:szCs w:val="24"/>
                <w:color w:val="auto"/>
              </w:rPr>
            </w:pP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10/19/2028</w:t>
            </w:r>
          </w:p>
        </w:tc>
      </w:tr>
      <w:tr>
        <w:trPr>
          <w:trHeight w:val="257"/>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Peter Hoang</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2720" w:type="dxa"/>
            <w:vAlign w:val="bottom"/>
            <w:gridSpan w:val="2"/>
            <w:shd w:val="clear" w:color="auto" w:fill="CCEDFF"/>
          </w:tcPr>
          <w:p>
            <w:pPr>
              <w:spacing w:after="0" w:line="256" w:lineRule="exact"/>
              <w:rPr>
                <w:sz w:val="20"/>
                <w:szCs w:val="20"/>
                <w:color w:val="auto"/>
              </w:rPr>
            </w:pPr>
            <w:r>
              <w:rPr>
                <w:rFonts w:ascii="Times New Roman" w:cs="Times New Roman" w:eastAsia="Times New Roman" w:hAnsi="Times New Roman"/>
                <w:sz w:val="18"/>
                <w:szCs w:val="18"/>
                <w:color w:val="auto"/>
              </w:rPr>
              <w:t>Mythili Koneru</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DFF"/>
          </w:tcPr>
          <w:p>
            <w:pPr>
              <w:spacing w:after="0"/>
              <w:rPr>
                <w:sz w:val="22"/>
                <w:szCs w:val="22"/>
                <w:color w:val="auto"/>
              </w:rPr>
            </w:pPr>
          </w:p>
        </w:tc>
        <w:tc>
          <w:tcPr>
            <w:tcW w:w="840" w:type="dxa"/>
            <w:vAlign w:val="bottom"/>
            <w:shd w:val="clear" w:color="auto" w:fill="CCEDFF"/>
          </w:tcPr>
          <w:p>
            <w:pPr>
              <w:spacing w:after="0"/>
              <w:rPr>
                <w:sz w:val="22"/>
                <w:szCs w:val="22"/>
                <w:color w:val="auto"/>
              </w:rPr>
            </w:pPr>
          </w:p>
        </w:tc>
        <w:tc>
          <w:tcPr>
            <w:tcW w:w="100" w:type="dxa"/>
            <w:vAlign w:val="bottom"/>
            <w:shd w:val="clear" w:color="auto" w:fill="CCEDFF"/>
          </w:tcPr>
          <w:p>
            <w:pPr>
              <w:spacing w:after="0"/>
              <w:rPr>
                <w:sz w:val="22"/>
                <w:szCs w:val="22"/>
                <w:color w:val="auto"/>
              </w:rPr>
            </w:pPr>
          </w:p>
        </w:tc>
        <w:tc>
          <w:tcPr>
            <w:tcW w:w="100" w:type="dxa"/>
            <w:vAlign w:val="bottom"/>
            <w:shd w:val="clear" w:color="auto" w:fill="CCEDFF"/>
          </w:tcPr>
          <w:p>
            <w:pPr>
              <w:spacing w:after="0"/>
              <w:rPr>
                <w:sz w:val="22"/>
                <w:szCs w:val="22"/>
                <w:color w:val="auto"/>
              </w:rPr>
            </w:pPr>
          </w:p>
        </w:tc>
        <w:tc>
          <w:tcPr>
            <w:tcW w:w="940" w:type="dxa"/>
            <w:vAlign w:val="bottom"/>
            <w:shd w:val="clear" w:color="auto" w:fill="CCED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22"/>
                <w:szCs w:val="22"/>
                <w:color w:val="auto"/>
              </w:rPr>
            </w:pPr>
          </w:p>
        </w:tc>
        <w:tc>
          <w:tcPr>
            <w:tcW w:w="1420" w:type="dxa"/>
            <w:vAlign w:val="bottom"/>
            <w:gridSpan w:val="2"/>
            <w:shd w:val="clear" w:color="auto" w:fill="CCED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980" w:type="dxa"/>
            <w:vAlign w:val="bottom"/>
            <w:shd w:val="clear" w:color="auto" w:fill="CCEDFF"/>
          </w:tcPr>
          <w:p>
            <w:pPr>
              <w:spacing w:after="0"/>
              <w:rPr>
                <w:sz w:val="22"/>
                <w:szCs w:val="22"/>
                <w:color w:val="auto"/>
              </w:rPr>
            </w:pPr>
          </w:p>
        </w:tc>
      </w:tr>
      <w:tr>
        <w:trPr>
          <w:trHeight w:val="30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Loiacono</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-1548130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-1548130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-1548130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-1548130</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-1548130</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114300</wp:posOffset>
            </wp:positionV>
            <wp:extent cx="18256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3" w:lineRule="exact"/>
        <w:rPr>
          <w:sz w:val="20"/>
          <w:szCs w:val="20"/>
          <w:color w:val="auto"/>
        </w:rPr>
      </w:pPr>
    </w:p>
    <w:p>
      <w:pPr>
        <w:jc w:val="both"/>
        <w:ind w:left="1620" w:right="41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awards listed in the table granted prior to June 2020 were granted under our 2014 Omnibus Stock Ownership Plan. The option awards listed in the table granted after June 2020 were granted under our 2020 Plan.</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vest in substantially equal monthly installments over 48 months from the date of grant, subject to the named executive officer’s continued service as of each such vesting date.</w:t>
      </w:r>
    </w:p>
    <w:p>
      <w:pPr>
        <w:spacing w:after="0" w:line="254"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shares subject to this award vested upon the first anniversary of the date of grant, with the remainder of the shares vesting in substantially equal monthly installments over 48 months from the date of grant, subject to the named executive officer’s continued service as of each such vesting date.</w:t>
      </w:r>
    </w:p>
    <w:p>
      <w:pPr>
        <w:spacing w:after="0" w:line="251"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p>
    <w:p>
      <w:pPr>
        <w:spacing w:after="0" w:line="27"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were canceled after separation and Vested Options were canceled 90 days after separation.</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Disclosure</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40" w:type="dxa"/>
            <w:vAlign w:val="bottom"/>
          </w:tcPr>
          <w:p>
            <w:pPr>
              <w:spacing w:after="0"/>
              <w:rPr>
                <w:sz w:val="14"/>
                <w:szCs w:val="14"/>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Fixed $100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Investment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40" w:type="dxa"/>
            <w:vAlign w:val="bottom"/>
          </w:tcPr>
          <w:p>
            <w:pPr>
              <w:spacing w:after="0"/>
              <w:rPr>
                <w:sz w:val="14"/>
                <w:szCs w:val="14"/>
                <w:color w:val="auto"/>
              </w:rPr>
            </w:pPr>
          </w:p>
        </w:tc>
        <w:tc>
          <w:tcPr>
            <w:tcW w:w="82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40" w:type="dxa"/>
            <w:vAlign w:val="bottom"/>
          </w:tcPr>
          <w:p>
            <w:pPr>
              <w:spacing w:after="0"/>
              <w:rPr>
                <w:sz w:val="14"/>
                <w:szCs w:val="14"/>
                <w:color w:val="auto"/>
              </w:rPr>
            </w:pP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9"/>
              </w:rPr>
              <w:t>based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PEO 1</w:t>
            </w:r>
            <w:r>
              <w:rPr>
                <w:rFonts w:ascii="Times New Roman" w:cs="Times New Roman" w:eastAsia="Times New Roman" w:hAnsi="Times New Roman"/>
                <w:sz w:val="17"/>
                <w:szCs w:val="17"/>
                <w:b w:val="1"/>
                <w:bCs w:val="1"/>
                <w:color w:val="auto"/>
                <w:w w:val="95"/>
                <w:vertAlign w:val="superscript"/>
              </w:rPr>
              <w:t>(1)</w:t>
            </w:r>
          </w:p>
        </w:tc>
        <w:tc>
          <w:tcPr>
            <w:tcW w:w="140" w:type="dxa"/>
            <w:vAlign w:val="bottom"/>
          </w:tcPr>
          <w:p>
            <w:pPr>
              <w:spacing w:after="0"/>
              <w:rPr>
                <w:sz w:val="14"/>
                <w:szCs w:val="14"/>
                <w:color w:val="auto"/>
              </w:rPr>
            </w:pPr>
          </w:p>
        </w:tc>
        <w:tc>
          <w:tcPr>
            <w:tcW w:w="820" w:type="dxa"/>
            <w:vAlign w:val="bottom"/>
            <w:gridSpan w:val="2"/>
          </w:tcPr>
          <w:p>
            <w:pPr>
              <w:jc w:val="center"/>
              <w:ind w:right="24"/>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PEO 1</w:t>
            </w:r>
            <w:r>
              <w:rPr>
                <w:rFonts w:ascii="Times New Roman" w:cs="Times New Roman" w:eastAsia="Times New Roman" w:hAnsi="Times New Roman"/>
                <w:sz w:val="7"/>
                <w:szCs w:val="7"/>
                <w:b w:val="1"/>
                <w:bCs w:val="1"/>
                <w:color w:val="auto"/>
              </w:rPr>
              <w:t>(1)(2)(3)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9"/>
              <w:spacing w:after="0" w:line="162" w:lineRule="exact"/>
              <w:rPr>
                <w:sz w:val="20"/>
                <w:szCs w:val="20"/>
                <w:color w:val="auto"/>
              </w:rPr>
            </w:pPr>
            <w:r>
              <w:rPr>
                <w:rFonts w:ascii="Times New Roman" w:cs="Times New Roman" w:eastAsia="Times New Roman" w:hAnsi="Times New Roman"/>
                <w:sz w:val="14"/>
                <w:szCs w:val="14"/>
                <w:b w:val="1"/>
                <w:bCs w:val="1"/>
                <w:color w:val="auto"/>
                <w:w w:val="95"/>
              </w:rPr>
              <w:t>PEO 2</w:t>
            </w:r>
            <w:r>
              <w:rPr>
                <w:rFonts w:ascii="Times New Roman" w:cs="Times New Roman" w:eastAsia="Times New Roman" w:hAnsi="Times New Roman"/>
                <w:sz w:val="17"/>
                <w:szCs w:val="17"/>
                <w:b w:val="1"/>
                <w:bCs w:val="1"/>
                <w:color w:val="auto"/>
                <w:w w:val="95"/>
                <w:vertAlign w:val="superscript"/>
              </w:rPr>
              <w:t>(1)</w:t>
            </w:r>
          </w:p>
        </w:tc>
        <w:tc>
          <w:tcPr>
            <w:tcW w:w="80" w:type="dxa"/>
            <w:vAlign w:val="bottom"/>
          </w:tcPr>
          <w:p>
            <w:pPr>
              <w:spacing w:after="0"/>
              <w:rPr>
                <w:sz w:val="14"/>
                <w:szCs w:val="14"/>
                <w:color w:val="auto"/>
              </w:rPr>
            </w:pPr>
          </w:p>
        </w:tc>
        <w:tc>
          <w:tcPr>
            <w:tcW w:w="9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PEO 2</w:t>
            </w:r>
            <w:r>
              <w:rPr>
                <w:rFonts w:ascii="Times New Roman" w:cs="Times New Roman" w:eastAsia="Times New Roman" w:hAnsi="Times New Roman"/>
                <w:sz w:val="7"/>
                <w:szCs w:val="7"/>
                <w:b w:val="1"/>
                <w:bCs w:val="1"/>
                <w:color w:val="auto"/>
              </w:rPr>
              <w:t>(1)(2)(3)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64"/>
              <w:spacing w:after="0" w:line="162" w:lineRule="exact"/>
              <w:rPr>
                <w:sz w:val="20"/>
                <w:szCs w:val="20"/>
                <w:color w:val="auto"/>
              </w:rPr>
            </w:pPr>
            <w:r>
              <w:rPr>
                <w:rFonts w:ascii="Times New Roman" w:cs="Times New Roman" w:eastAsia="Times New Roman" w:hAnsi="Times New Roman"/>
                <w:sz w:val="14"/>
                <w:szCs w:val="14"/>
                <w:b w:val="1"/>
                <w:bCs w:val="1"/>
                <w:color w:val="auto"/>
                <w:w w:val="89"/>
              </w:rPr>
              <w:t>NEOs</w:t>
            </w:r>
            <w:r>
              <w:rPr>
                <w:rFonts w:ascii="Times New Roman" w:cs="Times New Roman" w:eastAsia="Times New Roman" w:hAnsi="Times New Roman"/>
                <w:sz w:val="17"/>
                <w:szCs w:val="17"/>
                <w:b w:val="1"/>
                <w:bCs w:val="1"/>
                <w:color w:val="auto"/>
                <w:w w:val="89"/>
                <w:vertAlign w:val="superscript"/>
              </w:rPr>
              <w:t>(1)</w:t>
            </w:r>
          </w:p>
        </w:tc>
        <w:tc>
          <w:tcPr>
            <w:tcW w:w="140" w:type="dxa"/>
            <w:vAlign w:val="bottom"/>
          </w:tcPr>
          <w:p>
            <w:pPr>
              <w:spacing w:after="0"/>
              <w:rPr>
                <w:sz w:val="14"/>
                <w:szCs w:val="14"/>
                <w:color w:val="auto"/>
              </w:rPr>
            </w:pPr>
          </w:p>
        </w:tc>
        <w:tc>
          <w:tcPr>
            <w:tcW w:w="820" w:type="dxa"/>
            <w:vAlign w:val="bottom"/>
            <w:gridSpan w:val="2"/>
          </w:tcPr>
          <w:p>
            <w:pPr>
              <w:jc w:val="center"/>
              <w:ind w:right="4"/>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NEOs</w:t>
            </w:r>
            <w:r>
              <w:rPr>
                <w:rFonts w:ascii="Times New Roman" w:cs="Times New Roman" w:eastAsia="Times New Roman" w:hAnsi="Times New Roman"/>
                <w:sz w:val="7"/>
                <w:szCs w:val="7"/>
                <w:b w:val="1"/>
                <w:bCs w:val="1"/>
                <w:color w:val="auto"/>
              </w:rPr>
              <w:t>(1)(2)(3)</w:t>
            </w:r>
          </w:p>
        </w:tc>
        <w:tc>
          <w:tcPr>
            <w:tcW w:w="140" w:type="dxa"/>
            <w:vAlign w:val="bottom"/>
          </w:tcPr>
          <w:p>
            <w:pPr>
              <w:spacing w:after="0"/>
              <w:rPr>
                <w:sz w:val="14"/>
                <w:szCs w:val="14"/>
                <w:color w:val="auto"/>
              </w:rPr>
            </w:pPr>
          </w:p>
        </w:tc>
        <w:tc>
          <w:tcPr>
            <w:tcW w:w="660" w:type="dxa"/>
            <w:vAlign w:val="bottom"/>
          </w:tcPr>
          <w:p>
            <w:pPr>
              <w:jc w:val="center"/>
              <w:ind w:right="23"/>
              <w:spacing w:after="0" w:line="162" w:lineRule="exact"/>
              <w:rPr>
                <w:sz w:val="20"/>
                <w:szCs w:val="20"/>
                <w:color w:val="auto"/>
              </w:rPr>
            </w:pPr>
            <w:r>
              <w:rPr>
                <w:rFonts w:ascii="Times New Roman" w:cs="Times New Roman" w:eastAsia="Times New Roman" w:hAnsi="Times New Roman"/>
                <w:sz w:val="14"/>
                <w:szCs w:val="14"/>
                <w:b w:val="1"/>
                <w:bCs w:val="1"/>
                <w:color w:val="auto"/>
                <w:w w:val="95"/>
              </w:rPr>
              <w:t>on TSR</w:t>
            </w:r>
            <w:r>
              <w:rPr>
                <w:rFonts w:ascii="Times New Roman" w:cs="Times New Roman" w:eastAsia="Times New Roman" w:hAnsi="Times New Roman"/>
                <w:sz w:val="17"/>
                <w:szCs w:val="17"/>
                <w:b w:val="1"/>
                <w:bCs w:val="1"/>
                <w:color w:val="auto"/>
                <w:w w:val="95"/>
                <w:vertAlign w:val="superscript"/>
              </w:rPr>
              <w:t>(4)</w:t>
            </w:r>
          </w:p>
        </w:tc>
        <w:tc>
          <w:tcPr>
            <w:tcW w:w="1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0"/>
              </w:rPr>
              <w:t>Net Income</w:t>
            </w:r>
          </w:p>
        </w:tc>
        <w:tc>
          <w:tcPr>
            <w:tcW w:w="60" w:type="dxa"/>
            <w:vAlign w:val="bottom"/>
          </w:tcPr>
          <w:p>
            <w:pPr>
              <w:spacing w:after="0"/>
              <w:rPr>
                <w:sz w:val="14"/>
                <w:szCs w:val="14"/>
                <w:color w:val="auto"/>
              </w:rPr>
            </w:pPr>
          </w:p>
        </w:tc>
      </w:tr>
      <w:tr>
        <w:trPr>
          <w:trHeight w:val="214"/>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8"/>
                <w:szCs w:val="18"/>
                <w:color w:val="auto"/>
              </w:rPr>
            </w:pPr>
          </w:p>
        </w:tc>
        <w:tc>
          <w:tcPr>
            <w:tcW w:w="6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6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Millions)</w:t>
            </w:r>
          </w:p>
        </w:tc>
      </w:tr>
      <w:tr>
        <w:trPr>
          <w:trHeight w:val="20"/>
        </w:trPr>
        <w:tc>
          <w:tcPr>
            <w:tcW w:w="800" w:type="dxa"/>
            <w:vAlign w:val="bottom"/>
            <w:tcBorders>
              <w:right w:val="single" w:sz="8" w:color="CCED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D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DFF"/>
            </w:tcBorders>
            <w:shd w:val="clear" w:color="auto" w:fill="CCED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DFF"/>
            </w:tcBorders>
            <w:shd w:val="clear" w:color="auto" w:fill="CCED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gridSpan w:val="2"/>
            <w:shd w:val="clear" w:color="auto" w:fill="CCEDFF"/>
          </w:tcPr>
          <w:p>
            <w:pPr>
              <w:jc w:val="right"/>
              <w:ind w:right="79"/>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96,778 ​​​</w:t>
            </w:r>
          </w:p>
        </w:tc>
        <w:tc>
          <w:tcPr>
            <w:tcW w:w="12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DFF"/>
            </w:tcBorders>
            <w:shd w:val="clear" w:color="auto" w:fill="CCED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DFF"/>
            </w:tcBorders>
            <w:shd w:val="clear" w:color="auto" w:fill="CCED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DFF"/>
            </w:tcBorders>
            <w:shd w:val="clear" w:color="auto" w:fill="CCEDFF"/>
          </w:tcPr>
          <w:p>
            <w:pPr>
              <w:jc w:val="center"/>
              <w:ind w:right="3"/>
              <w:spacing w:after="0"/>
              <w:rPr>
                <w:sz w:val="20"/>
                <w:szCs w:val="20"/>
                <w:color w:val="auto"/>
              </w:rPr>
            </w:pPr>
            <w:r>
              <w:rPr>
                <w:rFonts w:ascii="Times New Roman" w:cs="Times New Roman" w:eastAsia="Times New Roman" w:hAnsi="Times New Roman"/>
                <w:sz w:val="18"/>
                <w:szCs w:val="18"/>
                <w:color w:val="auto"/>
              </w:rPr>
              <w:t>​32.73</w:t>
            </w:r>
          </w:p>
        </w:tc>
        <w:tc>
          <w:tcPr>
            <w:tcW w:w="14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​(10.73)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​581,895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​505,413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​585,675</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​1,144,350 ​​​</w:t>
            </w:r>
          </w:p>
        </w:tc>
        <w:tc>
          <w:tcPr>
            <w:tcW w:w="8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​220,103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​108,382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8"/>
                <w:szCs w:val="18"/>
                <w:color w:val="auto"/>
              </w:rPr>
              <w:t>​57.88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(8.24)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80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right w:val="single" w:sz="8" w:color="CCEDFF"/>
            </w:tcBorders>
            <w:gridSpan w:val="2"/>
            <w:shd w:val="clear" w:color="auto" w:fill="CCEDFF"/>
          </w:tcPr>
          <w:p>
            <w:pPr>
              <w:jc w:val="right"/>
              <w:ind w:right="79"/>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566,170</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gridSpan w:val="2"/>
            <w:shd w:val="clear" w:color="auto" w:fill="CCEDFF"/>
          </w:tcPr>
          <w:p>
            <w:pPr>
              <w:jc w:val="right"/>
              <w:ind w:right="64"/>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278,141</w:t>
            </w:r>
          </w:p>
        </w:tc>
        <w:tc>
          <w:tcPr>
            <w:tcW w:w="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DFF"/>
            </w:tcBorders>
            <w:shd w:val="clear" w:color="auto" w:fill="CCED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DFF"/>
          </w:tcPr>
          <w:p>
            <w:pPr>
              <w:jc w:val="right"/>
              <w:spacing w:after="0" w:line="32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840" w:type="dxa"/>
            <w:vAlign w:val="bottom"/>
            <w:tcBorders>
              <w:right w:val="single" w:sz="8" w:color="CCEDFF"/>
            </w:tcBorders>
            <w:gridSpan w:val="2"/>
            <w:shd w:val="clear" w:color="auto" w:fill="CCEDFF"/>
          </w:tcPr>
          <w:p>
            <w:pPr>
              <w:jc w:val="right"/>
              <w:ind w:right="84"/>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613,007</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gridSpan w:val="2"/>
            <w:shd w:val="clear" w:color="auto" w:fill="CCEDFF"/>
          </w:tcPr>
          <w:p>
            <w:pPr>
              <w:jc w:val="right"/>
              <w:ind w:right="64"/>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497,603</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DFF"/>
            </w:tcBorders>
            <w:shd w:val="clear" w:color="auto" w:fill="CCEDFF"/>
          </w:tcPr>
          <w:p>
            <w:pPr>
              <w:jc w:val="center"/>
              <w:ind w:right="3"/>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27.98</w:t>
            </w:r>
          </w:p>
        </w:tc>
        <w:tc>
          <w:tcPr>
            <w:tcW w:w="14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DFF"/>
          </w:tcPr>
          <w:p>
            <w:pPr>
              <w:ind w:left="6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(29.93)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-548005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-548005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-548005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-548005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-548005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-548005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-548005</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-548005</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jc w:val="both"/>
        <w:ind w:left="1620" w:right="419" w:hanging="360"/>
        <w:spacing w:after="0" w:line="261"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was our PEO (PEO 1) for each year through April 30, 2023. Juan Vera became our PEO (PEO 2) effectively May 1, 2023, and was a Non-PEO NEO in 2022. The individuals comprising the Non-PEO NEOs for 2022 were Juan Vera, Anthony Kim and Mythili Koneru. For 2023, the Non-PEO NEO was Mythili Koneru. There were no Non-PEO NEOs for 2024.</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4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as set forth below. Equity values are calculated in accordance with FASB ASC Topic 718. Amounts in the Exclusion of Option Awards column are the totals from the Option Awards column set forth in the Summary Compensation Table.</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PEO 2</w:t>
            </w:r>
          </w:p>
        </w:tc>
        <w:tc>
          <w:tcPr>
            <w:tcW w:w="40" w:type="dxa"/>
            <w:vAlign w:val="bottom"/>
          </w:tcPr>
          <w:p>
            <w:pPr>
              <w:spacing w:after="0"/>
              <w:rPr>
                <w:sz w:val="14"/>
                <w:szCs w:val="14"/>
                <w:color w:val="auto"/>
              </w:rPr>
            </w:pPr>
          </w:p>
        </w:tc>
      </w:tr>
      <w:tr>
        <w:trPr>
          <w:trHeight w:val="214"/>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​400,000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74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​(303,222) </w:t>
            </w:r>
            <w:r>
              <w:rPr>
                <w:rFonts w:ascii="Times New Roman" w:cs="Times New Roman" w:eastAsia="Times New Roman" w:hAnsi="Times New Roman"/>
                <w:sz w:val="35"/>
                <w:szCs w:val="35"/>
                <w:color w:val="auto"/>
                <w:vertAlign w:val="subscript"/>
              </w:rPr>
              <w:t>​​ ​</w:t>
            </w:r>
          </w:p>
        </w:tc>
        <w:tc>
          <w:tcPr>
            <w:tcW w:w="20" w:type="dxa"/>
            <w:vAlign w:val="bottom"/>
          </w:tcPr>
          <w:p>
            <w:pPr>
              <w:spacing w:after="0"/>
              <w:rPr>
                <w:sz w:val="24"/>
                <w:szCs w:val="24"/>
                <w:color w:val="auto"/>
              </w:rPr>
            </w:pPr>
          </w:p>
        </w:tc>
        <w:tc>
          <w:tcPr>
            <w:tcW w:w="88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​96,778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pacing w:after="0" w:line="110" w:lineRule="exact"/>
        <w:rPr>
          <w:sz w:val="20"/>
          <w:szCs w:val="20"/>
          <w:color w:val="auto"/>
        </w:rPr>
      </w:pPr>
    </w:p>
    <w:p>
      <w:pPr>
        <w:ind w:left="1620" w:right="419" w:firstLine="360"/>
        <w:spacing w:after="0" w:line="282"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Vesting-Date</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Vesting</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Last</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Other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of</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Last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 on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That Remained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Total —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 as of</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that Vested</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Forfeited</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 Not</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Inclusion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Last Day</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Otherwise</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Included</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Values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PEO 2</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PEO 2</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DFF"/>
            </w:tcBorders>
            <w:shd w:val="clear" w:color="auto" w:fill="CCED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DFF"/>
            </w:tcBorders>
            <w:shd w:val="clear" w:color="auto" w:fill="CCEDFF"/>
          </w:tcPr>
          <w:p>
            <w:pPr>
              <w:jc w:val="right"/>
              <w:ind w:right="327"/>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DFF"/>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​(243,438) </w:t>
            </w:r>
            <w:r>
              <w:rPr>
                <w:rFonts w:ascii="Times New Roman" w:cs="Times New Roman" w:eastAsia="Times New Roman" w:hAnsi="Times New Roman"/>
                <w:sz w:val="35"/>
                <w:szCs w:val="35"/>
                <w:color w:val="auto"/>
                <w:vertAlign w:val="subscript"/>
              </w:rPr>
              <w:t>​​ ​</w:t>
            </w:r>
          </w:p>
        </w:tc>
        <w:tc>
          <w:tcPr>
            <w:tcW w:w="80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w:t>
            </w:r>
          </w:p>
        </w:tc>
        <w:tc>
          <w:tcPr>
            <w:tcW w:w="20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DFF"/>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​(59,784) </w:t>
            </w:r>
            <w:r>
              <w:rPr>
                <w:rFonts w:ascii="Times New Roman" w:cs="Times New Roman" w:eastAsia="Times New Roman" w:hAnsi="Times New Roman"/>
                <w:sz w:val="35"/>
                <w:szCs w:val="35"/>
                <w:color w:val="auto"/>
                <w:vertAlign w:val="subscript"/>
              </w:rPr>
              <w:t>​​ ​</w:t>
            </w:r>
          </w:p>
        </w:tc>
        <w:tc>
          <w:tcPr>
            <w:tcW w:w="78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w:t>
            </w:r>
          </w:p>
        </w:tc>
        <w:tc>
          <w:tcPr>
            <w:tcW w:w="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DFF"/>
            </w:tcBorders>
            <w:shd w:val="clear" w:color="auto" w:fill="CCEDFF"/>
          </w:tcPr>
          <w:p>
            <w:pPr>
              <w:jc w:val="right"/>
              <w:ind w:right="227"/>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840" w:type="dxa"/>
            <w:vAlign w:val="bottom"/>
            <w:gridSpan w:val="3"/>
            <w:shd w:val="clear" w:color="auto" w:fill="CCEDFF"/>
          </w:tcPr>
          <w:p>
            <w:pPr>
              <w:spacing w:after="0" w:line="304" w:lineRule="exact"/>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​(303,222</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-205105</wp:posOffset>
            </wp:positionV>
            <wp:extent cx="120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-205105</wp:posOffset>
            </wp:positionV>
            <wp:extent cx="120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-205105</wp:posOffset>
            </wp:positionV>
            <wp:extent cx="120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-205105</wp:posOffset>
            </wp:positionV>
            <wp:extent cx="1200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-205105</wp:posOffset>
            </wp:positionV>
            <wp:extent cx="120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-205105</wp:posOffset>
            </wp:positionV>
            <wp:extent cx="120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-205105</wp:posOffset>
            </wp:positionV>
            <wp:extent cx="120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 w:lineRule="exact"/>
        <w:rPr>
          <w:sz w:val="20"/>
          <w:szCs w:val="20"/>
          <w:color w:val="auto"/>
        </w:rPr>
      </w:pPr>
    </w:p>
    <w:p>
      <w:pPr>
        <w:jc w:val="both"/>
        <w:ind w:left="1620" w:right="419" w:hanging="360"/>
        <w:spacing w:after="0" w:line="275"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2021, through the end of the listed year. Historical stock performance is not necessarily indicative of future stock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84" w:lineRule="auto"/>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Total Shareholder Return (“TSR”)</w:t>
      </w:r>
    </w:p>
    <w:p>
      <w:pPr>
        <w:spacing w:after="0" w:line="7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the cumulative TSR over the three most recently completed fiscal years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81280</wp:posOffset>
            </wp:positionV>
            <wp:extent cx="5066030" cy="28975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6603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81280</wp:posOffset>
            </wp:positionV>
            <wp:extent cx="5066030" cy="28460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6603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with respect to the compensation of our non-employee directors: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Paid in Cash</w:t>
            </w:r>
          </w:p>
        </w:tc>
        <w:tc>
          <w:tcPr>
            <w:tcW w:w="22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4"/>
              </w:rPr>
              <w:t>Option Awards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59"/>
        </w:trPr>
        <w:tc>
          <w:tcPr>
            <w:tcW w:w="4280" w:type="dxa"/>
            <w:vAlign w:val="bottom"/>
          </w:tcPr>
          <w:p>
            <w:pPr>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Name</w:t>
            </w:r>
            <w:r>
              <w:rPr>
                <w:rFonts w:ascii="Times New Roman" w:cs="Times New Roman" w:eastAsia="Times New Roman" w:hAnsi="Times New Roman"/>
                <w:sz w:val="10"/>
                <w:szCs w:val="10"/>
                <w:b w:val="1"/>
                <w:bCs w:val="1"/>
                <w:color w:val="auto"/>
              </w:rPr>
              <w:t>(1)(2)</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1060" w:type="dxa"/>
            <w:vAlign w:val="bottom"/>
          </w:tcPr>
          <w:p>
            <w:pPr>
              <w:jc w:val="center"/>
              <w:spacing w:after="0" w:line="259" w:lineRule="exact"/>
              <w:rPr>
                <w:sz w:val="20"/>
                <w:szCs w:val="20"/>
                <w:color w:val="auto"/>
              </w:rPr>
            </w:pPr>
            <w:r>
              <w:rPr>
                <w:rFonts w:ascii="Times New Roman" w:cs="Times New Roman" w:eastAsia="Times New Roman" w:hAnsi="Times New Roman"/>
                <w:sz w:val="30"/>
                <w:szCs w:val="30"/>
                <w:b w:val="1"/>
                <w:bCs w:val="1"/>
                <w:color w:val="auto"/>
                <w:w w:val="82"/>
                <w:vertAlign w:val="subscript"/>
              </w:rPr>
              <w:t>$</w:t>
            </w:r>
            <w:r>
              <w:rPr>
                <w:rFonts w:ascii="Times New Roman" w:cs="Times New Roman" w:eastAsia="Times New Roman" w:hAnsi="Times New Roman"/>
                <w:sz w:val="10"/>
                <w:szCs w:val="10"/>
                <w:b w:val="1"/>
                <w:bCs w:val="1"/>
                <w:color w:val="auto"/>
                <w:w w:val="82"/>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3"/>
          </w:tcPr>
          <w:p>
            <w:pPr>
              <w:jc w:val="right"/>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30"/>
                <w:szCs w:val="30"/>
                <w:b w:val="1"/>
                <w:bCs w:val="1"/>
                <w:color w:val="auto"/>
                <w:vertAlign w:val="subscript"/>
              </w:rPr>
              <w:t>​</w:t>
            </w:r>
          </w:p>
        </w:tc>
      </w:tr>
      <w:tr>
        <w:trPr>
          <w:trHeight w:val="20"/>
        </w:trPr>
        <w:tc>
          <w:tcPr>
            <w:tcW w:w="428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DFF"/>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2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David Eansor</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99,000</w:t>
            </w:r>
          </w:p>
        </w:tc>
        <w:tc>
          <w:tcPr>
            <w:tcW w:w="22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​99,000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Steven Elms</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52,500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​52,500​</w:t>
            </w:r>
          </w:p>
        </w:tc>
      </w:tr>
      <w:tr>
        <w:trPr>
          <w:trHeight w:val="243"/>
        </w:trPr>
        <w:tc>
          <w:tcPr>
            <w:tcW w:w="42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Katharine Knobil</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60,500</w:t>
            </w:r>
          </w:p>
        </w:tc>
        <w:tc>
          <w:tcPr>
            <w:tcW w:w="22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Borders>
              <w:right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2"/>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 ​60,500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John Wilson</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-629920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-629920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-629920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140970</wp:posOffset>
            </wp:positionV>
            <wp:extent cx="1834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46" w:lineRule="exact"/>
        <w:rPr>
          <w:sz w:val="20"/>
          <w:szCs w:val="20"/>
          <w:color w:val="auto"/>
        </w:rPr>
      </w:pPr>
    </w:p>
    <w:p>
      <w:pPr>
        <w:jc w:val="both"/>
        <w:ind w:left="2340" w:right="1139" w:hanging="360"/>
        <w:spacing w:after="0" w:line="266"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Vera did not earn compensation during 2024 for his service on the Board of Directors. As a named executive officer, Dr. Vera’s compensation is fully reflected in the “Summary Compensation Table” above.</w:t>
      </w:r>
    </w:p>
    <w:p>
      <w:pPr>
        <w:spacing w:after="0" w:line="27" w:lineRule="exact"/>
        <w:rPr>
          <w:rFonts w:ascii="Times New Roman" w:cs="Times New Roman" w:eastAsia="Times New Roman" w:hAnsi="Times New Roman"/>
          <w:sz w:val="18"/>
          <w:szCs w:val="18"/>
          <w:color w:val="auto"/>
        </w:rPr>
      </w:pPr>
    </w:p>
    <w:p>
      <w:pPr>
        <w:jc w:val="both"/>
        <w:ind w:left="2340" w:right="1139" w:hanging="360"/>
        <w:spacing w:after="0" w:line="259"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Messrs. Eansor, Elms and Wilson each held options to purchase 17,250 shares of our common stock, as adjusted for the Reverse Stock Split. Dr. Knobil, and Dr. Vera held options to purchase 28,500 shares and 240,487 shares, respectively, as of the same date, each as adjusted for the Reverse Stock Split.</w:t>
      </w:r>
    </w:p>
    <w:p>
      <w:pPr>
        <w:spacing w:after="0" w:line="267" w:lineRule="exact"/>
        <w:rPr>
          <w:rFonts w:ascii="Times New Roman" w:cs="Times New Roman" w:eastAsia="Times New Roman" w:hAnsi="Times New Roman"/>
          <w:sz w:val="18"/>
          <w:szCs w:val="18"/>
          <w:color w:val="auto"/>
        </w:rPr>
      </w:pPr>
    </w:p>
    <w:p>
      <w:pPr>
        <w:jc w:val="both"/>
        <w:ind w:left="2340" w:right="1139" w:hanging="360"/>
        <w:spacing w:after="0" w:line="255"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grant date fair value of stock options awarded to the directors during the fiscal year ended December 31, 2024 for his or her service on the Board of Directors,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Director Compensation Program is assessed periodically relative to our comparators by Radford, the Compensation Committee’s independent compensation consultant. The program was most recently amended in February 2022. Pursuant to this program, each of our directors who is not an employee of the Company is eligible to receive compensation for service on our Board of Directors and committees thereof.</w:t>
      </w:r>
    </w:p>
    <w:p>
      <w:pPr>
        <w:spacing w:after="0" w:line="9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Under our current compensation policy, each eligible director receives an annual cash retainer in the amount of $40,000 for serving on our Board of Directors. In addition, the Chair of our Board of Directors receives an annual cash retainer in the amount of $30,000 (in addition to the annual cash retainer given to all eligible directors). The chairperson of the Audit Committee of our Board of Directors is entitled to receive an additional annual cash retainer in the amount of $15,000, the chairperson of the Compensation Committee of our Board of Directors is entitled to receive an additional annual cash retainer in the amount of $10,000 and the chairperson of the Nominating and Corporate Governance Committee of our Board of Directors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pacing w:after="0" w:line="12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of Directors is entitled to receive a non-statutory stock option to purchase shares of our common stock having a value of $120,000 under our 2020 Plan, with the shares vesting in 36 equal monthly installments, subject to continued service as a director through the vesting dates.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having a value of $100,000 under our 2020 Plan (the “Annual Grant”), provided that no Annual Grant shall total more than 8,000 shares (as adjusted for the Reverse Stock Split) shares, with the Annual Grant shares vesting on the first anniversary of the date of grant, subject to continued service as a director though the vesting date.</w:t>
      </w:r>
    </w:p>
    <w:p>
      <w:pPr>
        <w:spacing w:after="0" w:line="12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NDEMNIFICATION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3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the terms of the transaction, (c) the availability of other sources for comparable services or products and 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7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2023 to which we have been a party, in which the amount involved in the transaction exceeded the lesser of one percent of our average total assets at year-end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Wilson Wolf Manufacturing Corporation</w:t>
      </w:r>
    </w:p>
    <w:p>
      <w:pPr>
        <w:spacing w:after="0" w:line="14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We contract with Wilson Wolf Manufacturing Corporation for the purchases of cell culture devices called G-Rexes. Mr. John Wilson, a former member of our board of directors, is the CEO of Wilson Wolf Manufacturing Corporation. In 2023, we purchased $277,000 of cell culture devices from Wilson Wolf Manufacturing Corporation. In 2024, we did not purchase cell culture devices from Wilson Wolf Manufacturing Corporation.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of Assets to Cell Ready LLC</w:t>
      </w:r>
    </w:p>
    <w:p>
      <w:pPr>
        <w:spacing w:after="0" w:line="16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On June 26, 2023, we completed the transaction with Cell Ready, LLC, or Cell Ready, pursuant to a Purchase Agreement, or the Cell Ready Purchase Agreement, dated May 1, 2023, by and between the Company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Cell Ready. Cell Ready is owned by one of our former directors and shareholders, Mr. John Wilson. Pursuant to the Cell Ready Purchase Agreement, effective as of the closing date, we (i) assigned to Cell Ready the leases for our two manufacturing facilities in Houston, Texas, or the Manufacturing Facilities,</w:t>
      </w:r>
    </w:p>
    <w:p>
      <w:pPr>
        <w:spacing w:after="0" w:line="2" w:lineRule="exact"/>
        <w:rPr>
          <w:sz w:val="20"/>
          <w:szCs w:val="20"/>
          <w:color w:val="auto"/>
        </w:rPr>
      </w:pPr>
    </w:p>
    <w:p>
      <w:pPr>
        <w:ind w:left="1540" w:hanging="280"/>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to Cell Ready all of the equipment and leasehold improvements at the Manufacturing Facilities and</w:t>
      </w:r>
    </w:p>
    <w:p>
      <w:pPr>
        <w:spacing w:after="0" w:line="7" w:lineRule="exact"/>
        <w:rPr>
          <w:rFonts w:ascii="Times New Roman" w:cs="Times New Roman" w:eastAsia="Times New Roman" w:hAnsi="Times New Roman"/>
          <w:sz w:val="18"/>
          <w:szCs w:val="18"/>
          <w:color w:val="auto"/>
        </w:rPr>
      </w:pPr>
    </w:p>
    <w:p>
      <w:pPr>
        <w:jc w:val="both"/>
        <w:ind w:left="1260" w:right="419"/>
        <w:spacing w:after="0"/>
        <w:tabs>
          <w:tab w:leader="none" w:pos="16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to Cell Ready our rights, title and interest in any contracts related to the equipment and Manufacturing Facilities (collectively referred to as the “Purchased Assets”). Cell Ready acquired the Purchased Assets for total consideration of $19.0 million.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 with Cell Ready LLC</w:t>
      </w:r>
    </w:p>
    <w:p>
      <w:pPr>
        <w:spacing w:after="0" w:line="14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or MSA, with Cell Ready, LLC, or Cell Ready. Cell Ready, which is owned by one of our former directors and a current shareholder, Mr. John Wilson, is a contract development and manufacturing organization (CDMO). Under the MSA, Cell Ready performed a wide variety of services for us, including manufacturing in support of our clinical trials. Pursuant to the MSA, the Company could contract with Cell Ready for the provision of various products and services from time to time by entering into work orders with Cell Ready. On February 22, 2024, the Company entered into Work Order #1 under the MSA, pursuant to which Cell Ready provided the Company with GMP drug product for Marker MT-401 and/or MT-601. The services included the delivery of final drug product and quality control testing. The Company also requested Cell Ready to provide general support services in connection therewith.</w:t>
      </w:r>
    </w:p>
    <w:p>
      <w:pPr>
        <w:spacing w:after="0" w:line="11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During 2023, we paid approximately $1.3M to Cell Ready for outsourced product development and manufacturing services. During 2024, we paid approximately $5.5M to Cell Ready for outsourced product development and manufacturing services.</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spacing w:after="0" w:line="11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With regard to intellectual property, the MSA provides that each party will solely and exclusively own all right, title and interest in and to their Background IP and all inventions derived from such background IP (such invention being referred to as Foreground IP). Background IP means all intellectual property either</w:t>
      </w:r>
    </w:p>
    <w:p>
      <w:pPr>
        <w:jc w:val="both"/>
        <w:ind w:left="1260" w:right="419"/>
        <w:spacing w:after="0"/>
        <w:tabs>
          <w:tab w:leader="none" w:pos="15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or controlled by a party prior to the effective date of the MSA or (b) developed or acquired by a party independently from performance under the MSA without the use of, reliance on, or access to the other party’s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 fully paid-up, non-transferable, non-sublicensable limited license under and to the Company’s Background IP made available to Cell Ready pursuant to a Work Order solely to the extent required for Cell Ready to provide the services under such Work Order.</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AlloVir, Inc.</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Until June 2023, we were party to a services agreement with AlloVir, Inc. (“AlloVir”), pursuant to which we provided AlloVir with development services. Juan Vera, our Chief Executive Officer, Principal Executive Officer, Principal Accounting Officer, President and director, served on the board of directors of AlloVir.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This year, we expect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2450 Holcombe Blvd, Suite BCM-A, MS: BCM251.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7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Juan Vera,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13716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April 24, 2025</w:t>
      </w:r>
    </w:p>
    <w:p>
      <w:pPr>
        <w:spacing w:after="0" w:line="140"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2024 is available without charge upon written request to Marker Therapeutics, Inc., Attention: Secretary, Marker Therapeutics, Inc., 2450 Holcombe Blvd, Suite BCM-A, MS: BCM251, Houston Texas, 77021.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93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4397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843978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5"/>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4"/>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lowerRoman"/>
      <w:start w:val="2"/>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2025-04-24T15:48:42Z</dcterms:created>
  <dcterms:modified xsi:type="dcterms:W3CDTF">2025-04-24T15:48:42Z</dcterms:modified>
</cp:coreProperties>
</file>