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453"/>
        </w:trPr>
        <w:tc>
          <w:tcPr>
            <w:tcW w:w="4420" w:type="dxa"/>
            <w:vAlign w:val="bottom"/>
            <w:gridSpan w:val="4"/>
          </w:tcPr>
          <w:p>
            <w:pPr>
              <w:ind w:left="880"/>
              <w:spacing w:after="0"/>
              <w:rPr>
                <w:sz w:val="20"/>
                <w:szCs w:val="20"/>
                <w:color w:val="auto"/>
              </w:rPr>
            </w:pPr>
            <w:r>
              <w:rPr>
                <w:rFonts w:ascii="Arial" w:cs="Arial" w:eastAsia="Arial" w:hAnsi="Arial"/>
                <w:sz w:val="18"/>
                <w:szCs w:val="18"/>
                <w:b w:val="1"/>
                <w:bCs w:val="1"/>
                <w:color w:val="auto"/>
              </w:rPr>
              <w:t>Commission file number 000-27239</w:t>
            </w: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80" w:type="dxa"/>
            <w:vAlign w:val="bottom"/>
          </w:tcPr>
          <w:p>
            <w:pPr>
              <w:jc w:val="center"/>
              <w:ind w:right="95"/>
              <w:spacing w:after="0"/>
              <w:rPr>
                <w:sz w:val="20"/>
                <w:szCs w:val="20"/>
                <w:color w:val="auto"/>
              </w:rPr>
            </w:pPr>
            <w:r>
              <w:rPr>
                <w:rFonts w:ascii="Arial" w:cs="Arial" w:eastAsia="Arial" w:hAnsi="Arial"/>
                <w:sz w:val="18"/>
                <w:szCs w:val="18"/>
                <w:b w:val="1"/>
                <w:bCs w:val="1"/>
                <w:color w:val="auto"/>
                <w:w w:val="90"/>
              </w:rPr>
              <w:t>Nevada</w:t>
            </w:r>
          </w:p>
        </w:tc>
        <w:tc>
          <w:tcPr>
            <w:tcW w:w="2820" w:type="dxa"/>
            <w:vAlign w:val="bottom"/>
            <w:gridSpan w:val="2"/>
          </w:tcPr>
          <w:p>
            <w:pPr>
              <w:ind w:left="1380"/>
              <w:spacing w:after="0"/>
              <w:rPr>
                <w:sz w:val="20"/>
                <w:szCs w:val="20"/>
                <w:color w:val="auto"/>
              </w:rPr>
            </w:pPr>
            <w:r>
              <w:rPr>
                <w:rFonts w:ascii="Arial" w:cs="Arial" w:eastAsia="Arial" w:hAnsi="Arial"/>
                <w:sz w:val="18"/>
                <w:szCs w:val="18"/>
                <w:b w:val="1"/>
                <w:bCs w:val="1"/>
                <w:color w:val="auto"/>
              </w:rPr>
              <w:t>000-27239</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45-4497941</w:t>
            </w:r>
          </w:p>
        </w:tc>
        <w:tc>
          <w:tcPr>
            <w:tcW w:w="0" w:type="dxa"/>
            <w:vAlign w:val="bottom"/>
          </w:tcPr>
          <w:p>
            <w:pPr>
              <w:spacing w:after="0"/>
              <w:rPr>
                <w:sz w:val="1"/>
                <w:szCs w:val="1"/>
                <w:color w:val="auto"/>
              </w:rPr>
            </w:pPr>
          </w:p>
        </w:tc>
      </w:tr>
      <w:tr>
        <w:trPr>
          <w:trHeight w:val="149"/>
        </w:trPr>
        <w:tc>
          <w:tcPr>
            <w:tcW w:w="40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40" w:type="dxa"/>
            <w:vAlign w:val="bottom"/>
          </w:tcPr>
          <w:p>
            <w:pPr>
              <w:spacing w:after="0"/>
              <w:rPr>
                <w:sz w:val="12"/>
                <w:szCs w:val="12"/>
                <w:color w:val="auto"/>
              </w:rPr>
            </w:pPr>
          </w:p>
        </w:tc>
        <w:tc>
          <w:tcPr>
            <w:tcW w:w="3700" w:type="dxa"/>
            <w:vAlign w:val="bottom"/>
            <w:gridSpan w:val="4"/>
          </w:tcPr>
          <w:p>
            <w:pPr>
              <w:ind w:left="920"/>
              <w:spacing w:after="0" w:line="149" w:lineRule="exact"/>
              <w:rPr>
                <w:sz w:val="20"/>
                <w:szCs w:val="20"/>
                <w:color w:val="auto"/>
              </w:rPr>
            </w:pPr>
            <w:r>
              <w:rPr>
                <w:rFonts w:ascii="Arial" w:cs="Arial" w:eastAsia="Arial" w:hAnsi="Arial"/>
                <w:sz w:val="14"/>
                <w:szCs w:val="14"/>
                <w:b w:val="1"/>
                <w:bCs w:val="1"/>
                <w:color w:val="auto"/>
              </w:rPr>
              <w:t>(Commission</w:t>
            </w:r>
          </w:p>
        </w:tc>
        <w:tc>
          <w:tcPr>
            <w:tcW w:w="400" w:type="dxa"/>
            <w:vAlign w:val="bottom"/>
          </w:tcPr>
          <w:p>
            <w:pPr>
              <w:spacing w:after="0"/>
              <w:rPr>
                <w:sz w:val="12"/>
                <w:szCs w:val="12"/>
                <w:color w:val="auto"/>
              </w:rPr>
            </w:pPr>
          </w:p>
        </w:tc>
        <w:tc>
          <w:tcPr>
            <w:tcW w:w="1560" w:type="dxa"/>
            <w:vAlign w:val="bottom"/>
            <w:gridSpan w:val="2"/>
          </w:tcPr>
          <w:p>
            <w:pPr>
              <w:jc w:val="center"/>
              <w:ind w:left="319"/>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08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of incorporation)</w:t>
            </w:r>
          </w:p>
        </w:tc>
        <w:tc>
          <w:tcPr>
            <w:tcW w:w="440" w:type="dxa"/>
            <w:vAlign w:val="bottom"/>
          </w:tcPr>
          <w:p>
            <w:pPr>
              <w:spacing w:after="0"/>
              <w:rPr>
                <w:sz w:val="16"/>
                <w:szCs w:val="16"/>
                <w:color w:val="auto"/>
              </w:rPr>
            </w:pPr>
          </w:p>
        </w:tc>
        <w:tc>
          <w:tcPr>
            <w:tcW w:w="3700" w:type="dxa"/>
            <w:vAlign w:val="bottom"/>
            <w:gridSpan w:val="4"/>
          </w:tcPr>
          <w:p>
            <w:pPr>
              <w:ind w:left="900"/>
              <w:spacing w:after="0"/>
              <w:rPr>
                <w:sz w:val="20"/>
                <w:szCs w:val="20"/>
                <w:color w:val="auto"/>
              </w:rPr>
            </w:pPr>
            <w:r>
              <w:rPr>
                <w:rFonts w:ascii="Arial" w:cs="Arial" w:eastAsia="Arial" w:hAnsi="Arial"/>
                <w:sz w:val="14"/>
                <w:szCs w:val="14"/>
                <w:b w:val="1"/>
                <w:bCs w:val="1"/>
                <w:color w:val="auto"/>
              </w:rPr>
              <w:t>File Number)</w:t>
            </w:r>
          </w:p>
        </w:tc>
        <w:tc>
          <w:tcPr>
            <w:tcW w:w="400" w:type="dxa"/>
            <w:vAlign w:val="bottom"/>
          </w:tcPr>
          <w:p>
            <w:pPr>
              <w:spacing w:after="0"/>
              <w:rPr>
                <w:sz w:val="16"/>
                <w:szCs w:val="16"/>
                <w:color w:val="auto"/>
              </w:rPr>
            </w:pPr>
          </w:p>
        </w:tc>
        <w:tc>
          <w:tcPr>
            <w:tcW w:w="1560" w:type="dxa"/>
            <w:vAlign w:val="bottom"/>
            <w:gridSpan w:val="2"/>
          </w:tcPr>
          <w:p>
            <w:pPr>
              <w:jc w:val="center"/>
              <w:ind w:left="319"/>
              <w:spacing w:after="0"/>
              <w:rPr>
                <w:sz w:val="20"/>
                <w:szCs w:val="20"/>
                <w:color w:val="auto"/>
              </w:rPr>
            </w:pPr>
            <w:r>
              <w:rPr>
                <w:rFonts w:ascii="Arial" w:cs="Arial" w:eastAsia="Arial" w:hAnsi="Arial"/>
                <w:sz w:val="14"/>
                <w:szCs w:val="14"/>
                <w:b w:val="1"/>
                <w:bCs w:val="1"/>
                <w:color w:val="auto"/>
                <w:w w:val="94"/>
              </w:rPr>
              <w:t>Identification No. )</w:t>
            </w:r>
          </w:p>
        </w:tc>
        <w:tc>
          <w:tcPr>
            <w:tcW w:w="0" w:type="dxa"/>
            <w:vAlign w:val="bottom"/>
          </w:tcPr>
          <w:p>
            <w:pPr>
              <w:spacing w:after="0"/>
              <w:rPr>
                <w:sz w:val="1"/>
                <w:szCs w:val="1"/>
                <w:color w:val="auto"/>
              </w:rPr>
            </w:pPr>
          </w:p>
        </w:tc>
      </w:tr>
      <w:tr>
        <w:trPr>
          <w:trHeight w:val="439"/>
        </w:trPr>
        <w:tc>
          <w:tcPr>
            <w:tcW w:w="4080" w:type="dxa"/>
            <w:vAlign w:val="bottom"/>
          </w:tcPr>
          <w:p>
            <w:pPr>
              <w:jc w:val="center"/>
              <w:ind w:left="1615"/>
              <w:spacing w:after="0"/>
              <w:rPr>
                <w:sz w:val="20"/>
                <w:szCs w:val="20"/>
                <w:color w:val="auto"/>
              </w:rPr>
            </w:pPr>
            <w:r>
              <w:rPr>
                <w:rFonts w:ascii="Arial" w:cs="Arial" w:eastAsia="Arial" w:hAnsi="Arial"/>
                <w:sz w:val="18"/>
                <w:szCs w:val="18"/>
                <w:b w:val="1"/>
                <w:bCs w:val="1"/>
                <w:color w:val="auto"/>
                <w:w w:val="91"/>
              </w:rPr>
              <w:t>50 N. Laura Street, Suite 2500</w:t>
            </w: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80" w:type="dxa"/>
            <w:vAlign w:val="bottom"/>
          </w:tcPr>
          <w:p>
            <w:pPr>
              <w:jc w:val="center"/>
              <w:ind w:left="1615"/>
              <w:spacing w:after="0"/>
              <w:rPr>
                <w:sz w:val="20"/>
                <w:szCs w:val="20"/>
                <w:color w:val="auto"/>
              </w:rPr>
            </w:pPr>
            <w:r>
              <w:rPr>
                <w:rFonts w:ascii="Arial" w:cs="Arial" w:eastAsia="Arial" w:hAnsi="Arial"/>
                <w:sz w:val="18"/>
                <w:szCs w:val="18"/>
                <w:b w:val="1"/>
                <w:bCs w:val="1"/>
                <w:color w:val="auto"/>
                <w:w w:val="90"/>
              </w:rPr>
              <w:t>Jacksonville, FL</w:t>
            </w: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79"/>
              <w:spacing w:after="0"/>
              <w:rPr>
                <w:sz w:val="20"/>
                <w:szCs w:val="20"/>
                <w:color w:val="auto"/>
              </w:rPr>
            </w:pPr>
            <w:r>
              <w:rPr>
                <w:rFonts w:ascii="Arial" w:cs="Arial" w:eastAsia="Arial" w:hAnsi="Arial"/>
                <w:sz w:val="18"/>
                <w:szCs w:val="18"/>
                <w:b w:val="1"/>
                <w:bCs w:val="1"/>
                <w:color w:val="auto"/>
              </w:rPr>
              <w:t>32202</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080" w:type="dxa"/>
            <w:vAlign w:val="bottom"/>
          </w:tcPr>
          <w:p>
            <w:pPr>
              <w:jc w:val="center"/>
              <w:ind w:left="161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4080" w:type="dxa"/>
            <w:vAlign w:val="bottom"/>
          </w:tcPr>
          <w:p>
            <w:pPr>
              <w:spacing w:after="0"/>
              <w:rPr>
                <w:sz w:val="24"/>
                <w:szCs w:val="24"/>
                <w:color w:val="auto"/>
              </w:rPr>
            </w:pPr>
          </w:p>
        </w:tc>
        <w:tc>
          <w:tcPr>
            <w:tcW w:w="2820" w:type="dxa"/>
            <w:vAlign w:val="bottom"/>
            <w:gridSpan w:val="2"/>
          </w:tcPr>
          <w:p>
            <w:pPr>
              <w:jc w:val="center"/>
              <w:ind w:left="354"/>
              <w:spacing w:after="0"/>
              <w:rPr>
                <w:sz w:val="20"/>
                <w:szCs w:val="20"/>
                <w:color w:val="auto"/>
              </w:rPr>
            </w:pPr>
            <w:r>
              <w:rPr>
                <w:rFonts w:ascii="Arial" w:cs="Arial" w:eastAsia="Arial" w:hAnsi="Arial"/>
                <w:sz w:val="18"/>
                <w:szCs w:val="18"/>
                <w:b w:val="1"/>
                <w:bCs w:val="1"/>
                <w:color w:val="auto"/>
                <w:w w:val="90"/>
              </w:rPr>
              <w:t>904-516-5436</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414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8220" w:type="dxa"/>
            <w:vAlign w:val="bottom"/>
            <w:gridSpan w:val="6"/>
          </w:tcPr>
          <w:p>
            <w:pPr>
              <w:jc w:val="center"/>
              <w:ind w:left="3135"/>
              <w:spacing w:after="0"/>
              <w:rPr>
                <w:sz w:val="20"/>
                <w:szCs w:val="20"/>
                <w:color w:val="auto"/>
              </w:rPr>
            </w:pPr>
            <w:r>
              <w:rPr>
                <w:rFonts w:ascii="Arial" w:cs="Arial" w:eastAsia="Arial" w:hAnsi="Arial"/>
                <w:sz w:val="18"/>
                <w:szCs w:val="18"/>
                <w:b w:val="1"/>
                <w:bCs w:val="1"/>
                <w:color w:val="auto"/>
                <w:w w:val="88"/>
              </w:rPr>
              <w:t>Securities registered pursuant to Section 12(b) of the Act: None</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40" w:type="dxa"/>
            <w:vAlign w:val="bottom"/>
            <w:gridSpan w:val="4"/>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20" w:type="dxa"/>
            <w:vAlign w:val="bottom"/>
            <w:gridSpan w:val="6"/>
          </w:tcPr>
          <w:p>
            <w:pPr>
              <w:jc w:val="center"/>
              <w:ind w:left="3135"/>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080" w:type="dxa"/>
            <w:vAlign w:val="bottom"/>
          </w:tcPr>
          <w:p>
            <w:pPr>
              <w:spacing w:after="0"/>
              <w:rPr>
                <w:sz w:val="24"/>
                <w:szCs w:val="24"/>
                <w:color w:val="auto"/>
              </w:rPr>
            </w:pPr>
          </w:p>
        </w:tc>
        <w:tc>
          <w:tcPr>
            <w:tcW w:w="4140" w:type="dxa"/>
            <w:vAlign w:val="bottom"/>
            <w:gridSpan w:val="5"/>
          </w:tcPr>
          <w:p>
            <w:pPr>
              <w:jc w:val="center"/>
              <w:ind w:right="880"/>
              <w:spacing w:after="0"/>
              <w:rPr>
                <w:sz w:val="20"/>
                <w:szCs w:val="20"/>
                <w:color w:val="auto"/>
              </w:rPr>
            </w:pPr>
            <w:r>
              <w:rPr>
                <w:rFonts w:ascii="Arial" w:cs="Arial" w:eastAsia="Arial" w:hAnsi="Arial"/>
                <w:sz w:val="18"/>
                <w:szCs w:val="18"/>
                <w:b w:val="1"/>
                <w:bCs w:val="1"/>
                <w:color w:val="auto"/>
                <w:w w:val="90"/>
              </w:rPr>
              <w:t>Common Stock, Par Value $0. 001</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0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91"/>
              </w:rPr>
              <w:t>(Title of class)</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4520" w:type="dxa"/>
            <w:vAlign w:val="bottom"/>
            <w:gridSpan w:val="2"/>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520" w:type="dxa"/>
            <w:vAlign w:val="bottom"/>
            <w:vMerge w:val="restart"/>
          </w:tcPr>
          <w:p>
            <w:pPr>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040" w:type="dxa"/>
            <w:vAlign w:val="bottom"/>
            <w:vMerge w:val="restart"/>
          </w:tcPr>
          <w:p>
            <w:pPr>
              <w:jc w:val="center"/>
              <w:ind w:right="13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46"/>
        </w:trPr>
        <w:tc>
          <w:tcPr>
            <w:tcW w:w="8620" w:type="dxa"/>
            <w:vAlign w:val="bottom"/>
            <w:gridSpan w:val="7"/>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52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7"/>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of Section 15(d) of the Act.</w:t>
            </w:r>
          </w:p>
        </w:tc>
        <w:tc>
          <w:tcPr>
            <w:tcW w:w="520" w:type="dxa"/>
            <w:vAlign w:val="bottom"/>
          </w:tcPr>
          <w:p>
            <w:pPr>
              <w:ind w:left="160"/>
              <w:spacing w:after="0"/>
              <w:rPr>
                <w:sz w:val="20"/>
                <w:szCs w:val="20"/>
                <w:color w:val="auto"/>
              </w:rPr>
            </w:pPr>
            <w:r>
              <w:rPr>
                <w:rFonts w:ascii="Arial" w:cs="Arial" w:eastAsia="Arial" w:hAnsi="Arial"/>
                <w:sz w:val="18"/>
                <w:szCs w:val="18"/>
                <w:color w:val="auto"/>
              </w:rPr>
              <w:t>Yes</w:t>
            </w:r>
          </w:p>
        </w:tc>
        <w:tc>
          <w:tcPr>
            <w:tcW w:w="1040" w:type="dxa"/>
            <w:vAlign w:val="bottom"/>
          </w:tcPr>
          <w:p>
            <w:pPr>
              <w:jc w:val="center"/>
              <w:ind w:right="15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jc w:val="both"/>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 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checkmark whether the registrant is a large accelerated filer, an accelerated filer, a non-accelerated filer, or a smaller reporting company.</w:t>
      </w:r>
    </w:p>
    <w:p>
      <w:pPr>
        <w:sectPr>
          <w:pgSz w:w="11900" w:h="16838" w:orient="portrait"/>
          <w:cols w:equalWidth="0" w:num="1">
            <w:col w:w="11420"/>
          </w:cols>
          <w:pgMar w:left="240" w:top="230" w:right="239" w:bottom="0" w:gutter="0" w:footer="0" w:header="0"/>
        </w:sectPr>
      </w:pPr>
    </w:p>
    <w:p>
      <w:pPr>
        <w:spacing w:after="0" w:line="26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2"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4">
            <w:col w:w="8140" w:space="160"/>
            <w:col w:w="260" w:space="100"/>
            <w:col w:w="160" w:space="180"/>
            <w:col w:w="2420"/>
          </w:cols>
          <w:pgMar w:left="240" w:top="230" w:right="239" w:bottom="0" w:gutter="0" w:footer="0" w:header="0"/>
          <w:type w:val="continuous"/>
        </w:sectPr>
      </w:pPr>
    </w:p>
    <w:bookmarkStart w:id="1" w:name="page2"/>
    <w:bookmarkEnd w:id="1"/>
    <w:p>
      <w:pPr>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computed by reference to the price at which the registrant’s common equity was last sold, as of June 30, 2015 (the last day of the registrant’s most recently completed second fiscal quarter) was approximately $36,517,000.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70,990,762 shares of common stock outstanding as of April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Table of Contents</w:t>
              </w:r>
            </w:hyperlink>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93"/>
        </w:trPr>
        <w:tc>
          <w:tcPr>
            <w:tcW w:w="13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80" w:type="dxa"/>
            <w:vAlign w:val="bottom"/>
            <w:gridSpan w:val="11"/>
          </w:tcPr>
          <w:p>
            <w:pPr>
              <w:ind w:left="48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24"/>
                <w:szCs w:val="24"/>
                <w:color w:val="auto"/>
              </w:rPr>
            </w:pPr>
          </w:p>
        </w:tc>
      </w:tr>
      <w:tr>
        <w:trPr>
          <w:trHeight w:val="439"/>
        </w:trPr>
        <w:tc>
          <w:tcPr>
            <w:tcW w:w="14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BUSINESS</w:t>
              </w:r>
            </w:hyperlink>
          </w:p>
        </w:tc>
        <w:tc>
          <w:tcPr>
            <w:tcW w:w="2440" w:type="dxa"/>
            <w:vAlign w:val="bottom"/>
            <w:gridSpan w:val="12"/>
          </w:tcPr>
          <w:p>
            <w:pPr>
              <w:spacing w:after="0"/>
              <w:rPr>
                <w:sz w:val="24"/>
                <w:szCs w:val="24"/>
                <w:color w:val="auto"/>
              </w:rPr>
            </w:pPr>
          </w:p>
        </w:tc>
        <w:tc>
          <w:tcPr>
            <w:tcW w:w="1920" w:type="dxa"/>
            <w:vAlign w:val="bottom"/>
            <w:tcBorders>
              <w:top w:val="single" w:sz="8" w:color="auto"/>
            </w:tcBorders>
            <w:gridSpan w:val="2"/>
          </w:tcPr>
          <w:p>
            <w:pPr>
              <w:spacing w:after="0"/>
              <w:rPr>
                <w:sz w:val="24"/>
                <w:szCs w:val="24"/>
                <w:color w:val="auto"/>
              </w:rPr>
            </w:pPr>
          </w:p>
        </w:tc>
        <w:tc>
          <w:tcPr>
            <w:tcW w:w="4480" w:type="dxa"/>
            <w:vAlign w:val="bottom"/>
            <w:gridSpan w:val="8"/>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12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RISK FACTORS</w:t>
              </w:r>
            </w:hyperlink>
          </w:p>
        </w:tc>
        <w:tc>
          <w:tcPr>
            <w:tcW w:w="8440" w:type="dxa"/>
            <w:vAlign w:val="bottom"/>
            <w:gridSpan w:val="19"/>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700" w:type="dxa"/>
            <w:vAlign w:val="bottom"/>
            <w:gridSpan w:val="2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UNRESOLVED STAFF COMMENTS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PROPERTIES</w:t>
              </w:r>
            </w:hyperlink>
          </w:p>
        </w:tc>
        <w:tc>
          <w:tcPr>
            <w:tcW w:w="1760" w:type="dxa"/>
            <w:vAlign w:val="bottom"/>
            <w:tcBorders>
              <w:top w:val="single" w:sz="8" w:color="0000EE"/>
            </w:tcBorders>
            <w:gridSpan w:val="9"/>
          </w:tcPr>
          <w:p>
            <w:pPr>
              <w:spacing w:after="0"/>
              <w:rPr>
                <w:sz w:val="17"/>
                <w:szCs w:val="17"/>
                <w:color w:val="auto"/>
              </w:rPr>
            </w:pPr>
          </w:p>
        </w:tc>
        <w:tc>
          <w:tcPr>
            <w:tcW w:w="6880" w:type="dxa"/>
            <w:vAlign w:val="bottom"/>
            <w:gridSpan w:val="1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700" w:type="dxa"/>
            <w:vAlign w:val="bottom"/>
            <w:gridSpan w:val="2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700" w:type="dxa"/>
            <w:vAlign w:val="bottom"/>
            <w:gridSpan w:val="2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MINE SAFETY DISCLOSURE</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640" w:type="dxa"/>
            <w:vAlign w:val="bottom"/>
            <w:tcBorders>
              <w:bottom w:val="single" w:sz="8" w:color="0000EE"/>
            </w:tcBorders>
            <w:gridSpan w:val="24"/>
          </w:tcPr>
          <w:p>
            <w:pPr>
              <w:spacing w:after="0" w:line="196" w:lineRule="exact"/>
              <w:rPr>
                <w:rFonts w:ascii="Arial" w:cs="Arial" w:eastAsia="Arial" w:hAnsi="Arial"/>
                <w:sz w:val="18"/>
                <w:szCs w:val="18"/>
                <w:color w:val="0000EE"/>
                <w:w w:val="95"/>
              </w:rPr>
            </w:pPr>
            <w:hyperlink w:anchor="page41">
              <w:r>
                <w:rPr>
                  <w:rFonts w:ascii="Arial" w:cs="Arial" w:eastAsia="Arial" w:hAnsi="Arial"/>
                  <w:sz w:val="18"/>
                  <w:szCs w:val="18"/>
                  <w:color w:val="0000EE"/>
                  <w:w w:val="95"/>
                </w:rPr>
                <w:t>MARKET FOR REGISTRANT’S COMMON EQUITY, RELATED STOCKHOLDER MATTERS AND ISSUER PURCHASES OF</w:t>
              </w:r>
            </w:hyperlink>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20" w:type="dxa"/>
            <w:vAlign w:val="bottom"/>
            <w:gridSpan w:val="2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EQUITY SECURITIES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SELECTED FINANCIAL DATA</w:t>
              </w:r>
            </w:hyperlink>
          </w:p>
        </w:tc>
        <w:tc>
          <w:tcPr>
            <w:tcW w:w="7260" w:type="dxa"/>
            <w:vAlign w:val="bottom"/>
            <w:gridSpan w:val="1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700" w:type="dxa"/>
            <w:vAlign w:val="bottom"/>
            <w:gridSpan w:val="2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89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780" w:type="dxa"/>
            <w:vAlign w:val="bottom"/>
            <w:gridSpan w:val="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21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FINANCIAL STATEMENTS</w:t>
              </w:r>
            </w:hyperlink>
          </w:p>
        </w:tc>
        <w:tc>
          <w:tcPr>
            <w:tcW w:w="3980" w:type="dxa"/>
            <w:vAlign w:val="bottom"/>
            <w:tcBorders>
              <w:top w:val="single" w:sz="8" w:color="0000EE"/>
            </w:tcBorders>
            <w:gridSpan w:val="10"/>
          </w:tcPr>
          <w:p>
            <w:pPr>
              <w:spacing w:after="0"/>
              <w:rPr>
                <w:sz w:val="17"/>
                <w:szCs w:val="17"/>
                <w:color w:val="auto"/>
              </w:rPr>
            </w:pPr>
          </w:p>
        </w:tc>
        <w:tc>
          <w:tcPr>
            <w:tcW w:w="3560" w:type="dxa"/>
            <w:vAlign w:val="bottom"/>
            <w:gridSpan w:val="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9700" w:type="dxa"/>
            <w:vAlign w:val="bottom"/>
            <w:gridSpan w:val="2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CHANGES IN AND DISAGREEMENTS WITH ACCOUNTANTS ON ACCOUNTING AND FINANCIAL DISCLOSURE</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91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60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9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OTHER INFORMATION</w:t>
              </w:r>
            </w:hyperlink>
          </w:p>
        </w:tc>
        <w:tc>
          <w:tcPr>
            <w:tcW w:w="680" w:type="dxa"/>
            <w:vAlign w:val="bottom"/>
            <w:tcBorders>
              <w:top w:val="single" w:sz="8" w:color="0000EE"/>
            </w:tcBorders>
            <w:gridSpan w:val="5"/>
          </w:tcPr>
          <w:p>
            <w:pPr>
              <w:spacing w:after="0"/>
              <w:rPr>
                <w:sz w:val="17"/>
                <w:szCs w:val="17"/>
                <w:color w:val="auto"/>
              </w:rPr>
            </w:pPr>
          </w:p>
        </w:tc>
        <w:tc>
          <w:tcPr>
            <w:tcW w:w="7100" w:type="dxa"/>
            <w:vAlign w:val="bottom"/>
            <w:gridSpan w:val="1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9700" w:type="dxa"/>
            <w:vAlign w:val="bottom"/>
            <w:gridSpan w:val="2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DIRECTORS, EXECUTIVE OFFICERS AND CORPORATE GOVERNANCE</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2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EXECUTIVE COMPENSATION</w:t>
              </w:r>
            </w:hyperlink>
          </w:p>
        </w:tc>
        <w:tc>
          <w:tcPr>
            <w:tcW w:w="3340" w:type="dxa"/>
            <w:vAlign w:val="bottom"/>
            <w:tcBorders>
              <w:top w:val="single" w:sz="8" w:color="0000EE"/>
            </w:tcBorders>
            <w:gridSpan w:val="6"/>
          </w:tcPr>
          <w:p>
            <w:pPr>
              <w:spacing w:after="0"/>
              <w:rPr>
                <w:sz w:val="17"/>
                <w:szCs w:val="17"/>
                <w:color w:val="auto"/>
              </w:rPr>
            </w:pPr>
          </w:p>
        </w:tc>
        <w:tc>
          <w:tcPr>
            <w:tcW w:w="3900" w:type="dxa"/>
            <w:vAlign w:val="bottom"/>
            <w:gridSpan w:val="7"/>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38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SECURITY OWNERSHIP OF CERTAIN BENEFICIAL OWNERS AND MANAGEMENT AND RELATED STOCKHOLDER</w:t>
              </w:r>
            </w:hyperlink>
          </w:p>
        </w:tc>
        <w:tc>
          <w:tcPr>
            <w:tcW w:w="3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20" w:type="dxa"/>
            <w:vAlign w:val="bottom"/>
            <w:gridSpan w:val="2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MATTERS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940" w:type="dxa"/>
            <w:vAlign w:val="bottom"/>
            <w:gridSpan w:val="12"/>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9700" w:type="dxa"/>
            <w:vAlign w:val="bottom"/>
            <w:gridSpan w:val="2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CERTAIN RELATIONSHIPS AND RELATED TRANSACTIONS AND DIRECTOR INDEPENDENCE</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3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PRINCIPAL ACCOUNTING FEES AND SERVICES</w:t>
              </w:r>
            </w:hyperlink>
          </w:p>
        </w:tc>
        <w:tc>
          <w:tcPr>
            <w:tcW w:w="3720" w:type="dxa"/>
            <w:vAlign w:val="bottom"/>
            <w:tcBorders>
              <w:top w:val="single" w:sz="8" w:color="0000EE"/>
            </w:tcBorders>
            <w:gridSpan w:val="4"/>
          </w:tcPr>
          <w:p>
            <w:pPr>
              <w:spacing w:after="0"/>
              <w:rPr>
                <w:sz w:val="17"/>
                <w:szCs w:val="17"/>
                <w:color w:val="auto"/>
              </w:rPr>
            </w:pPr>
          </w:p>
        </w:tc>
        <w:tc>
          <w:tcPr>
            <w:tcW w:w="2040" w:type="dxa"/>
            <w:vAlign w:val="bottom"/>
            <w:gridSpan w:val="5"/>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9700" w:type="dxa"/>
            <w:vAlign w:val="bottom"/>
            <w:gridSpan w:val="2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EXHIBITS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REVERSE STOCK SPLIT</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February 18, 2014, we filed Certificate of Change Pursuant to NRS 78. 209 with the Secretary of State of the State of Nevada to effect a reverse split of our common stock at a ratio of one for one hundred. All historical share and per share amounts reflected in this report have been adjusted to reflect the resulting reverse stock split.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annual report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annual report. Any of these items may cause our actual results to differ materially from any forward-looking statement made in this annual report. Forward-looking statements in this annual report include, statements as to:</w:t>
      </w:r>
    </w:p>
    <w:p>
      <w:pPr>
        <w:spacing w:after="0" w:line="9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discovery, development, formulation, manufacturing and commercialization of our compounds, our drug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clinical trials internally, with collaborators, or with clinical research organizations;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collaboration and strategic relationship strategy; anticipated benefits and disadvantages of entering into such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licensing, investment and commercialization strategies;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approval process, including obtaining U. S. Food and Drug Administration and other international health authorities approval for our products in the United States and abroad;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effectiveness and potential benefits and indications of our drug candidates and other compounds under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size of our clinical trials; the compounds expected to enter clinical trials; timing of clinical trial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of our drug discovery and development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required expertise relating to clinical trials, manufacturing, sales and marketing;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obtaining and terminating licenses to products, drug candidates or technology, or other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receipt from or payments pursuant to collaboration or license agreements resulting from milestones or royalties;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to develop and commercialize products on our own;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to use third 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expenses and expenditure levels; expected uses of cash; expected revenues and sources of revenues;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capital resources to continue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raise additional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investments, including anticipated expenditures, losses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patent prosecution and maintenance efforts; and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spacing w:after="0" w:line="87"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capital when needed;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discover, develop, formulate, manufacture and commercialize our drug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unanticipated delays in, or discontinuations of, research and development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previous preclinical testing or clinical trial results are not necessarily indicative of future clinical trial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conduct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regulatory requirements and administrative practice;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adverse safety findings;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results of our clinical trials do not support submission of a marketing approval application for our drug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significant delays or costs in obtaining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reliance on third party manufacturers, collaborators, and clinical research organizations;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development of new products and their use by us and our current and potential collaborators;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inability to control the development of out-licensed compounds or drug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collaborators’ ability to develop and commercialize drug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prosecuting,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obtain adequate product liability and other insurance coverage;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our drug candidates may not obtain or maintain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technological advances and competition, including potential generic competition;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against third parties with greater resources than ours;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changes in pricing and reimbursements in the markets in which we may compete;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to develop and commercialize similar drug products;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freedom to operate for our discoveries and to continue to be effective in expanding our patent coverage;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80"/>
          </w:cols>
          <w:pgMar w:left="240" w:top="459" w:right="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changing laws on our patent portfolio;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in and expenses relating to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in-license drug candidates or other technology;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conflicts of interest of our directors and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implement our business plan;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manage our growth;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regulatory, legislative and judicial developments.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color w:val="auto"/>
        </w:rPr>
        <w:t xml:space="preserve">In this report all references to (i) “TapImmune” “we,” “us,” “our” or the “Company” mean TapImmune Inc. </w:t>
      </w:r>
      <w:r>
        <w:rPr>
          <w:rFonts w:ascii="Arial" w:cs="Arial" w:eastAsia="Arial" w:hAnsi="Arial"/>
          <w:sz w:val="17"/>
          <w:szCs w:val="17"/>
          <w:color w:val="auto"/>
        </w:rPr>
        <w:t>; (ii) “SEC” refers to the Securities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Exchange Commission; (iii) “Securities Act” refers to the United States </w:t>
      </w:r>
      <w:r>
        <w:rPr>
          <w:rFonts w:ascii="Arial" w:cs="Arial" w:eastAsia="Arial" w:hAnsi="Arial"/>
          <w:sz w:val="17"/>
          <w:szCs w:val="17"/>
          <w:i w:val="1"/>
          <w:iCs w:val="1"/>
          <w:color w:val="auto"/>
        </w:rPr>
        <w:t>Securities Act of 1933</w:t>
      </w:r>
      <w:r>
        <w:rPr>
          <w:rFonts w:ascii="Arial" w:cs="Arial" w:eastAsia="Arial" w:hAnsi="Arial"/>
          <w:sz w:val="17"/>
          <w:szCs w:val="17"/>
          <w:color w:val="auto"/>
        </w:rPr>
        <w:t xml:space="preserve">, as amended; (iv) “Exchange Act” refers to the United States </w:t>
      </w:r>
      <w:r>
        <w:rPr>
          <w:rFonts w:ascii="Arial" w:cs="Arial" w:eastAsia="Arial" w:hAnsi="Arial"/>
          <w:sz w:val="17"/>
          <w:szCs w:val="17"/>
          <w:i w:val="1"/>
          <w:iCs w:val="1"/>
          <w:color w:val="auto"/>
        </w:rPr>
        <w:t>Securities Exchange Act of 1934</w:t>
      </w:r>
      <w:r>
        <w:rPr>
          <w:rFonts w:ascii="Arial" w:cs="Arial" w:eastAsia="Arial" w:hAnsi="Arial"/>
          <w:sz w:val="17"/>
          <w:szCs w:val="17"/>
          <w:color w:val="auto"/>
        </w:rPr>
        <w:t>, as amended; and (v) all dollar amounts refer to United States dollars unless otherwise indicated.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Aggregate Market Value of Non-Affiliate Shares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purposes of calculating the aggregate market value of shares of our common stock held by non-affiliates as set forth on the cover page of this annual report on Form 10-K, we have assumed that all outstanding shares are held by non-affiliates, except for shares held by each of our executive officers, directors and 5% or greater stockholders. In the case of 5% or greater stockholders, we have not deemed such stockholders to be affiliates unless there are facts and circumstances which would indicate that such stockholders exercise any control over our company. These assumptions should not be deemed to constitute an admission that all executive officers, directors and 5% or greater stockholders are, in fact, affiliates of our company, or that there are no other persons who may be deemed to be affiliates of our company. Further information concerning shareholdings of our executive officers, directors and principal stockholders is incorporated by reference in Part III, Item 12 of this annual report on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TapImmune Inc. files annual, quarterly and current reports, proxy statements and other information with the Securities and Exchange Commission (the “SEC”). You may read and copy documents referred to in this Annual Report on Form 10-K that have been filed with the SEC at the SEC’s Public Reference Room, 450 Fifth Street, N. W. , Washington, D. C. You may obtain information on the operation of the Public Reference Room by calling the SEC at 1-800-SEC-0330. You can also obtain copies of our SEC filings by going to the SEC’s website at http://www. sec. gov.</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an Immuno-Oncology Company specializing in the development of innovative peptide and gene-based immunotherapeutics and vaccines for the treatment of cancer. These immunotherapy platforms also have application in infectious disease. We combine a set of proprietary and exclusively licensed technologies including peptide antigen technologies and DNA expression technologies that improve the ability of the cellular immune system to recognize and destroy diseased cells.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contrast to standard therapies for cancer treatment including surgery, radiation therapy and chemotherapy that imprecisely target cancer cells and normal cells, we are developing vaccines that precisely target candidate breast cancer(s), colorectal cancer(s), ovarian cancer(s) and non-small cell lung cancer(s). We are currently developing three core technology platforms:</w:t>
      </w:r>
    </w:p>
    <w:p>
      <w:pPr>
        <w:spacing w:after="0" w:line="181" w:lineRule="exact"/>
        <w:rPr>
          <w:sz w:val="20"/>
          <w:szCs w:val="20"/>
          <w:color w:val="auto"/>
        </w:rPr>
      </w:pPr>
    </w:p>
    <w:p>
      <w:pPr>
        <w:ind w:right="900"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exclusively licensed vaccine for the treatment of HER2/neu+ breast cancer that over-expresses Human Epidermal Growth Factor receptor 2 (HER2/neu),</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exclusively licensed vaccine for treating breast and ovarian cancers that over-express Folate Receptor Alpha,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wholly owned DNA expression vaccine technology (Polystart) for further treating various cancers or infectious disease.</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To enhance shareholder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Arial" w:cs="Arial" w:eastAsia="Arial" w:hAnsi="Arial"/>
                <w:sz w:val="14"/>
                <w:szCs w:val="14"/>
                <w:b w:val="1"/>
                <w:bCs w:val="1"/>
                <w:color w:val="auto"/>
                <w:w w:val="93"/>
              </w:rPr>
              <w:t>Product/Candidate</w:t>
            </w:r>
          </w:p>
        </w:tc>
        <w:tc>
          <w:tcPr>
            <w:tcW w:w="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0"/>
              </w:rPr>
              <w:t>Description</w:t>
            </w: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1"/>
              </w:rPr>
              <w:t>Application</w:t>
            </w:r>
          </w:p>
        </w:tc>
        <w:tc>
          <w:tcPr>
            <w:tcW w:w="440" w:type="dxa"/>
            <w:vAlign w:val="bottom"/>
          </w:tcPr>
          <w:p>
            <w:pPr>
              <w:spacing w:after="0"/>
              <w:rPr>
                <w:sz w:val="16"/>
                <w:szCs w:val="16"/>
                <w:color w:val="auto"/>
              </w:rPr>
            </w:pPr>
          </w:p>
        </w:tc>
        <w:tc>
          <w:tcPr>
            <w:tcW w:w="2920" w:type="dxa"/>
            <w:vAlign w:val="bottom"/>
            <w:gridSpan w:val="3"/>
          </w:tcPr>
          <w:p>
            <w:pPr>
              <w:ind w:left="17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760" w:type="dxa"/>
            <w:vAlign w:val="bottom"/>
            <w:gridSpan w:val="3"/>
          </w:tcPr>
          <w:p>
            <w:pPr>
              <w:spacing w:after="0"/>
              <w:rPr>
                <w:sz w:val="20"/>
                <w:szCs w:val="20"/>
                <w:color w:val="auto"/>
              </w:rPr>
            </w:pPr>
            <w:r>
              <w:rPr>
                <w:rFonts w:ascii="Arial" w:cs="Arial" w:eastAsia="Arial" w:hAnsi="Arial"/>
                <w:sz w:val="18"/>
                <w:szCs w:val="18"/>
                <w:color w:val="auto"/>
              </w:rPr>
              <w:t>HER2/neu+ Breast</w:t>
            </w:r>
          </w:p>
        </w:tc>
        <w:tc>
          <w:tcPr>
            <w:tcW w:w="1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gridSpan w:val="3"/>
            <w:vMerge w:val="restart"/>
          </w:tcPr>
          <w:p>
            <w:pPr>
              <w:ind w:left="640"/>
              <w:spacing w:after="0"/>
              <w:rPr>
                <w:sz w:val="20"/>
                <w:szCs w:val="20"/>
                <w:color w:val="auto"/>
              </w:rPr>
            </w:pPr>
            <w:r>
              <w:rPr>
                <w:rFonts w:ascii="Arial" w:cs="Arial" w:eastAsia="Arial" w:hAnsi="Arial"/>
                <w:sz w:val="18"/>
                <w:szCs w:val="18"/>
                <w:color w:val="auto"/>
              </w:rPr>
              <w:t>Treatment of</w:t>
            </w:r>
          </w:p>
        </w:tc>
        <w:tc>
          <w:tcPr>
            <w:tcW w:w="2920" w:type="dxa"/>
            <w:vAlign w:val="bottom"/>
            <w:gridSpan w:val="3"/>
            <w:vMerge w:val="restart"/>
          </w:tcPr>
          <w:p>
            <w:pPr>
              <w:ind w:left="120"/>
              <w:spacing w:after="0"/>
              <w:rPr>
                <w:sz w:val="20"/>
                <w:szCs w:val="20"/>
                <w:color w:val="auto"/>
              </w:rPr>
            </w:pPr>
            <w:r>
              <w:rPr>
                <w:rFonts w:ascii="Arial" w:cs="Arial" w:eastAsia="Arial" w:hAnsi="Arial"/>
                <w:sz w:val="18"/>
                <w:szCs w:val="18"/>
                <w:color w:val="auto"/>
              </w:rPr>
              <w:t>Phase I trial completed</w:t>
            </w:r>
          </w:p>
        </w:tc>
        <w:tc>
          <w:tcPr>
            <w:tcW w:w="0" w:type="dxa"/>
            <w:vAlign w:val="bottom"/>
          </w:tcPr>
          <w:p>
            <w:pPr>
              <w:spacing w:after="0"/>
              <w:rPr>
                <w:sz w:val="1"/>
                <w:szCs w:val="1"/>
                <w:color w:val="auto"/>
              </w:rPr>
            </w:pPr>
          </w:p>
        </w:tc>
      </w:tr>
      <w:tr>
        <w:trPr>
          <w:trHeight w:val="176"/>
        </w:trPr>
        <w:tc>
          <w:tcPr>
            <w:tcW w:w="1760" w:type="dxa"/>
            <w:vAlign w:val="bottom"/>
            <w:gridSpan w:val="3"/>
          </w:tcPr>
          <w:p>
            <w:pPr>
              <w:spacing w:after="0" w:line="176" w:lineRule="exact"/>
              <w:rPr>
                <w:sz w:val="20"/>
                <w:szCs w:val="20"/>
                <w:color w:val="auto"/>
              </w:rPr>
            </w:pPr>
            <w:r>
              <w:rPr>
                <w:rFonts w:ascii="Arial" w:cs="Arial" w:eastAsia="Arial" w:hAnsi="Arial"/>
                <w:sz w:val="18"/>
                <w:szCs w:val="18"/>
                <w:color w:val="auto"/>
              </w:rPr>
              <w:t>Cancer Vaccine</w:t>
            </w:r>
          </w:p>
        </w:tc>
        <w:tc>
          <w:tcPr>
            <w:tcW w:w="1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60" w:type="dxa"/>
            <w:vAlign w:val="bottom"/>
            <w:gridSpan w:val="3"/>
            <w:vMerge w:val="continue"/>
          </w:tcPr>
          <w:p>
            <w:pPr>
              <w:spacing w:after="0"/>
              <w:rPr>
                <w:sz w:val="15"/>
                <w:szCs w:val="15"/>
                <w:color w:val="auto"/>
              </w:rPr>
            </w:pPr>
          </w:p>
        </w:tc>
        <w:tc>
          <w:tcPr>
            <w:tcW w:w="2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gridSpan w:val="3"/>
            <w:vMerge w:val="restart"/>
          </w:tcPr>
          <w:p>
            <w:pPr>
              <w:spacing w:after="0"/>
              <w:rPr>
                <w:sz w:val="20"/>
                <w:szCs w:val="20"/>
                <w:color w:val="auto"/>
              </w:rPr>
            </w:pPr>
            <w:r>
              <w:rPr>
                <w:rFonts w:ascii="Arial" w:cs="Arial" w:eastAsia="Arial" w:hAnsi="Arial"/>
                <w:sz w:val="18"/>
                <w:szCs w:val="18"/>
                <w:color w:val="auto"/>
              </w:rPr>
              <w:t>TPIV 100/110</w:t>
            </w:r>
          </w:p>
        </w:tc>
        <w:tc>
          <w:tcPr>
            <w:tcW w:w="1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60" w:type="dxa"/>
            <w:vAlign w:val="bottom"/>
            <w:gridSpan w:val="3"/>
          </w:tcPr>
          <w:p>
            <w:pPr>
              <w:ind w:left="640"/>
              <w:spacing w:after="0" w:line="175" w:lineRule="exact"/>
              <w:rPr>
                <w:sz w:val="20"/>
                <w:szCs w:val="20"/>
                <w:color w:val="auto"/>
              </w:rPr>
            </w:pPr>
            <w:r>
              <w:rPr>
                <w:rFonts w:ascii="Arial" w:cs="Arial" w:eastAsia="Arial" w:hAnsi="Arial"/>
                <w:sz w:val="18"/>
                <w:szCs w:val="18"/>
                <w:color w:val="auto"/>
              </w:rPr>
              <w:t>HER2/neu+</w:t>
            </w:r>
          </w:p>
        </w:tc>
        <w:tc>
          <w:tcPr>
            <w:tcW w:w="2920" w:type="dxa"/>
            <w:vAlign w:val="bottom"/>
            <w:gridSpan w:val="3"/>
          </w:tcPr>
          <w:p>
            <w:pPr>
              <w:ind w:left="120"/>
              <w:spacing w:after="0" w:line="175" w:lineRule="exact"/>
              <w:rPr>
                <w:sz w:val="20"/>
                <w:szCs w:val="20"/>
                <w:color w:val="auto"/>
              </w:rPr>
            </w:pPr>
            <w:r>
              <w:rPr>
                <w:rFonts w:ascii="Arial" w:cs="Arial" w:eastAsia="Arial" w:hAnsi="Arial"/>
                <w:sz w:val="18"/>
                <w:szCs w:val="18"/>
                <w:color w:val="auto"/>
              </w:rPr>
              <w:t>Phase II to start in 2016</w:t>
            </w:r>
          </w:p>
        </w:tc>
        <w:tc>
          <w:tcPr>
            <w:tcW w:w="0" w:type="dxa"/>
            <w:vAlign w:val="bottom"/>
          </w:tcPr>
          <w:p>
            <w:pPr>
              <w:spacing w:after="0"/>
              <w:rPr>
                <w:sz w:val="1"/>
                <w:szCs w:val="1"/>
                <w:color w:val="auto"/>
              </w:rPr>
            </w:pPr>
          </w:p>
        </w:tc>
      </w:tr>
      <w:tr>
        <w:trPr>
          <w:trHeight w:val="230"/>
        </w:trPr>
        <w:tc>
          <w:tcPr>
            <w:tcW w:w="1760" w:type="dxa"/>
            <w:vAlign w:val="bottom"/>
            <w:gridSpan w:val="3"/>
            <w:vMerge w:val="continue"/>
          </w:tcPr>
          <w:p>
            <w:pPr>
              <w:spacing w:after="0"/>
              <w:rPr>
                <w:sz w:val="20"/>
                <w:szCs w:val="20"/>
                <w:color w:val="auto"/>
              </w:rPr>
            </w:pPr>
          </w:p>
        </w:tc>
        <w:tc>
          <w:tcPr>
            <w:tcW w:w="3600" w:type="dxa"/>
            <w:vAlign w:val="bottom"/>
            <w:gridSpan w:val="3"/>
          </w:tcPr>
          <w:p>
            <w:pPr>
              <w:ind w:left="120"/>
              <w:spacing w:after="0"/>
              <w:rPr>
                <w:sz w:val="20"/>
                <w:szCs w:val="20"/>
                <w:color w:val="auto"/>
              </w:rPr>
            </w:pPr>
            <w:r>
              <w:rPr>
                <w:rFonts w:ascii="Arial" w:cs="Arial" w:eastAsia="Arial" w:hAnsi="Arial"/>
                <w:sz w:val="18"/>
                <w:szCs w:val="18"/>
                <w:color w:val="auto"/>
              </w:rPr>
              <w:t>Peptide Vaccine</w:t>
            </w:r>
          </w:p>
        </w:tc>
        <w:tc>
          <w:tcPr>
            <w:tcW w:w="2260" w:type="dxa"/>
            <w:vAlign w:val="bottom"/>
            <w:gridSpan w:val="3"/>
          </w:tcPr>
          <w:p>
            <w:pPr>
              <w:ind w:left="640"/>
              <w:spacing w:after="0"/>
              <w:rPr>
                <w:sz w:val="20"/>
                <w:szCs w:val="20"/>
                <w:color w:val="auto"/>
              </w:rPr>
            </w:pPr>
            <w:r>
              <w:rPr>
                <w:rFonts w:ascii="Arial" w:cs="Arial" w:eastAsia="Arial" w:hAnsi="Arial"/>
                <w:sz w:val="18"/>
                <w:szCs w:val="18"/>
                <w:color w:val="auto"/>
              </w:rPr>
              <w:t>Breast Cancer</w:t>
            </w:r>
          </w:p>
        </w:tc>
        <w:tc>
          <w:tcPr>
            <w:tcW w:w="1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760" w:type="dxa"/>
            <w:vAlign w:val="bottom"/>
            <w:gridSpan w:val="3"/>
          </w:tcPr>
          <w:p>
            <w:pPr>
              <w:spacing w:after="0"/>
              <w:rPr>
                <w:sz w:val="20"/>
                <w:szCs w:val="20"/>
                <w:color w:val="auto"/>
              </w:rPr>
            </w:pPr>
            <w:r>
              <w:rPr>
                <w:rFonts w:ascii="Arial" w:cs="Arial" w:eastAsia="Arial" w:hAnsi="Arial"/>
                <w:sz w:val="18"/>
                <w:szCs w:val="18"/>
                <w:color w:val="auto"/>
                <w:w w:val="97"/>
              </w:rPr>
              <w:t>Folate Receptor Alpha</w:t>
            </w:r>
          </w:p>
        </w:tc>
        <w:tc>
          <w:tcPr>
            <w:tcW w:w="1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gridSpan w:val="3"/>
            <w:vMerge w:val="restart"/>
          </w:tcPr>
          <w:p>
            <w:pPr>
              <w:ind w:left="640"/>
              <w:spacing w:after="0"/>
              <w:rPr>
                <w:sz w:val="20"/>
                <w:szCs w:val="20"/>
                <w:color w:val="auto"/>
              </w:rPr>
            </w:pPr>
            <w:r>
              <w:rPr>
                <w:rFonts w:ascii="Arial" w:cs="Arial" w:eastAsia="Arial" w:hAnsi="Arial"/>
                <w:sz w:val="18"/>
                <w:szCs w:val="18"/>
                <w:color w:val="auto"/>
              </w:rPr>
              <w:t>Treatment of Folate</w:t>
            </w:r>
          </w:p>
        </w:tc>
        <w:tc>
          <w:tcPr>
            <w:tcW w:w="2920" w:type="dxa"/>
            <w:vAlign w:val="bottom"/>
            <w:gridSpan w:val="3"/>
            <w:vMerge w:val="restart"/>
          </w:tcPr>
          <w:p>
            <w:pPr>
              <w:ind w:left="120"/>
              <w:spacing w:after="0"/>
              <w:rPr>
                <w:sz w:val="20"/>
                <w:szCs w:val="20"/>
                <w:color w:val="auto"/>
              </w:rPr>
            </w:pPr>
            <w:r>
              <w:rPr>
                <w:rFonts w:ascii="Arial" w:cs="Arial" w:eastAsia="Arial" w:hAnsi="Arial"/>
                <w:sz w:val="18"/>
                <w:szCs w:val="18"/>
                <w:color w:val="auto"/>
              </w:rPr>
              <w:t>Phase I trial completed</w:t>
            </w:r>
          </w:p>
        </w:tc>
        <w:tc>
          <w:tcPr>
            <w:tcW w:w="0" w:type="dxa"/>
            <w:vAlign w:val="bottom"/>
          </w:tcPr>
          <w:p>
            <w:pPr>
              <w:spacing w:after="0"/>
              <w:rPr>
                <w:sz w:val="1"/>
                <w:szCs w:val="1"/>
                <w:color w:val="auto"/>
              </w:rPr>
            </w:pPr>
          </w:p>
        </w:tc>
      </w:tr>
      <w:tr>
        <w:trPr>
          <w:trHeight w:val="176"/>
        </w:trPr>
        <w:tc>
          <w:tcPr>
            <w:tcW w:w="1760" w:type="dxa"/>
            <w:vAlign w:val="bottom"/>
            <w:gridSpan w:val="3"/>
          </w:tcPr>
          <w:p>
            <w:pPr>
              <w:spacing w:after="0" w:line="176" w:lineRule="exact"/>
              <w:rPr>
                <w:sz w:val="20"/>
                <w:szCs w:val="20"/>
                <w:color w:val="auto"/>
              </w:rPr>
            </w:pPr>
            <w:r>
              <w:rPr>
                <w:rFonts w:ascii="Arial" w:cs="Arial" w:eastAsia="Arial" w:hAnsi="Arial"/>
                <w:sz w:val="18"/>
                <w:szCs w:val="18"/>
                <w:color w:val="auto"/>
              </w:rPr>
              <w:t>Vaccine</w:t>
            </w:r>
          </w:p>
        </w:tc>
        <w:tc>
          <w:tcPr>
            <w:tcW w:w="1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60" w:type="dxa"/>
            <w:vAlign w:val="bottom"/>
            <w:gridSpan w:val="3"/>
            <w:vMerge w:val="continue"/>
          </w:tcPr>
          <w:p>
            <w:pPr>
              <w:spacing w:after="0"/>
              <w:rPr>
                <w:sz w:val="15"/>
                <w:szCs w:val="15"/>
                <w:color w:val="auto"/>
              </w:rPr>
            </w:pPr>
          </w:p>
        </w:tc>
        <w:tc>
          <w:tcPr>
            <w:tcW w:w="2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gridSpan w:val="3"/>
            <w:vMerge w:val="restart"/>
          </w:tcPr>
          <w:p>
            <w:pPr>
              <w:spacing w:after="0"/>
              <w:rPr>
                <w:sz w:val="20"/>
                <w:szCs w:val="20"/>
                <w:color w:val="auto"/>
              </w:rPr>
            </w:pPr>
            <w:r>
              <w:rPr>
                <w:rFonts w:ascii="Arial" w:cs="Arial" w:eastAsia="Arial" w:hAnsi="Arial"/>
                <w:sz w:val="18"/>
                <w:szCs w:val="18"/>
                <w:color w:val="auto"/>
              </w:rPr>
              <w:t>TPIV 200</w:t>
            </w:r>
          </w:p>
        </w:tc>
        <w:tc>
          <w:tcPr>
            <w:tcW w:w="1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60" w:type="dxa"/>
            <w:vAlign w:val="bottom"/>
            <w:gridSpan w:val="3"/>
          </w:tcPr>
          <w:p>
            <w:pPr>
              <w:ind w:left="640"/>
              <w:spacing w:after="0" w:line="175" w:lineRule="exact"/>
              <w:rPr>
                <w:sz w:val="20"/>
                <w:szCs w:val="20"/>
                <w:color w:val="auto"/>
              </w:rPr>
            </w:pPr>
            <w:r>
              <w:rPr>
                <w:rFonts w:ascii="Arial" w:cs="Arial" w:eastAsia="Arial" w:hAnsi="Arial"/>
                <w:sz w:val="18"/>
                <w:szCs w:val="18"/>
                <w:color w:val="auto"/>
              </w:rPr>
              <w:t>Alpha Breast and</w:t>
            </w:r>
          </w:p>
        </w:tc>
        <w:tc>
          <w:tcPr>
            <w:tcW w:w="2920" w:type="dxa"/>
            <w:vAlign w:val="bottom"/>
            <w:gridSpan w:val="3"/>
          </w:tcPr>
          <w:p>
            <w:pPr>
              <w:ind w:left="120"/>
              <w:spacing w:after="0" w:line="175" w:lineRule="exact"/>
              <w:rPr>
                <w:sz w:val="20"/>
                <w:szCs w:val="20"/>
                <w:color w:val="auto"/>
              </w:rPr>
            </w:pPr>
            <w:r>
              <w:rPr>
                <w:rFonts w:ascii="Arial" w:cs="Arial" w:eastAsia="Arial" w:hAnsi="Arial"/>
                <w:sz w:val="18"/>
                <w:szCs w:val="18"/>
                <w:color w:val="auto"/>
                <w:w w:val="92"/>
              </w:rPr>
              <w:t>Multiple Phase II trials to start in 2016</w:t>
            </w:r>
          </w:p>
        </w:tc>
        <w:tc>
          <w:tcPr>
            <w:tcW w:w="0" w:type="dxa"/>
            <w:vAlign w:val="bottom"/>
          </w:tcPr>
          <w:p>
            <w:pPr>
              <w:spacing w:after="0"/>
              <w:rPr>
                <w:sz w:val="1"/>
                <w:szCs w:val="1"/>
                <w:color w:val="auto"/>
              </w:rPr>
            </w:pPr>
          </w:p>
        </w:tc>
      </w:tr>
      <w:tr>
        <w:trPr>
          <w:trHeight w:val="216"/>
        </w:trPr>
        <w:tc>
          <w:tcPr>
            <w:tcW w:w="1760" w:type="dxa"/>
            <w:vAlign w:val="bottom"/>
            <w:gridSpan w:val="3"/>
            <w:vMerge w:val="continue"/>
          </w:tcPr>
          <w:p>
            <w:pPr>
              <w:spacing w:after="0"/>
              <w:rPr>
                <w:sz w:val="18"/>
                <w:szCs w:val="18"/>
                <w:color w:val="auto"/>
              </w:rPr>
            </w:pPr>
          </w:p>
        </w:tc>
        <w:tc>
          <w:tcPr>
            <w:tcW w:w="3600" w:type="dxa"/>
            <w:vAlign w:val="bottom"/>
            <w:gridSpan w:val="3"/>
          </w:tcPr>
          <w:p>
            <w:pPr>
              <w:ind w:left="120"/>
              <w:spacing w:after="0"/>
              <w:rPr>
                <w:sz w:val="20"/>
                <w:szCs w:val="20"/>
                <w:color w:val="auto"/>
              </w:rPr>
            </w:pPr>
            <w:r>
              <w:rPr>
                <w:rFonts w:ascii="Arial" w:cs="Arial" w:eastAsia="Arial" w:hAnsi="Arial"/>
                <w:sz w:val="18"/>
                <w:szCs w:val="18"/>
                <w:color w:val="auto"/>
              </w:rPr>
              <w:t>Peptide Vaccine</w:t>
            </w:r>
          </w:p>
        </w:tc>
        <w:tc>
          <w:tcPr>
            <w:tcW w:w="2260" w:type="dxa"/>
            <w:vAlign w:val="bottom"/>
            <w:gridSpan w:val="3"/>
          </w:tcPr>
          <w:p>
            <w:pPr>
              <w:ind w:left="640"/>
              <w:spacing w:after="0"/>
              <w:rPr>
                <w:sz w:val="20"/>
                <w:szCs w:val="20"/>
                <w:color w:val="auto"/>
              </w:rPr>
            </w:pPr>
            <w:r>
              <w:rPr>
                <w:rFonts w:ascii="Arial" w:cs="Arial" w:eastAsia="Arial" w:hAnsi="Arial"/>
                <w:sz w:val="18"/>
                <w:szCs w:val="18"/>
                <w:color w:val="auto"/>
              </w:rPr>
              <w:t>Ovarian Cancer</w:t>
            </w: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gridSpan w:val="3"/>
          </w:tcPr>
          <w:p>
            <w:pPr>
              <w:ind w:left="120"/>
              <w:spacing w:after="0"/>
              <w:rPr>
                <w:sz w:val="20"/>
                <w:szCs w:val="20"/>
                <w:color w:val="auto"/>
              </w:rPr>
            </w:pPr>
            <w:r>
              <w:rPr>
                <w:rFonts w:ascii="Arial" w:cs="Arial" w:eastAsia="Arial" w:hAnsi="Arial"/>
                <w:sz w:val="18"/>
                <w:szCs w:val="18"/>
                <w:color w:val="auto"/>
              </w:rPr>
              <w:t>Peptide Vaccine + Checkpoint inhibitor</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20" w:type="dxa"/>
            <w:vAlign w:val="bottom"/>
            <w:gridSpan w:val="3"/>
          </w:tcPr>
          <w:p>
            <w:pPr>
              <w:ind w:left="120"/>
              <w:spacing w:after="0"/>
              <w:rPr>
                <w:sz w:val="20"/>
                <w:szCs w:val="20"/>
                <w:color w:val="auto"/>
              </w:rPr>
            </w:pPr>
            <w:r>
              <w:rPr>
                <w:rFonts w:ascii="Arial" w:cs="Arial" w:eastAsia="Arial" w:hAnsi="Arial"/>
                <w:sz w:val="18"/>
                <w:szCs w:val="18"/>
                <w:color w:val="auto"/>
              </w:rPr>
              <w:t>Phase II trial to start in 2016</w:t>
            </w:r>
          </w:p>
        </w:tc>
        <w:tc>
          <w:tcPr>
            <w:tcW w:w="0" w:type="dxa"/>
            <w:vAlign w:val="bottom"/>
          </w:tcPr>
          <w:p>
            <w:pPr>
              <w:spacing w:after="0"/>
              <w:rPr>
                <w:sz w:val="1"/>
                <w:szCs w:val="1"/>
                <w:color w:val="auto"/>
              </w:rPr>
            </w:pPr>
          </w:p>
        </w:tc>
      </w:tr>
      <w:tr>
        <w:trPr>
          <w:trHeight w:val="310"/>
        </w:trPr>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gridSpan w:val="3"/>
          </w:tcPr>
          <w:p>
            <w:pPr>
              <w:ind w:left="640"/>
              <w:spacing w:after="0"/>
              <w:rPr>
                <w:sz w:val="20"/>
                <w:szCs w:val="20"/>
                <w:color w:val="auto"/>
              </w:rPr>
            </w:pPr>
            <w:r>
              <w:rPr>
                <w:rFonts w:ascii="Arial" w:cs="Arial" w:eastAsia="Arial" w:hAnsi="Arial"/>
                <w:sz w:val="18"/>
                <w:szCs w:val="18"/>
                <w:color w:val="auto"/>
                <w:w w:val="99"/>
              </w:rPr>
              <w:t>Broad Application to</w:t>
            </w: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60" w:type="dxa"/>
            <w:vAlign w:val="bottom"/>
            <w:gridSpan w:val="3"/>
          </w:tcPr>
          <w:p>
            <w:pPr>
              <w:spacing w:after="0"/>
              <w:rPr>
                <w:sz w:val="20"/>
                <w:szCs w:val="20"/>
                <w:color w:val="auto"/>
              </w:rPr>
            </w:pPr>
            <w:r>
              <w:rPr>
                <w:rFonts w:ascii="Arial" w:cs="Arial" w:eastAsia="Arial" w:hAnsi="Arial"/>
                <w:sz w:val="18"/>
                <w:szCs w:val="18"/>
                <w:color w:val="auto"/>
              </w:rPr>
              <w:t>PolyStart</w:t>
            </w:r>
          </w:p>
        </w:tc>
        <w:tc>
          <w:tcPr>
            <w:tcW w:w="3600" w:type="dxa"/>
            <w:vAlign w:val="bottom"/>
            <w:gridSpan w:val="3"/>
          </w:tcPr>
          <w:p>
            <w:pPr>
              <w:ind w:left="120"/>
              <w:spacing w:after="0"/>
              <w:rPr>
                <w:sz w:val="20"/>
                <w:szCs w:val="20"/>
                <w:color w:val="auto"/>
              </w:rPr>
            </w:pPr>
            <w:r>
              <w:rPr>
                <w:rFonts w:ascii="Arial" w:cs="Arial" w:eastAsia="Arial" w:hAnsi="Arial"/>
                <w:sz w:val="18"/>
                <w:szCs w:val="18"/>
                <w:color w:val="auto"/>
              </w:rPr>
              <w:t>DNA expression technology</w:t>
            </w:r>
          </w:p>
        </w:tc>
        <w:tc>
          <w:tcPr>
            <w:tcW w:w="2260" w:type="dxa"/>
            <w:vAlign w:val="bottom"/>
            <w:gridSpan w:val="3"/>
          </w:tcPr>
          <w:p>
            <w:pPr>
              <w:ind w:left="640"/>
              <w:spacing w:after="0"/>
              <w:rPr>
                <w:sz w:val="20"/>
                <w:szCs w:val="20"/>
                <w:color w:val="auto"/>
              </w:rPr>
            </w:pPr>
            <w:r>
              <w:rPr>
                <w:rFonts w:ascii="Arial" w:cs="Arial" w:eastAsia="Arial" w:hAnsi="Arial"/>
                <w:sz w:val="18"/>
                <w:szCs w:val="18"/>
                <w:color w:val="auto"/>
              </w:rPr>
              <w:t>“Prime” and “Boost”</w:t>
            </w:r>
          </w:p>
        </w:tc>
        <w:tc>
          <w:tcPr>
            <w:tcW w:w="2920" w:type="dxa"/>
            <w:vAlign w:val="bottom"/>
            <w:gridSpan w:val="3"/>
          </w:tcPr>
          <w:p>
            <w:pPr>
              <w:ind w:left="120"/>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perspective, we note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8"/>
          <w:szCs w:val="18"/>
          <w:i w:val="1"/>
          <w:iCs w:val="1"/>
          <w:color w:val="auto"/>
        </w:rPr>
        <w:t>i. e</w:t>
      </w:r>
      <w:r>
        <w:rPr>
          <w:rFonts w:ascii="Arial" w:cs="Arial" w:eastAsia="Arial" w:hAnsi="Arial"/>
          <w:sz w:val="18"/>
          <w:szCs w:val="18"/>
          <w:color w:val="auto"/>
        </w:rPr>
        <w:t>. ,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 HER2/neu+ Breast Cancer – Mayo Foundation</w:t>
      </w:r>
    </w:p>
    <w:p>
      <w:pPr>
        <w:spacing w:after="0" w:line="117"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On June 1, 2010, we signed an exclusive licensing option agreement with the Mayo Foundation for Medical Education and Research (“Mayo Foundation”), Rochester MN for clinical development of a new HER2/neu+ breast cancer vaccine technology. An IND for Phase I human clinical trial on the HER2/neu+ cancer vaccine in collaboration with the Mayo Foundation was allowed by the FDA in July, 2011 and the Mayo IRB approved the trial on May 4, 2012.</w:t>
      </w:r>
    </w:p>
    <w:p>
      <w:pPr>
        <w:ind w:right="60"/>
        <w:spacing w:after="0" w:line="271" w:lineRule="auto"/>
        <w:rPr>
          <w:sz w:val="20"/>
          <w:szCs w:val="20"/>
          <w:color w:val="auto"/>
        </w:rPr>
      </w:pPr>
      <w:r>
        <w:rPr>
          <w:rFonts w:ascii="Arial" w:cs="Arial" w:eastAsia="Arial" w:hAnsi="Arial"/>
          <w:sz w:val="17"/>
          <w:szCs w:val="17"/>
          <w:color w:val="auto"/>
        </w:rPr>
        <w:t>Patients had histologically confirmed Stage II-III Her2/neu+ breast cancer and had completed systematic therapy at least 90 days prior to treatment and were without evidence of disease. Patient dosing has been completed and final safety analysis on all the patients treated has been completed. The vaccine was well tolerated with mild adverse affects. In addition, 19 out of 20 evaluable patients showed robust T-cell immune responses to the antigens in the vaccine composition. These results provide the rationale for advancement into Phase II in 2016</w:t>
      </w:r>
      <w:r>
        <w:rPr>
          <w:rFonts w:ascii="Arial" w:cs="Arial" w:eastAsia="Arial" w:hAnsi="Arial"/>
          <w:sz w:val="17"/>
          <w:szCs w:val="17"/>
          <w:b w:val="1"/>
          <w:bCs w:val="1"/>
          <w:color w:val="auto"/>
        </w:rPr>
        <w:t>.</w:t>
      </w:r>
      <w:r>
        <w:rPr>
          <w:rFonts w:ascii="Arial" w:cs="Arial" w:eastAsia="Arial" w:hAnsi="Arial"/>
          <w:sz w:val="17"/>
          <w:szCs w:val="17"/>
          <w:color w:val="auto"/>
        </w:rPr>
        <w:t xml:space="preserve"> An additional secondary endpoint incorporated into this Phase I Trial will be a two year follow on recording time to disease recurrence in the participating breast cancer patients.</w:t>
      </w:r>
    </w:p>
    <w:p>
      <w:pPr>
        <w:spacing w:after="0" w:line="1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the exclusive option to license this technology from the Mayo Foundation upon the completion of Phase I. For Phase I(b)/II studies, we plan to add a Class I peptide, licensed from the Mayo Foundation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at the end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 Folate Alpha Breast and Ovarian Cancer – Mayo Foundation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July 27, 2015, we exercised our option agreement with Mayo Foundation with the signing of a worldwide exclusive license agreement to commercialize a proprietary folate receptor alpha vaccine technology for all cancer indications. As part of this agreement, the IND from the folate receptor alpha Phase I trial was transferred from Mayo Foundation to us for amendment for Phase II Clinical Trials on our lead product.</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Folate Receptor Alpha (“FRa”) is overexpressed in over 80%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 negative breast cancer patients newly diagnosed every year.</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completed a 22 patient Phase I clinical trial for the Folate Receptor Alpha Vaccine. Twenty-two patients with breast or ovarian cancer who had undergone standard surgery and adjuvant treatment were treated with 1 cycle of cyclophosphamide (given days 1-7 and 15-22 of 28). Following this, patients were vaccinated intradermally at 3 sites with a mixture of the 5 FRa peptides on day 1 of a 28 day cycle for a maximum of 6 vaccination cycles. The vaccine is well tolerated and safe and 20 out of 21 evaluable patients showed positive immune responses providing a strong rationale rational for progressing to Phase</w:t>
      </w:r>
    </w:p>
    <w:p>
      <w:pPr>
        <w:spacing w:after="0" w:line="2" w:lineRule="exact"/>
        <w:rPr>
          <w:sz w:val="20"/>
          <w:szCs w:val="20"/>
          <w:color w:val="auto"/>
        </w:rPr>
      </w:pPr>
    </w:p>
    <w:p>
      <w:pPr>
        <w:ind w:right="40" w:firstLine="8"/>
        <w:spacing w:after="0" w:line="255" w:lineRule="auto"/>
        <w:tabs>
          <w:tab w:leader="none" w:pos="165" w:val="left"/>
        </w:tabs>
        <w:numPr>
          <w:ilvl w:val="0"/>
          <w:numId w:val="7"/>
        </w:numPr>
        <w:rPr>
          <w:rFonts w:ascii="Arial" w:cs="Arial" w:eastAsia="Arial" w:hAnsi="Arial"/>
          <w:sz w:val="18"/>
          <w:szCs w:val="18"/>
          <w:color w:val="auto"/>
        </w:rPr>
      </w:pPr>
      <w:r>
        <w:rPr>
          <w:rFonts w:ascii="Arial" w:cs="Arial" w:eastAsia="Arial" w:hAnsi="Arial"/>
          <w:sz w:val="18"/>
          <w:szCs w:val="18"/>
          <w:color w:val="auto"/>
        </w:rPr>
        <w:t>trials. Further, the data showed that 16 out of 16 patients in the observation stage still showed immune responses. We have developed a commercial quality lyophilized formulation of the vaccine in a single vial for reconstitution and injection. GMP manufacturing of initial batch for initial Phase II trials has been completed.</w:t>
      </w:r>
    </w:p>
    <w:p>
      <w:pPr>
        <w:spacing w:after="0" w:line="19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September 15, 2015, we announced that our collaborators at the Mayo Foundation had been awarded a grant of $13.3 million from the U. S. Department of Defense. This grant, commencing September 15, 2015, will cover the costs for a 280 patient Phase II Clinical Trial of Folate Receptor Alpha Vaccine in patients with Triple 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8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On December 9, 2015, we announced that we received Orphan Drug Designation from the U. 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 including over 90% of ovarian cancer cells.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Polystart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parallel with the above completed Phase I clinical trials and upcoming Phase II trials, we plan to complete preclinical development of the Polystart technology as an integral component of our “Prime” and “Boost” vaccine methodology. Unlike other vaccine technologies that narrowly address the initiation of an immune response, our (“Prime” 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 g. , cancer cells). Moreover, our versatile Polystart technology is designed to express either Class I killer or Class II helper T-cell antigenic epitopes. Our nucleic acid-based systems can also incorporate “TAP” which stands for Transporter associated with Antigen Presentation. The nucleic acid-based platform may also represent a second stand-alone vaccine technology.</w:t>
      </w:r>
    </w:p>
    <w:p>
      <w:pPr>
        <w:spacing w:after="0" w:line="17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We plan to incorporate the pre-clinical development of Polystart as a boost strategy for HER2/neu+ breast cancer, colorectal cancer, ovarian cancer and triple negative breast cancer. We have converted the previously filed U. S. Provisional Patent Application on Polystart into a full Patent Application, and will extend technology constructs as boost strategies for the current clinical programs in breast and ovarian cancer.</w:t>
      </w:r>
    </w:p>
    <w:p>
      <w:pPr>
        <w:spacing w:after="0" w:line="16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Management believes that the comprehensive scientific underpinnings of the overall approach, to elicit the production of both helper T- cells and killer T-cells, will provide us with highly competitive product candidates for the treatment of HER2/neu positive breast cancer, colorectal cancer, ovarian cancer and triple negative breast cancer.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Infectious Disease Program</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Regarding our programs for the development of vaccines aimed at viral pandemics/biodefense, our collaborations with the Mayo Foundation progressed to a point where the immunogenicity of novel smallpox antigens in mice treated with both antigens and TAP expression vectors was shown to be encouraging. However, due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us to focus the majority of our internal resources on HER2/neu+ breast, ovarian and triple negative cancers.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Mayo Foundation for Medical Education and Research Relationships</w:t>
      </w:r>
    </w:p>
    <w:p>
      <w:pPr>
        <w:spacing w:after="0" w:line="12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Rochester, MN, for the evaluation of HER2/neu peptide epitopes as antigens for a breast cancer vaccine. The agreement grants us an exclusive worldwide option to become the exclusive licensee of the technology after completion of Phase I clinical trials.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Following approval of the IND by the FDA in July, 2011, TapImmune and the Mayo Foundation executed a Sponsored Research Agreement for the clinical trial.</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July 24, 2010, we signed a Research and Technology License Option Agreement with the Mayo Foundation, Rochester, MN, to evaluate novel smallpox peptide antigens. This agreement grants us an exclusive worldwide option to become the exclusive licensee of the smallpox vaccine technology after research studies have been completed under the terms of the agreement. This project was completed in Q4, 2014 and while the project successfully identified several peptide antigens as the potential components for a new vaccine, we decided not to proceed into primate studies to devote resources to its oncology clinical programs. As a result we did not exercise our Option to license this technology.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Mayo HER2/neu License</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April 13, 2012, we entered into a Patent &amp; Know-How Agreement with the Mayo Foundation, Rochester, MN, to license a proprietary MHC Class I HER2/neu antigen technology. Under the terms of this agreement, we acquired from Mayo Foundation (i) an exclusive worldwide license to use the patent rights related to US patent application numbered 61600480 (titled “Methods and materials for generating CD8+ T-cells having the ability to recognize cancer cells expressing a Her2/neu polypeptide”) to make products in the prophylactic and therapeutic field (the “HER2/neu Licensed Products”) and (ii) a non-exclusive license to use certain of Mayo Foundation’s know-how to make the HER2/neu Licensed Products. We may sublicense the technology with the approval of Mayo Foundation, which approval may not unreasonably withheld.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grant of the licenses, we are to (i) make an upfront license payment of $100,000 to Mayo Foundation followed by an additional</w:t>
      </w:r>
    </w:p>
    <w:p>
      <w:pPr>
        <w:spacing w:after="0" w:line="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$150,000 in license payments over a 12 month period, (ii) reimburse Mayo Foundation for documented patent expenses incurred to date by Mayo Foundation in connection with the license, (iii) pay an annual license fees, (iv) make milestone payments and (iv) pay royalties of gross annual sales. In addition, we are required to pay Mayo Foundation a fee if we fail to initiate a Phase I clinical trial of a HER2/neu Licensed Product within five years and if we fail initiate a Phase II clinical trial of a HER2/neu Licensed Product within eight years.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Mayo Folate Receptor Alpha License</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July 21, 2015, we entered into a License and Assignment Agreement with Mayo Foundation (“Mayo Foundation License”)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License resulted from our exercise of an option that we acquired from Ayer Special Situations Fund I, LP (“Ayer”) that was issued pursuant to a Technology Option Agreement that Ayer entered into with the Mayo Foundation on March 18, 2014.</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 S. patent application numbers 12/303,054 and 13/202,236, (ii) U. S. patent number 8,486,412 and 8,858,952 and provisionals, (iii) divisionals including 13/917,410 and (iv) continuations including 14/484,057 (“Patent Rights”).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 the Mayo Foundation License, and subject to certain exceptions, we are responsible for, among other things, developing the technology under the Patent Rights to bring Licensed Products (as defined in the Mayo Foundation License) to market and costs of filing, prosecution and maintenance of the Patent Rights. Mayo Foundation has sole control over the protection, defense, enforcement, maintenance abandonment and other handling of the Know-How (as defined in the Mayo Foundation License) and Materials (as defined in the Mayo Foundation License).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Mayo Foundation granted this license in exchange for an initial upfront payment of $350,000, which was made on July 21, 2015. Upon the payment of the initial upfront payment, the Mayo Foundation assigned to us IND # 14546, and we assumed all responsibility and liability for this investigative new drug application. In addition to the initial upfront payment, we are to pay additional upfront payments, an annual license maintenance fee, milestone fees and royalty fees (which will be subject to a minimum annual royalty fee once royalty fees are due).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Mayo Foundation License by or on behalf of us or any sublicensee; (ii) research, development, design, manufacture, distribution, use, sale, importation, exportation or other disposition of Licensed Products; and (iii) our or any sublicensee’s act or omission, including negligence or willful misconduct.</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term of this agreement runs from July 21, 2015 until the date of our last obligation to make payments under this agreement, provided that the Mayo Foundation may terminate this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2nd anniversary of the Mayo Foundation License and, once initiated, keep current on all of our Phase II funding obligations and (b) initiate a Phase IIB or III clinical trial for a Licensed Product prior to the 5th anniversary of the Mayo Foundation License, (iii) we fail to make a sale of a Licensed Product by July 21, 2025 and (iv) we cease to conduct business in the normal event of operations or become insolvent or bankrupt. We may voluntarily terminate the Mayo Foundation License at any time upon written notice to Mayo Foundation.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were incorporated under the laws of the State of Nevada in 1991. We have one wholly owned subsidiary named GeneMax Pharmaceuticals Inc. (“GeneMax Pharmaceuticals”). We currently trade on the OTC Bulletin Board (“OTCQX”) under the symbol “TPIV” and on the Frankfurt and Berlin Stock Exchanges under the symbol “GX1A”. The listing on the Berlin Stock Exchange was done without our knowledge and consent.</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operated offices and laboratories at 1551 Eastlake Avenue, Seattle until July 1, 2015. This enabled us to effectively leverage world-class resources made available to us and manage our cash flow. Our small core team has allowed us to establish in-house technical expertise in molecular biology (expression vector development) to underpin our current and future development projects, and to optimally work with external collaborators/oncologists.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adding to the core TAP IP and antigen specific IP from the Mayo Foundation for which we have either licensed outright or have exclusive options to license.</w:t>
      </w:r>
    </w:p>
    <w:p>
      <w:pPr>
        <w:spacing w:after="0" w:line="17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July 2015 we moved our Corporate Headquarters to 50 North Laura Street, Jacksonville, FL 32202 to be in closer proximity to our collaborators at Mayo Clinic, Jacksonville, FL and our Strategic and Medical Advisors who live in Florida. We lease a single office at Eastlake Avenue, Seattle, for the purposes of continuing to develop and patent our PolyStart technology.</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Over the past year, we have, in a challenging financing climate, raised sufficient working capital to fund and progress our operations and significantly restructured our balance sheet and capital structure. We believe that we continue to make progress with the resources available to us. With the start of clinical programs and our focus on securing non-dilutive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Management believes that there is a critical need for more effective cancer therapies. Given the unmet need in the treatment of metastatic cancer combined with our process for harnessing the body’s own immune system to treat certain cancers, we believe that we are positioned to be a leading contributor to solving this problem. The immuno-oncology landscape includes the use of monoclonal antibodies, adoptive T-cell therapies, checkpoint inhibitors and in vivo T-cell vaccines. We believe that our use of peptide antigens that can stimulate both T-killer cells and T-helper cells together with the use of our PolyStart expression vector as a “boost” strategy can give us a competitive edge in the in vivo T-cell vaccine sector.</w:t>
      </w:r>
    </w:p>
    <w:p>
      <w:pPr>
        <w:spacing w:after="0" w:line="173" w:lineRule="exact"/>
        <w:rPr>
          <w:sz w:val="20"/>
          <w:szCs w:val="20"/>
          <w:color w:val="auto"/>
        </w:rPr>
      </w:pPr>
    </w:p>
    <w:p>
      <w:pPr>
        <w:jc w:val="both"/>
        <w:ind w:right="360"/>
        <w:spacing w:after="0" w:line="297" w:lineRule="auto"/>
        <w:rPr>
          <w:sz w:val="20"/>
          <w:szCs w:val="20"/>
          <w:color w:val="auto"/>
        </w:rPr>
      </w:pPr>
      <w:r>
        <w:rPr>
          <w:rFonts w:ascii="Arial" w:cs="Arial" w:eastAsia="Arial" w:hAnsi="Arial"/>
          <w:sz w:val="16"/>
          <w:szCs w:val="16"/>
          <w:color w:val="auto"/>
        </w:rPr>
        <w:t>In addition, we continue to pursue the development of an approach which can allow the cellular immune system to make tumor cells more visible to the immune system. Many cancers are not very “immunogenic”,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15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many solid tumors and in metastatic cells, antigen presentation is often impaired thus presenting a weakened signal to which the cellular immune system can respond. Management believes that although a number of cancer therapies have been developed that stimulate the immune system, these approaches have often proven ineffective because the cancers remain invisible to the immune system due to this problem. A strategic vision of TapImmune is to broadly stimulate the cellular immune system while additionally improving antigen presentation. We believe that the use of our PolyStart expression vector for improved expression of antigens and TAP can improve the immune system’s response to a variety of cancers.</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addition to our focus on the cancer vaccines, with adequate funding, we will also pursue the development of prophylactic vaccines against infectious microbes by partnering with other vaccine developers in the infectious disease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Target Market and Strategy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focus our product development in oncology, both alone and with corporate partners and/or collaborators, including the Mayo Foundation for HER2/neu+ Breast Cancer, Folate Alpha Ovarian and Breast cancer.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our management is to ultimately have the FDA approve our cancer vaccines so that we can secure a portion of this market.</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9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global markets for cancer immunotherapy is estimated to grow to in excess of $80 billion by 2020 according to ResearchandMarkets. com (</w:t>
      </w:r>
      <w:r>
        <w:rPr>
          <w:rFonts w:ascii="Arial" w:cs="Arial" w:eastAsia="Arial" w:hAnsi="Arial"/>
          <w:sz w:val="18"/>
          <w:szCs w:val="18"/>
          <w:u w:val="single" w:color="auto"/>
          <w:color w:val="auto"/>
        </w:rPr>
        <w:t>http://www.</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researchandmarkets. com/research/qjhgbh/global_and_usa</w:t>
      </w:r>
      <w:r>
        <w:rPr>
          <w:rFonts w:ascii="Arial" w:cs="Arial" w:eastAsia="Arial" w:hAnsi="Arial"/>
          <w:sz w:val="18"/>
          <w:szCs w:val="18"/>
          <w:color w:val="auto"/>
        </w:rPr>
        <w:t>). The market for infectious disease vacccines is estimated at roughly $30 billion worldwide, with the U. 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have the potential to develop more effective new vaccines, thereby allowing us to participate in this large market through novel new products and in combination with existing vaccines.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Efforts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direct our research and development efforts towards the advancement of immunotherapeutic and prophylactic vaccine products for the treatment of cancer, using our combined proprietary technologies, relevant killer plus helper T-cell peptide antigens, and Polystart nucleic acid-based expression system(s) expressing antigens and TAP.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 (Co-linear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The information provided in this section should be reviewed in the context of Item 1A, “Risk Factors”.</w:t>
      </w:r>
    </w:p>
    <w:p>
      <w:pPr>
        <w:spacing w:after="0" w:line="15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currently own a number of issued and pending patents covering composition of matter of PolyStart and TAP. In addition, a number of issued and pending patents cover the HER2/neu and Folate Receptor Alpha peptides in our Option to License or License Agreements from the Mayo Foundation.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information as of March 4, 2016 regarding each pending United States patent application or enforceable issued United States patent currently held or licensed:</w:t>
      </w:r>
    </w:p>
    <w:p>
      <w:pPr>
        <w:sectPr>
          <w:pgSz w:w="11900" w:h="16838" w:orient="portrait"/>
          <w:cols w:equalWidth="0" w:num="1">
            <w:col w:w="11360"/>
          </w:cols>
          <w:pgMar w:left="240" w:top="459" w:right="299" w:bottom="1440" w:gutter="0" w:footer="0" w:header="0"/>
        </w:sectPr>
      </w:pPr>
    </w:p>
    <w:p>
      <w:pPr>
        <w:spacing w:after="0" w:line="17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80" w:type="dxa"/>
            <w:vAlign w:val="bottom"/>
          </w:tcPr>
          <w:p>
            <w:pPr>
              <w:jc w:val="center"/>
              <w:ind w:right="1048"/>
              <w:spacing w:after="0"/>
              <w:rPr>
                <w:sz w:val="20"/>
                <w:szCs w:val="20"/>
                <w:color w:val="auto"/>
              </w:rPr>
            </w:pPr>
            <w:r>
              <w:rPr>
                <w:rFonts w:ascii="Arial" w:cs="Arial" w:eastAsia="Arial" w:hAnsi="Arial"/>
                <w:sz w:val="14"/>
                <w:szCs w:val="14"/>
                <w:b w:val="1"/>
                <w:bCs w:val="1"/>
                <w:color w:val="auto"/>
                <w:w w:val="93"/>
              </w:rPr>
              <w:t>Patent No. /</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jc w:val="center"/>
              <w:ind w:right="1068"/>
              <w:spacing w:after="0" w:line="149" w:lineRule="exact"/>
              <w:rPr>
                <w:sz w:val="20"/>
                <w:szCs w:val="20"/>
                <w:color w:val="auto"/>
              </w:rPr>
            </w:pPr>
            <w:r>
              <w:rPr>
                <w:rFonts w:ascii="Arial" w:cs="Arial" w:eastAsia="Arial" w:hAnsi="Arial"/>
                <w:sz w:val="14"/>
                <w:szCs w:val="14"/>
                <w:b w:val="1"/>
                <w:bCs w:val="1"/>
                <w:color w:val="auto"/>
                <w:w w:val="90"/>
              </w:rPr>
              <w:t>Pending</w:t>
            </w:r>
          </w:p>
        </w:tc>
        <w:tc>
          <w:tcPr>
            <w:tcW w:w="1780" w:type="dxa"/>
            <w:vAlign w:val="bottom"/>
            <w:vMerge w:val="restart"/>
          </w:tcPr>
          <w:p>
            <w:pPr>
              <w:jc w:val="center"/>
              <w:ind w:left="1068"/>
              <w:spacing w:after="0"/>
              <w:rPr>
                <w:sz w:val="20"/>
                <w:szCs w:val="20"/>
                <w:color w:val="auto"/>
              </w:rPr>
            </w:pPr>
            <w:r>
              <w:rPr>
                <w:rFonts w:ascii="Arial" w:cs="Arial" w:eastAsia="Arial" w:hAnsi="Arial"/>
                <w:sz w:val="14"/>
                <w:szCs w:val="14"/>
                <w:b w:val="1"/>
                <w:bCs w:val="1"/>
                <w:color w:val="auto"/>
                <w:w w:val="93"/>
              </w:rPr>
              <w:t>Patent</w:t>
            </w:r>
          </w:p>
        </w:tc>
        <w:tc>
          <w:tcPr>
            <w:tcW w:w="0" w:type="dxa"/>
            <w:vAlign w:val="bottom"/>
          </w:tcPr>
          <w:p>
            <w:pPr>
              <w:spacing w:after="0"/>
              <w:rPr>
                <w:sz w:val="1"/>
                <w:szCs w:val="1"/>
                <w:color w:val="auto"/>
              </w:rPr>
            </w:pPr>
          </w:p>
        </w:tc>
      </w:tr>
      <w:tr>
        <w:trPr>
          <w:trHeight w:val="149"/>
        </w:trPr>
        <w:tc>
          <w:tcPr>
            <w:tcW w:w="2080" w:type="dxa"/>
            <w:vAlign w:val="bottom"/>
          </w:tcPr>
          <w:p>
            <w:pPr>
              <w:jc w:val="center"/>
              <w:ind w:right="1048"/>
              <w:spacing w:after="0" w:line="149" w:lineRule="exact"/>
              <w:rPr>
                <w:sz w:val="20"/>
                <w:szCs w:val="20"/>
                <w:color w:val="auto"/>
              </w:rPr>
            </w:pPr>
            <w:r>
              <w:rPr>
                <w:rFonts w:ascii="Arial" w:cs="Arial" w:eastAsia="Arial" w:hAnsi="Arial"/>
                <w:sz w:val="14"/>
                <w:szCs w:val="14"/>
                <w:b w:val="1"/>
                <w:bCs w:val="1"/>
                <w:color w:val="auto"/>
                <w:w w:val="94"/>
              </w:rPr>
              <w:t>Application</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80" w:type="dxa"/>
            <w:vAlign w:val="bottom"/>
          </w:tcPr>
          <w:p>
            <w:pPr>
              <w:jc w:val="center"/>
              <w:ind w:right="1068"/>
              <w:spacing w:after="0"/>
              <w:rPr>
                <w:sz w:val="20"/>
                <w:szCs w:val="20"/>
                <w:color w:val="auto"/>
              </w:rPr>
            </w:pPr>
            <w:r>
              <w:rPr>
                <w:rFonts w:ascii="Arial" w:cs="Arial" w:eastAsia="Arial" w:hAnsi="Arial"/>
                <w:sz w:val="14"/>
                <w:szCs w:val="14"/>
                <w:b w:val="1"/>
                <w:bCs w:val="1"/>
                <w:u w:val="single" w:color="auto"/>
                <w:color w:val="auto"/>
                <w:w w:val="92"/>
              </w:rPr>
              <w:t>Publication No.</w:t>
            </w:r>
          </w:p>
        </w:tc>
        <w:tc>
          <w:tcPr>
            <w:tcW w:w="1780" w:type="dxa"/>
            <w:vAlign w:val="bottom"/>
          </w:tcPr>
          <w:p>
            <w:pPr>
              <w:jc w:val="center"/>
              <w:ind w:left="1048"/>
              <w:spacing w:after="0"/>
              <w:rPr>
                <w:sz w:val="20"/>
                <w:szCs w:val="20"/>
                <w:color w:val="auto"/>
              </w:rPr>
            </w:pPr>
            <w:r>
              <w:rPr>
                <w:rFonts w:ascii="Arial" w:cs="Arial" w:eastAsia="Arial" w:hAnsi="Arial"/>
                <w:sz w:val="14"/>
                <w:szCs w:val="14"/>
                <w:b w:val="1"/>
                <w:bCs w:val="1"/>
                <w:u w:val="single" w:color="auto"/>
                <w:color w:val="auto"/>
                <w:w w:val="96"/>
              </w:rPr>
              <w:t>Expiration</w:t>
            </w: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Peptide Based Vaccine (Folate Alpha Breast and Ovarian Cancer)</w:t>
      </w:r>
    </w:p>
    <w:p>
      <w:pPr>
        <w:spacing w:after="0" w:line="121"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1980" w:type="dxa"/>
            <w:vAlign w:val="bottom"/>
          </w:tcPr>
          <w:p>
            <w:pPr>
              <w:jc w:val="right"/>
              <w:ind w:right="1170"/>
              <w:spacing w:after="0"/>
              <w:rPr>
                <w:sz w:val="20"/>
                <w:szCs w:val="20"/>
                <w:color w:val="auto"/>
              </w:rPr>
            </w:pPr>
            <w:r>
              <w:rPr>
                <w:rFonts w:ascii="Arial" w:cs="Arial" w:eastAsia="Arial" w:hAnsi="Arial"/>
                <w:sz w:val="18"/>
                <w:szCs w:val="18"/>
                <w:color w:val="auto"/>
                <w:w w:val="87"/>
              </w:rPr>
              <w:t>8,486,412</w:t>
            </w:r>
          </w:p>
        </w:tc>
        <w:tc>
          <w:tcPr>
            <w:tcW w:w="1620" w:type="dxa"/>
            <w:vAlign w:val="bottom"/>
          </w:tcPr>
          <w:p>
            <w:pPr>
              <w:jc w:val="right"/>
              <w:spacing w:after="0"/>
              <w:rPr>
                <w:sz w:val="20"/>
                <w:szCs w:val="20"/>
                <w:color w:val="auto"/>
              </w:rPr>
            </w:pPr>
            <w:r>
              <w:rPr>
                <w:rFonts w:ascii="Arial" w:cs="Arial" w:eastAsia="Arial" w:hAnsi="Arial"/>
                <w:sz w:val="18"/>
                <w:szCs w:val="18"/>
                <w:color w:val="auto"/>
              </w:rPr>
              <w:t>2029</w:t>
            </w:r>
          </w:p>
        </w:tc>
      </w:tr>
      <w:tr>
        <w:trPr>
          <w:trHeight w:val="432"/>
        </w:trPr>
        <w:tc>
          <w:tcPr>
            <w:tcW w:w="1980" w:type="dxa"/>
            <w:vAlign w:val="bottom"/>
          </w:tcPr>
          <w:p>
            <w:pPr>
              <w:jc w:val="right"/>
              <w:ind w:right="1170"/>
              <w:spacing w:after="0"/>
              <w:rPr>
                <w:sz w:val="20"/>
                <w:szCs w:val="20"/>
                <w:color w:val="auto"/>
              </w:rPr>
            </w:pPr>
            <w:r>
              <w:rPr>
                <w:rFonts w:ascii="Arial" w:cs="Arial" w:eastAsia="Arial" w:hAnsi="Arial"/>
                <w:sz w:val="18"/>
                <w:szCs w:val="18"/>
                <w:color w:val="auto"/>
                <w:w w:val="87"/>
              </w:rPr>
              <w:t>9,243,033</w:t>
            </w:r>
          </w:p>
        </w:tc>
        <w:tc>
          <w:tcPr>
            <w:tcW w:w="1620" w:type="dxa"/>
            <w:vAlign w:val="bottom"/>
          </w:tcPr>
          <w:p>
            <w:pPr>
              <w:jc w:val="right"/>
              <w:spacing w:after="0"/>
              <w:rPr>
                <w:sz w:val="20"/>
                <w:szCs w:val="20"/>
                <w:color w:val="auto"/>
              </w:rPr>
            </w:pPr>
            <w:r>
              <w:rPr>
                <w:rFonts w:ascii="Arial" w:cs="Arial" w:eastAsia="Arial" w:hAnsi="Arial"/>
                <w:sz w:val="18"/>
                <w:szCs w:val="18"/>
                <w:color w:val="auto"/>
              </w:rPr>
              <w:t>2029</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Peptide Based Vaccine (HER2/neu+ Breast Cancer)</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jc w:val="center"/>
              <w:ind w:right="270"/>
              <w:spacing w:after="0"/>
              <w:rPr>
                <w:sz w:val="20"/>
                <w:szCs w:val="20"/>
                <w:color w:val="auto"/>
              </w:rPr>
            </w:pPr>
            <w:r>
              <w:rPr>
                <w:rFonts w:ascii="Arial" w:cs="Arial" w:eastAsia="Arial" w:hAnsi="Arial"/>
                <w:sz w:val="18"/>
                <w:szCs w:val="18"/>
                <w:color w:val="auto"/>
                <w:w w:val="90"/>
              </w:rPr>
              <w:t>2015/0231218</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93"/>
              </w:rPr>
              <w:t>N/A; not yet granted</w:t>
            </w:r>
          </w:p>
        </w:tc>
        <w:tc>
          <w:tcPr>
            <w:tcW w:w="0" w:type="dxa"/>
            <w:vAlign w:val="bottom"/>
          </w:tcPr>
          <w:p>
            <w:pPr>
              <w:spacing w:after="0"/>
              <w:rPr>
                <w:sz w:val="1"/>
                <w:szCs w:val="1"/>
                <w:color w:val="auto"/>
              </w:rPr>
            </w:pPr>
          </w:p>
        </w:tc>
      </w:tr>
      <w:tr>
        <w:trPr>
          <w:trHeight w:val="756"/>
        </w:trPr>
        <w:tc>
          <w:tcPr>
            <w:tcW w:w="3120" w:type="dxa"/>
            <w:vAlign w:val="bottom"/>
          </w:tcPr>
          <w:p>
            <w:pPr>
              <w:spacing w:after="0"/>
              <w:rPr>
                <w:sz w:val="20"/>
                <w:szCs w:val="20"/>
                <w:color w:val="auto"/>
              </w:rPr>
            </w:pPr>
            <w:r>
              <w:rPr>
                <w:rFonts w:ascii="Arial" w:cs="Arial" w:eastAsia="Arial" w:hAnsi="Arial"/>
                <w:sz w:val="18"/>
                <w:szCs w:val="18"/>
                <w:b w:val="1"/>
                <w:bCs w:val="1"/>
                <w:color w:val="auto"/>
                <w:w w:val="92"/>
              </w:rPr>
              <w:t>Nucleic Acid Based Vaccine (PolyStart)</w:t>
            </w:r>
          </w:p>
        </w:tc>
        <w:tc>
          <w:tcPr>
            <w:tcW w:w="2520" w:type="dxa"/>
            <w:vAlign w:val="bottom"/>
            <w:vMerge w:val="restart"/>
          </w:tcPr>
          <w:p>
            <w:pPr>
              <w:jc w:val="center"/>
              <w:ind w:left="10"/>
              <w:spacing w:after="0"/>
              <w:rPr>
                <w:sz w:val="20"/>
                <w:szCs w:val="20"/>
                <w:color w:val="auto"/>
              </w:rPr>
            </w:pPr>
            <w:r>
              <w:rPr>
                <w:rFonts w:ascii="Arial" w:cs="Arial" w:eastAsia="Arial" w:hAnsi="Arial"/>
                <w:sz w:val="18"/>
                <w:szCs w:val="18"/>
                <w:color w:val="auto"/>
                <w:w w:val="94"/>
              </w:rPr>
              <w:t>Notice of Allowance Issued; Will</w:t>
            </w:r>
          </w:p>
        </w:tc>
        <w:tc>
          <w:tcPr>
            <w:tcW w:w="0" w:type="dxa"/>
            <w:vAlign w:val="bottom"/>
          </w:tcPr>
          <w:p>
            <w:pPr>
              <w:spacing w:after="0"/>
              <w:rPr>
                <w:sz w:val="1"/>
                <w:szCs w:val="1"/>
                <w:color w:val="auto"/>
              </w:rPr>
            </w:pPr>
          </w:p>
        </w:tc>
      </w:tr>
      <w:tr>
        <w:trPr>
          <w:trHeight w:val="202"/>
        </w:trPr>
        <w:tc>
          <w:tcPr>
            <w:tcW w:w="3120" w:type="dxa"/>
            <w:vAlign w:val="bottom"/>
          </w:tcPr>
          <w:p>
            <w:pPr>
              <w:spacing w:after="0"/>
              <w:rPr>
                <w:sz w:val="17"/>
                <w:szCs w:val="17"/>
                <w:color w:val="auto"/>
              </w:rPr>
            </w:pPr>
          </w:p>
        </w:tc>
        <w:tc>
          <w:tcPr>
            <w:tcW w:w="2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vMerge w:val="restart"/>
          </w:tcPr>
          <w:p>
            <w:pPr>
              <w:jc w:val="center"/>
              <w:ind w:right="270"/>
              <w:spacing w:after="0"/>
              <w:rPr>
                <w:sz w:val="20"/>
                <w:szCs w:val="20"/>
                <w:color w:val="auto"/>
              </w:rPr>
            </w:pPr>
            <w:r>
              <w:rPr>
                <w:rFonts w:ascii="Arial" w:cs="Arial" w:eastAsia="Arial" w:hAnsi="Arial"/>
                <w:sz w:val="18"/>
                <w:szCs w:val="18"/>
                <w:color w:val="auto"/>
                <w:w w:val="90"/>
              </w:rPr>
              <w:t>2015/0258186</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89"/>
              </w:rPr>
              <w:t>Issue As Patent Upon Paying</w:t>
            </w:r>
          </w:p>
        </w:tc>
        <w:tc>
          <w:tcPr>
            <w:tcW w:w="0" w:type="dxa"/>
            <w:vAlign w:val="bottom"/>
          </w:tcPr>
          <w:p>
            <w:pPr>
              <w:spacing w:after="0"/>
              <w:rPr>
                <w:sz w:val="1"/>
                <w:szCs w:val="1"/>
                <w:color w:val="auto"/>
              </w:rPr>
            </w:pPr>
          </w:p>
        </w:tc>
      </w:tr>
      <w:tr>
        <w:trPr>
          <w:trHeight w:val="122"/>
        </w:trPr>
        <w:tc>
          <w:tcPr>
            <w:tcW w:w="3120" w:type="dxa"/>
            <w:vAlign w:val="bottom"/>
            <w:vMerge w:val="continue"/>
          </w:tcPr>
          <w:p>
            <w:pPr>
              <w:spacing w:after="0"/>
              <w:rPr>
                <w:sz w:val="10"/>
                <w:szCs w:val="10"/>
                <w:color w:val="auto"/>
              </w:rPr>
            </w:pPr>
          </w:p>
        </w:tc>
        <w:tc>
          <w:tcPr>
            <w:tcW w:w="2520" w:type="dxa"/>
            <w:vAlign w:val="bottom"/>
            <w:vMerge w:val="restart"/>
          </w:tcPr>
          <w:p>
            <w:pPr>
              <w:jc w:val="center"/>
              <w:ind w:left="10"/>
              <w:spacing w:after="0"/>
              <w:rPr>
                <w:sz w:val="20"/>
                <w:szCs w:val="20"/>
                <w:color w:val="auto"/>
              </w:rPr>
            </w:pPr>
            <w:r>
              <w:rPr>
                <w:rFonts w:ascii="Arial" w:cs="Arial" w:eastAsia="Arial" w:hAnsi="Arial"/>
                <w:sz w:val="18"/>
                <w:szCs w:val="18"/>
                <w:color w:val="auto"/>
                <w:w w:val="87"/>
              </w:rPr>
              <w:t>Issue Fee; Expected Patent Term</w:t>
            </w:r>
          </w:p>
        </w:tc>
        <w:tc>
          <w:tcPr>
            <w:tcW w:w="0" w:type="dxa"/>
            <w:vAlign w:val="bottom"/>
          </w:tcPr>
          <w:p>
            <w:pPr>
              <w:spacing w:after="0"/>
              <w:rPr>
                <w:sz w:val="1"/>
                <w:szCs w:val="1"/>
                <w:color w:val="auto"/>
              </w:rPr>
            </w:pPr>
          </w:p>
        </w:tc>
      </w:tr>
      <w:tr>
        <w:trPr>
          <w:trHeight w:val="94"/>
        </w:trPr>
        <w:tc>
          <w:tcPr>
            <w:tcW w:w="312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120" w:type="dxa"/>
            <w:vAlign w:val="bottom"/>
            <w:vMerge w:val="restart"/>
          </w:tcPr>
          <w:p>
            <w:pPr>
              <w:spacing w:after="0"/>
              <w:rPr>
                <w:sz w:val="20"/>
                <w:szCs w:val="20"/>
                <w:color w:val="auto"/>
              </w:rPr>
            </w:pPr>
            <w:r>
              <w:rPr>
                <w:rFonts w:ascii="Arial" w:cs="Arial" w:eastAsia="Arial" w:hAnsi="Arial"/>
                <w:sz w:val="18"/>
                <w:szCs w:val="18"/>
                <w:b w:val="1"/>
                <w:bCs w:val="1"/>
                <w:color w:val="auto"/>
              </w:rPr>
              <w:t>Additional Intellectual Property</w:t>
            </w:r>
          </w:p>
        </w:tc>
        <w:tc>
          <w:tcPr>
            <w:tcW w:w="2520" w:type="dxa"/>
            <w:vAlign w:val="bottom"/>
          </w:tcPr>
          <w:p>
            <w:pPr>
              <w:jc w:val="center"/>
              <w:ind w:left="30"/>
              <w:spacing w:after="0"/>
              <w:rPr>
                <w:sz w:val="20"/>
                <w:szCs w:val="20"/>
                <w:color w:val="auto"/>
              </w:rPr>
            </w:pPr>
            <w:r>
              <w:rPr>
                <w:rFonts w:ascii="Arial" w:cs="Arial" w:eastAsia="Arial" w:hAnsi="Arial"/>
                <w:sz w:val="18"/>
                <w:szCs w:val="18"/>
                <w:color w:val="auto"/>
                <w:w w:val="91"/>
              </w:rPr>
              <w:t>Is Through 2035</w:t>
            </w:r>
          </w:p>
        </w:tc>
        <w:tc>
          <w:tcPr>
            <w:tcW w:w="0" w:type="dxa"/>
            <w:vAlign w:val="bottom"/>
          </w:tcPr>
          <w:p>
            <w:pPr>
              <w:spacing w:after="0"/>
              <w:rPr>
                <w:sz w:val="1"/>
                <w:szCs w:val="1"/>
                <w:color w:val="auto"/>
              </w:rPr>
            </w:pPr>
          </w:p>
        </w:tc>
      </w:tr>
      <w:tr>
        <w:trPr>
          <w:trHeight w:val="216"/>
        </w:trPr>
        <w:tc>
          <w:tcPr>
            <w:tcW w:w="312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120" w:type="dxa"/>
            <w:vAlign w:val="bottom"/>
          </w:tcPr>
          <w:p>
            <w:pPr>
              <w:jc w:val="center"/>
              <w:ind w:right="270"/>
              <w:spacing w:after="0"/>
              <w:rPr>
                <w:sz w:val="20"/>
                <w:szCs w:val="20"/>
                <w:color w:val="auto"/>
              </w:rPr>
            </w:pPr>
            <w:r>
              <w:rPr>
                <w:rFonts w:ascii="Arial" w:cs="Arial" w:eastAsia="Arial" w:hAnsi="Arial"/>
                <w:sz w:val="18"/>
                <w:szCs w:val="18"/>
                <w:color w:val="auto"/>
                <w:w w:val="90"/>
              </w:rPr>
              <w:t>2014/0377340</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93"/>
              </w:rPr>
              <w:t>N/A; not yet granted</w:t>
            </w:r>
          </w:p>
        </w:tc>
        <w:tc>
          <w:tcPr>
            <w:tcW w:w="0" w:type="dxa"/>
            <w:vAlign w:val="bottom"/>
          </w:tcPr>
          <w:p>
            <w:pPr>
              <w:spacing w:after="0"/>
              <w:rPr>
                <w:sz w:val="1"/>
                <w:szCs w:val="1"/>
                <w:color w:val="auto"/>
              </w:rPr>
            </w:pPr>
          </w:p>
        </w:tc>
      </w:tr>
      <w:tr>
        <w:trPr>
          <w:trHeight w:val="432"/>
        </w:trPr>
        <w:tc>
          <w:tcPr>
            <w:tcW w:w="3120" w:type="dxa"/>
            <w:vAlign w:val="bottom"/>
          </w:tcPr>
          <w:p>
            <w:pPr>
              <w:jc w:val="center"/>
              <w:ind w:right="270"/>
              <w:spacing w:after="0"/>
              <w:rPr>
                <w:sz w:val="20"/>
                <w:szCs w:val="20"/>
                <w:color w:val="auto"/>
              </w:rPr>
            </w:pPr>
            <w:r>
              <w:rPr>
                <w:rFonts w:ascii="Arial" w:cs="Arial" w:eastAsia="Arial" w:hAnsi="Arial"/>
                <w:sz w:val="18"/>
                <w:szCs w:val="18"/>
                <w:color w:val="auto"/>
                <w:w w:val="89"/>
              </w:rPr>
              <w:t>8,858,952</w:t>
            </w:r>
          </w:p>
        </w:tc>
        <w:tc>
          <w:tcPr>
            <w:tcW w:w="2520" w:type="dxa"/>
            <w:vAlign w:val="bottom"/>
          </w:tcPr>
          <w:p>
            <w:pPr>
              <w:jc w:val="center"/>
              <w:ind w:left="30"/>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432"/>
        </w:trPr>
        <w:tc>
          <w:tcPr>
            <w:tcW w:w="3120" w:type="dxa"/>
            <w:vAlign w:val="bottom"/>
          </w:tcPr>
          <w:p>
            <w:pPr>
              <w:jc w:val="center"/>
              <w:ind w:right="270"/>
              <w:spacing w:after="0"/>
              <w:rPr>
                <w:sz w:val="20"/>
                <w:szCs w:val="20"/>
                <w:color w:val="auto"/>
              </w:rPr>
            </w:pPr>
            <w:r>
              <w:rPr>
                <w:rFonts w:ascii="Arial" w:cs="Arial" w:eastAsia="Arial" w:hAnsi="Arial"/>
                <w:sz w:val="18"/>
                <w:szCs w:val="18"/>
                <w:color w:val="auto"/>
                <w:w w:val="89"/>
              </w:rPr>
              <w:t>7,994,146</w:t>
            </w:r>
          </w:p>
        </w:tc>
        <w:tc>
          <w:tcPr>
            <w:tcW w:w="2520" w:type="dxa"/>
            <w:vAlign w:val="bottom"/>
          </w:tcPr>
          <w:p>
            <w:pPr>
              <w:jc w:val="center"/>
              <w:ind w:left="3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Title</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Immunity To Folate Receptors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Immunity To Folate Receptors</w:t>
      </w:r>
    </w:p>
    <w:p>
      <w:pPr>
        <w:spacing w:after="0" w:line="356" w:lineRule="exact"/>
        <w:rPr>
          <w:sz w:val="20"/>
          <w:szCs w:val="20"/>
          <w:color w:val="auto"/>
        </w:rPr>
      </w:pPr>
    </w:p>
    <w:p>
      <w:pPr>
        <w:jc w:val="center"/>
        <w:ind w:left="100"/>
        <w:spacing w:after="0" w:line="255" w:lineRule="auto"/>
        <w:rPr>
          <w:sz w:val="20"/>
          <w:szCs w:val="20"/>
          <w:color w:val="auto"/>
        </w:rPr>
      </w:pPr>
      <w:r>
        <w:rPr>
          <w:rFonts w:ascii="Arial" w:cs="Arial" w:eastAsia="Arial" w:hAnsi="Arial"/>
          <w:sz w:val="18"/>
          <w:szCs w:val="18"/>
          <w:color w:val="auto"/>
        </w:rPr>
        <w:t>Methods And Materials For Generating CD8+ T Cells Having The Ability To Recognize Cancer Cells Expressing A HER2/Neu Polypeptide</w:t>
      </w:r>
    </w:p>
    <w:p>
      <w:pPr>
        <w:spacing w:after="0" w:line="301" w:lineRule="exact"/>
        <w:rPr>
          <w:sz w:val="20"/>
          <w:szCs w:val="20"/>
          <w:color w:val="auto"/>
        </w:rPr>
      </w:pPr>
    </w:p>
    <w:p>
      <w:pPr>
        <w:jc w:val="center"/>
        <w:ind w:left="100" w:right="20"/>
        <w:spacing w:after="0" w:line="264" w:lineRule="auto"/>
        <w:rPr>
          <w:sz w:val="20"/>
          <w:szCs w:val="20"/>
          <w:color w:val="auto"/>
        </w:rPr>
      </w:pPr>
      <w:r>
        <w:rPr>
          <w:rFonts w:ascii="Arial" w:cs="Arial" w:eastAsia="Arial" w:hAnsi="Arial"/>
          <w:sz w:val="18"/>
          <w:szCs w:val="18"/>
          <w:color w:val="auto"/>
        </w:rPr>
        <w:t>Nucleic Acid Molecule Vaccine Compositions And Uses Thereof</w:t>
      </w:r>
    </w:p>
    <w:p>
      <w:pPr>
        <w:spacing w:after="0" w:line="289" w:lineRule="exact"/>
        <w:rPr>
          <w:sz w:val="20"/>
          <w:szCs w:val="20"/>
          <w:color w:val="auto"/>
        </w:rPr>
      </w:pPr>
    </w:p>
    <w:p>
      <w:pPr>
        <w:jc w:val="center"/>
        <w:ind w:left="100"/>
        <w:spacing w:after="0" w:line="255" w:lineRule="auto"/>
        <w:rPr>
          <w:sz w:val="20"/>
          <w:szCs w:val="20"/>
          <w:color w:val="auto"/>
        </w:rPr>
      </w:pPr>
      <w:r>
        <w:rPr>
          <w:rFonts w:ascii="Arial" w:cs="Arial" w:eastAsia="Arial" w:hAnsi="Arial"/>
          <w:sz w:val="18"/>
          <w:szCs w:val="18"/>
          <w:color w:val="auto"/>
        </w:rPr>
        <w:t>HLA-DR Binding Peptides And Their Uses Methods And Materials For Generating T Cells Methods Of Enhancing An Immune Response</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left="-1199"/>
        <w:spacing w:after="0"/>
        <w:rPr>
          <w:sz w:val="20"/>
          <w:szCs w:val="20"/>
          <w:color w:val="auto"/>
        </w:rPr>
      </w:pPr>
      <w:r>
        <w:rPr>
          <w:rFonts w:ascii="Arial" w:cs="Arial" w:eastAsia="Arial" w:hAnsi="Arial"/>
          <w:sz w:val="14"/>
          <w:szCs w:val="14"/>
          <w:b w:val="1"/>
          <w:bCs w:val="1"/>
          <w:color w:val="auto"/>
        </w:rPr>
        <w:t>Jurisdiction</w:t>
      </w:r>
    </w:p>
    <w:p>
      <w:pPr>
        <w:jc w:val="center"/>
        <w:ind w:left="-1199"/>
        <w:spacing w:after="0" w:line="226" w:lineRule="auto"/>
        <w:rPr>
          <w:sz w:val="20"/>
          <w:szCs w:val="20"/>
          <w:color w:val="auto"/>
        </w:rPr>
      </w:pPr>
      <w:r>
        <w:rPr>
          <w:rFonts w:ascii="Arial" w:cs="Arial" w:eastAsia="Arial" w:hAnsi="Arial"/>
          <w:sz w:val="14"/>
          <w:szCs w:val="14"/>
          <w:b w:val="1"/>
          <w:bCs w:val="1"/>
          <w:color w:val="auto"/>
        </w:rPr>
        <w:t>Where</w:t>
      </w:r>
    </w:p>
    <w:p>
      <w:pPr>
        <w:spacing w:after="0" w:line="1" w:lineRule="exact"/>
        <w:rPr>
          <w:sz w:val="20"/>
          <w:szCs w:val="20"/>
          <w:color w:val="auto"/>
        </w:rPr>
      </w:pPr>
    </w:p>
    <w:p>
      <w:pPr>
        <w:ind w:left="220"/>
        <w:spacing w:after="0"/>
        <w:tabs>
          <w:tab w:leader="none" w:pos="1520" w:val="left"/>
        </w:tabs>
        <w:rPr>
          <w:sz w:val="20"/>
          <w:szCs w:val="20"/>
          <w:color w:val="auto"/>
        </w:rPr>
      </w:pPr>
      <w:r>
        <w:rPr>
          <w:rFonts w:ascii="Arial" w:cs="Arial" w:eastAsia="Arial" w:hAnsi="Arial"/>
          <w:sz w:val="13"/>
          <w:szCs w:val="13"/>
          <w:b w:val="1"/>
          <w:bCs w:val="1"/>
          <w:u w:val="single" w:color="auto"/>
          <w:color w:val="auto"/>
        </w:rPr>
        <w:t>Ownership</w:t>
      </w:r>
      <w:r>
        <w:rPr>
          <w:sz w:val="20"/>
          <w:szCs w:val="20"/>
          <w:color w:val="auto"/>
        </w:rPr>
        <w:tab/>
      </w:r>
      <w:r>
        <w:rPr>
          <w:rFonts w:ascii="Arial" w:cs="Arial" w:eastAsia="Arial" w:hAnsi="Arial"/>
          <w:sz w:val="13"/>
          <w:szCs w:val="13"/>
          <w:b w:val="1"/>
          <w:bCs w:val="1"/>
          <w:u w:val="single" w:color="auto"/>
          <w:color w:val="auto"/>
        </w:rPr>
        <w:t>Granted/Filed</w:t>
      </w:r>
    </w:p>
    <w:p>
      <w:pPr>
        <w:spacing w:after="0" w:line="39"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color w:val="auto"/>
        </w:rPr>
        <w:t>Exclusive</w:t>
      </w:r>
      <w:r>
        <w:rPr>
          <w:sz w:val="20"/>
          <w:szCs w:val="20"/>
          <w:color w:val="auto"/>
        </w:rPr>
        <w:tab/>
      </w:r>
      <w:r>
        <w:rPr>
          <w:rFonts w:ascii="Arial" w:cs="Arial" w:eastAsia="Arial" w:hAnsi="Arial"/>
          <w:sz w:val="36"/>
          <w:szCs w:val="36"/>
          <w:color w:val="auto"/>
          <w:vertAlign w:val="subscript"/>
        </w:rPr>
        <w:t>USA</w:t>
      </w:r>
    </w:p>
    <w:p>
      <w:pPr>
        <w:ind w:left="280"/>
        <w:spacing w:after="0"/>
        <w:rPr>
          <w:sz w:val="20"/>
          <w:szCs w:val="20"/>
          <w:color w:val="auto"/>
        </w:rPr>
      </w:pPr>
      <w:r>
        <w:rPr>
          <w:rFonts w:ascii="Arial" w:cs="Arial" w:eastAsia="Arial" w:hAnsi="Arial"/>
          <w:sz w:val="18"/>
          <w:szCs w:val="18"/>
          <w:color w:val="auto"/>
        </w:rPr>
        <w:t>License</w:t>
      </w:r>
    </w:p>
    <w:p>
      <w:pPr>
        <w:ind w:left="200"/>
        <w:spacing w:after="0" w:line="180" w:lineRule="auto"/>
        <w:tabs>
          <w:tab w:leader="none" w:pos="1780" w:val="left"/>
        </w:tabs>
        <w:rPr>
          <w:sz w:val="20"/>
          <w:szCs w:val="20"/>
          <w:color w:val="auto"/>
        </w:rPr>
      </w:pPr>
      <w:r>
        <w:rPr>
          <w:rFonts w:ascii="Arial" w:cs="Arial" w:eastAsia="Arial" w:hAnsi="Arial"/>
          <w:sz w:val="15"/>
          <w:szCs w:val="15"/>
          <w:color w:val="auto"/>
        </w:rPr>
        <w:t>Exclusive</w:t>
      </w:r>
      <w:r>
        <w:rPr>
          <w:sz w:val="20"/>
          <w:szCs w:val="20"/>
          <w:color w:val="auto"/>
        </w:rPr>
        <w:tab/>
      </w:r>
      <w:r>
        <w:rPr>
          <w:rFonts w:ascii="Arial" w:cs="Arial" w:eastAsia="Arial" w:hAnsi="Arial"/>
          <w:sz w:val="26"/>
          <w:szCs w:val="26"/>
          <w:color w:val="auto"/>
          <w:vertAlign w:val="subscript"/>
        </w:rPr>
        <w:t>USA</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License</w:t>
      </w:r>
    </w:p>
    <w:p>
      <w:pPr>
        <w:spacing w:after="0" w:line="200" w:lineRule="exact"/>
        <w:rPr>
          <w:sz w:val="20"/>
          <w:szCs w:val="20"/>
          <w:color w:val="auto"/>
        </w:rPr>
      </w:pPr>
    </w:p>
    <w:p>
      <w:pPr>
        <w:spacing w:after="0" w:line="387" w:lineRule="exact"/>
        <w:rPr>
          <w:sz w:val="20"/>
          <w:szCs w:val="20"/>
          <w:color w:val="auto"/>
        </w:rPr>
      </w:pPr>
    </w:p>
    <w:p>
      <w:pPr>
        <w:ind w:right="300" w:firstLine="198"/>
        <w:spacing w:after="0" w:line="193" w:lineRule="auto"/>
        <w:rPr>
          <w:sz w:val="20"/>
          <w:szCs w:val="20"/>
          <w:color w:val="auto"/>
        </w:rPr>
      </w:pPr>
      <w:r>
        <w:rPr>
          <w:rFonts w:ascii="Arial" w:cs="Arial" w:eastAsia="Arial" w:hAnsi="Arial"/>
          <w:sz w:val="18"/>
          <w:szCs w:val="18"/>
          <w:color w:val="auto"/>
        </w:rPr>
        <w:t xml:space="preserve">Exclusive </w:t>
      </w:r>
      <w:r>
        <w:rPr>
          <w:rFonts w:ascii="Arial" w:cs="Arial" w:eastAsia="Arial" w:hAnsi="Arial"/>
          <w:sz w:val="36"/>
          <w:szCs w:val="36"/>
          <w:color w:val="auto"/>
          <w:vertAlign w:val="subscript"/>
        </w:rPr>
        <w:t>USA</w:t>
      </w:r>
      <w:r>
        <w:rPr>
          <w:rFonts w:ascii="Arial" w:cs="Arial" w:eastAsia="Arial" w:hAnsi="Arial"/>
          <w:sz w:val="18"/>
          <w:szCs w:val="18"/>
          <w:color w:val="auto"/>
        </w:rPr>
        <w:t xml:space="preserve"> License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00"/>
        <w:spacing w:after="0"/>
        <w:tabs>
          <w:tab w:leader="none" w:pos="1780" w:val="left"/>
        </w:tabs>
        <w:rPr>
          <w:sz w:val="20"/>
          <w:szCs w:val="20"/>
          <w:color w:val="auto"/>
        </w:rPr>
      </w:pPr>
      <w:r>
        <w:rPr>
          <w:rFonts w:ascii="Arial" w:cs="Arial" w:eastAsia="Arial" w:hAnsi="Arial"/>
          <w:sz w:val="18"/>
          <w:szCs w:val="18"/>
          <w:color w:val="auto"/>
        </w:rPr>
        <w:t>Owned</w:t>
      </w:r>
      <w:r>
        <w:rPr>
          <w:sz w:val="20"/>
          <w:szCs w:val="20"/>
          <w:color w:val="auto"/>
        </w:rPr>
        <w:tab/>
      </w:r>
      <w:r>
        <w:rPr>
          <w:rFonts w:ascii="Arial" w:cs="Arial" w:eastAsia="Arial" w:hAnsi="Arial"/>
          <w:sz w:val="18"/>
          <w:szCs w:val="18"/>
          <w:color w:val="auto"/>
        </w:rPr>
        <w:t>USA</w:t>
      </w:r>
    </w:p>
    <w:p>
      <w:pPr>
        <w:spacing w:after="0" w:line="367"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color w:val="auto"/>
        </w:rPr>
        <w:t>Exclusive</w:t>
      </w:r>
      <w:r>
        <w:rPr>
          <w:sz w:val="20"/>
          <w:szCs w:val="20"/>
          <w:color w:val="auto"/>
        </w:rPr>
        <w:tab/>
      </w:r>
      <w:r>
        <w:rPr>
          <w:rFonts w:ascii="Arial" w:cs="Arial" w:eastAsia="Arial" w:hAnsi="Arial"/>
          <w:sz w:val="36"/>
          <w:szCs w:val="36"/>
          <w:color w:val="auto"/>
          <w:vertAlign w:val="subscript"/>
        </w:rPr>
        <w:t>USA</w:t>
      </w:r>
    </w:p>
    <w:p>
      <w:pPr>
        <w:spacing w:after="0"/>
        <w:rPr>
          <w:sz w:val="20"/>
          <w:szCs w:val="20"/>
          <w:color w:val="auto"/>
        </w:rPr>
      </w:pPr>
      <w:r>
        <w:rPr>
          <w:rFonts w:ascii="Arial" w:cs="Arial" w:eastAsia="Arial" w:hAnsi="Arial"/>
          <w:sz w:val="18"/>
          <w:szCs w:val="18"/>
          <w:color w:val="auto"/>
        </w:rPr>
        <w:t>License Option</w:t>
      </w:r>
    </w:p>
    <w:p>
      <w:pPr>
        <w:ind w:left="200"/>
        <w:spacing w:after="0" w:line="180" w:lineRule="auto"/>
        <w:tabs>
          <w:tab w:leader="none" w:pos="1780" w:val="left"/>
        </w:tabs>
        <w:rPr>
          <w:sz w:val="20"/>
          <w:szCs w:val="20"/>
          <w:color w:val="auto"/>
        </w:rPr>
      </w:pPr>
      <w:r>
        <w:rPr>
          <w:rFonts w:ascii="Arial" w:cs="Arial" w:eastAsia="Arial" w:hAnsi="Arial"/>
          <w:sz w:val="15"/>
          <w:szCs w:val="15"/>
          <w:color w:val="auto"/>
        </w:rPr>
        <w:t>Exclusive</w:t>
      </w:r>
      <w:r>
        <w:rPr>
          <w:sz w:val="20"/>
          <w:szCs w:val="20"/>
          <w:color w:val="auto"/>
        </w:rPr>
        <w:tab/>
      </w:r>
      <w:r>
        <w:rPr>
          <w:rFonts w:ascii="Arial" w:cs="Arial" w:eastAsia="Arial" w:hAnsi="Arial"/>
          <w:sz w:val="26"/>
          <w:szCs w:val="26"/>
          <w:color w:val="auto"/>
          <w:vertAlign w:val="subscript"/>
        </w:rPr>
        <w:t>USA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License Option</w:t>
      </w:r>
    </w:p>
    <w:p>
      <w:pPr>
        <w:ind w:left="200"/>
        <w:spacing w:after="0" w:line="180" w:lineRule="auto"/>
        <w:tabs>
          <w:tab w:leader="none" w:pos="1780" w:val="left"/>
        </w:tabs>
        <w:rPr>
          <w:sz w:val="20"/>
          <w:szCs w:val="20"/>
          <w:color w:val="auto"/>
        </w:rPr>
      </w:pPr>
      <w:r>
        <w:rPr>
          <w:rFonts w:ascii="Arial" w:cs="Arial" w:eastAsia="Arial" w:hAnsi="Arial"/>
          <w:sz w:val="15"/>
          <w:szCs w:val="15"/>
          <w:color w:val="auto"/>
        </w:rPr>
        <w:t>Exclusive</w:t>
      </w:r>
      <w:r>
        <w:rPr>
          <w:sz w:val="20"/>
          <w:szCs w:val="20"/>
          <w:color w:val="auto"/>
        </w:rPr>
        <w:tab/>
      </w:r>
      <w:r>
        <w:rPr>
          <w:rFonts w:ascii="Arial" w:cs="Arial" w:eastAsia="Arial" w:hAnsi="Arial"/>
          <w:sz w:val="26"/>
          <w:szCs w:val="26"/>
          <w:color w:val="auto"/>
          <w:vertAlign w:val="subscript"/>
        </w:rPr>
        <w:t>USA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License Option</w:t>
      </w:r>
    </w:p>
    <w:p>
      <w:pPr>
        <w:spacing w:after="0" w:line="641" w:lineRule="exact"/>
        <w:rPr>
          <w:sz w:val="20"/>
          <w:szCs w:val="20"/>
          <w:color w:val="auto"/>
        </w:rPr>
      </w:pPr>
    </w:p>
    <w:p>
      <w:pPr>
        <w:sectPr>
          <w:pgSz w:w="11900" w:h="16838" w:orient="portrait"/>
          <w:cols w:equalWidth="0" w:num="3">
            <w:col w:w="5640" w:space="500"/>
            <w:col w:w="2200" w:space="560"/>
            <w:col w:w="2460"/>
          </w:cols>
          <w:pgMar w:left="240" w:top="459" w:right="299" w:bottom="1440" w:gutter="0" w:footer="0" w:header="0"/>
          <w:type w:val="continuous"/>
        </w:sectPr>
      </w:pPr>
    </w:p>
    <w:p>
      <w:pPr>
        <w:spacing w:after="0" w:line="289" w:lineRule="auto"/>
        <w:rPr>
          <w:sz w:val="20"/>
          <w:szCs w:val="20"/>
          <w:color w:val="auto"/>
        </w:rPr>
      </w:pPr>
      <w:r>
        <w:rPr>
          <w:rFonts w:ascii="Arial" w:cs="Arial" w:eastAsia="Arial" w:hAnsi="Arial"/>
          <w:sz w:val="16"/>
          <w:szCs w:val="16"/>
          <w:color w:val="auto"/>
        </w:rPr>
        <w:t>Our drug discovery, development and ultimate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our drug candidates. Management believes that a number of companies, which are developing various types of similar in vivo T-cell immunotherapies and therapeutic cancer vaccines to treat cancer, could be our major competitors including: Advaxis, Genzyme Molecular Oncology, Immune Design, Oncothyreon, Celldex, BN Immunotherapeutics, Immunocellular, Galena, Antigen Express,Transgene S. A. , and Bavarian Nordic. Other immunotherapy approaches including adoptive T-cell therapies, monoclonal antibodies and checkpoint inhibitors also provide competition in the oncology space. In these areas competitors include, Lion Biotechnology, Juno Therapeutics, Kite Pharma, Roche Pharmaceuticals, Merck &amp; Co, Bristol Myers Squibb, AstraZeneca plc, Medimmune, LLC. We believe that our in vivo T-cell therapy approaches will be synergistic with these approaches and might even improve them.</w:t>
      </w:r>
    </w:p>
    <w:p>
      <w:pPr>
        <w:spacing w:after="0" w:line="16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Many companies and institutions, either alone or together with their collaborative partners, have substantially greater financial resources, larger drug discovery, development and commercial staffs and significantly greater experience than we do in:</w:t>
      </w:r>
    </w:p>
    <w:p>
      <w:pPr>
        <w:spacing w:after="0" w:line="7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our drug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drug candidate that we successfully develop may compete with existing therapies that have long histories of safe and effective use.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Competition may also arise from:</w:t>
      </w:r>
    </w:p>
    <w:p>
      <w:pPr>
        <w:spacing w:after="0" w:line="11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drug development technologies and methods of preventing or reducing the incidence of disease;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small molecules;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ind w:right="620"/>
        <w:spacing w:after="0" w:line="312" w:lineRule="auto"/>
        <w:rPr>
          <w:sz w:val="20"/>
          <w:szCs w:val="20"/>
          <w:color w:val="auto"/>
        </w:rPr>
      </w:pPr>
      <w:r>
        <w:rPr>
          <w:rFonts w:ascii="Arial" w:cs="Arial" w:eastAsia="Arial" w:hAnsi="Arial"/>
          <w:sz w:val="16"/>
          <w:szCs w:val="16"/>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13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and maintain products that reach the market first, are technologically superior to and/or are of lower cost than other products in the market;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low-price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ongoing research and development activities and any manufacturing and marketing of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record-keeping, labeling, storage, approval, advertising, promotion, sale and distribution and import and export, of these products.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Review and Approval Process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regulatory review and approval process is lengthy, expensive and uncertain. The steps generally required before a drug may be marketed in the United States include:</w:t>
      </w:r>
    </w:p>
    <w:p>
      <w:pPr>
        <w:spacing w:after="0" w:line="76" w:lineRule="exact"/>
        <w:rPr>
          <w:sz w:val="20"/>
          <w:szCs w:val="20"/>
          <w:color w:val="auto"/>
        </w:rPr>
      </w:pPr>
    </w:p>
    <w:p>
      <w:pPr>
        <w:ind w:left="900" w:right="8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in compliance with the FDA’s Good Laboratory Practice and Good Manufacturing Practice regulations;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commence;</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three phases, as described below, to establish the safety and efficacy of the drug for each indication;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of an NDA or Biologics License Application (BLA) to the FDA for review;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random inspections of clinical sites to ensure validity of clinical safety and efficacy data;</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approval of the NDA or BLA;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of user and establishment fees, if applicable.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and in accordance with good clinical practices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17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substantial scientific issue essential to determining the safety and effectiveness of a drug candidate is identified after a Phase III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after initial FDA approval has been obtained, post-approval trials, or Phase IV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19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length of time and related costs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cause the costs of these clinical trials to increase, include:</w:t>
      </w:r>
    </w:p>
    <w:p>
      <w:pPr>
        <w:spacing w:after="0" w:line="87" w:lineRule="exact"/>
        <w:rPr>
          <w:sz w:val="20"/>
          <w:szCs w:val="20"/>
          <w:color w:val="auto"/>
        </w:rPr>
      </w:pPr>
    </w:p>
    <w:p>
      <w:pPr>
        <w:ind w:left="900" w:right="8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slow patient enrollment due to the nature of the protocol, the proximity of patients to clinical sites, the eligibility criteria for the study, competition with clinical trials for other drug candidates or other factors;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approvals from a study site’s IRB;</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than anticipated treatment time required to demonstrate effectiveness or determine the appropriate product dose;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sufficient supplies of the drug candidate for use in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effectiveness of the drug candidate being tested.</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15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FDA’s fast track and breakthrough therapy designation programs are intended to facilitate the development and expedite the review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cannot guarantee that the FDA will grant any of our requests for fast track or breakthrough therapy designations, that any such designations would affect the time of review or that the FDA will approve the NDA or BLA submitted for any of our drug candidates, whether or not these designations are granted. Additionally, FDA approval of a fast track/breakthrough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Sponsors submit the results of preclinical studies and clinical trials to the FDA as part of an NDA or BLA. NDAs and BLAs must also contain extensive product manufacturing information and proposed labeling. Upon receipt, the FDA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FDA’s decision to have an advisory committee review, and difficulties in scheduling an advisory committee meeting. The recommendations of an advisory committee are not binding on the FDA.</w:t>
      </w:r>
    </w:p>
    <w:p>
      <w:pPr>
        <w:spacing w:after="0" w:line="18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18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8"/>
          <w:szCs w:val="18"/>
          <w:u w:val="single" w:color="auto"/>
          <w:color w:val="auto"/>
        </w:rPr>
        <w:t>www. hc-sc. gc. ca</w:t>
      </w:r>
      <w:r>
        <w:rPr>
          <w:rFonts w:ascii="Arial" w:cs="Arial" w:eastAsia="Arial" w:hAnsi="Arial"/>
          <w:sz w:val="18"/>
          <w:szCs w:val="18"/>
          <w:color w:val="auto"/>
        </w:rPr>
        <w:t>.</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Outside the United States and Canada,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Union (EU) registration procedures are available to companies wishing to market a product in more than one EU member state. If the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Orphan Drug Act provides incentives to manufacturers to develop and market drugs for rare diseases and conditions affecting fewer than 200,000 persons in the United States at the time of application for orphan drug designation. The first developer to receive FDA marketing approval for an orphan drug is entitled to a seven 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 year exclusive marketing period.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Under the FDA Modernization Act of 1997, designation as a Fast Track product for a new drug or biological product means that the FDA will take such actions as are appropriate to expedite the development and review of the application for approval of such product.</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Manufacturing Process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Even when NDA or BLA approval is obtained, a marketed product,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costly recalls or withdrawal of the product from the market. Manufacturing facilities are always subject to inspection by the applicable regulatory authorities.</w:t>
      </w:r>
    </w:p>
    <w:p>
      <w:pPr>
        <w:spacing w:after="0" w:line="18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and our third-party manufacturers are subject to current Good Manufacturing Practices, which are extensive regulations governing manufacturing processes, including but not limited to stability testing, record keeping and quality standards as defined by the FDA and the European Medicines Agency. Similar regulations are in effect in other countries. Manufacturing facilities are subject to inspection by the applicable regulatory authorities. These facilities, whether our own or our contract manufacturers, must be inspected before we can use them in commercial manufacturing of our related products. We or our contract manufacturers may not be able to comply with applicable Good Manufacturing Practices and FDA or other regulatory requirements. If we or our contract manufacturers fail to comply, we or our contract manufacturers may be subject to legal or regulatory action, such as suspension of manufacturing, seizure of product, or voluntary recall of product. Furthermore, continued compliance with applicable Good Manufacturing Practices will require continual expenditure of time, money and effort on the part of us or our contract manufacturers in the areas of production and quality control and record keeping and reporting, in order to ensure full compliance.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not promote our products for unapproved uses. We must also submit appropriate new and supplemental applications and obtain FDA approval for certain changes to the approved product, product labeling or manufacturing process.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or PDMA, which, among other things, imposes various requirements in connection with the distribution of product samples to physicians.</w:t>
      </w:r>
    </w:p>
    <w:p>
      <w:pPr>
        <w:spacing w:after="0" w:line="1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to inspections related to manufacturing, we may be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related to compliance with the requirements of the PDMA concerning the handling of drug samples. When the FDA conducts an inspection, the inspectors will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There are a variety of state laws and regulations that apply in the states or localities where our drug candidates may be marketed. For example, we must comply with state laws that require the registration of manufacturers and wholesale distributors of pharmaceutical products in that state, including, in certain states, manufacturers and distributors who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FDA’s policies may change and additional government regulations may be enacted which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Exclusivity</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 month pediatric exclusivity is added to any existing patent or non-patent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Law Compliance</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addition to FDA laws and regulations, we must also comply with various federal and state laws and regulations pertaining to healthcare “fraud and abuse” laws which govern, among other things, our relationships with healthcare providers, and organizations such as specialty pharmacies, wholesalers and group purchasing organizations relating to the marketing and pricing of prescription drug products. Such laws include, without limitation, state and federal anti-kickback, fraud and abuse, false claims, privacy and security, and physician payment sunshine laws.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Several courts have interpreted the statute’s intent requirement to mean that if any one purpose of an arrangement involving remuneration is to induce referrals of federal healthcare covered business, the Anti-Kickback Statute has been violated.</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Federal false claims and false statement laws, including the federal civil False Claims Act, prohibit,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HIPAA, as amended by the Health Information Technology for Economic and Clinical Health Act, or HITECH, and their implementing regulations, require certain types of individuals and entities to protect the privacy, security, and electronic exchange of certain patient data.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teaching hospitals, and applicable manufacturers and applicable group purchasing organizations to report annually to CMS ownership and investment interests held by the physicians and their immediate family members.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 party payors, including private insurers. Additionally, we may be subject to state laws that require pharmaceutical companies to comply with the pharmaceutical industry’s voluntary compliance guidelines and the relevant compliance guidance promulgated by the federal government. Further, we may be subject to state laws that require drug manufacturers to report information related to payments and other transfers of value to physicians and other healthcare providers or marketing expenditures, as well as state and foreign laws governing the privacy and security of health information in some circumstances, many of which differ from each other in significant ways and often are not preempted by HIPAA, thus complicating compliance efforts. If our operations are found to be in violation of any of these federal, state or foreign laws or regulations, we may be subject to penalties, including without limitation, administrative or civil penalties, imprisonment, damages, fines, disgorgement, exclusion from participation in government healthcare programs, contractual damages, reputational harm, diminished profits and future earnings, or the curtailment or restructuring of our operations.</w:t>
      </w:r>
    </w:p>
    <w:p>
      <w:pPr>
        <w:spacing w:after="0" w:line="17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There are also an increasing number of state laws that require manufacturers to make reports to those states on certain pricing and marketing information. Many of these laws contain ambiguities as to what is required to comply with the laws. Given the lack of clarity in laws and their implementation, our reporting actions could be subject to the penalty provisions of the state authorities.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 and Reimbursement and Pricing Controls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has been an increased focus on drug pricing in recent years in the United States. Although there are no direct government price controls over private sector purchases in the United States, there are rebates and other financial requirements for federal and state health care programs. The Medicare Modernization Act, enacted in December 2003, established the Medicare Part D outpatient prescription drug benefit, which is provided primarily through private entities that attempt to negotiate price concessions from pharmaceutical manufacturers. The health care reform legislation enacted in 2010, known as the Affordable Care Act, requires drug manufacturers to pay 50% of the Medicare Part D coverage gap, also known as the “donut hole,” on prescriptions for branded products filled when the beneficiary reaches this coverage. The Deficit Reduction Act of 2005 resulted in changes to the way drug prices are reported to the government and the formula using such information to calculate the required Medicaid rebates. The Affordable Care Act increased the minimum basic Medicaid rebate for branded prescription drugs from 15.1% to 23.1% and requires pharmaceutical manufacturers to pay states rebates on prescription drugs dispensed to Medicaid managed care enrollees. In addition, the Affordable Care Act increased the additional Medicaid rebate on “line extensions” (such as extended release formulations) of solid oral dosage forms of branded products, revised the definition of average manufacturer price by changing the classes of purchasers included in the calculation, and expanded the entities eligible for discounted pricing under the federal 340B drug pricing program. Current orphan drugs are excluded from the expanded 340B hospitals eligible for discounts.</w:t>
      </w:r>
    </w:p>
    <w:p>
      <w:pPr>
        <w:spacing w:after="0" w:line="1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Affordable Care Act imposes a significant annual fee on companies that manufacture or import branded prescription drug products. The fee (which is not deductible for federal income tax purposes) is based on the manufacturer’s market share of sales of branded drugs and biologics (excluding orphan drugs) to, or pursuant to coverage under, specified U. S. government programs. The Affordable Care Act also contains a number of provisions, including provisions governing the way that health care is financed by both governmental and private insurers, enrollment in federal health care programs, reimbursement changes, the increased use of comparative effectiveness research in health care decision-making, and enhancements to fraud and abuse requirements and enforcement, that are affecting existing government health care programs and will result in the development of new programs. The Affordable Care Act also contains requirements for manufacturers to publicly report certain payments or other transfers of value made to physicians and teaching hospitals. We are unable to predict the future course of federal or state health care legislation and regulations, including regulations that will be issued to implement provisions of the Affordable Care Act. The Affordable Care Act and further changes in the law or regulatory framework that reduce our revenues or increase our costs could also have a material adverse effect on our business, financial condition and results of operations and cash flows.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Public and private health care payers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Payers also set other criteria to govern the uses of a drug that will be deemed medically appropriate and therefore reimbursed or otherwise covered. Payers may require physicians to seek approval from them before a product will be reimbursed or covered, commonly referred to as prior authorization. In particular, many public and private health care payers limit reimbursement and coverage to the uses of a drug that are either approved by the FDA or appear in a recognized drug compendium. Drug compendia are publications that summarize the available medical evidence for particular drug products and identify which uses of a drug are supported or not supported by the available evidence, whether or not such uses have been approved by the FDA. For example, in the case of Medicare Part D coverage for oncology drugs, the Medicare Modernization Act, with certain exceptions, provides for Medicare coverage of unapproved uses of an FDA-approved drug if the unapproved use is reasonable and necessary and is supported by one or more citations in CMS-approved compendia, such as the National Comprehensive Cancer Network Drugs and Biologics Compendium. Different pricing and reimbursement schemes exist in other countries. For example, in the European Union, governments influence the price of pharmaceutical products through their pricing and reimbursement rules and control of national health care systems that fund a large part of the cost of such products to consumers. The approach taken varies from member state to member state. Some jurisdictions operate positive or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 care costs in general, and prescription drugs in particular, has become very intense. As a result, increasingly high barriers are being erected to the entry of new products, as exemplified by the actions of the National Institute for Clinical Excellence in the United Kingdom, which evaluates the data supporting new medicines and passes reimbursement recommendations to the government. In addition, in some countries cross-border imports from low-priced markets (parallel imports) exert a commercial pressure on pricing within a country.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manufacturing strategy is to contract with third parties to manufacture the raw materials, our active pharmaceutical ingredients, or API, and finished solid dose products for clinical and ultimately commercial uses. We currently do not operate manufacturing facilities for clinical or commercial production our drug candidates. In addition, we expect for the foreseeable future to continue to rely on third parties for the manufacture of commercial supplies of the raw materials, API and finished drug product for any drugs that we successfully develop and are approved for commercial sale. In this manner, we expect to continue to build and maintain our supply chain and quality assurance resources.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of our Products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supply chain for manufacturing raw materials, API and drug product ready for distribution and commercialization is a multi-step international process. Establishing and managing the supply chain requires a significant financial commitment and the creation and maintenance of numerous third-party contractual relationships.</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contract with third parties to manufacture our drug candidates for clinical purposes. Third-party manufacturers supply us with raw materials, and other third-party manufacturers convert these raw materials into API or convert the API into final dosage form. For most of our drug candidates, once our raw materials are produced, we rely on one third party to manufacture the API, another to make finished drug product and a third to lyophilize, package and label the finished product. While we currently have focused on single vendors for manufacturing of peptide, formulation development, and lyophilization and vialing, there are a number of vendors we are in contact with and can also use if required.</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not be able to obtain sufficient quantities of any of our raw materials or drug candidates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which could have a material adverse effect on our business.</w:t>
      </w:r>
    </w:p>
    <w:p>
      <w:pPr>
        <w:spacing w:after="0" w:line="18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have established a quality assurance program intended to ensure that our third-party manufacturers and service providers produce materials and provide services, when applicable, in accordance with the FDA’s current Good Manufacturing Practices and other applicable regulations.</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our future products, we intend to continue to establish third-party suppliers to manufacture sufficient quantities of our drug candidates to undertake clinical trials and to manufacture sufficient quantities of any product that is approved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commercial sale. If we are unable to contract for large scale manufacturing with third parties on acceptable terms for our future products or develop manufacturing capabilities internally, our ability to conduct large scale clinical trials and ultimately meet customer demand for commercial products will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Manufacturers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third-party manufacturers are independent entities, under contract with us, who are subject to their own unique operational and financial risks which are out of our control. If we or any of our third-party manufacturers fail to perform as required, this could impair our ability to deliver our products on a timely basis or cause delays in our clinical trials and applications for regulatory approval. To the extent these risks materialize and affect their performance obligations to us, our financial results may be adversely affected.</w:t>
      </w:r>
    </w:p>
    <w:p>
      <w:pPr>
        <w:spacing w:after="0" w:line="187"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color w:val="auto"/>
        </w:rPr>
        <w:t>While we believe there are multiple third parties capable of providing most of the materials and services we need in order to manufacture our product candidates, and that supply of materials that cannot be second-sourced can be managed with inventory planning, there is always a risk that we may underestimate demand, and that our manufacturing capacity through third-party manufacturers may not be sufficient.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to Supplies and Materials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third-party manufacturers need access to certain supplies and products to manufacture our drug candidates. If delivery of material from their suppliers were interrupted for any reason or if they are unable to purchase sufficient quantities of raw materials used to manufacture our drug candidates, they may be unable to supply our drug candidates in development for clinical trials.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Since our inception, we have made substantial investments in research and technology development. During the years ended December 31, 2015 and 2014, we incurred research and development expenses of $1,711,000, and $189,000,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12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i w:val="1"/>
          <w:iCs w:val="1"/>
          <w:color w:val="auto"/>
        </w:rPr>
        <w:t>Employees</w:t>
      </w:r>
      <w:r>
        <w:rPr>
          <w:rFonts w:ascii="Arial" w:cs="Arial" w:eastAsia="Arial" w:hAnsi="Arial"/>
          <w:sz w:val="18"/>
          <w:szCs w:val="18"/>
          <w:color w:val="auto"/>
        </w:rPr>
        <w:t>. We currently have four full-time employees. The management team is comprised of Dr. Glynn Wilson (Chief Executive Officer,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Acting Principal Accounting Officer), a Director of Administration and a VP &amp; Chief Medical Officer (Patrick Yeramian, MD), a Senior Clinical Associate, and a Project Management Director.</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Consultants</w:t>
      </w:r>
      <w:r>
        <w:rPr>
          <w:rFonts w:ascii="Arial" w:cs="Arial" w:eastAsia="Arial" w:hAnsi="Arial"/>
          <w:sz w:val="18"/>
          <w:szCs w:val="18"/>
          <w:color w:val="auto"/>
        </w:rPr>
        <w:t>. We have consulting agreements with a number of leading academic scientists, clinicians and regulatory experts. These individuals serve as key</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 or expert witnesses with respect to the imetelstat program or in legal proceedings. They also serve as important contacts for us throughout the broader scientific and clinical communities. They are distinguished individuals with expertise in numerous fields, including cellular biology, molecular biology, oncology, clinical, manufacturing and regulatory. Dr. Robert Florkiewicz, formerly an employee serving as Senior Director of Molecular Biology and Virology, is now a consultant to the Company and also serves as a strategic advisor. Dr. John Bonfiglio serves as a consultant to us and provides strategic advice as part of his services.</w:t>
      </w:r>
    </w:p>
    <w:p>
      <w:pPr>
        <w:spacing w:after="0" w:line="19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the consulting agreements. Our consultants may be employed by other entities and therefore may have commitments to their employer, or may have other consulting or advisory agreements that may limit their availability to 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 tapimmune. com</w:t>
      </w:r>
      <w:r>
        <w:rPr>
          <w:rFonts w:ascii="Arial" w:cs="Arial" w:eastAsia="Arial" w:hAnsi="Arial"/>
          <w:sz w:val="18"/>
          <w:szCs w:val="18"/>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240" w:top="459" w:right="6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described below before making an investment decision in our securities. These risk factors are effective as of the date of this Form 10-K and shall be deemed to be modified or superseded to the extent that a statement contained in our future filings modifies or replaces such statement. All of these risks may impair our business operations. The forward-looking statements in this Form 10-K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will need to raise additional capital in the future to continue to operate our business and this capital might not be available on acceptable terms, if at all.</w:t>
      </w:r>
    </w:p>
    <w:p>
      <w:pPr>
        <w:spacing w:after="0" w:line="166"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Since we have no sources of revenue to provide incoming cash flows to sustain our future operations, our ability to pursue our planned business activities is dependent upon our successful efforts to raise additional capital. As of December 31, 2015, we had cash and cash equivalents of approximately $6,577,000 and we anticipate that our cash resources will be sufficient to fund our research efforts and operations as presently structured through the end of 2016.</w:t>
      </w:r>
    </w:p>
    <w:p>
      <w:pPr>
        <w:ind w:right="60"/>
        <w:spacing w:after="0" w:line="287" w:lineRule="auto"/>
        <w:rPr>
          <w:sz w:val="20"/>
          <w:szCs w:val="20"/>
          <w:color w:val="auto"/>
        </w:rPr>
      </w:pPr>
      <w:r>
        <w:rPr>
          <w:rFonts w:ascii="Arial" w:cs="Arial" w:eastAsia="Arial" w:hAnsi="Arial"/>
          <w:sz w:val="16"/>
          <w:szCs w:val="16"/>
          <w:color w:val="auto"/>
        </w:rPr>
        <w:t>Accordingly, we will need to seek additional sources of financing and such additional financing may not be available on favorable terms, if at all. Until we can generate a sufficient amount of product revenue, if ever, we expect to finance future cash needs through public or private equity offerings or debt financings or through a business combination or strategic partnership. Additional capital, if needed, may not be available on satisfactory terms, or at all. Furthermore, if we raise additional funds by issuing equity securities, dilution to our existing stockholders could result. Any equity securities issued also may provide for rights, preferences or privileges senior to those of holders of our common stock. If we raise additional funds by issuing debt securities, these debt securities would have rights, preferences and privileges senior to those of holders of our common stock, and the terms of the debt securities issued could impose significant restrictions on our operations. If we are unable to obtain adequate financing or financing on terms acceptable to we may not be able to sustain our future operations and may be required to suspend our research efforts and reduce or cease our operations.</w:t>
      </w:r>
    </w:p>
    <w:p>
      <w:pPr>
        <w:spacing w:after="0" w:line="16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auditor has expressed substantial doubt about our ability to continue as a going concern and absent additional financing we may be unable to remain a going concern.</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light of our recurring losses, accumulated deficit and negative cash flow as described in our notes to our audited financial statements, the report of our independent registered public accounting firm on our financial statements for the year ended December 31, 2015 contains an explanatory paragraph raising substantial doubt about our ability to continue as a going concern. Our financial statements do not include any adjustments that may be necessary in the event we are unable to continue as a going concern. If we are unable to establish to the satisfaction of our independent registered public accounting firm that the net proceeds from our financing efforts will be sufficient to allow for the removal of this going concern qualification, we may need to significantly modify our operational plans for us to continue as a going concern. We believe we can continue our current level of operations with the cash we have on hand without additional financing until the end of 2016. Absent sufficient additional financing, we may be unable to remain a going concern.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development stage company with a history of operating losses.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equity financing</w:t>
      </w:r>
    </w:p>
    <w:p>
      <w:pPr>
        <w:spacing w:after="0" w:line="15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As of December 31, 2015, we had an accumulated deficit of $133,508,000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yet sold any products or received regulatory approval to sell our products.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no approved products or products pending approval. As a result, we have not derived any revenue from the sales of products and have not yet demonstrated ability to obtain regulatory approval, formulate and manufacture commercial scale products, or conduct sales and marketing activities necessary for successful product commercialization. Without revenue, we can only finance our company through debt and equity financings.</w:t>
      </w:r>
    </w:p>
    <w:p>
      <w:pPr>
        <w:spacing w:after="0" w:line="16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Upon certain fundamental transactions involving the Company, such as a merger or sale of substantially all of our assets, we may be required to make cash payments to our warrant holders which would reduce the amount of the distributions otherwise to be made to the holders of our common stock in connection with such transactions.</w:t>
      </w:r>
    </w:p>
    <w:p>
      <w:pPr>
        <w:spacing w:after="0" w:line="18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March 15, 2016, we had outstanding warrants to purchase an aggregate of 52,106,497 shares of our common stock with exercise prices ranging between $0.10 and $25.00. The terms of the warrants provide that upon a Fundamental Transaction (as defined in the warrant) the holder shall have the right to have the warrant purchased by the Company for cash at its Black Scholes Value (as defined in the warrant). The term Fundamental Transaction includes a merger, sale of substantially all of our assets, or if any person shall acquire 50% or more of the voting power of our shares. The Black Scholes Value (as defined in the warrants) payable for all of the outstanding warrants as of December 31, 2015 was approximately $26 million.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Intellectual Property</w:t>
      </w:r>
    </w:p>
    <w:p>
      <w:pPr>
        <w:spacing w:after="0" w:line="117"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We may be required to make additional cash payments to warrant holders in the event any registration statement we have filed with the SEC to register the shares issuable upon exercise of the warrants ceases to be effective and we are unable to deliver registered shares.</w:t>
      </w:r>
    </w:p>
    <w:p>
      <w:pPr>
        <w:spacing w:after="0" w:line="14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Since we are required to deliver unlegended registered shares of common stock to certain of the warrant holders acquiring warrants in our 2015 Financings upon exercise of such outstanding warrants, we have filed a registration statement with the SEC to register such shares. The registration statement permits registered shares of common stock to be issued upon the exercise of such warrants. In some cases, we would be required to make additional cash payments to such warrant holders if we fail to maintain the effectiveness of the relevant registration statement for the issuance of such registered shares upon an exercise by the warrant holder. For each trading day that the shares are not timely delivered we would be required to pay an amount to the holder equal to 1% of the product of (A) the aggregate number of shares not issued to the holder on a timely basis and to which the holder is entitled and (B) the closing sale price of our common stock on the trading day immediately preceding the last possible date on which we could have issued such shares to the holder. Additionally we could be required to pay the holder a “buy-in” if the holder is required to purchase shares on the open market to cover any warrant shares sold. As such, the amount of additional cash payments we would be required to make could be substantial, as a percentage of our cash, if we are unable to deliver registered shares upon the warrant exercise. Currently, the registration statements we have filed are not able to be used until such time as appropriate post-effective amendments to the registration statements can be filed by us and ultimately be declared effective by the Securities and Exchange Commission. While we expect to file such amendments to our registration statements promptly after our Form 10-K is filed, there can be no assurance that we will be able to file such amendments or have the post-effective amendments to our registration statements declared effective. During such time that we are not able to provide an effective registration statement and to the extent we receive any notices of exercises related to the warrants with such rights, we would be unable to deliver registered shares. In such event we could be required to make cash payments to an exercising warrant holder. We may not be able to make the required cash payments and the failure to do so could materially harm our financial condition and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develop products successfully or develop them on a timely basis.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 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18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Immunotherapies and vaccines that we may develop are not likely to be commercially available for three or more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 S. regulatory authorities is unpredictable but typically takes many years following the commencement of clinical trials and depends upon numerous factors, including the substantial discretion of the regulatory authorities. For example, the FDA or non-U. S. regulatory authorities may disagree with the design or implementation of our clinical trials or study endpoints; or we may be unable to demonstrate that a product candidate’s clinical and other benefits outweigh its safety risks. In addition, the FDA or non-U. 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18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8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commercial success depends upon attaining significant market acceptance of our product candidates, if approved, among physicians, patients, healthcare payors and the medical community.</w:t>
      </w:r>
    </w:p>
    <w:p>
      <w:pPr>
        <w:spacing w:after="0" w:line="1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2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its use outside the approved indications should physicians choose to prescribe for such uses;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and pricing by third-party payors and government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Moreover, 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legal claims; Litigation is expensive and we may not be able to afford the costs.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face legal claims involving stockholders, consumers, competitors, entities from whom we license technology, entities with whom we collaborate, persons claiming that we are infringing on their intellectual property and others. As described in the discussion entitled “Legal Proceedings” in this statement, we are engaged in one legal proceeding, in which we could suffer significant financial losses. Legal proceedings are inherently uncertain, and adverse rulings could occur, including monetary damages, or an injunction stopping us from engaging in business practices, or requiring other remedies, such as compulsory licensing of patents.</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development programs are subject to uncertainty.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131" w:lineRule="exact"/>
        <w:rPr>
          <w:sz w:val="20"/>
          <w:szCs w:val="20"/>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we are;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need for acceptance of our Immunotherapies;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and timing of operating costs and capital expenditures relating to expansion of our business, operations and infrastructure;</w:t>
      </w:r>
    </w:p>
    <w:p>
      <w:pPr>
        <w:spacing w:after="0" w:line="130" w:lineRule="exact"/>
        <w:rPr>
          <w:rFonts w:ascii="Arial" w:cs="Arial" w:eastAsia="Arial" w:hAnsi="Arial"/>
          <w:sz w:val="18"/>
          <w:szCs w:val="18"/>
          <w:color w:val="auto"/>
        </w:rPr>
      </w:pPr>
    </w:p>
    <w:p>
      <w:pPr>
        <w:ind w:left="440" w:right="180" w:hanging="324"/>
        <w:spacing w:after="0" w:line="277"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need to rely on multiple levels of outside funding due to the length of drug development cycles and governmental approved protocols associated with the pharmaceutical industry; and</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dependence upon key personnel including key independent consultants and advisors.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of our technologies are in-licensed from third parties, and the protection of those technologies is not entirely within our control.</w:t>
      </w:r>
    </w:p>
    <w:p>
      <w:pPr>
        <w:spacing w:after="0" w:line="24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 license technologies from a third party, the Mayo Clinic, for: (i) the Her2/neu peptide epitopes, (ii) a novel set of Class II HER2/neu antigens discovered in breast cancer patients and (iii) a novel smallpox peptide antigens. In addition, we have an option, which we intend to exercise, to license the Folate Alpha Receptor technology from the Mayo Clinic. As a result of these in-licenses, we could lose the right to develop each of the technologies if:</w:t>
      </w:r>
    </w:p>
    <w:p>
      <w:pPr>
        <w:spacing w:after="0" w:line="52" w:lineRule="exact"/>
        <w:rPr>
          <w:sz w:val="20"/>
          <w:szCs w:val="20"/>
          <w:color w:val="auto"/>
        </w:rPr>
      </w:pPr>
    </w:p>
    <w:p>
      <w:pPr>
        <w:ind w:left="440" w:right="360" w:hanging="324"/>
        <w:spacing w:after="0" w:line="277"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Mayo Clinic seeks to terminate our license in contravention of the license agreements,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130" w:lineRule="exact"/>
        <w:rPr>
          <w:rFonts w:ascii="Arial" w:cs="Arial" w:eastAsia="Arial" w:hAnsi="Arial"/>
          <w:sz w:val="18"/>
          <w:szCs w:val="18"/>
          <w:color w:val="auto"/>
        </w:rPr>
      </w:pPr>
    </w:p>
    <w:p>
      <w:pPr>
        <w:ind w:left="440" w:right="60" w:hanging="324"/>
        <w:spacing w:after="0" w:line="277"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Clinic or other for other rights that are necessary to develop the technology that we have already in-licensed.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17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have an option to acquire an exclusive in-license technology from a third party, and if that party does not protect its license, we could lose the opportunity to develop that technology.</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2014, Ayer Special Situations Funds I, LP (“Ayer”) obtained an exclusive in-license from the Mayo Clinic to the Folate Alpha Receptor technology, and we obtained an option to acquire that exclusive in-license from Ayer. If Ayer does not maintain the in-license technology or, in contradiction of the terms of our agreement with Ayer, transfers it another party or relinquishes the in-license, our competitive position and business prospects could be harmed. Ayer also may seek to terminate our option to acquire the in-license, which could cause us to lose the right to use the right to develop intellectual property and adversely affect our ability to commercialize our technologies, products or services.</w:t>
      </w:r>
    </w:p>
    <w:p>
      <w:pPr>
        <w:spacing w:after="0" w:line="18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rely upon patents to protect our technology. We may be unable to protect our intellectual property rights, and we may be liable for infringing the intellectual property rights of others.</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own or hold licenses to a number of issued patents and U. 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6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adequately prevent disclosure of trade secrets and other proprietary information.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85"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b w:val="1"/>
          <w:b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2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obtain or maintain the benefits associated with orphan drug designation, including market exclusivity.</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plan to present Phase II advancement plans in early 2016 for the Folate Alpha Receptor technology in the form of an application for orphan drug status. If we are not granted orphan drug designation, the Phase II trial will be significantly longer and costlier than we currently anticipate. Even if granted, we may not receive the benefits associated with orphan drug designation. This may result from a failure to maintain orphan drug status, or result from a competing product reaching the market that has an orphan designation for the same disease indication. Under U. 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EMEA determines that the request for designation was materially defective or if the manufacturer is unable to assure sufficient quantity of the drug to meet the needs of patients with the rare disease or condition.</w:t>
      </w:r>
    </w:p>
    <w:p>
      <w:pPr>
        <w:spacing w:after="0" w:line="183"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We have no manufacturing experience and have no manufacturing facility. We are dependent on third-party manufacturers for the manufacture of our product candidates as well as on third parties for our supply chain, and if we experience problems with any such third parties, the manufacturing of our product candidates could be delayed.</w:t>
      </w:r>
    </w:p>
    <w:p>
      <w:pPr>
        <w:spacing w:after="0" w:line="1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do not own or operate facilities for the manufacture of our product candidates. We currently have no plans to build our own clinical or commercial scale manufacturing capabilities. We currently rely on third party contract manufacturing organizations, or CMOs. To meet our projected needs for pre-clinical and clinical supplies to support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activities through regulatory approval and commercial manufacturing, the CMOs with whom we currently work may need to increase the scale of production. We may need to identify additional CMOs for continued production of supply for our product candidates. Although alternative third-party suppliers with the necessary manufacturing and regulatory expertise and facilities exist, it could be expensive and take a significant amount of time to arrange for alternative suppliers. If we are unable to arrange for alternative third-party manufacturing sources, or to do so on commercially reasonable terms or in a timely manner, we may not be able to complete development of our product candidates, or market or distribute our product candidates.</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our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or any drugs we may eventually commercialize in accordance with our specifications, and the possibility of termination or nonrenewal of agreement by the third party, based on its own business priorities, at a time that is costly or damaging to us. In addition, the FDA and other regulatory authorities would require that our product candidates and any products that we may eventually commercialize be manufactured according to cGMP and similar foreign standards. Any failure by our third-party manufacturers to comply with cGMP or failure to scale up manufacturing processes, including any failure to deliver sufficient quantities of our product candidates in a timely manner, could lead to a delay in, or failure to obtain, regulatory approval of our product candidates. In addition, such failure could be the basis for the FDA to issue a warning letter, withdraw approvals for such product candidate previously granted to us, or take other regulatory or legal action, including recall or seizure of outside supplies of our product candidates, total or partial suspension of production, suspension of ongoing clinical trials, refusal to approve pending applications or supplemental applications, detention or product, refusal to permit the import or export of products, injunction, or imposing civil and criminal penalties.</w:t>
      </w:r>
    </w:p>
    <w:p>
      <w:pPr>
        <w:spacing w:after="0" w:line="18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Any significant disruption in our supplier relationships could harm our business. Any significant delay in the supply of our product candidates or their respective key materials for an ongoing pre-clinical study or clinical trial could considerably delay completion of such pre-clinical study or clinical trial, product testing and potential regulatory approval of our product candidates. If our manufacturers or we are unable to purchase these key materials after regulatory approval has been obtained for one of our product candidates, the commercial launch of such product candidate would be delayed or there would be a shortage in supply, which would impair our ability to generate revenues from the sale of that product candidate.</w:t>
      </w:r>
    </w:p>
    <w:p>
      <w:pPr>
        <w:spacing w:after="0" w:line="16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If we are unable to establish sales and marketing capabilities or enter into agreements with third parties to market and sell our product candidates, we may be unable to generate any revenue.</w:t>
      </w:r>
    </w:p>
    <w:p>
      <w:pPr>
        <w:spacing w:after="0" w:line="16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do not currently have an organization for the sale, marketing and distribution of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establish or manage strategic collaborations in the future, our revenue and drug development may be limited.</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131" w:lineRule="exact"/>
        <w:rPr>
          <w:sz w:val="20"/>
          <w:szCs w:val="20"/>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to attract and retain highly skilled personnel; we may be unable to effectively manage growth with our limited resources.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March 1, 2016, we had four full-time employees and a number of management and scientific consultants.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depend upon our senior management and key consultants and their loss or unavailability could put us at a competitive disadvantage.</w:t>
      </w:r>
    </w:p>
    <w:p>
      <w:pPr>
        <w:spacing w:after="0" w:line="24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depend upon the efforts and abilities of our senior executive, Dr. Glynn Wilson, as well as the services of several key consultants, including Dr. John Bonfiglio and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operations would suffer in the event of computer system failures.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manufacturers and other third parties on which we rely, are vulnerable to damage from computer viruses, unauthorized access, natural disasters, fire, terrorism,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biotechnology and immunotherapy industries are characterized by rapid technological developments and a high degree of competition. We may be unable to compete with more substantial enterprises.</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8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78"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numerous risks inherent in conducting clinical trials.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outsource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or prevent the initiation of the Phase II, clinical trials, planned for early 2016.</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successful development of Immunotherapies is highly uncertain.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Successful development of biopharmaceuticals is highly uncertain and depends on numerous factors, many of which are beyond our control.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116" w:lineRule="exact"/>
        <w:rPr>
          <w:sz w:val="20"/>
          <w:szCs w:val="20"/>
          <w:color w:val="auto"/>
        </w:rPr>
      </w:pPr>
    </w:p>
    <w:p>
      <w:pPr>
        <w:ind w:left="440" w:right="160" w:hanging="324"/>
        <w:spacing w:after="0" w:line="277"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preclinical study results that may show the immunotherapy to be less effective than desired (e. g., the study failed to meet its primary objectives) or to have harmful or problematic side effects;</w:t>
      </w:r>
    </w:p>
    <w:p>
      <w:pPr>
        <w:spacing w:after="0" w:line="75"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 g., the study failed to meet its primary endpoint) or to have unacceptable side effects;</w:t>
      </w:r>
    </w:p>
    <w:p>
      <w:pPr>
        <w:spacing w:after="0" w:line="75" w:lineRule="exact"/>
        <w:rPr>
          <w:rFonts w:ascii="Arial" w:cs="Arial" w:eastAsia="Arial" w:hAnsi="Arial"/>
          <w:sz w:val="18"/>
          <w:szCs w:val="18"/>
          <w:color w:val="auto"/>
        </w:rPr>
      </w:pPr>
    </w:p>
    <w:p>
      <w:pPr>
        <w:ind w:left="440" w:right="260" w:hanging="324"/>
        <w:spacing w:after="0" w:line="259"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preparation, discussions with the FDA, an FDA request for additional preclinical or clinical data, or unexpected safety or manufacturing issues;</w:t>
      </w:r>
    </w:p>
    <w:p>
      <w:pPr>
        <w:spacing w:after="0" w:line="92"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manufacturing costs, formulation issues, pricing or reimbursement issues, or other factors that make the immunotherapy uneconomical; and</w:t>
      </w:r>
    </w:p>
    <w:p>
      <w:pPr>
        <w:spacing w:after="0" w:line="142" w:lineRule="exact"/>
        <w:rPr>
          <w:rFonts w:ascii="Arial" w:cs="Arial" w:eastAsia="Arial" w:hAnsi="Arial"/>
          <w:sz w:val="17"/>
          <w:szCs w:val="17"/>
          <w:color w:val="auto"/>
        </w:rPr>
      </w:pPr>
    </w:p>
    <w:p>
      <w:pPr>
        <w:ind w:left="440" w:hanging="324"/>
        <w:spacing w:after="0"/>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proprietary rights of others and their competing products and technologies that may prevent the immunotherapy from being commercialized.</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Even if we are successful in getting market approval, commercial success of any of our product candidates will also depend in large part on the availability of coverage and adequate reimbursement from third-party payers, including government payers such as the Medicare and Medicaid programs and managed care organizations, which may be affected by existing and future health care reform measures designed to reduce the cost of health care. Third-party payers could require us to conduct additional studies, including post-marketing studies related to the cost effectiveness of a product, to qualify for reimbursement, which could be costly and divert our resources. If government and other health care payers were not to provide adequate coverage and reimbursement levels for one any of our products once approved, market acceptance and commercial success would be reduced.</w:t>
      </w:r>
    </w:p>
    <w:p>
      <w:pPr>
        <w:spacing w:after="0" w:line="16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comply with significant government regulations.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17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third parties may challenge or infringe upon our existing or future patents. Proceedings involving our patents or patent applications or those of others could result in adverse decisions regarding:</w:t>
      </w:r>
    </w:p>
    <w:p>
      <w:pPr>
        <w:spacing w:after="0" w:line="76" w:lineRule="exact"/>
        <w:rPr>
          <w:sz w:val="20"/>
          <w:szCs w:val="20"/>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patentability of our inventions relating to our product candidates; and/or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enforceability, validity or scope of protection offered by our patents relating to our product candidates.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78" w:lineRule="exact"/>
        <w:rPr>
          <w:sz w:val="20"/>
          <w:szCs w:val="20"/>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substantial monetary damages;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encounter significant delays in bringing our product candidates to market; and/or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precluded from participating in the manufacture, use or sale of our product candidates or methods of treatment requiring licenses.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substantial liabilities from any product liability claims if our insurance coverage for those claims is inadequate.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92" w:lineRule="exact"/>
        <w:rPr>
          <w:sz w:val="20"/>
          <w:szCs w:val="20"/>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our Immunotherapies;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Immunotherapies;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difficulty in raising required additional funds in the private and public capital markets.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do not have product liability insurance because we are not selling our products yet. We intend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may be volatile.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92" w:lineRule="exact"/>
        <w:rPr>
          <w:sz w:val="20"/>
          <w:szCs w:val="20"/>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 sector;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large blocks of our stock;</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events affecting Mayo Clinic, Mayo Foundation for Medical Education and Research or any future collaborators;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by us or our competitors;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right="500" w:hanging="324"/>
        <w:spacing w:after="0" w:line="277"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common stock to be listed or quoted on the OTCQB, the NASDAQ Capital Market, NYSE Amex Equities or other national market system;</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and scientific press and in online investor communities.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DTC “Chill” on the electronic clearing of trades in our securities in the future may affect the liquidity of our stock and our ability to raise capital.</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is a risk that the Depository Trust Company (DTC) may place a “chill” on the electronic clearing of trades in our securities. This may lead some brokerage firms to be unwilling to accept certificates and/or electronic deposits of our stock and other securities and also some may not accept trades in our securities altogether. There is no assurance that a chill will not occur in the future. A future DTC chill would affect the liquidity of our securities and make it difficult to purchase or sell our securities in the open market. It may also have an adverse effect on our ability to raise capital because investors may be unable to easily resell our securities into the market. Our inability to raise capital on terms acceptable to us, if at all, could have a material and adverse effect on our business and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have difficulty selling our shares because they may be deemed “penny stocks.”</w:t>
      </w:r>
    </w:p>
    <w:p>
      <w:pPr>
        <w:spacing w:after="0" w:line="229"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If our common stock price does not increase above $5.00 per share or we are unsuccessful in listing on a “recognized” national exchange, our common stock may continue to be deemed a “penny stock” as that term is defined in Rule 3a51-1, promulgated under the Exchange Act. Penny stocks are, generally, stocks:</w:t>
      </w:r>
    </w:p>
    <w:p>
      <w:pPr>
        <w:spacing w:after="0" w:line="29" w:lineRule="exact"/>
        <w:rPr>
          <w:sz w:val="20"/>
          <w:szCs w:val="20"/>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a price of less than $5.00 per share;</w:t>
      </w:r>
    </w:p>
    <w:p>
      <w:pPr>
        <w:spacing w:after="0" w:line="130" w:lineRule="exact"/>
        <w:rPr>
          <w:rFonts w:ascii="Arial" w:cs="Arial" w:eastAsia="Arial" w:hAnsi="Arial"/>
          <w:sz w:val="18"/>
          <w:szCs w:val="18"/>
          <w:color w:val="auto"/>
        </w:rPr>
      </w:pPr>
    </w:p>
    <w:p>
      <w:pPr>
        <w:ind w:left="440" w:right="240" w:hanging="324"/>
        <w:spacing w:after="0" w:line="277"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are neither traded on a “recognized” national exchange nor listed on an automated quotation system sponsored by a registered national securities association meeting certain minimum initial listing standards; and</w:t>
      </w:r>
    </w:p>
    <w:p>
      <w:pPr>
        <w:spacing w:after="0" w:line="75" w:lineRule="exact"/>
        <w:rPr>
          <w:rFonts w:ascii="Arial" w:cs="Arial" w:eastAsia="Arial" w:hAnsi="Arial"/>
          <w:sz w:val="18"/>
          <w:szCs w:val="18"/>
          <w:color w:val="auto"/>
        </w:rPr>
      </w:pPr>
    </w:p>
    <w:p>
      <w:pPr>
        <w:ind w:left="440" w:right="380" w:hanging="324"/>
        <w:spacing w:after="0" w:line="308" w:lineRule="auto"/>
        <w:tabs>
          <w:tab w:leader="none" w:pos="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of issuers with net tangible assets less than $2.0 million (if the issuer has been in continuous operation for at least three years) or $5.0 million (if in continuous operation for less than three years), or with average revenue of less than $6.0 million for the last three years.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15(g) of the Exchange Act and Rule 15g-2 promulgated thereunder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We urge potential investors to obtain and read this disclosure carefully before purchasing any shares that are deemed to be “penny stock.”</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Rule 15g-9 promulgated under the Exchange Act requires broker-dealers in penny stocks to approve the account of any investor for transactions in such stocks before selling any “penny stock” to that investor. This procedure requires the broker-dealer to:</w:t>
      </w:r>
    </w:p>
    <w:p>
      <w:pPr>
        <w:spacing w:after="0" w:line="76" w:lineRule="exact"/>
        <w:rPr>
          <w:sz w:val="20"/>
          <w:szCs w:val="20"/>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from the investor information about his or her financial situation, investment experience and investment objectives;</w:t>
      </w:r>
    </w:p>
    <w:p>
      <w:pPr>
        <w:spacing w:after="0" w:line="130" w:lineRule="exact"/>
        <w:rPr>
          <w:rFonts w:ascii="Arial" w:cs="Arial" w:eastAsia="Arial" w:hAnsi="Arial"/>
          <w:sz w:val="18"/>
          <w:szCs w:val="18"/>
          <w:color w:val="auto"/>
        </w:rPr>
      </w:pPr>
    </w:p>
    <w:p>
      <w:pPr>
        <w:ind w:left="440" w:right="660" w:hanging="324"/>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reasonably determine, based on that information, that transactions in penny stocks are suitable for the investor and that the investor has enough knowledge and experience to be able to evaluate the risks of “penny stock” transactions;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the investor with a written statement setting forth the basis on which the broker-dealer made his or her determination; and</w:t>
      </w:r>
    </w:p>
    <w:p>
      <w:pPr>
        <w:spacing w:after="0" w:line="130" w:lineRule="exact"/>
        <w:rPr>
          <w:rFonts w:ascii="Arial" w:cs="Arial" w:eastAsia="Arial" w:hAnsi="Arial"/>
          <w:sz w:val="18"/>
          <w:szCs w:val="18"/>
          <w:color w:val="auto"/>
        </w:rPr>
      </w:pPr>
    </w:p>
    <w:p>
      <w:pPr>
        <w:ind w:left="440" w:right="240" w:hanging="324"/>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receive a signed and dated copy of the statement from the investor, confirming that it accurately reflects the investor’s financial situation, investment experience and investment objectives.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Compliance with these requirements may make it harder for investors in our common stock to resell their shares to third parties. Accordingly, our common stock should only be purchased by investors, who understand that such investment is a long-term and illiquid investment, and are capable of and prepared to bear the risk of holding our common stock for an indefinite period of time.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per share price of our common stock might not obtain or maintain the necessary levels to prevent our stock being subject to these rules in the future.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limited public trading market may cause volatility in the price of our common stock.</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quotation of our common stock on the OTCQB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shareholders could suffer losses or be unable to liquidate their holdings. Our stock is thinly traded due to the limited number of shares available for trading on the market thus causing large swings in price. In addition, there is no established trading market for our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prices for our common stock may be adversely impacted by future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Market prices for our common stock will be influenced by a number of factors, including:</w:t>
      </w:r>
    </w:p>
    <w:p>
      <w:pPr>
        <w:spacing w:after="0" w:line="131" w:lineRule="exact"/>
        <w:rPr>
          <w:sz w:val="20"/>
          <w:szCs w:val="20"/>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130" w:lineRule="exact"/>
        <w:rPr>
          <w:rFonts w:ascii="Arial" w:cs="Arial" w:eastAsia="Arial" w:hAnsi="Arial"/>
          <w:sz w:val="18"/>
          <w:szCs w:val="18"/>
          <w:color w:val="auto"/>
        </w:rPr>
      </w:pPr>
    </w:p>
    <w:p>
      <w:pPr>
        <w:ind w:left="440" w:right="640" w:hanging="324"/>
        <w:spacing w:after="0" w:line="277"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investor perceptions of our company and the pharmaceutical and biotech industries generally;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we fail to remain current with our listing requirements, we could be removed from the OTCQB which would limit the ability of broker-dealers to sell our securities and the ability of shareholders to sell their securities in the secondary market.</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Companies trading on the OTCQB must be reporting issuers under Section 12 of the Securities Exchange Act, as amended. If we fail to file such reports in a timely manner, the shares of our common stock would eventually cease to be quoted on the OTCQB, and the market liquidity for our securities could be severely adversely affected by limiting the ability of broker-dealers to sell our securities and the ability of shareholders to sell their securities in the secondary market.</w:t>
      </w:r>
    </w:p>
    <w:p>
      <w:pPr>
        <w:spacing w:after="0" w:line="183" w:lineRule="exact"/>
        <w:rPr>
          <w:sz w:val="20"/>
          <w:szCs w:val="20"/>
          <w:color w:val="auto"/>
        </w:rPr>
      </w:pPr>
    </w:p>
    <w:p>
      <w:pPr>
        <w:jc w:val="both"/>
        <w:ind w:right="300"/>
        <w:spacing w:after="0" w:line="314" w:lineRule="auto"/>
        <w:rPr>
          <w:sz w:val="20"/>
          <w:szCs w:val="20"/>
          <w:color w:val="auto"/>
        </w:rPr>
      </w:pPr>
      <w:r>
        <w:rPr>
          <w:rFonts w:ascii="Arial" w:cs="Arial" w:eastAsia="Arial" w:hAnsi="Arial"/>
          <w:sz w:val="16"/>
          <w:szCs w:val="16"/>
          <w:b w:val="1"/>
          <w:bCs w:val="1"/>
          <w:color w:val="auto"/>
        </w:rPr>
        <w:t>Our internal control over financial reporting and our disclosure controls and procedures have been ineffective in the past, and may be ineffective again in the future, and failure to improve them at such time could lead to errors in our financial statements that could require a restatement or untimely filings, which could cause investors to lose confidence in our reported financial information, and a decline in our stock price.</w:t>
      </w:r>
    </w:p>
    <w:p>
      <w:pPr>
        <w:spacing w:after="0" w:line="14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Certain of our outstanding warrants contain, or may be deemed to contain from time to time, embedded derivative rights in accordance with U. S. Generally Accepted Accounting Principles, or GAAP. These derivative rights, or similar rights in securities we may issue in the future, need to be, or may need to be, separately valued as of the end of each accounting period in accordance with GAAP.</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has evaluated the application ASC 480-10 Distinguishing liabilities from equity, ASC 815-40 Contracts in an Entity’s Own Equity and ASC 718-10 Compensation – Stock Compensation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additional equity securities may adversely affect the market price of our common stock and your rights may be reduced.</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shareholders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54"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Because we have a significant number of additional authorized shares of common stock available for issuance and outstanding warrants to purchase our common stock our stockholders may experience dilution in the future and it may adversely affect the market price of our securities.</w:t>
      </w:r>
    </w:p>
    <w:p>
      <w:pPr>
        <w:spacing w:after="0" w:line="12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currently authorized to issue 500,000,000 shares of our common stock. As of March 1, 2016, we had 70,551,000 shares of our common stock issued and outstanding, excluding shares issuable upon exercise of our outstanding warrants, options and shares of common stock earned but not yet issued under Omnibus Stock Option Plan. Those outstanding shares represent 14% of our authorized shares, meaning that the ownership position of the current shareholders could be diluted significantly were we to issue a large number of additional shares. For example, as of March 15, 2016, we had outstanding warrants to purchase an aggregate of 52,106,000 shares of our common stock with exercise prices ranging between $0.10 and $25.00 will result in dilution if and when exercised. Fear of such ownership dilution could reduce the desirability of our shares and reduce the price at which you are able to resell your shares.</w:t>
      </w:r>
    </w:p>
    <w:p>
      <w:pPr>
        <w:spacing w:after="0" w:line="185"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of our outstanding warrants contain, or may be deemed to contain from time to time, embedded derivative rights in accordance with U. S. Generally Accepted Accounting Principles, or GAAP.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December 31, 2015, the fair value of the derivative liability – warrants was $26,493,000.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cash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not declared or paid any cash dividends on our common stock, and we do not anticipate declaring or paying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Nevada law has anti-takeover provisions that could discourage, delay or prevent a change in control, which may cause our stock price to decline.</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Nevada law contains provisions which could make it more difficult for a third party to acquire us, even if closing such a transaction would be beneficial to our shareholders. We are authorized to issue up to 5,000,000 shares of preferred stock. This preferred stock may be issued in one or more series, the terms of which may be determined at the time of issuance by our Board of Directors without further action by shareholders. The terms of any series of preferred stock may include voting rights (including the right to vote as a series on particular matters), preferences as to dividend, liquidation, conversion and redemption rights and sinking fund provisions.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Provisions of Nevada law also could have the effect of discouraging potential acquisition proposals or making a tender offer or delaying or preventing a change in control, including changes a shareholder might consider favorable. Such provisions may also prevent or frustrate attempts by our shareholders to replace or remove our management. In particular, Nevada law, among other things, provides the Board of Directors with the ability to alter the Bylaws without shareholder approval, and provide that vacancies on the Board of Directors may be filled by a majority of directors in office, although less than a quorum.</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also subject to Section 78.378 and 78.379 of Nevada Revised Statutes Section, which, subject to certain exceptions, imposes regulations over the acquisition of a controlling interest in certain Nevada corporations unless the articles of incorporation or bylaws of the corporation provide that the provisions of these sections do not apply to the corporation or to an acquisition of a controlling interest specifically by types of existing or future stockholders, whether or not identified. In addition, the articles of incorporation, the bylaws or a resolution adopted by the directors of the issuing corporation may impose stricter requirements on the acquisition of a controlling interest in the corporation than the provisions of NRS 78.378 to 78.379.</w:t>
      </w:r>
    </w:p>
    <w:p>
      <w:pPr>
        <w:spacing w:after="0" w:line="17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These provisions are expected to discourage certain types of coercive takeover practices and inadequate takeover bids and to encourage persons seeking to acquire control of our company to first negotiate with its board. These provisions may delay or prevent someone from acquiring or merging with us, which may cause the market price of our common stock to decline.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do not own any real estate or other properties. We lease approximately 306 square feet of space at 50 N. Laura Street, Suite 2500, Jacksonville, Florida 32202, for our principal business office on a one-year agreement due to expire on July 24, 2016. The rent is $2,500 per month. We also rent a single office at 2815 Eastlake Avenue East in Seattle, WA on a month by month agreement which expires on May 30, 2016. We expect to continue to renew this month to month arrangement for the forseeable future. The monthly rent is $1,072.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Management is not aware of any material legal proceedings and there are no pending material procedures that would affect the property of the Company. Management is not aware of any legal proceedings and tcontemplated by any government authority or any other party involving the Company. As of the date of this Annual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common stock is traded on the Over the Counter Bulletin Board (“OTCQB”) under the symbol “TPIV” and on the Berlin and Munich Stock Exchanges under the symbol “GX1A.” The Berlin and Munich Stock Exchange listings were done without the Company’s knowledge and consent and appear to still be active.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market for our common stock is limited, volatile and sporadic. The following table sets forth, for the periods indicated, the high and low sales prices for the Company’s common stock for the quarters within 2014 and 2015, as reported on Nasdaq. com.</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240" w:type="dxa"/>
            <w:vAlign w:val="bottom"/>
            <w:gridSpan w:val="3"/>
          </w:tcPr>
          <w:p>
            <w:pPr>
              <w:ind w:left="2680"/>
              <w:spacing w:after="0"/>
              <w:rPr>
                <w:sz w:val="20"/>
                <w:szCs w:val="20"/>
                <w:color w:val="auto"/>
              </w:rPr>
            </w:pPr>
            <w:r>
              <w:rPr>
                <w:rFonts w:ascii="Arial" w:cs="Arial" w:eastAsia="Arial" w:hAnsi="Arial"/>
                <w:sz w:val="14"/>
                <w:szCs w:val="14"/>
                <w:b w:val="1"/>
                <w:bCs w:val="1"/>
                <w:color w:val="auto"/>
                <w:w w:val="93"/>
              </w:rPr>
              <w:t>High Bid</w:t>
            </w:r>
          </w:p>
        </w:tc>
        <w:tc>
          <w:tcPr>
            <w:tcW w:w="1280" w:type="dxa"/>
            <w:vAlign w:val="bottom"/>
            <w:gridSpan w:val="4"/>
          </w:tcPr>
          <w:p>
            <w:pPr>
              <w:ind w:left="640"/>
              <w:spacing w:after="0"/>
              <w:rPr>
                <w:sz w:val="20"/>
                <w:szCs w:val="20"/>
                <w:color w:val="auto"/>
              </w:rPr>
            </w:pPr>
            <w:r>
              <w:rPr>
                <w:rFonts w:ascii="Arial" w:cs="Arial" w:eastAsia="Arial" w:hAnsi="Arial"/>
                <w:sz w:val="14"/>
                <w:szCs w:val="14"/>
                <w:b w:val="1"/>
                <w:bCs w:val="1"/>
                <w:color w:val="auto"/>
              </w:rPr>
              <w:t>Low Bid</w:t>
            </w: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2015</w:t>
            </w:r>
          </w:p>
        </w:tc>
        <w:tc>
          <w:tcPr>
            <w:tcW w:w="2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284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0.97</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284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284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1.71</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284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r>
      <w:tr>
        <w:trPr>
          <w:trHeight w:val="324"/>
        </w:trPr>
        <w:tc>
          <w:tcPr>
            <w:tcW w:w="4160" w:type="dxa"/>
            <w:vAlign w:val="bottom"/>
          </w:tcPr>
          <w:p>
            <w:pPr>
              <w:spacing w:after="0"/>
              <w:rPr>
                <w:sz w:val="20"/>
                <w:szCs w:val="20"/>
                <w:color w:val="auto"/>
              </w:rPr>
            </w:pPr>
            <w:r>
              <w:rPr>
                <w:rFonts w:ascii="Arial" w:cs="Arial" w:eastAsia="Arial" w:hAnsi="Arial"/>
                <w:sz w:val="18"/>
                <w:szCs w:val="18"/>
                <w:b w:val="1"/>
                <w:bCs w:val="1"/>
                <w:color w:val="auto"/>
              </w:rPr>
              <w:t>Fiscal Year 2014</w:t>
            </w:r>
          </w:p>
        </w:tc>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284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284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0.66</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284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r>
        <w:trPr>
          <w:trHeight w:val="230"/>
        </w:trPr>
        <w:tc>
          <w:tcPr>
            <w:tcW w:w="416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284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4.09</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March 15, 2016, we had 617 shareholders of record.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 dividends have been declared or paid on our common stock. We have incurred recurring losses and do not currently intend to pay any cash dividends in the foreseeable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15, 2016, there were an aggregate of 52,106,000 common stock purchase warrants issued and outstanding, with exercise prices ranging between $0.10 and $25.00.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35" w:lineRule="exact"/>
        <w:rPr>
          <w:sz w:val="20"/>
          <w:szCs w:val="20"/>
          <w:color w:val="auto"/>
        </w:rPr>
      </w:pPr>
    </w:p>
    <w:p>
      <w:pPr>
        <w:ind w:left="460" w:right="60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issued the following restricted securities during the period covered by this report to the named individual pursuant to exemptions under the Securities Act of 1933 including Section 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November 6, 2015 we issued 70,000 shares to Corporate Profile, LLC pursuant to an investor relations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discussion of our financial condition, changes in financial condition, plan of operations and results of operations should be read in conjunction with (i) our audited consolidated financial statements as at December 31, 2015 and December 31, 2014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are an immuno-oncology company specializing in the development of innovative peptide and gene-based immunotherapeutics and vaccines for the treatment of cancer. We combine a set of proprietary technologies to improve the ability of the cellular immune system to destroy diseased cells. These are peptide antigen technologies and DNA expression technologies and Polystart.</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To enhance shareholder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Immuno-oncology has become the most rapidly growing sector in the pharmaceutical and biotech industry. The approval and success of checkpoint inhibitors Yervoy and Opdivo (Bristol Myers Squibb) and Keytruda (Merck) together with the development of CAR T-cell therapies (Juno, Kite)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Foundation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Folate Receptor Alpha is expressed in over 80% of triple negative breast cancers and in addition, over 90% of ovarian cancers, for which the only treatment options are surgery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24 patient Phase I clinical trial has been completed. The vaccine is well tolerated and safe and 20 out of 21 evaluable patients showed positive immune responses providing a strong rationale rational for progressing to phase II trials. GMP manufacturing for Phase II trials is progressing well towards a commercial formulation and final analyses of clinical plans are near completion. On July 27, 2015, we exercised our option agreement with Mayo Foundation with the signing of a worldwide exclusive license agreement to commercialize a proprietary folate receptor alpha vaccine technology for all cancer indications. Our obligations under this agreement are license fees ($350,000 upon signing; $100,000 on March 27, 2016 and $250,000 on June 27, 2016), clinical development and commercial milestones, and a 6% royalty on net sales. Our obligations include a $50,000 license maintenance fee starting on the second anniversary of the signing of the license. As part of this Agreement, the IND for the folate receptor alpha Phase I trial was transferred from Mayo to us for amendment for our Phase II Clinical Trials on our lead product.</w:t>
      </w:r>
    </w:p>
    <w:p>
      <w:pPr>
        <w:spacing w:after="0" w:line="1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September 15, 2015, we announced that our collaborators at the Mayo Foundation had been awarded a grant of $13.3 million from the U. S. Department of Defense. This grant, commencing September 15, 2015, will cover the costs for a 280 patient Phase II Clinical Trial of Folate Receptor Alpha Vaccine in patients with Triple 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December 9, 2015, we announced that we received Orphan Drug Designation from the U. 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HER2/neu+ Breast Cancer – Mayo Foundation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2016. An additional secondary endpoint incorporated into this Phase I Trial will be a two year follow on recording time to disease recurrence in the participating breast cancer patients.</w:t>
      </w:r>
    </w:p>
    <w:p>
      <w:pPr>
        <w:spacing w:after="0" w:line="18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For Phase I(b)/II studies, we plan to add a Class I peptide, licensed from the Mayo Foundation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converted the previously filed U. S. Provisional Patent Application on Polystart into a full Patent Application, and will extend technology constructs as boost strategies for the current clinical programs in breast and ovarian cancer.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current available funding has come from financings that we conducted in August 2014, January and March of 2015 and from warrants issued in connection with our January and March, 2015 financings.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2014 Financing</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August, 2014, we entered into a Securities Purchase Agreement with a single institutional investor for the sale of 1,886,792 units at a purchase price of $1.06 per unit, for a total purchase price of $1,832,500, net of finders’ fee. Each unit consists of one common share and one share purchase warrant exercisable at $1.17 for a period of 5 years.</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August, 2014, we received subscription proceeds of $265,000 for 265,000 units. Each unit consists of one share of common stock and one share purchase warrant exercisable at $2.50 for a period of 3 years. We also issued 5,250 shares of common stock as finders’ fee relating to the subscription proceeds.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2015 Financing</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January, 2015, we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w:t>
      </w:r>
    </w:p>
    <w:p>
      <w:pPr>
        <w:spacing w:after="0" w:line="2" w:lineRule="exact"/>
        <w:rPr>
          <w:sz w:val="20"/>
          <w:szCs w:val="20"/>
          <w:color w:val="auto"/>
        </w:rPr>
      </w:pPr>
    </w:p>
    <w:p>
      <w:pPr>
        <w:ind w:firstLine="8"/>
        <w:spacing w:after="0" w:line="252" w:lineRule="auto"/>
        <w:tabs>
          <w:tab w:leader="none" w:pos="3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 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a placement agent agreement, we agreed to issue warrants to purchase 366,000 common shares with substantially the same terms as the January 2015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2015 Financing</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March, 2015, we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w:t>
      </w:r>
    </w:p>
    <w:p>
      <w:pPr>
        <w:ind w:right="60" w:firstLine="8"/>
        <w:spacing w:after="0" w:line="295" w:lineRule="auto"/>
        <w:tabs>
          <w:tab w:leader="none" w:pos="2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one share of the Company’s Common Stock, (ii) one Series A-1 warrant to purchase one share of common stock, (iii) one Series B-1 warrant to purchase one share of common stock (iv) one Series C-1 warrant to purchase one share of common stock, (v) one Series D-1 warrant to purchase one share of common stock, and (vi) one Series E-1 warrant to purchase one share of common stock (the Series A-1, B-1, C-1, D-1 and E-1 warrants are hereby collectively referred to as the “March 2015 Warrants”). The March 2015 Warrants have substantially the same terms as the January 2015 Warrants.</w:t>
      </w:r>
    </w:p>
    <w:p>
      <w:pPr>
        <w:spacing w:after="0" w:line="1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a placement agent agreement, we agreed to issue warrants to purchase 125,000 common shares with substantially the same terms as the March 2015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of January and March 2015 Financings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May 2015, we entered into a restructuring agreement with the investors of the January 2015 and March 2015 financings, where:</w:t>
      </w:r>
    </w:p>
    <w:p>
      <w:pPr>
        <w:spacing w:after="0" w:line="131" w:lineRule="exact"/>
        <w:rPr>
          <w:sz w:val="20"/>
          <w:szCs w:val="20"/>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exercise price of the Series A and Series A-1 warrants was changed from $1.50 per warrant to $0.10 per warrant,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exercise price of Series B and Series B-1 warrants was changed from $0.40 per warrant to $0.20 per warrant,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warrant of Series B and Series B-1 existing prior to the restructuring agreement was replaced with two warrants of such series,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exercise price of the Series C and Series C-1 warrants was changed from $1.00 per warrant to $0.50 per warrant,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warrant of Series C and Series C-1 existing prior to the restructuring agreement was replaced with two warrants of such series.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 restructuring agreement, we issued an additional 12,320,000 Series B warrants and 12,320,000 Series C Warrants. See—liquidity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Descriptions</w:t>
      </w:r>
    </w:p>
    <w:p>
      <w:pPr>
        <w:spacing w:after="0" w:line="127" w:lineRule="exact"/>
        <w:rPr>
          <w:sz w:val="20"/>
          <w:szCs w:val="20"/>
          <w:color w:val="auto"/>
        </w:rPr>
      </w:pPr>
    </w:p>
    <w:p>
      <w:pPr>
        <w:ind w:left="440" w:right="180" w:hanging="324"/>
        <w:spacing w:after="0" w:line="314"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Series A and Series A-1 Warrants. </w:t>
      </w:r>
      <w:r>
        <w:rPr>
          <w:rFonts w:ascii="Arial" w:cs="Arial" w:eastAsia="Arial" w:hAnsi="Arial"/>
          <w:sz w:val="16"/>
          <w:szCs w:val="16"/>
          <w:color w:val="auto"/>
        </w:rPr>
        <w:t>The Series A and Series A-1 Warrants have a five year term and exercise prices of $0.10. They have a cashless</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only if not freely tradable upon exercise. The Series A and Series A-1 Warrants have anti-dilution protection which provides that the exercise price of the Series A and Series A-1 warrants would adjust to the price of any securities sold by us below the warrant exercise price.</w:t>
      </w:r>
    </w:p>
    <w:p>
      <w:pPr>
        <w:spacing w:after="0" w:line="47" w:lineRule="exact"/>
        <w:rPr>
          <w:rFonts w:ascii="Arial" w:cs="Arial" w:eastAsia="Arial" w:hAnsi="Arial"/>
          <w:sz w:val="16"/>
          <w:szCs w:val="16"/>
          <w:color w:val="auto"/>
        </w:rPr>
      </w:pPr>
    </w:p>
    <w:p>
      <w:pPr>
        <w:ind w:left="440" w:right="40" w:hanging="324"/>
        <w:spacing w:after="0" w:line="282"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Series B and Series B-1 Warrants</w:t>
      </w:r>
      <w:r>
        <w:rPr>
          <w:rFonts w:ascii="Arial" w:cs="Arial" w:eastAsia="Arial" w:hAnsi="Arial"/>
          <w:sz w:val="18"/>
          <w:szCs w:val="18"/>
          <w:color w:val="auto"/>
        </w:rPr>
        <w:t>. The Series B and B-1 Warrants had a six month term and an exercise price of $0.20. These Series B and Series B-1</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were exercised prior to expiration.</w:t>
      </w:r>
    </w:p>
    <w:p>
      <w:pPr>
        <w:spacing w:after="0" w:line="67" w:lineRule="exact"/>
        <w:rPr>
          <w:rFonts w:ascii="Arial" w:cs="Arial" w:eastAsia="Arial" w:hAnsi="Arial"/>
          <w:sz w:val="18"/>
          <w:szCs w:val="18"/>
          <w:color w:val="auto"/>
        </w:rPr>
      </w:pPr>
    </w:p>
    <w:p>
      <w:pPr>
        <w:ind w:left="440" w:right="120" w:hanging="324"/>
        <w:spacing w:after="0" w:line="314"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Series C and Series C-1 Warrants</w:t>
      </w:r>
      <w:r>
        <w:rPr>
          <w:rFonts w:ascii="Arial" w:cs="Arial" w:eastAsia="Arial" w:hAnsi="Arial"/>
          <w:sz w:val="16"/>
          <w:szCs w:val="16"/>
          <w:color w:val="auto"/>
        </w:rPr>
        <w:t>. The Series C and Series C-1 Warrants have a 5 year term and an exercise price of $0.50. There is a mandatory</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if the stock trades at or above $1.00 for 10 trading days. These warrants have anti-dilution protection for subsequent securities issuances by us at prices below the exercise price which would require an adjustment to the warrant exercise price (excluding warrant exercises).</w:t>
      </w:r>
    </w:p>
    <w:p>
      <w:pPr>
        <w:spacing w:after="0" w:line="47" w:lineRule="exact"/>
        <w:rPr>
          <w:rFonts w:ascii="Arial" w:cs="Arial" w:eastAsia="Arial" w:hAnsi="Arial"/>
          <w:sz w:val="16"/>
          <w:szCs w:val="16"/>
          <w:color w:val="auto"/>
        </w:rPr>
      </w:pPr>
    </w:p>
    <w:p>
      <w:pPr>
        <w:jc w:val="both"/>
        <w:ind w:left="440" w:right="400" w:hanging="324"/>
        <w:spacing w:after="0" w:line="314"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Series D and Series D-1 Warrants. </w:t>
      </w:r>
      <w:r>
        <w:rPr>
          <w:rFonts w:ascii="Arial" w:cs="Arial" w:eastAsia="Arial" w:hAnsi="Arial"/>
          <w:sz w:val="16"/>
          <w:szCs w:val="16"/>
          <w:color w:val="auto"/>
        </w:rPr>
        <w:t>The Series D and Series D-1 Warrants have a term of 5 years from the date of the exercise of the Series B and</w:t>
      </w:r>
      <w:r>
        <w:rPr>
          <w:rFonts w:ascii="Arial" w:cs="Arial" w:eastAsia="Arial" w:hAnsi="Arial"/>
          <w:sz w:val="16"/>
          <w:szCs w:val="16"/>
          <w:b w:val="1"/>
          <w:bCs w:val="1"/>
          <w:color w:val="auto"/>
        </w:rPr>
        <w:t xml:space="preserve"> </w:t>
      </w:r>
      <w:r>
        <w:rPr>
          <w:rFonts w:ascii="Arial" w:cs="Arial" w:eastAsia="Arial" w:hAnsi="Arial"/>
          <w:sz w:val="16"/>
          <w:szCs w:val="16"/>
          <w:color w:val="auto"/>
        </w:rPr>
        <w:t>Series B-1 Warrants and an exercise price of $0.75. These warrants have anti-dilution protection for subsequent securities issuances by us at prices below the exercise price which would require an adjustment to the warrant exercise price (excluding warrant exercises).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 w:hanging="324"/>
        <w:spacing w:after="0" w:line="289"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Series E and Series E-1 Warrants. </w:t>
      </w:r>
      <w:r>
        <w:rPr>
          <w:rFonts w:ascii="Arial" w:cs="Arial" w:eastAsia="Arial" w:hAnsi="Arial"/>
          <w:sz w:val="17"/>
          <w:szCs w:val="17"/>
          <w:color w:val="auto"/>
        </w:rPr>
        <w:t>The Series E and Series E-1 warrants have a term of 5 years from the date of the exercise of the Series C and Series</w:t>
      </w:r>
      <w:r>
        <w:rPr>
          <w:rFonts w:ascii="Arial" w:cs="Arial" w:eastAsia="Arial" w:hAnsi="Arial"/>
          <w:sz w:val="17"/>
          <w:szCs w:val="17"/>
          <w:b w:val="1"/>
          <w:bCs w:val="1"/>
          <w:color w:val="auto"/>
        </w:rPr>
        <w:t xml:space="preserve"> </w:t>
      </w:r>
      <w:r>
        <w:rPr>
          <w:rFonts w:ascii="Arial" w:cs="Arial" w:eastAsia="Arial" w:hAnsi="Arial"/>
          <w:sz w:val="17"/>
          <w:szCs w:val="17"/>
          <w:color w:val="auto"/>
        </w:rPr>
        <w:t>C-1 Warrants and an exercise price of $1.25. These warrants have anti-dilution protection for subsequent securities issuances by us at prices below the exercise price which would require an adjustment to the warrant exercise price (excluding warrant exercises).</w:t>
      </w:r>
    </w:p>
    <w:p>
      <w:pPr>
        <w:spacing w:after="0" w:line="63" w:lineRule="exact"/>
        <w:rPr>
          <w:rFonts w:ascii="Arial" w:cs="Arial" w:eastAsia="Arial" w:hAnsi="Arial"/>
          <w:sz w:val="17"/>
          <w:szCs w:val="17"/>
          <w:color w:val="auto"/>
        </w:rPr>
      </w:pPr>
    </w:p>
    <w:p>
      <w:pPr>
        <w:ind w:left="440" w:right="80" w:hanging="324"/>
        <w:spacing w:after="0" w:line="256"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Warrant Holder Contingent Put Right. </w:t>
      </w:r>
      <w:r>
        <w:rPr>
          <w:rFonts w:ascii="Arial" w:cs="Arial" w:eastAsia="Arial" w:hAnsi="Arial"/>
          <w:sz w:val="18"/>
          <w:szCs w:val="18"/>
          <w:color w:val="auto"/>
        </w:rPr>
        <w:t>Each of the warrants provide that at the request of a Warrant holder delivered at any time commencing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earliest to occur of (x) the public disclosure of any Fundamental Transaction, (y) the consummation of any Fundamental Transaction and (z) such Warrant holder first becoming aware of any Fundamental Transaction through the date that is ninety (90) days after the public disclosure of the consummation of such Fundamental Transaction by the Company, the Company or the successor entity (as the case may be) shall purchase the Warrant from such Warrant holder on the date of such request by paying to the holder cash in an amount equal to the Black Scholes Value. A </w:t>
      </w:r>
      <w:r>
        <w:rPr>
          <w:rFonts w:ascii="Arial" w:cs="Arial" w:eastAsia="Arial" w:hAnsi="Arial"/>
          <w:sz w:val="18"/>
          <w:szCs w:val="18"/>
          <w:b w:val="1"/>
          <w:bCs w:val="1"/>
          <w:color w:val="auto"/>
        </w:rPr>
        <w:t>Fundamental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Transaction </w:t>
      </w:r>
      <w:r>
        <w:rPr>
          <w:rFonts w:ascii="Arial" w:cs="Arial" w:eastAsia="Arial" w:hAnsi="Arial"/>
          <w:sz w:val="18"/>
          <w:szCs w:val="18"/>
          <w:color w:val="auto"/>
        </w:rPr>
        <w:t>means:</w:t>
      </w:r>
    </w:p>
    <w:p>
      <w:pPr>
        <w:spacing w:after="0" w:line="83" w:lineRule="exact"/>
        <w:rPr>
          <w:rFonts w:ascii="Arial" w:cs="Arial" w:eastAsia="Arial" w:hAnsi="Arial"/>
          <w:sz w:val="18"/>
          <w:szCs w:val="18"/>
          <w:color w:val="auto"/>
        </w:rPr>
      </w:pPr>
    </w:p>
    <w:p>
      <w:pPr>
        <w:ind w:left="680" w:hanging="216"/>
        <w:spacing w:after="0"/>
        <w:tabs>
          <w:tab w:leader="none" w:pos="6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Company or any of its Subsidiaries shall, directly or indirectly, in one or more related transactions,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2"/>
          <w:numId w:val="32"/>
        </w:numPr>
        <w:rPr>
          <w:rFonts w:ascii="Arial" w:cs="Arial" w:eastAsia="Arial" w:hAnsi="Arial"/>
          <w:sz w:val="16"/>
          <w:szCs w:val="16"/>
          <w:color w:val="auto"/>
        </w:rPr>
      </w:pPr>
      <w:r>
        <w:rPr>
          <w:rFonts w:ascii="Arial" w:cs="Arial" w:eastAsia="Arial" w:hAnsi="Arial"/>
          <w:sz w:val="16"/>
          <w:szCs w:val="16"/>
          <w:color w:val="auto"/>
        </w:rPr>
        <w:t>consolidate or merge with or into (whether or not the Company or any of its Subsidiaries is the surviving corporation) any other Person,</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920" w:right="340" w:firstLine="421"/>
        <w:spacing w:after="0" w:line="277" w:lineRule="auto"/>
        <w:tabs>
          <w:tab w:leader="none" w:pos="1595" w:val="left"/>
        </w:tabs>
        <w:numPr>
          <w:ilvl w:val="2"/>
          <w:numId w:val="32"/>
        </w:numPr>
        <w:rPr>
          <w:rFonts w:ascii="Arial" w:cs="Arial" w:eastAsia="Arial" w:hAnsi="Arial"/>
          <w:sz w:val="18"/>
          <w:szCs w:val="18"/>
          <w:color w:val="auto"/>
        </w:rPr>
      </w:pPr>
      <w:r>
        <w:rPr>
          <w:rFonts w:ascii="Arial" w:cs="Arial" w:eastAsia="Arial" w:hAnsi="Arial"/>
          <w:sz w:val="18"/>
          <w:szCs w:val="18"/>
          <w:color w:val="auto"/>
        </w:rPr>
        <w:t>sell, lease, license, assign, transfer, convey or otherwise dispose of all or substantially all of its respective properties or assets to any other Person, or</w:t>
      </w:r>
    </w:p>
    <w:p>
      <w:pPr>
        <w:spacing w:after="0" w:line="62" w:lineRule="exact"/>
        <w:rPr>
          <w:rFonts w:ascii="Arial" w:cs="Arial" w:eastAsia="Arial" w:hAnsi="Arial"/>
          <w:sz w:val="18"/>
          <w:szCs w:val="18"/>
          <w:color w:val="auto"/>
        </w:rPr>
      </w:pPr>
    </w:p>
    <w:p>
      <w:pPr>
        <w:ind w:left="920" w:right="420" w:firstLine="421"/>
        <w:spacing w:after="0" w:line="312" w:lineRule="auto"/>
        <w:tabs>
          <w:tab w:leader="none" w:pos="1595" w:val="left"/>
        </w:tabs>
        <w:numPr>
          <w:ilvl w:val="2"/>
          <w:numId w:val="32"/>
        </w:numPr>
        <w:rPr>
          <w:rFonts w:ascii="Arial" w:cs="Arial" w:eastAsia="Arial" w:hAnsi="Arial"/>
          <w:sz w:val="16"/>
          <w:szCs w:val="16"/>
          <w:color w:val="auto"/>
        </w:rPr>
      </w:pPr>
      <w:r>
        <w:rPr>
          <w:rFonts w:ascii="Arial" w:cs="Arial" w:eastAsia="Arial" w:hAnsi="Arial"/>
          <w:sz w:val="16"/>
          <w:szCs w:val="16"/>
          <w:color w:val="auto"/>
        </w:rPr>
        <w:t>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w:t>
      </w:r>
    </w:p>
    <w:p>
      <w:pPr>
        <w:spacing w:after="0" w:line="38" w:lineRule="exact"/>
        <w:rPr>
          <w:rFonts w:ascii="Arial" w:cs="Arial" w:eastAsia="Arial" w:hAnsi="Arial"/>
          <w:sz w:val="16"/>
          <w:szCs w:val="16"/>
          <w:color w:val="auto"/>
        </w:rPr>
      </w:pPr>
    </w:p>
    <w:p>
      <w:pPr>
        <w:ind w:left="920" w:right="20" w:firstLine="421"/>
        <w:spacing w:after="0" w:line="257" w:lineRule="auto"/>
        <w:tabs>
          <w:tab w:leader="none" w:pos="1595" w:val="left"/>
        </w:tabs>
        <w:numPr>
          <w:ilvl w:val="2"/>
          <w:numId w:val="32"/>
        </w:numPr>
        <w:rPr>
          <w:rFonts w:ascii="Arial" w:cs="Arial" w:eastAsia="Arial" w:hAnsi="Arial"/>
          <w:sz w:val="18"/>
          <w:szCs w:val="18"/>
          <w:color w:val="auto"/>
        </w:rPr>
      </w:pPr>
      <w:r>
        <w:rPr>
          <w:rFonts w:ascii="Arial" w:cs="Arial" w:eastAsia="Arial" w:hAnsi="Arial"/>
          <w:sz w:val="18"/>
          <w:szCs w:val="18"/>
          <w:color w:val="auto"/>
        </w:rPr>
        <w:t>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w:t>
      </w:r>
    </w:p>
    <w:p>
      <w:pPr>
        <w:spacing w:after="0" w:line="80" w:lineRule="exact"/>
        <w:rPr>
          <w:rFonts w:ascii="Arial" w:cs="Arial" w:eastAsia="Arial" w:hAnsi="Arial"/>
          <w:sz w:val="18"/>
          <w:szCs w:val="18"/>
          <w:color w:val="auto"/>
        </w:rPr>
      </w:pPr>
    </w:p>
    <w:p>
      <w:pPr>
        <w:ind w:left="920" w:right="20" w:firstLine="421"/>
        <w:spacing w:after="0" w:line="255" w:lineRule="auto"/>
        <w:tabs>
          <w:tab w:leader="none" w:pos="1595" w:val="left"/>
        </w:tabs>
        <w:numPr>
          <w:ilvl w:val="2"/>
          <w:numId w:val="32"/>
        </w:numPr>
        <w:rPr>
          <w:rFonts w:ascii="Arial" w:cs="Arial" w:eastAsia="Arial" w:hAnsi="Arial"/>
          <w:sz w:val="18"/>
          <w:szCs w:val="18"/>
          <w:color w:val="auto"/>
        </w:rPr>
      </w:pPr>
      <w:r>
        <w:rPr>
          <w:rFonts w:ascii="Arial" w:cs="Arial" w:eastAsia="Arial" w:hAnsi="Arial"/>
          <w:sz w:val="18"/>
          <w:szCs w:val="18"/>
          <w:color w:val="auto"/>
        </w:rPr>
        <w:t>(I)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w:t>
      </w:r>
    </w:p>
    <w:p>
      <w:pPr>
        <w:spacing w:after="0" w:line="85" w:lineRule="exact"/>
        <w:rPr>
          <w:rFonts w:ascii="Arial" w:cs="Arial" w:eastAsia="Arial" w:hAnsi="Arial"/>
          <w:sz w:val="18"/>
          <w:szCs w:val="18"/>
          <w:color w:val="auto"/>
        </w:rPr>
      </w:pPr>
    </w:p>
    <w:p>
      <w:pPr>
        <w:ind w:left="460" w:right="160" w:firstLine="4"/>
        <w:spacing w:after="0" w:line="264" w:lineRule="auto"/>
        <w:tabs>
          <w:tab w:leader="none" w:pos="7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73"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Assuming a Fundamental Transaction occurs we estimate, using the Black Scholes value method required by the terms of the warrants and assuming all warrant holders exercise their rights to require us to purchase their warrants, the aggregate amount we would be obligated to pay would be approximately $26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right="20" w:hanging="324"/>
        <w:spacing w:after="0" w:line="259"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Variable Rate Transaction Prohibition</w:t>
      </w:r>
      <w:r>
        <w:rPr>
          <w:rFonts w:ascii="Arial" w:cs="Arial" w:eastAsia="Arial" w:hAnsi="Arial"/>
          <w:sz w:val="18"/>
          <w:szCs w:val="18"/>
          <w:color w:val="auto"/>
        </w:rPr>
        <w:t>. During the two year period commencing on the closing date under both the January 2015 and March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Financings (dated January 12, 2015 and March 9, 2015, respectively), the Company and each subsidiary are prohibited from entering into an agreement related to any subsequent issuance of securities involving a Variable Rate Transaction. A </w:t>
      </w:r>
      <w:r>
        <w:rPr>
          <w:rFonts w:ascii="Arial" w:cs="Arial" w:eastAsia="Arial" w:hAnsi="Arial"/>
          <w:sz w:val="18"/>
          <w:szCs w:val="18"/>
          <w:b w:val="1"/>
          <w:bCs w:val="1"/>
          <w:color w:val="auto"/>
        </w:rPr>
        <w:t>Variable Rate Transaction</w:t>
      </w:r>
      <w:r>
        <w:rPr>
          <w:rFonts w:ascii="Arial" w:cs="Arial" w:eastAsia="Arial" w:hAnsi="Arial"/>
          <w:sz w:val="18"/>
          <w:szCs w:val="18"/>
          <w:color w:val="auto"/>
        </w:rPr>
        <w:t xml:space="preserve"> means: a transaction in which the Company or any subsidiary:</w:t>
      </w:r>
    </w:p>
    <w:p>
      <w:pPr>
        <w:spacing w:after="0" w:line="78" w:lineRule="exact"/>
        <w:rPr>
          <w:rFonts w:ascii="Arial" w:cs="Arial" w:eastAsia="Arial" w:hAnsi="Arial"/>
          <w:sz w:val="18"/>
          <w:szCs w:val="18"/>
          <w:color w:val="auto"/>
        </w:rPr>
      </w:pPr>
    </w:p>
    <w:p>
      <w:pPr>
        <w:ind w:left="680" w:hanging="216"/>
        <w:spacing w:after="0"/>
        <w:tabs>
          <w:tab w:leader="none" w:pos="6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issues or sells any securities convertible into shares of Common Stock either</w:t>
      </w:r>
    </w:p>
    <w:p>
      <w:pPr>
        <w:spacing w:after="0" w:line="117" w:lineRule="exact"/>
        <w:rPr>
          <w:rFonts w:ascii="Arial" w:cs="Arial" w:eastAsia="Arial" w:hAnsi="Arial"/>
          <w:sz w:val="18"/>
          <w:szCs w:val="18"/>
          <w:color w:val="auto"/>
        </w:rPr>
      </w:pPr>
    </w:p>
    <w:p>
      <w:pPr>
        <w:ind w:left="460" w:right="400" w:firstLine="443"/>
        <w:spacing w:after="0" w:line="277" w:lineRule="auto"/>
        <w:tabs>
          <w:tab w:leader="none" w:pos="1193" w:val="left"/>
        </w:tabs>
        <w:numPr>
          <w:ilvl w:val="3"/>
          <w:numId w:val="33"/>
        </w:numPr>
        <w:rPr>
          <w:rFonts w:ascii="Arial" w:cs="Arial" w:eastAsia="Arial" w:hAnsi="Arial"/>
          <w:sz w:val="18"/>
          <w:szCs w:val="18"/>
          <w:color w:val="auto"/>
        </w:rPr>
      </w:pPr>
      <w:r>
        <w:rPr>
          <w:rFonts w:ascii="Arial" w:cs="Arial" w:eastAsia="Arial" w:hAnsi="Arial"/>
          <w:sz w:val="18"/>
          <w:szCs w:val="18"/>
          <w:color w:val="auto"/>
        </w:rPr>
        <w:t>at a conversion, exercise or exchange rate or other price that is based upon and/or varies with the trading prices of, or quotations for, the shares of Common Stock at any time after the initial issuance of such convertible securities, or</w:t>
      </w:r>
    </w:p>
    <w:p>
      <w:pPr>
        <w:spacing w:after="0" w:line="62" w:lineRule="exact"/>
        <w:rPr>
          <w:rFonts w:ascii="Arial" w:cs="Arial" w:eastAsia="Arial" w:hAnsi="Arial"/>
          <w:sz w:val="18"/>
          <w:szCs w:val="18"/>
          <w:color w:val="auto"/>
        </w:rPr>
      </w:pPr>
    </w:p>
    <w:p>
      <w:pPr>
        <w:ind w:left="460" w:right="260" w:firstLine="443"/>
        <w:spacing w:after="0" w:line="264" w:lineRule="auto"/>
        <w:tabs>
          <w:tab w:leader="none" w:pos="1183" w:val="left"/>
        </w:tabs>
        <w:numPr>
          <w:ilvl w:val="3"/>
          <w:numId w:val="33"/>
        </w:numPr>
        <w:rPr>
          <w:rFonts w:ascii="Arial" w:cs="Arial" w:eastAsia="Arial" w:hAnsi="Arial"/>
          <w:sz w:val="18"/>
          <w:szCs w:val="18"/>
          <w:color w:val="auto"/>
        </w:rPr>
      </w:pPr>
      <w:r>
        <w:rPr>
          <w:rFonts w:ascii="Arial" w:cs="Arial" w:eastAsia="Arial" w:hAnsi="Arial"/>
          <w:sz w:val="18"/>
          <w:szCs w:val="18"/>
          <w:color w:val="auto"/>
        </w:rPr>
        <w:t>with a conversion, exercise or exchange price that is subject to being reset at some future date after the initial issuance of such convertible securities or upon the occurrence of specified contingent events directly or indirectly related to the business of the Company or the market for the Common Stock, other than pursuant to a customary “weighted average” anti-dilution provision or</w:t>
      </w:r>
    </w:p>
    <w:p>
      <w:pPr>
        <w:spacing w:after="0" w:line="73" w:lineRule="exact"/>
        <w:rPr>
          <w:rFonts w:ascii="Arial" w:cs="Arial" w:eastAsia="Arial" w:hAnsi="Arial"/>
          <w:sz w:val="18"/>
          <w:szCs w:val="18"/>
          <w:color w:val="auto"/>
        </w:rPr>
      </w:pPr>
    </w:p>
    <w:p>
      <w:pPr>
        <w:ind w:left="460" w:right="220" w:firstLine="4"/>
        <w:spacing w:after="0" w:line="277" w:lineRule="auto"/>
        <w:tabs>
          <w:tab w:leader="none" w:pos="725" w:val="left"/>
        </w:tabs>
        <w:numPr>
          <w:ilvl w:val="2"/>
          <w:numId w:val="33"/>
        </w:numPr>
        <w:rPr>
          <w:rFonts w:ascii="Arial" w:cs="Arial" w:eastAsia="Arial" w:hAnsi="Arial"/>
          <w:sz w:val="18"/>
          <w:szCs w:val="18"/>
          <w:color w:val="auto"/>
        </w:rPr>
      </w:pPr>
      <w:r>
        <w:rPr>
          <w:rFonts w:ascii="Arial" w:cs="Arial" w:eastAsia="Arial" w:hAnsi="Arial"/>
          <w:sz w:val="18"/>
          <w:szCs w:val="18"/>
          <w:color w:val="auto"/>
        </w:rPr>
        <w:t>enters into any agreement (including, without limitation, an equity line of credit) whereby the Company or any subsidiary may sell securities at a future determined price (other than standard and customary “preemptive” or “participation” rights).</w:t>
      </w:r>
    </w:p>
    <w:p>
      <w:pPr>
        <w:spacing w:after="0" w:line="75" w:lineRule="exact"/>
        <w:rPr>
          <w:rFonts w:ascii="Arial" w:cs="Arial" w:eastAsia="Arial" w:hAnsi="Arial"/>
          <w:sz w:val="18"/>
          <w:szCs w:val="18"/>
          <w:color w:val="auto"/>
        </w:rPr>
      </w:pPr>
    </w:p>
    <w:p>
      <w:pPr>
        <w:ind w:left="440" w:hanging="324"/>
        <w:spacing w:after="0" w:line="283"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Failure to Timely Deliver Securities. </w:t>
      </w:r>
      <w:r>
        <w:rPr>
          <w:rFonts w:ascii="Arial" w:cs="Arial" w:eastAsia="Arial" w:hAnsi="Arial"/>
          <w:sz w:val="16"/>
          <w:szCs w:val="16"/>
          <w:color w:val="auto"/>
        </w:rPr>
        <w:t>If we fail, to issue to a warrant holder within three (3) trading days after receipt of the applicable exercise notice,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certificate for the number of shares of our common stock to which the warrant holder is entitled upon the holder’s exercise of the warrant, then, in addition to all other remedies available to the warrant holder, we shall pay in cash to the holder on each trading day after such third (3rd) trading day that the issuance of such shares of our common stock is not timely effected an amount equal to 1% of the product of (A) the aggregate number of shares of our common stock not issued to the warrant holder on a timely basis and to which the warrant holder is entitled and (B) the closing sale price of our common stock on the trading day immediately preceding the last possible date on which we could have issued such shares of our common stock to the warrant holder without violating the exercise provision of the warrant. In addition, if within three (3) trading days after our receipt of the applicable exercise notice, we shall fail to issue and deliver a certificate to the warrant holder without restrictive legend to which the holder is entitled upon the holder’s exercise, and (Y) on or after such third (3rd ) trading day the warrant holder purchases (in an open market transaction or otherwise) shares of our common stock to deliver in satisfaction of a sale by the warrant holder of all or any portion of the number of shares of our common stock, or a sale of a number of shares of our common stock equal to all or any portion of the number of shares of our common stock, issuable upon such exercise that the warrant holder so anticipated receiving from us, then, in addition to all other remedies available to the warrant holder, we shall within three</w:t>
      </w:r>
    </w:p>
    <w:p>
      <w:pPr>
        <w:spacing w:after="0" w:line="3" w:lineRule="exact"/>
        <w:rPr>
          <w:rFonts w:ascii="Arial" w:cs="Arial" w:eastAsia="Arial" w:hAnsi="Arial"/>
          <w:sz w:val="16"/>
          <w:szCs w:val="16"/>
          <w:color w:val="auto"/>
        </w:rPr>
      </w:pPr>
    </w:p>
    <w:p>
      <w:pPr>
        <w:ind w:left="440" w:right="20"/>
        <w:spacing w:after="0" w:line="287" w:lineRule="auto"/>
        <w:tabs>
          <w:tab w:leader="none" w:pos="695" w:val="left"/>
        </w:tabs>
        <w:numPr>
          <w:ilvl w:val="1"/>
          <w:numId w:val="34"/>
        </w:numPr>
        <w:rPr>
          <w:rFonts w:ascii="Arial" w:cs="Arial" w:eastAsia="Arial" w:hAnsi="Arial"/>
          <w:sz w:val="16"/>
          <w:szCs w:val="16"/>
          <w:color w:val="auto"/>
        </w:rPr>
      </w:pPr>
      <w:r>
        <w:rPr>
          <w:rFonts w:ascii="Arial" w:cs="Arial" w:eastAsia="Arial" w:hAnsi="Arial"/>
          <w:sz w:val="16"/>
          <w:szCs w:val="16"/>
          <w:color w:val="auto"/>
        </w:rPr>
        <w:t>business days after the holder’s request and in the holder’s discretion, either (i) pay cash to the warrant holder in an amount equal to the warrant holder’s total purchase price (including brokerage commissions and reasonable out-of-pocket expenses, if any) for the shares of our common stock so purchased (the “Buy-In Price”), at which point our obligation to so issue and deliver such certificate or credit the warrant holder’s balance account with DTC for the number of shares of our common stock to which the warrant holder is entitled upon the holder’s exercise hereunder (as the case may be) (and to issue such shares of our common stock) shall terminate, or (ii) promptly honor our obligation to so issue and deliver to the warrant holder a certificate or certificates representing such shares of our common stock or credit the holder’s balance account with DTC for the number of shares of common stock to which the holder is entitled upon the warrant holder’s exercise and pay cash to the holder in an amount equal to the excess (if any) of the Buy-In Price over the product of (A) such number of shares of common stock multiplied by (B) “B” as set out in the formula above.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Highlights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Company Headquarters</w:t>
      </w:r>
      <w:r>
        <w:rPr>
          <w:rFonts w:ascii="Arial" w:cs="Arial" w:eastAsia="Arial" w:hAnsi="Arial"/>
          <w:sz w:val="18"/>
          <w:szCs w:val="18"/>
          <w:color w:val="auto"/>
        </w:rPr>
        <w:t>. In August 2015, we relocated our headquarters from Seattle, Washington to Jacksonville, Florida to be in closer proximity to our</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clinical development collaborators at the Mayo Foundation in Jacksonville and two key advisors (Business &amp; Clinical) who are resident in Florida.</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Option Plan Amendment. On November 6, 2015, the Board of Directors approved an amendment to the Company’s 2014 Omnibus Stock Ownership Plan which provided for an increase in the number of shares reserved for issuance under the Plan by 5 million shares to 7 million shares.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Board Expansion. We added three new directors Mr. David Laskow Pooley on March 19, 2015, Dr. John Bonfiglio on July 23, 2015 and Mr. Frederick 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Wasserman on January 27, 2016, to add experience in various strategic areas.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Employment Agreement</w:t>
      </w:r>
      <w:r>
        <w:rPr>
          <w:rFonts w:ascii="Arial" w:cs="Arial" w:eastAsia="Arial" w:hAnsi="Arial"/>
          <w:sz w:val="18"/>
          <w:szCs w:val="18"/>
          <w:color w:val="auto"/>
        </w:rPr>
        <w:t>. On November 12, 2015, we entered into a new employment agreement with our Chief Executive Officer that has been responsible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continued operations over many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Mayo License. </w:t>
      </w:r>
      <w:r>
        <w:rPr>
          <w:rFonts w:ascii="Arial" w:cs="Arial" w:eastAsia="Arial" w:hAnsi="Arial"/>
          <w:sz w:val="18"/>
          <w:szCs w:val="18"/>
          <w:color w:val="auto"/>
        </w:rPr>
        <w:t>On July 21, 2015 we exercised our option regarding the Mayo license.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Polystart Patent. </w:t>
      </w:r>
      <w:r>
        <w:rPr>
          <w:rFonts w:ascii="Arial" w:cs="Arial" w:eastAsia="Arial" w:hAnsi="Arial"/>
          <w:sz w:val="18"/>
          <w:szCs w:val="18"/>
          <w:color w:val="auto"/>
        </w:rPr>
        <w:t>On February 11, 2016 the United States Patent and Trademark Office issued a Notice of Allowance.</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Phase 1 Trials. </w:t>
      </w:r>
      <w:r>
        <w:rPr>
          <w:rFonts w:ascii="Arial" w:cs="Arial" w:eastAsia="Arial" w:hAnsi="Arial"/>
          <w:sz w:val="18"/>
          <w:szCs w:val="18"/>
          <w:color w:val="auto"/>
        </w:rPr>
        <w:t>Phase I trials on our HER2/neu vaccine (TPIV 100) and our Folate Receptor Alpha vaccine (TPIV 200 were successfully completed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Mayo Clinic. The results on both vaccines provide the rationale for starting Phase II clinical activities.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Fast Track Designation. </w:t>
      </w:r>
      <w:r>
        <w:rPr>
          <w:rFonts w:ascii="Arial" w:cs="Arial" w:eastAsia="Arial" w:hAnsi="Arial"/>
          <w:sz w:val="18"/>
          <w:szCs w:val="18"/>
          <w:color w:val="auto"/>
        </w:rPr>
        <w:t>On February 3, 2016 we announced that that the U. S. Food &amp; Drug Administration (FDA) has granted Fast Track Designation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cancer vaccine TPIV 200 in the treatment of ovarian cancer.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 clinical-stage immunotherapy company specializing in the development of innovative peptide and gene-based immunotherapeutics and vaccines for the treatment of cancer. We now plan to conduct multiple Phase II clinical trials on our vaccines. The largest of these studies in triple-negative breast cancer will be totally funded by a $13.3 million grant from the US Department of Defense to our collaborators at the Mayo Foundation in Jacksonville, FL. We believe that our development pipeline is strong and provides us the opportunity to continue to expand on collaborations with leading institutions and corporations.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third quarter of 2015, we strengthened our cash position by raising additional $2.5 million in working capital, giving us confidence in our ability to continue developing our products on the path to commercialization. The structure of this financing gives us additional opportunities to raise additional capital through the exercise of short-term and long-term warrants. The strength of our science and development approaches is becoming more widely appreciated, particularly as our clinical program has now generated positive interim data on both clinical programs in Breast and Ovarian Cancer. We continue discussions with a major pharmaceutical organization and a leading US cancer institute on a Phase II clinical trial in ovarian cancer using our folate receptor alpha vaccine in combination with a checkpoint inhibitor.</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will also continue to prosecute our PolyStart patent filings and develop new constructs to facilitate collaborative efforts in our current clinical indications and those where others have already indicated interest in combination therapies.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us to capitalize on the acceptance of immunotherapy as a leading therapeutic strategy in cancer and infectious disease resulting in exploding valuations in the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Pipeline</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 pipeline of potential immunotherapies under development. Phase I clinical programs on HER2/neu and breast and ovarian cancer have been completed and strong immune responses in over 90% of patients treated has provided the rationale and catalyst to advance these programs to Phase II clinical trials in 2016. These are major inflection and valuation events, and we believe that, in light of these assets, we are significantly undervalued. Over the past year a number of highly visible transactions and billion dollar acquisitions have taken place that validate the work we are doing. We believe that, if our treatment successfully reaches commercialization, our treatment is applicable to 50% of the HER2/neu Breast Cancer market, which is a $21 billion annual market. We further believe that if our Ovarian Cancer treatment reaches commercialization, it will be applicable to 95% of the market which Decision Resources, one of the world’s leading research firms for pharmaceuticals and healthcare, believes will triple in the next 10 years to at least $1.5 billion annually.</w:t>
      </w:r>
    </w:p>
    <w:p>
      <w:pPr>
        <w:spacing w:after="0" w:line="19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 With respect to</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validation of our technologies, it is important to note that the majority of our technologies have been published in leading peer-reviewed journals and we believe that the recent grant award from the US Department of Defense to the Mayo Foundation is a strong validation of our approach.</w:t>
      </w:r>
    </w:p>
    <w:p>
      <w:pPr>
        <w:spacing w:after="0" w:line="14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patents on PolyStart expression vector (owned by TapImmune and filed in 2014: this IP covers the use with TAP)</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While the pathway to successful product development takes time, we believe we have put in place significant resources in technical and corporate fundamentals for success. The strength of our product pipeline and access to leading scientists and institutions gives us a unique opportunity to make a major contribution to global health care.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 such as CAR-T and PD1 inhibitors for example.</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financial statements and accompanying notes have been prepared in accordance with United States generally accepted accounting principles applied on a consistent basis. The preparation of financial statements in conformity with U. 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Preparation of our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transactions, the fair value of the components of the convertible notes payable, foreign exchange gains and losses, and accrued liabilities. Matters impacting our ability to continue as a going concern and contingencies also involve the use of estimates and assumptions.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fair value of certain of our financial instruments, including cash and cash equivalents, accrued compensation, and other accrued liabilities, approximate cost because of their short maturities. We measure the fair value of certain of our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92" w:lineRule="exact"/>
        <w:rPr>
          <w:sz w:val="20"/>
          <w:szCs w:val="20"/>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and liabilities.</w:t>
      </w:r>
    </w:p>
    <w:p>
      <w:pPr>
        <w:spacing w:after="0" w:line="130" w:lineRule="exact"/>
        <w:rPr>
          <w:rFonts w:ascii="Arial" w:cs="Arial" w:eastAsia="Arial" w:hAnsi="Arial"/>
          <w:sz w:val="18"/>
          <w:szCs w:val="18"/>
          <w:color w:val="auto"/>
        </w:rPr>
      </w:pPr>
    </w:p>
    <w:p>
      <w:pPr>
        <w:ind w:left="1460" w:right="100" w:hanging="547"/>
        <w:spacing w:after="0" w:line="264" w:lineRule="auto"/>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86"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our stock-based awards are expected to be outstanding based on the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which is the half-life from vesting to the end of its contractual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We compute stock price volatility over expected terms based on our historical common stock trading prices.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We base the risk-free interest rate on the implied yield available on U. S. Treasury zero-coupon issues with an equivalent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term.</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We have never declared or paid any cash dividends on our common shares and does not plan to pay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 therefore, use an expected dividend yield of zero in our valuation models. We recognize fair value of stock options granted to nonemployees as stock-based compensation expense over the period in which the related services are received.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Liability</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evaluate our convertible debt, options, warrants or other contracts to determine if those contracts or embedded components of those contracts qualify as derivatives to be separately accounted.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classification of financial instruments, including whether such instruments should be recorded as liabilities or as equity, is re-assessed at the end of each reporting period. Equity instruments that are initially classified as equity that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our stock. An entity should use a two-step approach to evaluate whether an equity-linked financial instrument (or embedded feature) is indexed to its own stock, including evaluating the instrument’s contingent exercise and settlement provisions. The application of this exercise affects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the Year Ended December 31, 2014</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other than per-share amounts, have been rounded to the nearest thousand dollars.</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recorded a net loss of $34,066,000 or ($0.78) during the year ended December 31, 2015 compared to $30,883,000 or ($2.00) for the year ended December 31,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Operating expenses incurred during the fiscal year ended December 31, 2015 were $6,159,000 compared to $3,371,000 in the prior year. Significant changes and expenditures are outlined as follows:</w:t>
      </w:r>
    </w:p>
    <w:p>
      <w:pPr>
        <w:spacing w:after="0" w:line="76" w:lineRule="exact"/>
        <w:rPr>
          <w:sz w:val="20"/>
          <w:szCs w:val="20"/>
          <w:color w:val="auto"/>
        </w:rPr>
      </w:pPr>
    </w:p>
    <w:p>
      <w:pPr>
        <w:ind w:left="440" w:right="80" w:hanging="324"/>
        <w:spacing w:after="0" w:line="276"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and administrative expenses increased to $4,448,000 during the year ended December 31, 2015 from $3,182,000 during the prior period. The increase was primarily due to higher salaries for administration, professional fee, business development, investor relations, management fee, travel expenses and more significantly, higher non-cash consulting and management fees paid as stock-based compensation of $1,705,000 during the year ended December 31, 2015 from $1,391,000 during the prior period. The increase in stock-based compensation from the prior year was primarily due to us issuing stock options to management and board members in the current year.</w:t>
      </w:r>
    </w:p>
    <w:p>
      <w:pPr>
        <w:spacing w:after="0" w:line="77" w:lineRule="exact"/>
        <w:rPr>
          <w:rFonts w:ascii="Arial" w:cs="Arial" w:eastAsia="Arial" w:hAnsi="Arial"/>
          <w:sz w:val="17"/>
          <w:szCs w:val="17"/>
          <w:color w:val="auto"/>
        </w:rPr>
      </w:pPr>
    </w:p>
    <w:p>
      <w:pPr>
        <w:ind w:left="440" w:right="200" w:hanging="324"/>
        <w:spacing w:after="0" w:line="308"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Research and development costs during the fiscal year ended December 31, 2015 were $1,711,000 compared to $189,000 during the prior fiscal year. This was due to higher technology licensing fee due to Mayo clinic and increased in house research activity in the current year.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number of shares outstanding was 43,947,067 for the year ended December 31, 2015 compared to 15,465,213 for the prior year.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we have had no revenues since inception, we have financed our operations primarily through public and private offerings of our stock and debt including warrants and the exercise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December 31, 2015 and 2014:</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34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 2015</w:t>
            </w:r>
          </w:p>
        </w:tc>
        <w:tc>
          <w:tcPr>
            <w:tcW w:w="1580" w:type="dxa"/>
            <w:vAlign w:val="bottom"/>
            <w:gridSpan w:val="4"/>
          </w:tcPr>
          <w:p>
            <w:pPr>
              <w:ind w:left="300"/>
              <w:spacing w:after="0"/>
              <w:rPr>
                <w:sz w:val="20"/>
                <w:szCs w:val="20"/>
                <w:color w:val="auto"/>
              </w:rPr>
            </w:pPr>
            <w:r>
              <w:rPr>
                <w:rFonts w:ascii="Arial" w:cs="Arial" w:eastAsia="Arial" w:hAnsi="Arial"/>
                <w:sz w:val="14"/>
                <w:szCs w:val="14"/>
                <w:b w:val="1"/>
                <w:bCs w:val="1"/>
                <w:color w:val="auto"/>
                <w:w w:val="99"/>
              </w:rPr>
              <w:t>December 31, 2014</w:t>
            </w: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reserves</w:t>
            </w:r>
          </w:p>
        </w:tc>
        <w:tc>
          <w:tcPr>
            <w:tcW w:w="1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6,577,000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21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(21,360,000)</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(1,024,000)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Operating activities in the year ended December 31, 2015 used cash of $4,343,000 compared to $2,187,000 in the year ended December 31, 2014. Operating activities have primarily used cash as a result of the operating and organizational activities such as consulting fees, management fees, professional fees and research and development.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in the year ended December 31, 2015 provided cash of $10,778,000 compared to $2,281,000 in the year ended December 31, 2014.</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 of our financing activities for the periods reflected in this report are provided below:</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2014 Financing. </w:t>
      </w:r>
      <w:r>
        <w:rPr>
          <w:rFonts w:ascii="Arial" w:cs="Arial" w:eastAsia="Arial" w:hAnsi="Arial"/>
          <w:sz w:val="17"/>
          <w:szCs w:val="17"/>
          <w:color w:val="auto"/>
        </w:rPr>
        <w:t>In fiscal year 2014, we raised $2,097,500 and issued warrants to acquire an aggregate of up to 2,151,792 shares of common stock.</w:t>
      </w:r>
    </w:p>
    <w:p>
      <w:pPr>
        <w:spacing w:after="0" w:line="2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2015 Financings. </w:t>
      </w:r>
      <w:r>
        <w:rPr>
          <w:rFonts w:ascii="Arial" w:cs="Arial" w:eastAsia="Arial" w:hAnsi="Arial"/>
          <w:sz w:val="18"/>
          <w:szCs w:val="18"/>
          <w:color w:val="auto"/>
        </w:rPr>
        <w:t>In the first quarter of fiscal year 2015, we raised $2,200,000 and issued warrants to acquire an aggregate of up to 61,600,000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including the warrants we issued pursuant to the restructuring of the 2015 financings.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Between June 16, 2015 and December 9, 2015, 37,080,000 shares were issued upon exercise of certain warrants we issued in connection with our 2015 financings, providing $9.22 million in proceeds. The following table reflects the remaining outstanding warrants from the August 2014, January and March 2015 Financings (including placement agent warrants):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Outstanding</w:t>
            </w:r>
          </w:p>
        </w:tc>
        <w:tc>
          <w:tcPr>
            <w:tcW w:w="26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Exercise Price</w:t>
            </w:r>
          </w:p>
        </w:tc>
        <w:tc>
          <w:tcPr>
            <w:tcW w:w="580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980" w:type="dxa"/>
            <w:vAlign w:val="bottom"/>
            <w:gridSpan w:val="2"/>
            <w:vMerge w:val="continue"/>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Warrants</w:t>
            </w:r>
          </w:p>
        </w:tc>
        <w:tc>
          <w:tcPr>
            <w:tcW w:w="2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5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2,573,200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0.10</w:t>
            </w:r>
          </w:p>
        </w:tc>
        <w:tc>
          <w:tcPr>
            <w:tcW w:w="540" w:type="dxa"/>
            <w:vAlign w:val="bottom"/>
            <w:tcBorders>
              <w:top w:val="single" w:sz="8" w:color="CCEEFF"/>
            </w:tcBorders>
            <w:shd w:val="clear" w:color="auto" w:fill="CCEEFF"/>
          </w:tcPr>
          <w:p>
            <w:pPr>
              <w:spacing w:after="0"/>
              <w:rPr>
                <w:sz w:val="18"/>
                <w:szCs w:val="18"/>
                <w:color w:val="auto"/>
              </w:rPr>
            </w:pPr>
          </w:p>
        </w:tc>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01/13/2020</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C</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12,093,200</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0.50</w:t>
            </w:r>
          </w:p>
        </w:tc>
        <w:tc>
          <w:tcPr>
            <w:tcW w:w="5800" w:type="dxa"/>
            <w:vAlign w:val="bottom"/>
          </w:tcPr>
          <w:p>
            <w:pPr>
              <w:spacing w:after="0"/>
              <w:rPr>
                <w:sz w:val="20"/>
                <w:szCs w:val="20"/>
                <w:color w:val="auto"/>
              </w:rPr>
            </w:pPr>
            <w:r>
              <w:rPr>
                <w:rFonts w:ascii="Arial" w:cs="Arial" w:eastAsia="Arial" w:hAnsi="Arial"/>
                <w:sz w:val="18"/>
                <w:szCs w:val="18"/>
                <w:color w:val="auto"/>
              </w:rPr>
              <w:t>01/13/2020</w:t>
            </w: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7,320,000</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0.75</w:t>
            </w: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Between 07/16/2020 and 08/13/2020 and 08/19/2020 and 09/09/2020</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7,393,200</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1.25</w:t>
            </w:r>
          </w:p>
        </w:tc>
        <w:tc>
          <w:tcPr>
            <w:tcW w:w="5800" w:type="dxa"/>
            <w:vAlign w:val="bottom"/>
          </w:tcPr>
          <w:p>
            <w:pPr>
              <w:spacing w:after="0"/>
              <w:rPr>
                <w:sz w:val="20"/>
                <w:szCs w:val="20"/>
                <w:color w:val="auto"/>
              </w:rPr>
            </w:pPr>
            <w:r>
              <w:rPr>
                <w:rFonts w:ascii="Arial" w:cs="Arial" w:eastAsia="Arial" w:hAnsi="Arial"/>
                <w:sz w:val="18"/>
                <w:szCs w:val="18"/>
                <w:color w:val="auto"/>
              </w:rPr>
              <w:t>Between 10/01/2020 and 11/12/2020 and 11/30/2020 and 12/09/2020</w:t>
            </w: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5,025,000</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0.10</w:t>
            </w: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03/09/2020</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C-1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5,025,000</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0.50</w:t>
            </w:r>
          </w:p>
        </w:tc>
        <w:tc>
          <w:tcPr>
            <w:tcW w:w="5800" w:type="dxa"/>
            <w:vAlign w:val="bottom"/>
          </w:tcPr>
          <w:p>
            <w:pPr>
              <w:spacing w:after="0"/>
              <w:rPr>
                <w:sz w:val="20"/>
                <w:szCs w:val="20"/>
                <w:color w:val="auto"/>
              </w:rPr>
            </w:pPr>
            <w:r>
              <w:rPr>
                <w:rFonts w:ascii="Arial" w:cs="Arial" w:eastAsia="Arial" w:hAnsi="Arial"/>
                <w:sz w:val="18"/>
                <w:szCs w:val="18"/>
                <w:color w:val="auto"/>
              </w:rPr>
              <w:t>03/09/2020</w:t>
            </w:r>
          </w:p>
        </w:tc>
        <w:tc>
          <w:tcPr>
            <w:tcW w:w="0" w:type="dxa"/>
            <w:vAlign w:val="bottom"/>
          </w:tcPr>
          <w:p>
            <w:pPr>
              <w:spacing w:after="0"/>
              <w:rPr>
                <w:sz w:val="1"/>
                <w:szCs w:val="1"/>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5,000,000</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0.75</w:t>
            </w: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Between 08/19/2020 and 09/09/2020</w:t>
            </w: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E-1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5,025,000</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1.25</w:t>
            </w:r>
          </w:p>
        </w:tc>
        <w:tc>
          <w:tcPr>
            <w:tcW w:w="5800" w:type="dxa"/>
            <w:vAlign w:val="bottom"/>
          </w:tcPr>
          <w:p>
            <w:pPr>
              <w:spacing w:after="0"/>
              <w:rPr>
                <w:sz w:val="20"/>
                <w:szCs w:val="20"/>
                <w:color w:val="auto"/>
              </w:rPr>
            </w:pPr>
            <w:r>
              <w:rPr>
                <w:rFonts w:ascii="Arial" w:cs="Arial" w:eastAsia="Arial" w:hAnsi="Arial"/>
                <w:sz w:val="18"/>
                <w:szCs w:val="18"/>
                <w:color w:val="auto"/>
              </w:rPr>
              <w:t>06/16/2020</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12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Our capital requirements for 2016 will depend on numerous factors, including the success of our research and development, the resources we devote to develop and support our technologies and our success in pursuing strategic licensing and funded product development relationships with external partners. Subject to our ability to raise additional capital including through possible joint ventures and/or partnerships, we expect to incur substantial expenditures to further develop our technologies including continued increases in costs related to research, nonclinical testing and clinical studies, as well as costs associated with our capital raising efforts and being a public company. We will require substantial funds to conduct research and development and nonclinical and Phase</w:t>
      </w:r>
    </w:p>
    <w:p>
      <w:pPr>
        <w:spacing w:after="0" w:line="2" w:lineRule="exact"/>
        <w:rPr>
          <w:sz w:val="20"/>
          <w:szCs w:val="20"/>
          <w:color w:val="auto"/>
        </w:rPr>
      </w:pPr>
    </w:p>
    <w:p>
      <w:pPr>
        <w:jc w:val="both"/>
        <w:ind w:right="260" w:firstLine="8"/>
        <w:spacing w:after="0" w:line="277" w:lineRule="auto"/>
        <w:tabs>
          <w:tab w:leader="none" w:pos="16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clinical testing of our licensed, patented technologies and to develop sublicensing relationships for the Phase II and III clinical testing. Our plans include seeking both equity and debt financing, alliances or other partnership agreements with entities interested in our technologies, or other business transactions that would generate sufficient resources to ensure continuation of our operations and research and development programs.</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current available cash and cash equivalents are insufficient to satisfy our liquidity requirements. We believe our existing cash and cash equivalents will allow us to fund our operating plan through the end of 2016. 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of our common stock and could contain covenants that would restrict our operations. We also will require additional capital beyond our currently forecasted amounts.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our product candidates, we are unable to estimate the exact amounts of our working capital requirements. Our future funding requirements will depend on many factors, including, but not limited to:</w:t>
      </w:r>
    </w:p>
    <w:p>
      <w:pPr>
        <w:spacing w:after="0" w:line="29"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30" w:lineRule="exact"/>
        <w:rPr>
          <w:rFonts w:ascii="Arial" w:cs="Arial" w:eastAsia="Arial" w:hAnsi="Arial"/>
          <w:sz w:val="18"/>
          <w:szCs w:val="18"/>
          <w:color w:val="auto"/>
        </w:rPr>
      </w:pPr>
    </w:p>
    <w:p>
      <w:pPr>
        <w:ind w:left="900" w:right="460" w:hanging="325"/>
        <w:spacing w:after="0" w:line="34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nonclinical and clinical trials including the research and development expenditures we expect to make in connection with our license agreements with Mayo Foundation;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current research and development licensing agreements and to establish new strategic partnerships, licensing or other arrangements and the financial terms of such agreements;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achieve our milestones under our licensing arrangements and the payment obligations we may have;</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based our estimates on assumptions that may prove to be wrong. We may need to obtain additional funds sooner or in greater amounts than we currently anticipate. Potential sources of financing include strategic relationships, public or private sales of our shares or debt and other sources. We may seek to access the public or private equity markets when conditions are favorable due to our long-term capital requirements. We do not have any committed sources of financing at this time, and it is uncertain whether additional funding will be available when we need it on terms that will be acceptable to us, or at all. If we raise funds by selling additional shares of common stock or other securities convertible into common stock, the ownership interest of our existing stockholders will be diluted. If we are not able to obtain financing when needed, we may be unable to carry out our business plan. As a result, we may have to significantly limit our operations and our business, financial condition and results of operations would be materially harmed.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no sources of revenue to provide incoming cash flows to sustain our future operations. As outlined above, our ability to pursue our planned business activities is dependent upon our successful efforts to raise additional equity financing. 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As at December 31, 2015, we had accumulated losses of $133,508,000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Loss and Credit Carryforwards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2015 and 2014, we have approximately $24,123,000 of federal and $4,336,000 of state NOLs that may be available to offset future taxable income, if any. The federal net operating loss carryforwards, if not utilized, will expire between 2029 and 2035. The state net operating loss carryforwards, if not utilized, will expire in 2035. Any greater than 50% change in ownership under Section 382 of the Internal Revenue Code, or the Code, places significant annual limitations on the use of such net operating loss carryforwards.</w:t>
      </w:r>
    </w:p>
    <w:p>
      <w:pPr>
        <w:spacing w:after="0" w:line="18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At December 31, 2015 and 2014, we recorded a 100% valuation allowance against our deferred tax assets of approximately $10,826,000 and $12,471,000, respectively, as our management believes it is uncertain that they will be fully realized. If we determine in the future that we will be able to realize all or a portion of our net operating loss carryforwards, an adjustment to our net operating loss carryforwards would increase net income in the period in which we make such a determination.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revenues and operating results will not be significant. We do not believe that inflation has had a material impact on our results of operations for the periods presented, except with respect to payroll-related costs and other costs arising from or related to government imposed regulations.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are incorporated herein by reference to pages F-1 to F-18 at the end of this report and the supplementary data is not applicable.</w:t>
      </w:r>
    </w:p>
    <w:p>
      <w:pPr>
        <w:spacing w:after="0" w:line="352" w:lineRule="exact"/>
        <w:rPr>
          <w:sz w:val="20"/>
          <w:szCs w:val="20"/>
          <w:color w:val="auto"/>
        </w:rPr>
      </w:pPr>
    </w:p>
    <w:p>
      <w:pPr>
        <w:ind w:right="116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We have had no disagreements with our principal independent accountants.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2015, management has not completed a proper evaluation, risk assessment and monitoring of the Company’s internal control over financial reporting based on the criteria for effective internal control over financial reporting established in the 2013 Internal Control -Integrated Framework issued by the Committee of Sponsoring Organizations of the Treadway Commission (“COSO”) and SEC guidance on conducting such assessments. Based on that evaluation, they concluded that, as at December 31, 2015 such internal controls and procedures were not effective to detect the inappropriate application of US GAAP rules as more fully described below.</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matters involving internal controls and procedures that the Company’s management considered to be material weaknesses under the standards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Public Company Accounting Oversight Board were:</w:t>
      </w:r>
    </w:p>
    <w:p>
      <w:pPr>
        <w:spacing w:after="0" w:line="116" w:lineRule="exact"/>
        <w:rPr>
          <w:sz w:val="20"/>
          <w:szCs w:val="20"/>
          <w:color w:val="auto"/>
        </w:rPr>
      </w:pPr>
    </w:p>
    <w:p>
      <w:pPr>
        <w:ind w:left="900" w:right="42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inadequate entity level controls due to an ineffective audit committee resulting from the presence of only one of independent member on the current audit committee and the presence of only one outside director on our board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inadequate segregation of duties consistent with control objectives;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insufficient written policies and procedures for accounting and financial reporting with respect to the requirements and application of US GAAP and SEC disclosure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ineffective controls over period end financial disclosure and reporting processes;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 performance of an evaluation, risk assessment or monitoring of our internal controls over financial reporting.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believes that none of the material weaknesses set forth above had a material adverse effect on the Company’s financial results for the fiscal year ended December 31, 2015, but management is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committed to improving our financial organization. As part of this commitment, we intend to continue to enhance our internal control over financial reporting by: i) expanding our personnel, ii) improving segregated duties consistent with control objectives, iii) appointing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disclosure requirements.</w:t>
      </w:r>
    </w:p>
    <w:p>
      <w:pPr>
        <w:spacing w:after="0" w:line="178"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Management believes that the appointment of one or more outside directors, who were appointed to a fully functioning audit committee, remedied the ineffective audit committee. To this end, David Laskow-Pooley was appointed to our audit Committee in 2015.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w:t>
      </w:r>
    </w:p>
    <w:p>
      <w:pPr>
        <w:spacing w:after="0" w:line="2" w:lineRule="exact"/>
        <w:rPr>
          <w:sz w:val="20"/>
          <w:szCs w:val="20"/>
          <w:color w:val="auto"/>
        </w:rPr>
      </w:pPr>
    </w:p>
    <w:p>
      <w:pPr>
        <w:ind w:right="400" w:firstLine="8"/>
        <w:spacing w:after="0" w:line="261"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spacing w:after="0" w:line="18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controls over financial reporting. Management’s report was not subject to attestation by the Company’s registered public accounting firm pursuant to the temporary rules of the SEC that permit the Company to provide only management’s report in this annual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fourth fiscal quarter of our fiscal year ended December 31, 2015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and their respective ages as of the date of this annual report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8260" w:type="dxa"/>
            <w:vAlign w:val="bottom"/>
          </w:tcPr>
          <w:p>
            <w:pPr>
              <w:spacing w:after="0"/>
              <w:rPr>
                <w:sz w:val="20"/>
                <w:szCs w:val="20"/>
                <w:color w:val="auto"/>
              </w:rPr>
            </w:pPr>
            <w:r>
              <w:rPr>
                <w:rFonts w:ascii="Arial" w:cs="Arial" w:eastAsia="Arial" w:hAnsi="Arial"/>
                <w:sz w:val="14"/>
                <w:szCs w:val="14"/>
                <w:b w:val="1"/>
                <w:bCs w:val="1"/>
                <w:color w:val="auto"/>
              </w:rPr>
              <w:t>Position with the Company</w:t>
            </w: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w:t>
            </w:r>
          </w:p>
        </w:tc>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Glynn Wilson</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CCEEFF"/>
            </w:tcBorders>
            <w:shd w:val="clear" w:color="auto" w:fill="CCEEFF"/>
          </w:tcPr>
          <w:p>
            <w:pPr>
              <w:spacing w:after="0"/>
              <w:rPr>
                <w:sz w:val="18"/>
                <w:szCs w:val="18"/>
                <w:color w:val="auto"/>
              </w:rPr>
            </w:pPr>
          </w:p>
        </w:tc>
        <w:tc>
          <w:tcPr>
            <w:tcW w:w="8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 Principal Executive Officer and a 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Mark Reddish</w:t>
            </w:r>
          </w:p>
        </w:tc>
        <w:tc>
          <w:tcPr>
            <w:tcW w:w="240" w:type="dxa"/>
            <w:vAlign w:val="bottom"/>
          </w:tcPr>
          <w:p>
            <w:pPr>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Dr. John Bonfiglio</w:t>
            </w:r>
          </w:p>
        </w:tc>
        <w:tc>
          <w:tcPr>
            <w:tcW w:w="240" w:type="dxa"/>
            <w:vAlign w:val="bottom"/>
          </w:tcPr>
          <w:p>
            <w:pPr>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Laskow-Pooley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Frederick Wasserman</w:t>
            </w:r>
          </w:p>
        </w:tc>
        <w:tc>
          <w:tcPr>
            <w:tcW w:w="240" w:type="dxa"/>
            <w:vAlign w:val="bottom"/>
          </w:tcPr>
          <w:p>
            <w:pPr>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0"/>
                <w:szCs w:val="20"/>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Independent Director</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business experience of each of our directors and executive officers, including other directorships held in other public companies: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Glynn Wilson, Ph. D., Chief Executive Officer and Chairman</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Dr. Wilson was appointed to the Board in February 2005. Prior to joining the Board he was President and Chief Scientific Officer of Auriga Pharmaceuticals, a public specialty pharmaceutical company. Dr. Wilson was the Worldwide Head of Drug Delivery at SmithKline Beecham from 1989 to 1994, and the Chief Scientific Officer at Tacora Corporation from 1994 to 1997. Dr. Wilson was the Vice-President, R&amp;D, at Access Pharmaceuticals from 1997 to 1998, and the President and CEO of PharmaSpec Corporation from 1999 to 2000. Most recently Dr. Wilson is President and Chief Scientific Officer of Auriga Pharmaceuticals, a public specialty pharmaceutical company. He has been an adjunct professor, Pharmaceutics and Pharmaceutical Chemistry, at the University of Utah since 1994, and was a faculty member at Rockefeller University, New York, in the laboratory of the Nobel Laureates, Sanford Moore and William Stein, from 1974 to 1979. He is a recognized leader in the development of drug delivery systems and has been involved in taking lead products &amp; technologies from concept to commercialization. Dr. Wilson has a Ph. D. in Biochemistry and conducted medical research at The Rockefeller University, New York.</w:t>
      </w:r>
    </w:p>
    <w:p>
      <w:pPr>
        <w:spacing w:after="0" w:line="19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Dr. Wilson brings an extensive background of success in corporate management and product development with tenures in both major multinational pharmaceutical companies and start-up pharmaceutical/biotech organizations.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Reddish, Director</w:t>
      </w:r>
    </w:p>
    <w:p>
      <w:pPr>
        <w:spacing w:after="0" w:line="121"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Mr. Reddish joined the Company as Vice-President of Product Development in November 2011, and was appointed to the Board in April 2012. Mr. Reddish previously served as Vice President of Product Development and Principal Investigator, Biodefense at ID Biomedical, Bothell, WA, where he was employed from 1998 to 2005. At Biomira Inc, (renamed Oncothyreon), where he was employed from 1991 to 1998, He was responsible for preclinical development of their cancer vaccines program where he led the early research and clinical development of Stimuvax, which is currently in late Stage 3 clinical trials under a partnership with Merck KGa.</w:t>
      </w:r>
    </w:p>
    <w:p>
      <w:pPr>
        <w:spacing w:after="0" w:line="18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Mr. Reddish brings thirty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Sherry Grisewood, Director</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Ms. Grisewood, CFA, joined the Board in March 2013. She has over 25 years securities industry experience in a range of investment banking, advisory and research-related activities. Since December 2012 she was been associated with Dawson James Securities Inc., first as Managing Director, Corporate Finance until September 2015 and now as Managing Partner, Life Science Research. Prior to joining Dawson James, she inaugurated a Lifesciences specialty investment banking practice as Managing Director, Lifesciences and Technology Banking, for Tripoint Global Equities where she was employed from December 2010 to December 2012. Prior to that, she was an investment banker, independent strategic advisor and consultant in life sciences for several investment banks over the prior 12 year period. Prior to consulting for investment banks, Ms. Grisewood served as Director of Research for a mid-tier brokerage company and a leading independent investment research company. Ms. Grisewood holds a Bachelor of Science degree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(Highest Honors) in Life Science from Ramapo College of New Jersey. She is a member of the American Society of Gene and Cell Therapy, the Tissue Engineering and Regenerative Medicine Society International, the Society of Biomaterials, and the CFA Institute.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Ms. Grisewood brings a wealth of knowledge about the securities and biomedical industries to TapImmune. She has participated in over 70 transaction-related projects involving initial public offerings, secondary offerings, PIPE’s, private equity, M&amp;A and licensing transactions. These deals and projects represented US, Canadian, Scandinavian, UK, Chinese and Australian clients with advanced therapeutic technologies and delivery systems in the life sciences such as those addressing nucleic acid therapeutics, regenerative medicine, immune-therapy, CNS diseases, or leading edge device technologies for lifescience special situations.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John Bonfiglio, Director</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Dr. Bonfiglio joined the Board in July 2015. Dr. Bonfiglio served as President, Chief Executive Officer and Director of Oragenics, Inc. (a public company: NYSE MKT: OGEN) from May 2011 through October 2014. Dr. Bonfiglio also served as the Chief Executive Officer, President and Director of Transdel Pharmaceuticals (a public company: TDLPE. OB) between October 2010 and May 13, 2011. Previously Dr. Bonfiglio served as the President and Chief Executive Officer of Argos Therapeutics from January 2007 to February 2010. From November 2005 to December 2006, he served as an independent consultant to two medical device companies, a therapeutic company and a medical communications company. From January 2003 to October 2005, he served as the Chief Executive Officer of The Immune Response Corporation, a public company and immuno-pharmaceutical company focused on developing products to treat autoimmune and infectious diseases. From 2001 to 2002, he was the Chief Operating Officer and Executive Vice President of Cypress Biosciences, a public company (NASDAQ: CYPB) providing therapeutics and personalized medicine services. From 1997 to 2001, he served as the Chief Executive Officer and President of Peregrine Pharmaceuticals, Inc., a public biopharmaceutical company (NASDAQ: PPHM) developing first-in-class monoclonal antibodies for the treatment of cancer and viral infections. Dr. Bonfiglio has also held senior management positions with Baxter Healthcare and Allergan, Inc. Dr. Bonfiglio received his bachelor of sciences degree in chemistry from State University of New York at Stony Brook in 1976, later earning his masters degree and a doctorate in synthetic organic chemistry from University of California at San Diego in 1978 and 1980 respectively. He later went on to serve as a postdoctoral fellow in organometallic chemistry at the University of California at Berkeley in 1981, earning his masters in business administration from Pepperdine University in 1992.</w:t>
      </w:r>
    </w:p>
    <w:p>
      <w:pPr>
        <w:spacing w:after="0" w:line="18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believe that Dr. Bonfiglio’s qualifications to serve as a director include his 30 years of executive experience in the pharmaceutical, medical device and healthcare businesses, his experience in raising funds and completing licensing transactions for his prior companies and his experience on other company boards.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Laskow-Pooley, Director</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Mr. Laskow-Pooley joined the Board in March 2015. He is currently CEO of LondonPharma Ltd, a clinical stage company re-purposing approved drugs through novel drug delivery technologies, where he has been employed since April 2012. He is also a Co-founder of Pharmafor Ltd, a small company incubator. He was formerly Managing Director (UK) of Nasdaq- listed drug discovery platform company, OSI, where he was employed from 2002 to 2004. He also was part of the corporate team that developed and launched Tarceva for the treatment of lung cancer with marketing partners Roche and Genentech. He is a pharmacist with more than 30 years of experience in the Pharmaceutical, Diagnostic and Device sectors, and has had a distinguished career in multinational pharmaceutical companies including Glaxo SmithKline and Abbott, in addition to InVitrogen (Biotech Life Sciences) and Amersham, now GE Healthcare (Diagnostic Imaging). He currently serves as a non-executive director and Chairman of OBN Ltd, an industry representative for small to medium enterprises (SME’s) in the UK.</w:t>
      </w:r>
    </w:p>
    <w:p>
      <w:pPr>
        <w:spacing w:after="0" w:line="192" w:lineRule="exact"/>
        <w:rPr>
          <w:sz w:val="20"/>
          <w:szCs w:val="20"/>
          <w:color w:val="auto"/>
        </w:rPr>
      </w:pPr>
    </w:p>
    <w:p>
      <w:pPr>
        <w:jc w:val="center"/>
        <w:ind w:right="420"/>
        <w:spacing w:after="0" w:line="449" w:lineRule="auto"/>
        <w:rPr>
          <w:sz w:val="20"/>
          <w:szCs w:val="20"/>
          <w:color w:val="auto"/>
        </w:rPr>
      </w:pPr>
      <w:r>
        <w:rPr>
          <w:rFonts w:ascii="Arial" w:cs="Arial" w:eastAsia="Arial" w:hAnsi="Arial"/>
          <w:sz w:val="18"/>
          <w:szCs w:val="18"/>
          <w:color w:val="auto"/>
        </w:rPr>
        <w:t>Mr. Laskow-Pooley brings a wealth of experience in the pharmaceutical industry and with start-up and early stage pharmaceutical/biotech organizations. 50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Frederick Wasserman, Director</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Mr. Wasserman joined the Board in January 2016. He is a business executive with over 35 years of business experience, having served at various companies in roles including Chief Executive Officer, President, Chief Operating Officer and Chief Financial Officer. He is currently the President of FGW Partners LLC, Pennington, NJ, where he has been employed since 2007. He currently serves on the boards of directors of DHL Holdings Corp, Breeze-Eastern Corporation, MAM Software Group, Inc. SMTC Corporation and National Holdings Corporation. Mr. Wasserman was employed as a certified public accountant from 1976 to 1989. He earned a Bachelor of Science degree from The Wharton School at The University of Pennsylvania in 1976.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Mr. Wasserman brings to our Board an extensive array of business and industry experience as well as experience as a director of public companies.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Our Board of Directors has established an Audit Committee which functions pursuant to a written charter last amended by our Board of Directors in November 2015. The members of the Committee were Dr. Wilson, Mr. Reddish and Ms. Grisewood from the beginning of 2015 until November 6, 2015, when Dr. Wilson was replaced by Mr. Laskow-Pooley. Ms. Grisewood serves as Chair of the Committee. Our Board of Directors has determined that Ms. Grisewood qualifies as an “audit committee financial expert” as defined in Item 407(d)(5)(ii) of Regulation S-K. The Board has determined that</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Ms. Grisewood is not independent under the Nasdaq listing standards, due to the fact that she was paid $10,000 in 2013 for consulting work performed for the Company. The Committee met four times during 2015.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Board of Directors has established a Compensation Committee which functions pursuant to a written charter last amended by our Board of Directors in November 2015. The members of the Committee were Dr. Wilson and Ms. Grisewood from the beginning of 2015 until November 6, 2015, when Dr. Wilson was replaced by Mr. Laskow-Pooley. Dr. Bonfiglio was also appointed to the Committee on November 6, 2015. Mr. Laskow-Pooley serves as Chair of the Committee. The Board has determined that Dr. Bonfiglio is not independent under the Nasdaq listing standards, due to the fact that he serves as a consultant to the Company. See “Certain Relationships and Related Transactions and Director Independence.” The Committee met or acted by written consent twice during 2015.</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Board of Directors has established a Nominating and Corporate Governance Committee which functions pursuant to a written charter adopted by our Board of Directors in November 2015. The members of the Committee are Dr. Wilson, Mr. Laskow-Pooley and Mr. Reddish. Dr. Wilson serves as Chair of the Committee. The Committee met once during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charter of each of the foregoing committees of the Board can be viewed on our website at the following URL:</w:t>
      </w:r>
    </w:p>
    <w:p>
      <w:pPr>
        <w:spacing w:after="0" w:line="225" w:lineRule="exact"/>
        <w:rPr>
          <w:sz w:val="20"/>
          <w:szCs w:val="20"/>
          <w:color w:val="auto"/>
        </w:rPr>
      </w:pPr>
    </w:p>
    <w:p>
      <w:pPr>
        <w:ind w:right="3560"/>
        <w:spacing w:after="0" w:line="312" w:lineRule="auto"/>
        <w:rPr>
          <w:sz w:val="20"/>
          <w:szCs w:val="20"/>
          <w:color w:val="auto"/>
        </w:rPr>
      </w:pPr>
      <w:r>
        <w:rPr>
          <w:rFonts w:ascii="Arial" w:cs="Arial" w:eastAsia="Arial" w:hAnsi="Arial"/>
          <w:sz w:val="16"/>
          <w:szCs w:val="16"/>
          <w:u w:val="single" w:color="auto"/>
          <w:color w:val="auto"/>
        </w:rPr>
        <w:t>http://www. tapimmune. com/wp-content/uploads/2016/03/TapImmune-Audit-Committee-Charter. pdf http://www. tapimmune. com/wp-content/uploads/2016/03/TapImmune-Nominating-Committee-Charter. pdf http://www. tapimmune. com/wp-content/uploads/2016/03/TapImmune-Audit-Committee-Charter. pdf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adopted a Code of Ethics and Business Conduct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can be viewed on our website at the following URL: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 tapimmune. com/wp-content/uploads/2016/04/TapImmune-Inc-Code-of-Ethics. pdf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Section 16(a) of the Exchange Act requires our directors and officers, and the persons who beneficially own more than 10% of our common stock, to file reports of ownership and changes in ownership with the SEC. Copies of all filed reports are required to be furnished to us pursuant to Rule 16a-3 promulgated under the Exchange Act. Based solely on the reports received by us and on the representations of the reporting persons, we believe that these persons have complied with all applicable filing requirements during the years ended December 31, 2014 and December 31, 2015, except as noted below:</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Dr. Glynn Wilson</w:t>
      </w:r>
      <w:r>
        <w:rPr>
          <w:rFonts w:ascii="Arial" w:cs="Arial" w:eastAsia="Arial" w:hAnsi="Arial"/>
          <w:sz w:val="17"/>
          <w:szCs w:val="17"/>
          <w:color w:val="auto"/>
        </w:rPr>
        <w:t>. On November 13, 2015, a Form 4 was filed to disclose: (i) 513,319 shares of common stock issued on February 26, 2014 at a price of $0.80</w:t>
      </w:r>
      <w:r>
        <w:rPr>
          <w:rFonts w:ascii="Arial" w:cs="Arial" w:eastAsia="Arial" w:hAnsi="Arial"/>
          <w:sz w:val="17"/>
          <w:szCs w:val="17"/>
          <w:i w:val="1"/>
          <w:iCs w:val="1"/>
          <w:color w:val="auto"/>
        </w:rPr>
        <w:t xml:space="preserve"> </w:t>
      </w:r>
      <w:r>
        <w:rPr>
          <w:rFonts w:ascii="Arial" w:cs="Arial" w:eastAsia="Arial" w:hAnsi="Arial"/>
          <w:sz w:val="17"/>
          <w:szCs w:val="17"/>
          <w:color w:val="auto"/>
        </w:rPr>
        <w:t>per share for cancellation of debt;(ii) 120,000 share of common stock issued on December 2, 2014 at a price of $1.00 per share for compensation owed in the amount of $120,000; and (iii) 1,600 stock options at issued on February 11, 2011 at a price of $17.00 per share.</w:t>
      </w:r>
    </w:p>
    <w:p>
      <w:pPr>
        <w:spacing w:after="0" w:line="162" w:lineRule="exact"/>
        <w:rPr>
          <w:sz w:val="20"/>
          <w:szCs w:val="20"/>
          <w:color w:val="auto"/>
        </w:rPr>
      </w:pPr>
    </w:p>
    <w:p>
      <w:pPr>
        <w:ind w:right="640"/>
        <w:spacing w:after="0" w:line="289" w:lineRule="auto"/>
        <w:rPr>
          <w:sz w:val="20"/>
          <w:szCs w:val="20"/>
          <w:color w:val="auto"/>
        </w:rPr>
      </w:pPr>
      <w:r>
        <w:rPr>
          <w:rFonts w:ascii="Arial" w:cs="Arial" w:eastAsia="Arial" w:hAnsi="Arial"/>
          <w:sz w:val="17"/>
          <w:szCs w:val="17"/>
          <w:i w:val="1"/>
          <w:iCs w:val="1"/>
          <w:color w:val="auto"/>
        </w:rPr>
        <w:t>Mark Reddish</w:t>
      </w:r>
      <w:r>
        <w:rPr>
          <w:rFonts w:ascii="Arial" w:cs="Arial" w:eastAsia="Arial" w:hAnsi="Arial"/>
          <w:sz w:val="17"/>
          <w:szCs w:val="17"/>
          <w:color w:val="auto"/>
        </w:rPr>
        <w:t>. On November 13, 2015, a Form 4 was filed to disclose</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 225,000 share issued on February 26, 2014 at price per share of $0.80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cancellation of debt; (ii) 2,000 stock options issued on February 16, 2011 at a price of $17.00 per share-these shares have vested; and (iii) 2,500 stock options issued on February 16, 2011 at a price of $17.00 per share-these shares have vested.</w:t>
      </w:r>
    </w:p>
    <w:p>
      <w:pPr>
        <w:spacing w:after="0" w:line="1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Sherry Grisewood. </w:t>
      </w:r>
      <w:r>
        <w:rPr>
          <w:rFonts w:ascii="Arial" w:cs="Arial" w:eastAsia="Arial" w:hAnsi="Arial"/>
          <w:sz w:val="17"/>
          <w:szCs w:val="17"/>
          <w:color w:val="auto"/>
        </w:rPr>
        <w:t>On November 13, 2015, a Form 3 was filed to disclose: that (i) Ms. Grisewood joined Board on March 20, 2013; and (ii) 205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issued for consulting services on a post-split basis prior to becoming a director. On November 13, 2015, a Form 4 was filed to disclose: 28,125 shares of common stock issued on February 16, 2014 at a price of $0.80 per share for cancellation of amounts owed.</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David Laskow-Pooley. </w:t>
      </w:r>
      <w:r>
        <w:rPr>
          <w:rFonts w:ascii="Arial" w:cs="Arial" w:eastAsia="Arial" w:hAnsi="Arial"/>
          <w:sz w:val="18"/>
          <w:szCs w:val="18"/>
          <w:color w:val="auto"/>
        </w:rPr>
        <w:t>On November 13, 2015, a Form 3 was filed to disclose that Mr. Laskow-Pooley joined Board on Mach 19, 2015. On November 13,</w:t>
      </w:r>
      <w:r>
        <w:rPr>
          <w:rFonts w:ascii="Arial" w:cs="Arial" w:eastAsia="Arial" w:hAnsi="Arial"/>
          <w:sz w:val="18"/>
          <w:szCs w:val="18"/>
          <w:i w:val="1"/>
          <w:iCs w:val="1"/>
          <w:color w:val="auto"/>
        </w:rPr>
        <w:t xml:space="preserve"> </w:t>
      </w:r>
      <w:r>
        <w:rPr>
          <w:rFonts w:ascii="Arial" w:cs="Arial" w:eastAsia="Arial" w:hAnsi="Arial"/>
          <w:sz w:val="18"/>
          <w:szCs w:val="18"/>
          <w:color w:val="auto"/>
        </w:rPr>
        <w:t>2015, a Form 4 was filed to disclose 150,000 stock options issued on 3/19/15 at a price of $0.21 per share.</w:t>
      </w:r>
    </w:p>
    <w:p>
      <w:pPr>
        <w:spacing w:after="0" w:line="166"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i w:val="1"/>
          <w:iCs w:val="1"/>
          <w:color w:val="auto"/>
        </w:rPr>
        <w:t xml:space="preserve">Dr. John Bonfiglio. </w:t>
      </w:r>
      <w:r>
        <w:rPr>
          <w:rFonts w:ascii="Arial" w:cs="Arial" w:eastAsia="Arial" w:hAnsi="Arial"/>
          <w:sz w:val="16"/>
          <w:szCs w:val="16"/>
          <w:color w:val="auto"/>
        </w:rPr>
        <w:t>On November 9, 2015, a Form 3 was filed to disclose</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that (i) Dr. Bonfiglio joined the Board on July 23, 2015; and (ii) 250,000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issued on February 10, 2015 at a price of $0.145 in connection with a consulting agreement. On November 9, 2015, a Form 4 was filed to disclose that 150,000 stock options issued on July 23, 2015 at a price of $0.57 per share issued in connection with appointment as a director.</w:t>
      </w:r>
    </w:p>
    <w:p>
      <w:pPr>
        <w:spacing w:after="0" w:line="146"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b w:val="1"/>
          <w:bCs w:val="1"/>
          <w:color w:val="auto"/>
        </w:rPr>
      </w:pPr>
      <w:r>
        <w:rPr>
          <w:rFonts w:ascii="Arial" w:cs="Arial" w:eastAsia="Arial" w:hAnsi="Arial"/>
          <w:sz w:val="18"/>
          <w:szCs w:val="18"/>
          <w:i w:val="1"/>
          <w:iCs w:val="1"/>
          <w:color w:val="auto"/>
        </w:rPr>
        <w:t>Board meetings and committees; annual meeting attendance.</w:t>
      </w:r>
    </w:p>
    <w:p>
      <w:pPr>
        <w:spacing w:after="0" w:line="225"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held four meetings of the board of directors during 2015.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did not hold an annual meeting of security holders in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compensation paid to our executive officers for their services as executive officers during our fiscal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December 31, 2014: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Salary</w:t>
            </w: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7"/>
              </w:rPr>
              <w:t>Bonus</w:t>
            </w: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All Other</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35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vMerge w:val="restart"/>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80" w:type="dxa"/>
            <w:vAlign w:val="bottom"/>
            <w:tcBorders>
              <w:bottom w:val="single" w:sz="8" w:color="auto"/>
            </w:tcBorders>
            <w:vMerge w:val="continue"/>
          </w:tcPr>
          <w:p>
            <w:pPr>
              <w:spacing w:after="0"/>
              <w:rPr>
                <w:sz w:val="14"/>
                <w:szCs w:val="14"/>
                <w:color w:val="auto"/>
              </w:rPr>
            </w:pPr>
          </w:p>
        </w:tc>
        <w:tc>
          <w:tcPr>
            <w:tcW w:w="358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Glynn Wilson</w:t>
            </w:r>
          </w:p>
        </w:tc>
        <w:tc>
          <w:tcPr>
            <w:tcW w:w="3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2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w w:val="95"/>
              </w:rPr>
              <w:t>204,000</w:t>
            </w:r>
          </w:p>
        </w:tc>
        <w:tc>
          <w:tcPr>
            <w:tcW w:w="7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Nil</w:t>
            </w:r>
          </w:p>
        </w:tc>
        <w:tc>
          <w:tcPr>
            <w:tcW w:w="7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Nil</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w w:val="98"/>
              </w:rPr>
              <w:t>605,000</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820,000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Chairman, CEO and Principal Executive Officer and</w:t>
            </w:r>
          </w:p>
        </w:tc>
        <w:tc>
          <w:tcPr>
            <w:tcW w:w="2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Acting Principal Accounting Officer</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180,000</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Nil</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Nil</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Nil</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Nil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5360" w:type="dxa"/>
            <w:vAlign w:val="bottom"/>
            <w:gridSpan w:val="2"/>
          </w:tcPr>
          <w:p>
            <w:pPr>
              <w:spacing w:after="0"/>
              <w:rPr>
                <w:sz w:val="20"/>
                <w:szCs w:val="20"/>
                <w:color w:val="auto"/>
              </w:rPr>
            </w:pPr>
            <w:r>
              <w:rPr>
                <w:rFonts w:ascii="Arial" w:cs="Arial" w:eastAsia="Arial" w:hAnsi="Arial"/>
                <w:sz w:val="18"/>
                <w:szCs w:val="18"/>
                <w:color w:val="auto"/>
              </w:rPr>
              <w:t>Patrick Yeramian</w:t>
            </w:r>
          </w:p>
        </w:tc>
        <w:tc>
          <w:tcPr>
            <w:tcW w:w="5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2015</w:t>
            </w:r>
          </w:p>
        </w:tc>
        <w:tc>
          <w:tcPr>
            <w:tcW w:w="2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186,000</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Nil</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Nil</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4,000</w:t>
            </w:r>
          </w:p>
        </w:tc>
        <w:tc>
          <w:tcPr>
            <w:tcW w:w="900" w:type="dxa"/>
            <w:vAlign w:val="bottom"/>
          </w:tcPr>
          <w:p>
            <w:pPr>
              <w:jc w:val="right"/>
              <w:spacing w:after="0"/>
              <w:rPr>
                <w:sz w:val="20"/>
                <w:szCs w:val="20"/>
                <w:color w:val="auto"/>
              </w:rPr>
            </w:pPr>
            <w:r>
              <w:rPr>
                <w:rFonts w:ascii="Arial" w:cs="Arial" w:eastAsia="Arial" w:hAnsi="Arial"/>
                <w:sz w:val="18"/>
                <w:szCs w:val="18"/>
                <w:color w:val="auto"/>
              </w:rPr>
              <w:t>11,000</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201,000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5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2014</w:t>
            </w:r>
          </w:p>
        </w:tc>
        <w:tc>
          <w:tcPr>
            <w:tcW w:w="2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Nil</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Nil</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Nil</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Nil</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Nil</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health, annuity, insurance, profit sharing or similar benefit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at December 31, 2015 relating to outstanding equity awards for each Named Executive Officer: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Year End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163"/>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04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02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Options</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Unearned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5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163"/>
              <w:spacing w:after="0"/>
              <w:rPr>
                <w:sz w:val="20"/>
                <w:szCs w:val="20"/>
                <w:color w:val="auto"/>
              </w:rPr>
            </w:pPr>
            <w:r>
              <w:rPr>
                <w:rFonts w:ascii="Arial" w:cs="Arial" w:eastAsia="Arial" w:hAnsi="Arial"/>
                <w:sz w:val="14"/>
                <w:szCs w:val="14"/>
                <w:b w:val="1"/>
                <w:bCs w:val="1"/>
                <w:color w:val="auto"/>
                <w:w w:val="91"/>
              </w:rPr>
              <w:t>(exercisable)</w:t>
            </w:r>
          </w:p>
        </w:tc>
        <w:tc>
          <w:tcPr>
            <w:tcW w:w="2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(unexercisable)</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7"/>
              </w:rPr>
              <w:t>Price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2"/>
        </w:trPr>
        <w:tc>
          <w:tcPr>
            <w:tcW w:w="3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6"/>
              </w:rPr>
              <w:t>Glynn</w:t>
            </w:r>
          </w:p>
        </w:tc>
        <w:tc>
          <w:tcPr>
            <w:tcW w:w="5240" w:type="dxa"/>
            <w:vAlign w:val="bottom"/>
            <w:tcBorders>
              <w:top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Wilson</w:t>
            </w: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4"/>
              </w:rPr>
              <w:t>1,000,000</w:t>
            </w: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1,000,000</w:t>
            </w:r>
          </w:p>
        </w:tc>
        <w:tc>
          <w:tcPr>
            <w:tcW w:w="4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Nil</w:t>
            </w: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0.61</w:t>
            </w:r>
          </w:p>
        </w:tc>
        <w:tc>
          <w:tcPr>
            <w:tcW w:w="5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12/11/25</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Chairman, CEO and Principal Executive Officer</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Nil</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17.00</w:t>
            </w:r>
            <w:r>
              <w:rPr>
                <w:rFonts w:ascii="Arial" w:cs="Arial" w:eastAsia="Arial" w:hAnsi="Arial"/>
                <w:sz w:val="15"/>
                <w:szCs w:val="15"/>
                <w:color w:val="auto"/>
                <w:w w:val="91"/>
              </w:rPr>
              <w:t>(2)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07/06/17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Nil</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17.00</w:t>
            </w:r>
            <w:r>
              <w:rPr>
                <w:rFonts w:ascii="Arial" w:cs="Arial" w:eastAsia="Arial" w:hAnsi="Arial"/>
                <w:sz w:val="15"/>
                <w:szCs w:val="15"/>
                <w:color w:val="auto"/>
                <w:w w:val="91"/>
              </w:rPr>
              <w:t>(2)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10/14/19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Nil</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17.00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02/16/21</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Nil</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19.00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03/16/16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plan under which these shares were issued was approved by the Board of Directors and the shareholders in 2009 but did not come into effect until February 22, 2010.</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 February 16, 2011, the option exercise price was reduced to $17.00.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relating to compensation earned or paid to our directors for their services as directors in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excludes compensation paid to our directors for their services as executive officers: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Fees</w:t>
            </w: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9"/>
              </w:rPr>
              <w:t>Stock</w:t>
            </w: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Option</w:t>
            </w: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Earned or</w:t>
            </w:r>
          </w:p>
        </w:tc>
        <w:tc>
          <w:tcPr>
            <w:tcW w:w="8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Paid in</w:t>
            </w: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Awards</w:t>
            </w:r>
          </w:p>
        </w:tc>
        <w:tc>
          <w:tcPr>
            <w:tcW w:w="13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Cash</w:t>
            </w: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6"/>
              </w:rPr>
              <w:t>Glynn</w:t>
            </w:r>
          </w:p>
        </w:tc>
        <w:tc>
          <w:tcPr>
            <w:tcW w:w="59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Wilson</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5"/>
              </w:rPr>
              <w:t>Nil</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Nil</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5"/>
              </w:rPr>
              <w:t>Nil</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Nil</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5"/>
              </w:rPr>
              <w:t>Nil</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David Laskow-Pooley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2,000</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Nil</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13,000</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Nil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6,000</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Nil</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91,000</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Nil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97,000</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John Bonfiglio</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4,000</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Nil</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119,000</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145,000*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268,000</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Reddish</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6,000</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Nil</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96,000</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Nil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320" w:hanging="212"/>
        <w:spacing w:after="0" w:line="277" w:lineRule="auto"/>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fees paid to Dr. Bonfiglio for consulting services during the year pursuant to a consulting agreement we entered into with Dr. Bonfiglio and subsequently amended. See discussion below of the terms of the consulting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its meeting on November 6, 2015 the Non-Employee Director Compensation Plan was ratified and approved and provided for the following:</w:t>
      </w:r>
    </w:p>
    <w:p>
      <w:pPr>
        <w:spacing w:after="0" w:line="131" w:lineRule="exact"/>
        <w:rPr>
          <w:sz w:val="20"/>
          <w:szCs w:val="20"/>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initial grant upon joining the Board of 150,000 stock options under the 2014 Omnibus Stock Ownership Plan;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person meeting fees of $2,000, with the anticipation that four in person board meetings would be held each year;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fees for telephonic meetings (board and committee);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annual fees;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committee meeting fees;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committee chair fees;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Reimbursement of reasonable expenses incurred.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Consulting and Services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Wilson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12, 2015, the Company entered into a new employment agreement with Dr. Glynn Wilson, the Company’s Chief Executive Officer, President and Chairman, the material terms and conditions of which are summarized below.</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employment agreement provides that Dr. Wilson will serve as the Chief Executive Officer, President and Chairman of the Company. The initial term of the agreement ends November 11, 2017, but it will automatically be extended for 12-months unless terminated by the Company or Dr. Wilson by written notice to the other not later than 12 months prior to the end of such initial term. It will thereafter be further extended for an additional 12 months after the end of each such extended term unless terminated by the Company or Dr. Wilson by written notice no later than 90 days prior to the end of such term, subject to early termination for cause or good reason by Dr. Wilson. Under the agreement, Dr. Wilson’s annual base salary is to be $280,000, and he is entitled to a performance-based bonus ranging of up to 50% of his base salary based on goals and other conditions as the Board determines on an annual basis, which may be paid in cash or equity awards as the Board determines.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Dr. Wilson will be entitled to 21 days paid vacation per calendar year plus such sick leave as he may reasonably and actually require, and he will be entitled to participate in all group insurance, vacation, retirement and other employee benefits established by Company for its full time employees generally, on terms comparable to those provided to such employees from time to time by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entering into the new agreement, Dr. Wilson received equity awards under the Company’s 2014 Omnibus Stock Ownership Plan consisting of (i) an award of 315,000 shares of unregistered common stock, which immediately vested, and (ii) an award of stock options to purchase 2 million shares of Company common stock, prior to November 12, 2025, for $0.605 per share (the closing price of the common stock on November 12, 2015). One-half of the stock options immediately vested, and the remaining 1 million shares will vest ratably over the following 24 months.</w:t>
      </w:r>
    </w:p>
    <w:p>
      <w:pPr>
        <w:spacing w:after="0" w:line="17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If the agreement is terminated by the Company without cause (as defined in the agreement), or if the agreement is terminated by Dr. Wilson for good reason (as defined in the agreement), the Company is required to pay Dr. Wilson a severance payment in an amount equal to 2/3 of his annual base salary, plus any amount of his annual performance bonus that was earned as of the date of termination but not yet paid.</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If the agreement is terminated either by the Company without cause or by Dr. Wilson for good reason during the period of ninety (90) days following a change in control (as defined in the agreement), then in lieu of the severance payment described above, the Company is required to pay Dr. Wilson severance equal to the sum of (i) 2/3 of his annual base salary and (ii) his Annual Performance Bonus for the year which includes the effective date of the change in control, payable at the target level of performance. In addition, the Company will also be required to pay Dr. Wilson the amount of any annual performance bonus that, as of the date of termination, has been earned by him but not yet paid. If Dr. Wilson holds any stock options or other stock awards granted under the Company’s equity plans which are not fully vested at the time his employment with the Company is terminated either by the Company without Cause or by him for good reason during the period of ninety (90) days following a change in control, such equity awards shall become fully vested as of the termination date.</w:t>
      </w:r>
    </w:p>
    <w:p>
      <w:pPr>
        <w:spacing w:after="0" w:line="1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agreement provides that Dr. Wilson may not solicit any of the Company’s employees or compete directly or indirectly with the Company during the term of the agreement and for one year after its expiration anywhere in the United States. The agreement contains customary confidentiality provisions.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Bonfiglio</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February 10, 2015, we entered into a Consulting Agreement with Dr. Bonfiglio. Pursuant to that Agreement, Dr. Bonfiglio was to (a) review our strategy, technology differentiation and development; (b) identify and implement new strategies to increase our financing opportunities; (c) present our company at external meetings and conferences; (d) develop and implement improved an investors’ relations program; and (e) upgrade our management team and Board of Directors. The Agreement provided that Dr. Bonfiglio would perform such services for up to 80 hours per month, and in exchange for these services, he would be paid $10,000 per month and receive 250,000 options to purchase shares of our common stock for $0.145 per share. The stock options vested as follows: 33,333 options vested at the end of each of the first three months and 16,666 options vested at the end of each of the following nine months. The term of the Agreement was originally one year, and provided for termination by either party with 30 days’ notice. The Agreement was amended in June 2015 to increase the monthly cash payment to $15,000 per month, and increase the number of hours during which Dr. Bonfiglio would perform services to up to 120 hours per month. The Agreement was amended again in February 2016 to extend the term until August 10, 2016.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following table sets forth, as of the date of this Annual Report certain information regarding the ownership of our common stock by (i) each person known by us to be the beneficial owner of more than 5% of our outstanding shares of common stock, (ii) each of our directors, (iii) our Chief Executive Officer and (iv) all of our directors and our Chief Executive Officer as a group. Unless otherwise indicated, the address of each person shown is c/o TapImmune Inc., 50 N. Laura Street, Suite 2500, Jacksonville, Florida 32202. Beneficial ownership, for purposes of this table, includes options and warrants to purchase common stock that are either currently exercisable or will be exercisable within 60 days of the date of this annual report.</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5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Beneficial</w:t>
            </w:r>
          </w:p>
        </w:tc>
        <w:tc>
          <w:tcPr>
            <w:tcW w:w="5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20" w:type="dxa"/>
            <w:vAlign w:val="bottom"/>
            <w:gridSpan w:val="3"/>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Owner</w:t>
            </w:r>
            <w:r>
              <w:rPr>
                <w:rFonts w:ascii="Arial" w:cs="Arial" w:eastAsia="Arial" w:hAnsi="Arial"/>
                <w:sz w:val="14"/>
                <w:szCs w:val="14"/>
                <w:color w:val="auto"/>
                <w:w w:val="95"/>
              </w:rPr>
              <w:t>(1)</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Officers:</w:t>
            </w:r>
          </w:p>
        </w:tc>
        <w:tc>
          <w:tcPr>
            <w:tcW w:w="4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Dr. Glynn Wilson, Chairman and Chief Executive Officer (2)</w:t>
            </w:r>
          </w:p>
        </w:tc>
        <w:tc>
          <w:tcPr>
            <w:tcW w:w="860" w:type="dxa"/>
            <w:vAlign w:val="bottom"/>
          </w:tcPr>
          <w:p>
            <w:pPr>
              <w:jc w:val="right"/>
              <w:spacing w:after="0"/>
              <w:rPr>
                <w:sz w:val="20"/>
                <w:szCs w:val="20"/>
                <w:color w:val="auto"/>
              </w:rPr>
            </w:pPr>
            <w:r>
              <w:rPr>
                <w:rFonts w:ascii="Arial" w:cs="Arial" w:eastAsia="Arial" w:hAnsi="Arial"/>
                <w:sz w:val="18"/>
                <w:szCs w:val="18"/>
                <w:color w:val="auto"/>
              </w:rPr>
              <w:t>2,911,675</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Reddish, Director (3)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381,167</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Sherry Grisewood, Director (4)</w:t>
            </w:r>
          </w:p>
        </w:tc>
        <w:tc>
          <w:tcPr>
            <w:tcW w:w="860" w:type="dxa"/>
            <w:vAlign w:val="bottom"/>
          </w:tcPr>
          <w:p>
            <w:pPr>
              <w:jc w:val="right"/>
              <w:spacing w:after="0"/>
              <w:rPr>
                <w:sz w:val="20"/>
                <w:szCs w:val="20"/>
                <w:color w:val="auto"/>
              </w:rPr>
            </w:pPr>
            <w:r>
              <w:rPr>
                <w:rFonts w:ascii="Arial" w:cs="Arial" w:eastAsia="Arial" w:hAnsi="Arial"/>
                <w:sz w:val="18"/>
                <w:szCs w:val="18"/>
                <w:color w:val="auto"/>
              </w:rPr>
              <w:t>178,330</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John Bonfiglio, Director (5)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David Laskow-Pooley, Director (6)</w:t>
            </w: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Frederick Wasserman, Director (7)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(6 persons)</w:t>
            </w:r>
          </w:p>
        </w:tc>
        <w:tc>
          <w:tcPr>
            <w:tcW w:w="860" w:type="dxa"/>
            <w:vAlign w:val="bottom"/>
          </w:tcPr>
          <w:p>
            <w:pPr>
              <w:jc w:val="right"/>
              <w:spacing w:after="0"/>
              <w:rPr>
                <w:sz w:val="20"/>
                <w:szCs w:val="20"/>
                <w:color w:val="auto"/>
              </w:rPr>
            </w:pPr>
            <w:r>
              <w:rPr>
                <w:rFonts w:ascii="Arial" w:cs="Arial" w:eastAsia="Arial" w:hAnsi="Arial"/>
                <w:sz w:val="18"/>
                <w:szCs w:val="18"/>
                <w:color w:val="auto"/>
              </w:rPr>
              <w:t>4,171,172</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Major Stockholders: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Eastern Capital Limited (8)</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40,000,000</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Capital Management L. L. C.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8,481,124</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Brio Capital Master Fund(11)</w:t>
            </w:r>
          </w:p>
        </w:tc>
        <w:tc>
          <w:tcPr>
            <w:tcW w:w="860" w:type="dxa"/>
            <w:vAlign w:val="bottom"/>
          </w:tcPr>
          <w:p>
            <w:pPr>
              <w:jc w:val="right"/>
              <w:spacing w:after="0"/>
              <w:rPr>
                <w:sz w:val="20"/>
                <w:szCs w:val="20"/>
                <w:color w:val="auto"/>
              </w:rPr>
            </w:pPr>
            <w:r>
              <w:rPr>
                <w:rFonts w:ascii="Arial" w:cs="Arial" w:eastAsia="Arial" w:hAnsi="Arial"/>
                <w:sz w:val="18"/>
                <w:szCs w:val="18"/>
                <w:color w:val="auto"/>
              </w:rPr>
              <w:t>4,711,239</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Empery Asset Management LP(10)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4,963,792</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American Capital Management L. L. C. (12)</w:t>
            </w:r>
          </w:p>
        </w:tc>
        <w:tc>
          <w:tcPr>
            <w:tcW w:w="860" w:type="dxa"/>
            <w:vAlign w:val="bottom"/>
          </w:tcPr>
          <w:p>
            <w:pPr>
              <w:jc w:val="right"/>
              <w:spacing w:after="0"/>
              <w:rPr>
                <w:sz w:val="20"/>
                <w:szCs w:val="20"/>
                <w:color w:val="auto"/>
              </w:rPr>
            </w:pPr>
            <w:r>
              <w:rPr>
                <w:rFonts w:ascii="Arial" w:cs="Arial" w:eastAsia="Arial" w:hAnsi="Arial"/>
                <w:sz w:val="18"/>
                <w:szCs w:val="18"/>
                <w:color w:val="auto"/>
              </w:rPr>
              <w:t>5,250,000</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3" w:lineRule="exact"/>
        <w:rPr>
          <w:sz w:val="20"/>
          <w:szCs w:val="20"/>
          <w:color w:val="auto"/>
        </w:rPr>
      </w:pPr>
    </w:p>
    <w:p>
      <w:pPr>
        <w:ind w:left="460" w:hanging="452"/>
        <w:spacing w:after="0" w:line="265"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March 1, 2016 there were 70,400,762 shares of common stock issued and outstanding.</w:t>
      </w:r>
    </w:p>
    <w:p>
      <w:pPr>
        <w:spacing w:after="0" w:line="2" w:lineRule="exact"/>
        <w:rPr>
          <w:rFonts w:ascii="Arial" w:cs="Arial" w:eastAsia="Arial" w:hAnsi="Arial"/>
          <w:sz w:val="17"/>
          <w:szCs w:val="17"/>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figure includes 2,038,000 shares subject to purchase under stock options, 1,329,662 of which have vested.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figure includes 400,000 shares subject to purchase under stock options, 318,750 of which have vested.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 93,750 of which have vested.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 25,000 of which have vested.</w:t>
      </w:r>
    </w:p>
    <w:p>
      <w:pPr>
        <w:spacing w:after="0" w:line="9" w:lineRule="exact"/>
        <w:rPr>
          <w:rFonts w:ascii="Arial" w:cs="Arial" w:eastAsia="Arial" w:hAnsi="Arial"/>
          <w:sz w:val="18"/>
          <w:szCs w:val="18"/>
          <w:color w:val="auto"/>
        </w:rPr>
      </w:pPr>
    </w:p>
    <w:p>
      <w:pPr>
        <w:ind w:left="460" w:right="4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information is based upon the Schedule 13D jointly filed with the Securities and Exchange Commission by Eastern Capital Limited, Portfolio Services LTD. and Kenneth B. Dart, on September 29, 2015. Eastern Capital Limited’s address is 10 Market St. #773, Camana Bay, Grand Cayman KY1-1206 Cayman Islands. Eastern Capital beneficially owns 20,000,000 shares of Common Stock and 20,000,000 shares of Common Stock issuable upon</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exercise of the Series A-1 Warrant, Series D-1 Warrant, Series E-1 Warrant or the remainder of the Series C-1 Warrant. All warrants are subject to a limit of exercise to the extent (and only to the extent) that Eastern Capital Limited or any of its affiliates would beneficially own in excess of 49.9% (the “Maximum Percentage”) of the Common Stock after giving effect to such exercise.</w:t>
      </w:r>
    </w:p>
    <w:p>
      <w:pPr>
        <w:ind w:left="460" w:hanging="452"/>
        <w:spacing w:after="0" w:line="252"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information is based upon the Schedule 13G jointly filed with the Securities and Exchange Commission by Iroquois Capital Management L. L. C., Joshua Silverman and Richard Abbe on February 8, 2016. The Series A, D and E Warrants are subject to a limit of exercise to the extent (and only to the extent) that Iroquois Capital Management L. L. C., or any of its affiliates would beneficially own in excess of 4.9% (the “Maximum Percentage”) of the Common Stock after giving effect to such exercise. The Series C Warrants are subject to a limit of exercise to the extent (and only to the extent) that Iroquois Capital Management L. L. C., or any of its affiliates would beneficially own in excess of 9.9% of the Common Stock after giving effect to such exercise.</w:t>
      </w:r>
    </w:p>
    <w:p>
      <w:pPr>
        <w:spacing w:after="0" w:line="86" w:lineRule="exact"/>
        <w:rPr>
          <w:rFonts w:ascii="Arial" w:cs="Arial" w:eastAsia="Arial" w:hAnsi="Arial"/>
          <w:sz w:val="18"/>
          <w:szCs w:val="18"/>
          <w:color w:val="auto"/>
        </w:rPr>
      </w:pPr>
    </w:p>
    <w:p>
      <w:pPr>
        <w:ind w:left="460" w:right="20"/>
        <w:spacing w:after="0" w:line="302" w:lineRule="auto"/>
        <w:rPr>
          <w:rFonts w:ascii="Arial" w:cs="Arial" w:eastAsia="Arial" w:hAnsi="Arial"/>
          <w:sz w:val="18"/>
          <w:szCs w:val="18"/>
          <w:color w:val="auto"/>
        </w:rPr>
      </w:pPr>
      <w:r>
        <w:rPr>
          <w:rFonts w:ascii="Arial" w:cs="Arial" w:eastAsia="Arial" w:hAnsi="Arial"/>
          <w:sz w:val="16"/>
          <w:szCs w:val="16"/>
          <w:color w:val="auto"/>
        </w:rPr>
        <w:t>Pursuant to the terms of the warrants, the reporting persons cannot exercise (i) any of the warrants that are Series A, Series D or Series E warrants if the reporting persons would beneficially own, after any such exercise, more than 4.9% of the outstanding shares of Common Stock or (ii) any of the warrants that are Series C warrants if the reporting persons would beneficially own, after any such exercise, more than 9.9% of the outstanding shares of Common Stock (the applicable “Blockers”). The reporting persons are not able to exercise all of the warrants due to the applicable Blockers.</w:t>
      </w:r>
    </w:p>
    <w:p>
      <w:pPr>
        <w:spacing w:after="0" w:line="46" w:lineRule="exact"/>
        <w:rPr>
          <w:rFonts w:ascii="Arial" w:cs="Arial" w:eastAsia="Arial" w:hAnsi="Arial"/>
          <w:sz w:val="18"/>
          <w:szCs w:val="18"/>
          <w:color w:val="auto"/>
        </w:rPr>
      </w:pPr>
    </w:p>
    <w:p>
      <w:pPr>
        <w:ind w:left="460" w:right="40"/>
        <w:spacing w:after="0" w:line="267" w:lineRule="auto"/>
        <w:rPr>
          <w:rFonts w:ascii="Arial" w:cs="Arial" w:eastAsia="Arial" w:hAnsi="Arial"/>
          <w:sz w:val="18"/>
          <w:szCs w:val="18"/>
          <w:color w:val="auto"/>
        </w:rPr>
      </w:pPr>
      <w:r>
        <w:rPr>
          <w:rFonts w:ascii="Arial" w:cs="Arial" w:eastAsia="Arial" w:hAnsi="Arial"/>
          <w:sz w:val="17"/>
          <w:szCs w:val="17"/>
          <w:color w:val="auto"/>
        </w:rPr>
        <w:t>Mr. Abbe and Mr. Silverman are the members of Iroquois who have the authority and responsibility for the investments made on behalf of the Fund. As such, Mr. Abbe and Mr. Silverman may be deemed to be the beneficial owner of all shares of Common Stock held by, and underlying the warrants (subject to the applicable Blockers) held by, the Fund. In addition, by virtue of his position as a custodian or trustee of certain Accounts (The Merav Abbe Irrevocable Trust, The Samantha Abbe Irrevocable Trust, The Talia Abbe Irrevocable Trust and The Bennett Abbe Irrevocable Trust), Mr. Abbe may be deemed to be the beneficial owner of the shares of Common Stock held by, and underlying the warrants (subject to the applicable Blockers) held by, such Accounts. The foregoing should not be construed in and of itself as an admission by any reporting person as to beneficial ownership of shares of Common Stock owned by another reporting person. Each of the reporting individuals disclaims any beneficial ownership of any such shares of Common Stock except to the extent of their pecuniary interest therein.</w:t>
      </w:r>
    </w:p>
    <w:p>
      <w:pPr>
        <w:spacing w:after="0" w:line="3" w:lineRule="exact"/>
        <w:rPr>
          <w:rFonts w:ascii="Arial" w:cs="Arial" w:eastAsia="Arial" w:hAnsi="Arial"/>
          <w:sz w:val="18"/>
          <w:szCs w:val="18"/>
          <w:color w:val="auto"/>
        </w:rPr>
      </w:pPr>
    </w:p>
    <w:p>
      <w:pPr>
        <w:ind w:left="460" w:right="160" w:hanging="452"/>
        <w:spacing w:after="0" w:line="271"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information is based upon the Schedule 13G filed with the Securities and Exchange Commission by Brio Capital Master Fund Ltd. on January 29, 2016. The Series C Warrants are are subject to a limit of exercise to the extent (and only to the extent) that Brio Capital Master Fund Ltd. or any of its affiliates would beneficially own in excess of 9.9% (the “Maximum Percentage”) of the Common Stock after giving effect to such exercise. The warrants acquired in 2014are are subject to a limit of exercise to the extent (and only to the extent) that Brio Capital Master Fund Ltd. or any of its affiliates would beneficially own in excess of 4.9% of the Common Stock after giving effect to such exercise.</w:t>
      </w:r>
    </w:p>
    <w:p>
      <w:pPr>
        <w:spacing w:after="0" w:line="70" w:lineRule="exact"/>
        <w:rPr>
          <w:rFonts w:ascii="Arial" w:cs="Arial" w:eastAsia="Arial" w:hAnsi="Arial"/>
          <w:sz w:val="17"/>
          <w:szCs w:val="17"/>
          <w:color w:val="auto"/>
        </w:rPr>
      </w:pPr>
    </w:p>
    <w:p>
      <w:pPr>
        <w:ind w:left="460" w:right="20"/>
        <w:spacing w:after="0" w:line="253" w:lineRule="auto"/>
        <w:rPr>
          <w:rFonts w:ascii="Arial" w:cs="Arial" w:eastAsia="Arial" w:hAnsi="Arial"/>
          <w:sz w:val="17"/>
          <w:szCs w:val="17"/>
          <w:color w:val="auto"/>
        </w:rPr>
      </w:pPr>
      <w:r>
        <w:rPr>
          <w:rFonts w:ascii="Arial" w:cs="Arial" w:eastAsia="Arial" w:hAnsi="Arial"/>
          <w:sz w:val="18"/>
          <w:szCs w:val="18"/>
          <w:color w:val="auto"/>
        </w:rPr>
        <w:t>Pursuant to the terms of (i) the Series C Warrants, the reporting persons cannot exercise any of such warrants if the reporting persons would beneficially own, after any such exercise, more than 9.9% of the outstanding shares of Common Stock, and (ii) the warrants issued in 2014, the reporting persons cannot exercise any of such warrants if the reporting persons would beneficially own, after any such exercise, more than 4.99% of the outstanding shares of Common Stock (the “Blockers”). Consequently, the reporting persons were not able to exercise all of the warrants due to the Blockers.</w:t>
      </w:r>
    </w:p>
    <w:p>
      <w:pPr>
        <w:spacing w:after="0" w:line="3" w:lineRule="exact"/>
        <w:rPr>
          <w:rFonts w:ascii="Arial" w:cs="Arial" w:eastAsia="Arial" w:hAnsi="Arial"/>
          <w:sz w:val="17"/>
          <w:szCs w:val="17"/>
          <w:color w:val="auto"/>
        </w:rPr>
      </w:pPr>
    </w:p>
    <w:p>
      <w:pPr>
        <w:ind w:left="460" w:right="120" w:hanging="452"/>
        <w:spacing w:after="0" w:line="25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information is based upon the Schedule 13G jointly filed with the Securities and Exchange Commission by Empery Asset Management LP, Ryan M. Lane and Martin D. Hoe on January 19, 2016. Assumes exercise of all Class C Warrants, are subject to a limit of exercise to the extent (and only to the extent) that Empery Asset Management LP or any of its affiliates would beneficially own in excess of 9.9% (the “Maximum Percentage”) of the Common Stock after giving effect to such exercise.</w:t>
      </w:r>
    </w:p>
    <w:p>
      <w:pPr>
        <w:spacing w:after="0" w:line="82" w:lineRule="exact"/>
        <w:rPr>
          <w:sz w:val="20"/>
          <w:szCs w:val="20"/>
          <w:color w:val="auto"/>
        </w:rPr>
      </w:pPr>
    </w:p>
    <w:p>
      <w:pPr>
        <w:ind w:left="460" w:right="20"/>
        <w:spacing w:after="0" w:line="293" w:lineRule="auto"/>
        <w:rPr>
          <w:sz w:val="20"/>
          <w:szCs w:val="20"/>
          <w:color w:val="auto"/>
        </w:rPr>
      </w:pPr>
      <w:r>
        <w:rPr>
          <w:rFonts w:ascii="Arial" w:cs="Arial" w:eastAsia="Arial" w:hAnsi="Arial"/>
          <w:sz w:val="16"/>
          <w:szCs w:val="16"/>
          <w:color w:val="auto"/>
        </w:rPr>
        <w:t>The Investment Manager, which serves as the investment manager to the Empery Funds, may be deemed to be the beneficial owner of all shares of Common Stock held by, and underlying the reported warrants (subject to the Blockers) held by, the Empery Funds. Each of the reporting individuals, as managing members of the general partner of the Investment Manager with the power to exercise investment discretion, may be deemed to be the beneficial owner of all shares of Common Stock held by, and underlying the warrants (subject to the Blockers) held by, the Empery Funds. The foregoing should not be construed in and of itself as an admission by any reporting person as to beneficial ownership of shares of Common Stock owned by another reporting person. Each of the reporting individuals disclaims any beneficial ownership of any such shares of Common Stock.</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55"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information is based upon the Schedule 13G jointly filed with the Securities and Exchange Commission by American Capital Management L. L. C. and Kimberly Page on February 8, 2016. The Series A, D and E Warrants are subject to a limit of exercise to the extent (and only to the extent) that American Capital Management L. L. C. or any of its affiliates would beneficially own in excess of 4.9% (the “Maximum Percentage”) of the Common Stock after giving effect to such exercise. The Series C Warrants are subject to a limit of exercise to the extent (and only to the extent) that American Capital Management L. L. C., or any of its affiliates would beneficially own in excess of 9.9% of the Common Stock after giving effect to such exercise.</w:t>
      </w:r>
    </w:p>
    <w:p>
      <w:pPr>
        <w:spacing w:after="0" w:line="85"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Pursuant to the terms of the warrants, the reporting persons cannot exercise (i) any of the warrants that are Series A, Series D or Series E Warrants if the reporting persons would beneficially own, after any such exercise, more than 4.9% of the outstanding shares of Common Stock or (ii) any of the warrants that are Series C Warrants if the reporting persons would beneficially own, after any such exercise, more than 9.9% of the outstanding shares of Common Stock (the applicable “Blockers”).</w:t>
      </w:r>
    </w:p>
    <w:p>
      <w:pPr>
        <w:spacing w:after="0" w:line="78" w:lineRule="exact"/>
        <w:rPr>
          <w:rFonts w:ascii="Arial" w:cs="Arial" w:eastAsia="Arial" w:hAnsi="Arial"/>
          <w:sz w:val="18"/>
          <w:szCs w:val="18"/>
          <w:color w:val="auto"/>
        </w:rPr>
      </w:pPr>
    </w:p>
    <w:p>
      <w:pPr>
        <w:ind w:left="460" w:right="200"/>
        <w:spacing w:after="0" w:line="264" w:lineRule="auto"/>
        <w:rPr>
          <w:rFonts w:ascii="Arial" w:cs="Arial" w:eastAsia="Arial" w:hAnsi="Arial"/>
          <w:sz w:val="18"/>
          <w:szCs w:val="18"/>
          <w:color w:val="auto"/>
        </w:rPr>
      </w:pPr>
      <w:r>
        <w:rPr>
          <w:rFonts w:ascii="Arial" w:cs="Arial" w:eastAsia="Arial" w:hAnsi="Arial"/>
          <w:sz w:val="18"/>
          <w:szCs w:val="18"/>
          <w:color w:val="auto"/>
        </w:rPr>
        <w:t>Ms. Page has the authority and responsibility for the investments made on behalf of ACM and accordingly, has voting and dispositive power over the shares of Common Stock held by ACM. As such, Ms. Page may be deemed to be the beneficial owner of all shares of Common Stock held by, and underlying the warrants (subject to the applicable Blockers) held by, ACM.</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are no arrangements or understanding among the parties set out above or their respective associates or affiliates concerning election of directors or any other matters which may require shareholder approval.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Other than the changes in stock ownership by our major shareholders who hold warrants to acquire additional shares of our common stock (as reflected in the footnotes to the table above), we are unaware of any contract, or other arrangement or provision, the operation of which may at a subsequent date result in a change of control of our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equity compensation plans under which the equity securities of the Company may be issued as of December 31, 2015:</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(b)</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4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400" w:type="dxa"/>
            <w:vAlign w:val="bottom"/>
          </w:tcPr>
          <w:p>
            <w:pPr>
              <w:spacing w:after="0"/>
              <w:rPr>
                <w:sz w:val="12"/>
                <w:szCs w:val="12"/>
                <w:color w:val="auto"/>
              </w:rPr>
            </w:pPr>
          </w:p>
        </w:tc>
        <w:tc>
          <w:tcPr>
            <w:tcW w:w="19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Options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Options</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182"/>
        </w:trPr>
        <w:tc>
          <w:tcPr>
            <w:tcW w:w="43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9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r>
              <w:rPr>
                <w:rFonts w:ascii="Arial" w:cs="Arial" w:eastAsia="Arial" w:hAnsi="Arial"/>
                <w:sz w:val="15"/>
                <w:szCs w:val="15"/>
                <w:color w:val="auto"/>
              </w:rPr>
              <w:t>(1)</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44,150</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17. 94</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55,850</w:t>
            </w:r>
          </w:p>
        </w:tc>
        <w:tc>
          <w:tcPr>
            <w:tcW w:w="0" w:type="dxa"/>
            <w:vAlign w:val="bottom"/>
          </w:tcPr>
          <w:p>
            <w:pPr>
              <w:spacing w:after="0"/>
              <w:rPr>
                <w:sz w:val="1"/>
                <w:szCs w:val="1"/>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80"/>
              <w:spacing w:after="0"/>
              <w:rPr>
                <w:sz w:val="20"/>
                <w:szCs w:val="20"/>
                <w:color w:val="auto"/>
              </w:rPr>
            </w:pPr>
            <w:r>
              <w:rPr>
                <w:rFonts w:ascii="Arial" w:cs="Arial" w:eastAsia="Arial" w:hAnsi="Arial"/>
                <w:sz w:val="18"/>
                <w:szCs w:val="18"/>
                <w:color w:val="auto"/>
              </w:rPr>
              <w:t>shareholders</w:t>
            </w:r>
            <w:r>
              <w:rPr>
                <w:rFonts w:ascii="Arial" w:cs="Arial" w:eastAsia="Arial" w:hAnsi="Arial"/>
                <w:sz w:val="15"/>
                <w:szCs w:val="15"/>
                <w:color w:val="auto"/>
              </w:rPr>
              <w:t>(2)</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3,540,000</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0. 55</w:t>
            </w:r>
          </w:p>
        </w:tc>
        <w:tc>
          <w:tcPr>
            <w:tcW w:w="1500" w:type="dxa"/>
            <w:vAlign w:val="bottom"/>
          </w:tcPr>
          <w:p>
            <w:pPr>
              <w:jc w:val="right"/>
              <w:spacing w:after="0"/>
              <w:rPr>
                <w:sz w:val="20"/>
                <w:szCs w:val="20"/>
                <w:color w:val="auto"/>
              </w:rPr>
            </w:pPr>
            <w:r>
              <w:rPr>
                <w:rFonts w:ascii="Arial" w:cs="Arial" w:eastAsia="Arial" w:hAnsi="Arial"/>
                <w:sz w:val="18"/>
                <w:szCs w:val="18"/>
                <w:color w:val="auto"/>
              </w:rPr>
              <w:t>3,460,000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3,584,150</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0. 77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5"/>
          <w:szCs w:val="15"/>
          <w:i w:val="1"/>
          <w:iCs w:val="1"/>
          <w:color w:val="auto"/>
        </w:rPr>
      </w:pPr>
      <w:r>
        <w:rPr>
          <w:rFonts w:ascii="Arial" w:cs="Arial" w:eastAsia="Arial" w:hAnsi="Arial"/>
          <w:sz w:val="18"/>
          <w:szCs w:val="18"/>
          <w:i w:val="1"/>
          <w:iCs w:val="1"/>
          <w:color w:val="auto"/>
        </w:rPr>
        <w:t>Includes shares of common stock authorized for awards under the 2009 Stock Incentive Plan.</w:t>
      </w:r>
    </w:p>
    <w:p>
      <w:pPr>
        <w:spacing w:after="0" w:line="23" w:lineRule="exact"/>
        <w:rPr>
          <w:rFonts w:ascii="Arial" w:cs="Arial" w:eastAsia="Arial" w:hAnsi="Arial"/>
          <w:sz w:val="15"/>
          <w:szCs w:val="15"/>
          <w:i w:val="1"/>
          <w:iCs w:val="1"/>
          <w:color w:val="auto"/>
        </w:rPr>
      </w:pPr>
    </w:p>
    <w:p>
      <w:pPr>
        <w:ind w:left="460" w:hanging="452"/>
        <w:spacing w:after="0"/>
        <w:tabs>
          <w:tab w:leader="none" w:pos="460" w:val="left"/>
        </w:tabs>
        <w:numPr>
          <w:ilvl w:val="0"/>
          <w:numId w:val="51"/>
        </w:numPr>
        <w:rPr>
          <w:rFonts w:ascii="Arial" w:cs="Arial" w:eastAsia="Arial" w:hAnsi="Arial"/>
          <w:sz w:val="15"/>
          <w:szCs w:val="15"/>
          <w:i w:val="1"/>
          <w:iCs w:val="1"/>
          <w:color w:val="auto"/>
        </w:rPr>
      </w:pPr>
      <w:r>
        <w:rPr>
          <w:rFonts w:ascii="Arial" w:cs="Arial" w:eastAsia="Arial" w:hAnsi="Arial"/>
          <w:sz w:val="18"/>
          <w:szCs w:val="18"/>
          <w:i w:val="1"/>
          <w:iCs w:val="1"/>
          <w:color w:val="auto"/>
        </w:rPr>
        <w:t>Represents shares of common stock authorized for issuance under the 2014 Omnibus Stock Option Plan.</w:t>
      </w:r>
    </w:p>
    <w:p>
      <w:pPr>
        <w:spacing w:after="0" w:line="2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October 14, 2009, the Company adopted the 2009 Stock Incentive Plan (the “2009 Plan”). The 2009 Plan allows for the issuance of up to 100,000 common shares. Options granted under the Plan shall be at prices and for terms as determined by our Board of Directors, and may have vesting requirements as determined by our Board of Directors. The foregoing summary of the 2009 Stock Incentive Plan is not complete and is qualified in its entirety by reference to the 2009 Stock Incentive Plan, a copy of which has been filed with the SEC. To date, 44,150 options have been issued under the 2009 Plan.</w:t>
      </w:r>
    </w:p>
    <w:p>
      <w:pPr>
        <w:spacing w:after="0" w:line="15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On March 19, 2014, the Board adopted the 2014 Omnibus Stock Option Plan (“2014 Plan”). The 2014 Plan allowed for grants of stock options, restricted shares, stock bonuses and other equity based awards to employees and non-employee directors of the Company. Awards under the 2014 Plan may be at prices and for terms as determined by the Board of Directors, and may have vesting requirements as determined by the Board, provided that the exercise price for any stock option must be at least equal to the fair market value (as defined in the 2014 Plan) of a share of the stock on the grant date. Once granted, the exercise price of an option may not be reduced without the approval of the Company’s shareholders, other than under certain limited circumstances such as a stock split, or take any other action with respect to a stock option that would be treated as a repricing under the rules and regulations of the New York Stock Exchange. Under the 2014 as originally approved, stock could be issued under the 2014 Plan as a bonus to any employee, other than executive officers of the Company and 2.0 million shares of common stock were reserved for issuance under the 2014 Plan. The 2014 Plan was amended in February 2015 to provide for grants to consultants, and again in November 2015 to (i) increase the number of shares reserved for issuance under the Plan by 5.0 million shares to</w:t>
      </w:r>
    </w:p>
    <w:p>
      <w:pPr>
        <w:spacing w:after="0" w:line="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7.0 million shares; (ii) provide the Board and Committee administering the Plan with full discretion on the vesting period for Service-Vesting Awards under the Plan, including the grant of Awards with less than the Minimum Vesting Requirement (as such terms are defined in the Plan), and (iii) provide the Board and Committee administering the Plan with the ability to grant stock bonuses to executive officers. To date, 3,540,000 options have been issued under the 2014 Plan.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Board affirmatively determines the independence of each director and nominee for election as a director in accordance with guidelines it has adopted, which include all elements of independence set forth in the NASDAQ listing standards. Based upon these standards, at its meeting held on November, 2015, the Board determined that David Laskow-Pooley was independent and had no relationship with the Company, except as a director and shareholder of the Company. At the time of appointment in January 2016 the Board determined that Frederick G. Wasserman was an independent Director.</w:t>
      </w:r>
    </w:p>
    <w:p>
      <w:pPr>
        <w:spacing w:after="0" w:line="15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Review and Approval of Related Person Transactions. </w:t>
      </w:r>
      <w:r>
        <w:rPr>
          <w:rFonts w:ascii="Arial" w:cs="Arial" w:eastAsia="Arial" w:hAnsi="Arial"/>
          <w:sz w:val="16"/>
          <w:szCs w:val="16"/>
          <w:color w:val="auto"/>
        </w:rPr>
        <w:t>In order to ensure that material transactions and relationships involving a potential conflict of</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for any executive officer or director of the Company are in the best interests of the Company, under the Code of Ethics and Business Conduct (“Code of Ethics”) adopted by the Board of Directors for all of our employees and directors, all such conflicts of interest are required to be reported to the Audit Committee of the Board of Directors, and the approval of the Audit Committee must be obtained in advance for the Company to enter into any such transaction or relationship. Pursuant to the Code of Ethics, no officer or employee of the Company may, on behalf of the Company, authorize or approve any transaction or relationship, or enter into any agreement, in which such officer, director or any member of his or her immediate family, may have a personal interest without such Audit Committee approval. Further, no officer or employee of the Company may, on behalf of the Company, authorize or approve any transaction or relationship, or enter into any agreement, if they are aware that an executive officer or a director of the Company, or any member of any such person’s family, may have a personal interest in such transaction or relationship, without such Audit Committee approval.</w:t>
      </w:r>
    </w:p>
    <w:p>
      <w:pPr>
        <w:spacing w:after="0" w:line="16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Audit Committee reviews all conflict of interest transactions involving executive officers and directors of the Company, pursuant to its charter.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their review of a related party transaction, the Audit Committee considers:</w:t>
      </w:r>
    </w:p>
    <w:p>
      <w:pPr>
        <w:spacing w:after="0" w:line="131" w:lineRule="exact"/>
        <w:rPr>
          <w:sz w:val="20"/>
          <w:szCs w:val="20"/>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importance of the transaction to the Company;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the director or executive officer to act in the best interests of the Company;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Any member of the Audit Committee who has a conflict of interest with respect to a transaction under review may not participate in the deliberations or vote respecting approval of the transaction, provided, however, that such director may be counted in determining the presence of a quorum.</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31, 2014 and December 31, 2015, we entered into transactions with certain of our officers and directors as follows: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Dr. Bonfiglio Consulting Agreement</w:t>
      </w:r>
      <w:r>
        <w:rPr>
          <w:rFonts w:ascii="Arial" w:cs="Arial" w:eastAsia="Arial" w:hAnsi="Arial"/>
          <w:sz w:val="16"/>
          <w:szCs w:val="16"/>
          <w:color w:val="auto"/>
        </w:rPr>
        <w:t>. On July 23, 2015, Dr. John Bonfiglio became a director. Prior to that time, on February 10, 2015, we entered into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 Consulting Agreement with Dr. Bonfiglio. Pursuant to that Agreement, Dr. Bonfiglio was to (a) review our strategy, technology differentiation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(b) identify and implement new strategies to increase our financing opportunities; (c) present our company at external meetings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conferences; (d) develop and implement improved an investors’ relations program; and (e) upgrade our management team and Board of Directors.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provided that Dr. Bonfiglio would perform such services for up to 80 hours per month, and in exchange for these services, he would be paid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 per month and receive 250,000 options to purchase shares of our common stock for $0.145 per share. The stock options vested as follows: 33,333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options vested at the end of each of the first three months and 16,666 options vested at the end of each of the following nine months. The term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was originally one year, and provided for termination by either party with 30 days’ notice. The Agreement was amended in June 2015 to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monthly cash payment to $15,000 per month, and increase the number of hours during which Dr. Bonfiglio would perform services to up to 120 hours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 The Agreement was amended again in February 2016 to extend the term until August 10, 2016. Because Dr. Bonfiglio was a director at the time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most recent amendment, the amendment was approved by our audit committee.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Marcum LLP served as our independent registered public accounting firm and audited our financial statements for the fiscal years ended December 31, 2014 and December 31, 2014. Aggregate fees for professional services rendered to us by our auditor are set forth below:</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1"/>
              </w:rPr>
              <w:t>Year Ended</w:t>
            </w:r>
          </w:p>
        </w:tc>
        <w:tc>
          <w:tcPr>
            <w:tcW w:w="58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320" w:type="dxa"/>
            <w:vAlign w:val="bottom"/>
            <w:gridSpan w:val="3"/>
          </w:tcPr>
          <w:p>
            <w:pPr>
              <w:ind w:left="2500"/>
              <w:spacing w:after="0" w:line="149" w:lineRule="exact"/>
              <w:rPr>
                <w:sz w:val="20"/>
                <w:szCs w:val="20"/>
                <w:color w:val="auto"/>
              </w:rPr>
            </w:pPr>
            <w:r>
              <w:rPr>
                <w:rFonts w:ascii="Arial" w:cs="Arial" w:eastAsia="Arial" w:hAnsi="Arial"/>
                <w:sz w:val="14"/>
                <w:szCs w:val="14"/>
                <w:color w:val="auto"/>
                <w:w w:val="90"/>
              </w:rPr>
              <w:t>December 31,</w:t>
            </w:r>
          </w:p>
        </w:tc>
        <w:tc>
          <w:tcPr>
            <w:tcW w:w="1480" w:type="dxa"/>
            <w:vAlign w:val="bottom"/>
            <w:gridSpan w:val="4"/>
          </w:tcPr>
          <w:p>
            <w:pPr>
              <w:ind w:left="560"/>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2014</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86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66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125,000</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Audit Related Fees</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All Other Fees</w:t>
            </w:r>
          </w:p>
        </w:tc>
        <w:tc>
          <w:tcPr>
            <w:tcW w:w="2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125,000</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Audit fees are the aggregate fees billed for professional services rendered by our independent auditors for the audit of our annual financial statements, the review of the financial statements included in each of our quarterly reports and services provided in connection with statutory and regulatory filings or engagements.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Related Fees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Audit related fees are the aggregate fees billed by our independent auditors for assurance and related services that are reasonably related to the performance of the audit or review of our financial statements and are not described in the preceding category.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Tax fees are billed by our independent auditors for tax compliance, tax advice and tax planning.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All other fees include fees billed by our independent auditors for products or services other than as described in the immediately preceding three categories.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Pre-Approval of Services Performed by Independent Auditors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It is our Audit Committee’s policy to pre-approve all audit and permissible non-audit services performed by the independent auditors. The Audit Committee approved all services that our independent accountants provided to us in the past two fiscal years.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of Independent Registered Public Accounting Firms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Stockholders’ Equity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219"/>
          </w:cols>
          <w:pgMar w:left="240" w:top="459" w:right="1440"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TapImmune, Inc.</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audited the accompanying consolidated balance sheets of TapImmune, Inc. (the “Company”) as of December 31, 2015 and 2014, and the related consolidated statements of operations and comprehensive loss, changes in stockholders’ equity (deficit) and cash flows for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TapImmune, Inc. as of December 31, 2015 and 2014, and the consolidated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suffered losses from operations and will require identifying new sources of capital to fund operations. These matters raise substantial doubt about the Company’s ability to continue as a going concern. Management’s plans concerning these matters are also discussed in Note 2 to the consolidated financial statements. The accompanying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14,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4"/>
                <w:szCs w:val="14"/>
                <w:color w:val="auto"/>
                <w:w w:val="93"/>
              </w:rPr>
              <w:t>December 31,</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2015</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7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6,576,564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Prepaid expenses and deposits</w:t>
            </w:r>
          </w:p>
        </w:tc>
        <w:tc>
          <w:tcPr>
            <w:tcW w:w="10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68,803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82,504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6,645,367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967,358</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agreement obligations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Derivative liability – warrants</w:t>
            </w:r>
          </w:p>
        </w:tc>
        <w:tc>
          <w:tcPr>
            <w:tcW w:w="10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26,493,000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Promissory notes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Promissory note, related party</w:t>
            </w:r>
          </w:p>
        </w:tc>
        <w:tc>
          <w:tcPr>
            <w:tcW w:w="10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28,005,723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1,248,084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Convertible preferred stock, $0.001 par value — 5,000,000 shares authorized: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Series A, $0.001 par value, 1,250,000 shares designated, -0- shares issued and outstanding as of</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2015 and December 31, 2014</w:t>
            </w: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rPr>
              <w:t>Series B, $0.001 par value, 1,500,000 shares designated, -0- shares issued and outstanding as of</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December 31, 2015 and December 31, 2014</w:t>
            </w:r>
          </w:p>
        </w:tc>
        <w:tc>
          <w:tcPr>
            <w:tcW w:w="100" w:type="dxa"/>
            <w:vAlign w:val="bottom"/>
          </w:tcPr>
          <w:p>
            <w:pPr>
              <w:spacing w:after="0"/>
              <w:rPr>
                <w:sz w:val="20"/>
                <w:szCs w:val="20"/>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$0.001 par value, 500,000,000 shares authorized 70,550,763 shares issued and outstanding</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 – 20,318,815)</w:t>
            </w: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70,551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112,077,520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85,265,776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(133,508,427)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(86,309,731)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(21,360,356)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(1,023,636)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6,645,367</w:t>
            </w:r>
          </w:p>
        </w:tc>
        <w:tc>
          <w:tcPr>
            <w:tcW w:w="6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Year Ended</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3"/>
              </w:rPr>
              <w:t>December 31,</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96"/>
              </w:rPr>
              <w:t>2015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89"/>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4,447,781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3,181,927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1,711,177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(6,158,958)</w:t>
            </w:r>
          </w:p>
        </w:tc>
        <w:tc>
          <w:tcPr>
            <w:tcW w:w="10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(3,370,927)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Foreign exchange (loss) gain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(27,872,585)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Accretion of discount on convertible notes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financing charges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(26,884,231)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settlement agreement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(24,697)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for the Period</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9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(34,066,390)</w:t>
            </w:r>
          </w:p>
        </w:tc>
        <w:tc>
          <w:tcPr>
            <w:tcW w:w="10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(30,883,096)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(34,066,390)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(30,824,762)</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960" w:type="dxa"/>
            <w:vAlign w:val="bottom"/>
            <w:gridSpan w:val="2"/>
            <w:vMerge w:val="continue"/>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43,947,067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15,465,213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vMerge w:val="restart"/>
          </w:tcPr>
          <w:p>
            <w:pPr>
              <w:ind w:left="2560"/>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940" w:type="dxa"/>
            <w:vAlign w:val="bottom"/>
          </w:tcPr>
          <w:p>
            <w:pPr>
              <w:ind w:left="5560"/>
              <w:spacing w:after="0"/>
              <w:rPr>
                <w:sz w:val="20"/>
                <w:szCs w:val="20"/>
                <w:color w:val="auto"/>
              </w:rPr>
            </w:pPr>
            <w:r>
              <w:rPr>
                <w:rFonts w:ascii="Arial" w:cs="Arial" w:eastAsia="Arial" w:hAnsi="Arial"/>
                <w:sz w:val="18"/>
                <w:szCs w:val="18"/>
                <w:color w:val="auto"/>
              </w:rPr>
              <w:t>F-4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(DEFICIT)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Accumulated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20" w:type="dxa"/>
            <w:vAlign w:val="bottom"/>
            <w:gridSpan w:val="4"/>
          </w:tcPr>
          <w:p>
            <w:pPr>
              <w:ind w:left="360"/>
              <w:spacing w:after="0"/>
              <w:rPr>
                <w:sz w:val="20"/>
                <w:szCs w:val="20"/>
                <w:color w:val="auto"/>
              </w:rPr>
            </w:pPr>
            <w:r>
              <w:rPr>
                <w:rFonts w:ascii="Arial" w:cs="Arial" w:eastAsia="Arial" w:hAnsi="Arial"/>
                <w:sz w:val="14"/>
                <w:szCs w:val="14"/>
                <w:color w:val="auto"/>
              </w:rPr>
              <w:t>Common Stock</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Additional</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Other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Paid In</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Accumulated</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Comprehensive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Number of</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Amount</w:t>
            </w: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Capital</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Deficit</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Loss</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5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1,465,712</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46,715,500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(55,426,635)</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(58,334)</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(8,768,003)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Convertible notes, promissory notes, loan payable-related</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w w:val="94"/>
              </w:rPr>
              <w:t>party, due to related parties and accrued interest converted</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rPr>
              <w:t>into Series A and B preferred stock and immediately</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rPr>
              <w:t>converted into commons stock</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14,048,701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14,049</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30,937,029</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30,951,078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Conversion of accounts payable to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1,836,361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1,836</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4,347,592</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4,349,428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Private placement (net of finders’ fee)</w:t>
            </w:r>
          </w:p>
        </w:tc>
        <w:tc>
          <w:tcPr>
            <w:tcW w:w="860" w:type="dxa"/>
            <w:vAlign w:val="bottom"/>
          </w:tcPr>
          <w:p>
            <w:pPr>
              <w:jc w:val="right"/>
              <w:spacing w:after="0"/>
              <w:rPr>
                <w:sz w:val="20"/>
                <w:szCs w:val="20"/>
                <w:color w:val="auto"/>
              </w:rPr>
            </w:pPr>
            <w:r>
              <w:rPr>
                <w:rFonts w:ascii="Arial" w:cs="Arial" w:eastAsia="Arial" w:hAnsi="Arial"/>
                <w:sz w:val="18"/>
                <w:szCs w:val="18"/>
                <w:color w:val="auto"/>
              </w:rPr>
              <w:t>2,157,042</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2,157</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1,875,343</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58,334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811,000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811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1,390,312</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(30,883,096)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(30,883,096)</w:t>
            </w:r>
          </w:p>
        </w:tc>
        <w:tc>
          <w:tcPr>
            <w:tcW w:w="0" w:type="dxa"/>
            <w:vAlign w:val="bottom"/>
          </w:tcPr>
          <w:p>
            <w:pPr>
              <w:spacing w:after="0"/>
              <w:rPr>
                <w:sz w:val="1"/>
                <w:szCs w:val="1"/>
                <w:color w:val="auto"/>
              </w:rPr>
            </w:pPr>
          </w:p>
        </w:tc>
      </w:tr>
      <w:tr>
        <w:trPr>
          <w:trHeight w:val="224"/>
        </w:trPr>
        <w:tc>
          <w:tcPr>
            <w:tcW w:w="5020" w:type="dxa"/>
            <w:vAlign w:val="bottom"/>
            <w:gridSpan w:val="2"/>
          </w:tcPr>
          <w:p>
            <w:pPr>
              <w:spacing w:after="0"/>
              <w:rPr>
                <w:sz w:val="20"/>
                <w:szCs w:val="20"/>
                <w:color w:val="auto"/>
              </w:rPr>
            </w:pPr>
            <w:r>
              <w:rPr>
                <w:rFonts w:ascii="Arial" w:cs="Arial" w:eastAsia="Arial" w:hAnsi="Arial"/>
                <w:sz w:val="18"/>
                <w:szCs w:val="18"/>
                <w:color w:val="auto"/>
              </w:rPr>
              <w:t>Balance, December 31, 2014</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20,318,816</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20,319</w:t>
            </w:r>
          </w:p>
        </w:tc>
        <w:tc>
          <w:tcPr>
            <w:tcW w:w="2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85,265,776</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(86,309,731)</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(1,023,636)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settled in shares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118,450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21,795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Private placement (net of finders’ fee)</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12,363,447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12,321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2,313,694</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2,326,015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Fair value of warrants recognized as derivative liabilities in</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January and March 2015 Financing</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(2,313,694)</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(6,999,306)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Fair value of warrants issued on May 28, 2015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(6,133,000)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warrants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37,079,990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37,122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9,182,876</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9,219,998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340"/>
              <w:spacing w:after="0" w:line="201" w:lineRule="exact"/>
              <w:rPr>
                <w:sz w:val="20"/>
                <w:szCs w:val="20"/>
                <w:color w:val="auto"/>
              </w:rPr>
            </w:pPr>
            <w:r>
              <w:rPr>
                <w:rFonts w:ascii="Arial" w:cs="Arial" w:eastAsia="Arial" w:hAnsi="Arial"/>
                <w:sz w:val="18"/>
                <w:szCs w:val="18"/>
                <w:color w:val="auto"/>
                <w:w w:val="98"/>
              </w:rPr>
              <w:t>Reclassification of Derivative Warrant Liabilities to Equity at</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rPr>
              <w:t>exercise date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16,835,000</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Finders’ fee on exercise of warrants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(767,995)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Shares issued in settlement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49,950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26,423</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620,110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1,513,645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(34,066,390)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(34,066,390)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70,550,763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70,551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112,077,520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(133,508,427)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(21,360,356)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Year Ended</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130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3"/>
              </w:rPr>
              <w:t>December 31,</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96"/>
              </w:rPr>
              <w:t>2015</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89"/>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(34,066,390)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(30,883,096)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27,872,585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26,884,231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Loss on settlement agreement</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24,697</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convertible notes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Non-cash interest and finance charges</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1,705,067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Foreign exchange loss</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Prepaid expenses and deposits</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13,701</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96,018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(145,199)</w:t>
            </w: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(4,343,397)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(2,187,145)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Issuance of shares, net of finders’ fee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2,326,015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notes issuance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Proceeds from exercise of warrants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9,219,998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Finders’ fee on exercise of warrants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(767,996)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Repayment of promissory notes</w:t>
            </w:r>
          </w:p>
        </w:tc>
        <w:tc>
          <w:tcPr>
            <w:tcW w:w="10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10,778,017</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INCREASE IN CASH</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6,434,620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141,944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CASH,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6,576,564</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141,944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color w:val="auto"/>
                <w:w w:val="91"/>
              </w:rPr>
              <w:t>Year Ended</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Year Ended</w:t>
            </w:r>
          </w:p>
        </w:tc>
      </w:tr>
      <w:tr>
        <w:trPr>
          <w:trHeight w:val="149"/>
        </w:trPr>
        <w:tc>
          <w:tcPr>
            <w:tcW w:w="7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38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90"/>
              </w:rPr>
              <w:t>December 31,</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728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89"/>
              </w:rPr>
              <w:t>2015</w:t>
            </w:r>
          </w:p>
        </w:tc>
        <w:tc>
          <w:tcPr>
            <w:tcW w:w="4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60" w:type="dxa"/>
            <w:vAlign w:val="bottom"/>
            <w:tcBorders>
              <w:bottom w:val="single" w:sz="8" w:color="CCEEFF"/>
            </w:tcBorders>
          </w:tcPr>
          <w:p>
            <w:pPr>
              <w:spacing w:after="0"/>
              <w:rPr>
                <w:sz w:val="14"/>
                <w:szCs w:val="14"/>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NON-CASH ACTIVITIES</w:t>
            </w:r>
          </w:p>
        </w:tc>
        <w:tc>
          <w:tcPr>
            <w:tcW w:w="1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324"/>
        </w:trPr>
        <w:tc>
          <w:tcPr>
            <w:tcW w:w="7280" w:type="dxa"/>
            <w:vAlign w:val="bottom"/>
          </w:tcPr>
          <w:p>
            <w:pPr>
              <w:spacing w:after="0"/>
              <w:rPr>
                <w:sz w:val="20"/>
                <w:szCs w:val="20"/>
                <w:color w:val="auto"/>
              </w:rPr>
            </w:pPr>
            <w:r>
              <w:rPr>
                <w:rFonts w:ascii="Arial" w:cs="Arial" w:eastAsia="Arial" w:hAnsi="Arial"/>
                <w:sz w:val="18"/>
                <w:szCs w:val="18"/>
                <w:color w:val="auto"/>
              </w:rPr>
              <w:t>Accounts payable settled in common stock</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22,000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$2,415,000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issuance of warrants in January and March 2015 financing</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9,313,000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Issuance of additional warrants in May 28, 2015 transaction</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6,133,000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Warrant Liabilities to Equity at exercise date</w:t>
            </w: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16,835,000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7280" w:type="dxa"/>
            <w:vAlign w:val="bottom"/>
          </w:tcPr>
          <w:p>
            <w:pPr>
              <w:spacing w:after="0"/>
              <w:rPr>
                <w:sz w:val="20"/>
                <w:szCs w:val="20"/>
                <w:color w:val="auto"/>
              </w:rPr>
            </w:pPr>
            <w:r>
              <w:rPr>
                <w:rFonts w:ascii="Arial" w:cs="Arial" w:eastAsia="Arial" w:hAnsi="Arial"/>
                <w:sz w:val="18"/>
                <w:szCs w:val="18"/>
                <w:b w:val="1"/>
                <w:bCs w:val="1"/>
                <w:color w:val="auto"/>
              </w:rPr>
              <w:t>Conversion of debt obligations into common stock:</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525,000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4,116,000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Loans payable, related party</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42,000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Promissory notes, related party</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210,000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369,000</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Fair value derivative liability – conversion option at conversion</w:t>
            </w: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708,000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Phase I study at the Mayo Clinic, Rochester, MN, evaluating the safety and immune responses of a set of proprietary HER2/neu+ antigens has been successfully completed and the results led to the decision to proceed with Phase II clinical studies in 2016.</w:t>
      </w:r>
    </w:p>
    <w:p>
      <w:pPr>
        <w:spacing w:after="0" w:line="17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 separate Phase I study has also been conducted at Mayo Foundation (“Mayo”) in Ovarian and breast cancer (Folate Receptor Alpha).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 Negative Breast Cancer. Both of these diseases have few treatment options if any beyond surgery and chemotherapy and therefore the Company is hopeful that it might be an ideal candidate for orphan drug status in these indications. This study has been successfully completed and the results led to the decision to proceed with multiple Phase II studies in 2016.</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18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These consolidated financial statements have been prepared on the basis of a going concern which contemplates the realization of assets and the satisfaction of liabilities in the normal course of business. As at December 31, 2015, the Company had a working capital deficiency and has incurred significant losses since inception in the development of its business. The ability of the Company to continue as a going concern is dependent on raising additional capital to fund clinical trials, ongoing research and development, maintenance and protection of patents, accommodation from certain debt obligations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17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Historically the Company has raised capital through issuances of various financial instruments and the Company recently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is no certainty that the Company will be able to arrange sufficient funding to satisfy current debt obligations or to continue development of products to marketability.</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These financial statements are presented in United States dollars and have been prepared in accordance with accounting principles generally accepted in the United States of America (“GAAP”).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These financial statements include the accounts of the Company and its wholly-owned subsidiary GeneMax Pharmaceuticals Inc. (“GPI”). All significant intercompany balances and transactions are eliminated upon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valuation allowance on deferred tax assets, determining the fair value of stock-based compensation and stock based transactions, the fair value of the components of the derivative liabilities - warrants and accrued liabilities.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certain of the Company’s financial instruments, including cash and cash equivalents, accrued compensation, and other accrued liabilities, approximate cost because of their short maturities. The Company measures the fair value of certain of its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92"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and liabilities.</w:t>
      </w:r>
    </w:p>
    <w:p>
      <w:pPr>
        <w:spacing w:after="0" w:line="130"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86"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Financial Instruments and Concentration of Credit Risk.</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and liabilities classified as financial instruments.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Reclassifications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prior period amounts that were combined in the December 31, 2014 consolidated financial statements have been reclassified for comparability with the December 31, 2015 presentation. These reclassifications had no effect on previously reported net loss.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the Company’s stock-based awards are expected to be outstanding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which is the half-life from vesting to the end of its contractual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computes stock price volatility over expected terms based on its historical common stock trading prices.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Company bases the risk-free interest rate on the implied yield available on U. S. Treasury zero-coupon issues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remaining term.</w:t>
      </w:r>
    </w:p>
    <w:p>
      <w:pPr>
        <w:spacing w:after="0" w:line="17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i w:val="1"/>
          <w:iCs w:val="1"/>
          <w:color w:val="auto"/>
        </w:rPr>
        <w:t xml:space="preserve">Expected Dividend </w:t>
      </w:r>
      <w:r>
        <w:rPr>
          <w:rFonts w:ascii="Arial" w:cs="Arial" w:eastAsia="Arial" w:hAnsi="Arial"/>
          <w:sz w:val="17"/>
          <w:szCs w:val="17"/>
          <w:color w:val="auto"/>
        </w:rPr>
        <w:t>— The Company has never declared or paid any cash dividends on its common shares and does not plan to pay cash dividends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foreseeable future, and, therefore, uses an expected dividend yield of zero in its valuation models. The Company recognizes fair value of stock options granted to nonemployees as stock-based compensation expense over the period in which the related services are received.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 The Company spent $1,711,000 on research and development in the year ended December 31, 2015 compared to $189,000 during the prior fiscal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allowances against deferred tax assets.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Liability</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evaluates its convertible debt, options, warrants or other contracts to determine if those contracts or embedded components of those contracts qualify as derivatives to be separately accounted for.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18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the Company’s own stock. An entity should use a two-step approach to evaluate whether an equity-linked financial instrument (or embedded feature) is indexed to its own stock, including evaluating the instrument’s contingent exercise and settlement provisions. This exercise affects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Accounting Standard Update No. ASU 2014-15, Presentation of Financial Statements—Going Concern (Subtopic 205-40): Disclosure of Uncertainties about an Entity’s Ability to Continue as a Going Concern. The amendments in this update are effective for the annual period ending after December 15, 2016, and for annual periods and interim periods thereafter. Early application is permitted. The Company is currently evaluating the impact of this update on its consolidated financial statements.</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NET LOSS PER SHARE APPLICABLE TO COMMON SHAREHOLDER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Applicable to Common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Options, warrants, and convertible debt outstanding were all considered anti-dilutive for the years ended December 31, 2015 and 2014, due to net losses.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securities were not included in the diluted net loss per share calculation because their effect was anti-dilutive as of the periods presented:</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10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80" w:type="dxa"/>
            <w:vAlign w:val="bottom"/>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118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3,584,150</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860" w:type="dxa"/>
            <w:vAlign w:val="bottom"/>
          </w:tcPr>
          <w:p>
            <w:pPr>
              <w:jc w:val="right"/>
              <w:spacing w:after="0"/>
              <w:rPr>
                <w:sz w:val="20"/>
                <w:szCs w:val="20"/>
                <w:color w:val="auto"/>
              </w:rPr>
            </w:pPr>
            <w:r>
              <w:rPr>
                <w:rFonts w:ascii="Arial" w:cs="Arial" w:eastAsia="Arial" w:hAnsi="Arial"/>
                <w:sz w:val="18"/>
                <w:szCs w:val="18"/>
                <w:color w:val="auto"/>
              </w:rPr>
              <w:t>2,548,632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2,556,133</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49,557,865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103,284</w:t>
            </w:r>
          </w:p>
        </w:tc>
        <w:tc>
          <w:tcPr>
            <w:tcW w:w="6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Excluded potentially dilutive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55,690,647</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2,724,847</w:t>
            </w:r>
          </w:p>
        </w:tc>
        <w:tc>
          <w:tcPr>
            <w:tcW w:w="6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RESEARCH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Crucell Holland B. V. (“Crucell”) – Research License and Option Agreement</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2003 and further amended in 2008 the Company acquired a research license and option agreement from Crucell for use of an adenoviris technology. The Company has not made use of the technology in its current work and has not asked for nor received any work product from Crucell. Crucell was acquired by Johnson and Johnson in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Company has accrued $492,000 as amounts owed under the amended agreement.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DERIVATIVE LIABILITY</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years ended 2015 and 2014 is as follows: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300" w:type="dxa"/>
            <w:vAlign w:val="bottom"/>
            <w:gridSpan w:val="4"/>
          </w:tcPr>
          <w:p>
            <w:pPr>
              <w:spacing w:after="0"/>
              <w:rPr>
                <w:sz w:val="20"/>
                <w:szCs w:val="20"/>
                <w:color w:val="auto"/>
              </w:rPr>
            </w:pPr>
            <w:r>
              <w:rPr>
                <w:rFonts w:ascii="Arial" w:cs="Arial" w:eastAsia="Arial" w:hAnsi="Arial"/>
                <w:sz w:val="14"/>
                <w:szCs w:val="14"/>
                <w:b w:val="1"/>
                <w:bCs w:val="1"/>
                <w:color w:val="auto"/>
              </w:rPr>
              <w:t>Stock Purchase Warrants</w:t>
            </w: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Weighted Average Inputs for the Period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rPr>
              <w:t>For the Year</w:t>
            </w:r>
          </w:p>
        </w:tc>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96"/>
              <w:spacing w:after="0" w:line="119" w:lineRule="exact"/>
              <w:rPr>
                <w:sz w:val="20"/>
                <w:szCs w:val="20"/>
                <w:color w:val="auto"/>
              </w:rPr>
            </w:pPr>
            <w:r>
              <w:rPr>
                <w:rFonts w:ascii="Arial" w:cs="Arial" w:eastAsia="Arial" w:hAnsi="Arial"/>
                <w:sz w:val="13"/>
                <w:szCs w:val="13"/>
                <w:b w:val="1"/>
                <w:bCs w:val="1"/>
                <w:color w:val="auto"/>
              </w:rPr>
              <w:t>For the Year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Date of valuation</w:t>
            </w:r>
          </w:p>
        </w:tc>
        <w:tc>
          <w:tcPr>
            <w:tcW w:w="3360" w:type="dxa"/>
            <w:vAlign w:val="bottom"/>
            <w:gridSpan w:val="4"/>
          </w:tcPr>
          <w:p>
            <w:pPr>
              <w:jc w:val="center"/>
              <w:ind w:left="688"/>
              <w:spacing w:after="0" w:line="149" w:lineRule="exact"/>
              <w:rPr>
                <w:sz w:val="20"/>
                <w:szCs w:val="20"/>
                <w:color w:val="auto"/>
              </w:rPr>
            </w:pPr>
            <w:r>
              <w:rPr>
                <w:rFonts w:ascii="Arial" w:cs="Arial" w:eastAsia="Arial" w:hAnsi="Arial"/>
                <w:sz w:val="14"/>
                <w:szCs w:val="14"/>
                <w:b w:val="1"/>
                <w:bCs w:val="1"/>
                <w:color w:val="auto"/>
                <w:w w:val="92"/>
              </w:rPr>
              <w:t>Ending December 31,</w:t>
            </w:r>
          </w:p>
        </w:tc>
        <w:tc>
          <w:tcPr>
            <w:tcW w:w="2020" w:type="dxa"/>
            <w:vAlign w:val="bottom"/>
            <w:gridSpan w:val="4"/>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Ending December 31,</w:t>
            </w:r>
          </w:p>
        </w:tc>
        <w:tc>
          <w:tcPr>
            <w:tcW w:w="0" w:type="dxa"/>
            <w:vAlign w:val="bottom"/>
          </w:tcPr>
          <w:p>
            <w:pPr>
              <w:spacing w:after="0"/>
              <w:rPr>
                <w:sz w:val="1"/>
                <w:szCs w:val="1"/>
                <w:color w:val="auto"/>
              </w:rPr>
            </w:pPr>
          </w:p>
        </w:tc>
      </w:tr>
      <w:tr>
        <w:trPr>
          <w:trHeight w:val="171"/>
        </w:trPr>
        <w:tc>
          <w:tcPr>
            <w:tcW w:w="3300" w:type="dxa"/>
            <w:vAlign w:val="bottom"/>
            <w:gridSpan w:val="4"/>
            <w:vMerge w:val="continue"/>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2015</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Strike price</w:t>
            </w:r>
          </w:p>
        </w:tc>
        <w:tc>
          <w:tcPr>
            <w:tcW w:w="2240" w:type="dxa"/>
            <w:vAlign w:val="bottom"/>
            <w:tcBorders>
              <w:top w:val="single" w:sz="8" w:color="CCEEFF"/>
            </w:tcBorders>
            <w:gridSpan w:val="2"/>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6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300" w:type="dxa"/>
            <w:vAlign w:val="bottom"/>
            <w:gridSpan w:val="4"/>
          </w:tcPr>
          <w:p>
            <w:pPr>
              <w:spacing w:after="0"/>
              <w:rPr>
                <w:sz w:val="20"/>
                <w:szCs w:val="20"/>
                <w:color w:val="auto"/>
              </w:rPr>
            </w:pPr>
            <w:r>
              <w:rPr>
                <w:rFonts w:ascii="Arial" w:cs="Arial" w:eastAsia="Arial" w:hAnsi="Arial"/>
                <w:sz w:val="18"/>
                <w:szCs w:val="18"/>
                <w:color w:val="auto"/>
              </w:rPr>
              <w:t>Volatility (annual)</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155%</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24"/>
        </w:trPr>
        <w:tc>
          <w:tcPr>
            <w:tcW w:w="3300" w:type="dxa"/>
            <w:vAlign w:val="bottom"/>
            <w:gridSpan w:val="4"/>
          </w:tcPr>
          <w:p>
            <w:pPr>
              <w:spacing w:after="0"/>
              <w:rPr>
                <w:sz w:val="20"/>
                <w:szCs w:val="20"/>
                <w:color w:val="auto"/>
              </w:rPr>
            </w:pPr>
            <w:r>
              <w:rPr>
                <w:rFonts w:ascii="Arial" w:cs="Arial" w:eastAsia="Arial" w:hAnsi="Arial"/>
                <w:sz w:val="18"/>
                <w:szCs w:val="18"/>
                <w:color w:val="auto"/>
              </w:rPr>
              <w:t>Contractual term (years)</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2. 25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liabilities measured at fair value on a recurring basis are summarized below and disclosed on the balance sheet under Derivative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warrants: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w w:val="92"/>
              </w:rPr>
              <w:t>As of December 31, 2015</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7"/>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Fair Value Measurements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380"/>
              <w:spacing w:after="0" w:line="142" w:lineRule="exact"/>
              <w:rPr>
                <w:sz w:val="20"/>
                <w:szCs w:val="20"/>
                <w:color w:val="auto"/>
              </w:rPr>
            </w:pPr>
            <w:r>
              <w:rPr>
                <w:rFonts w:ascii="Arial" w:cs="Arial" w:eastAsia="Arial" w:hAnsi="Arial"/>
                <w:sz w:val="14"/>
                <w:szCs w:val="14"/>
                <w:b w:val="1"/>
                <w:bCs w:val="1"/>
                <w:color w:val="auto"/>
                <w:w w:val="95"/>
              </w:rPr>
              <w:t>Fair Value</w:t>
            </w: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80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26,493,000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26,493,000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26,493,000</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26,493,000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26,493,000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26,493,000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w w:val="92"/>
              </w:rPr>
              <w:t>As of December 31, 2014</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7"/>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Fair Value Measurements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Carrying</w:t>
            </w: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0"/>
                <w:szCs w:val="10"/>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year ended December 31, 2015.</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year ended December 31, 2015:</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40" w:type="dxa"/>
            <w:vAlign w:val="bottom"/>
            <w:gridSpan w:val="4"/>
          </w:tcPr>
          <w:p>
            <w:pPr>
              <w:ind w:left="1460"/>
              <w:spacing w:after="0"/>
              <w:rPr>
                <w:sz w:val="20"/>
                <w:szCs w:val="20"/>
                <w:color w:val="auto"/>
              </w:rPr>
            </w:pPr>
            <w:r>
              <w:rPr>
                <w:rFonts w:ascii="Arial" w:cs="Arial" w:eastAsia="Arial" w:hAnsi="Arial"/>
                <w:sz w:val="14"/>
                <w:szCs w:val="14"/>
                <w:b w:val="1"/>
                <w:bCs w:val="1"/>
                <w:color w:val="auto"/>
              </w:rPr>
              <w:t>Derivative liability – warrants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20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rPr>
                <w:sz w:val="20"/>
                <w:szCs w:val="20"/>
                <w:color w:val="auto"/>
              </w:rPr>
            </w:pPr>
            <w:r>
              <w:rPr>
                <w:rFonts w:ascii="Arial" w:cs="Arial" w:eastAsia="Arial" w:hAnsi="Arial"/>
                <w:sz w:val="18"/>
                <w:szCs w:val="18"/>
                <w:color w:val="auto"/>
              </w:rPr>
              <w:t>Additions during the period</w:t>
            </w: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15,446,000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Settlement of debt</w:t>
            </w:r>
          </w:p>
        </w:tc>
        <w:tc>
          <w:tcPr>
            <w:tcW w:w="1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(16,835,000)</w:t>
            </w: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w:t>
            </w:r>
          </w:p>
        </w:tc>
        <w:tc>
          <w:tcPr>
            <w:tcW w:w="14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27,873,000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20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 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 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PROMISSORY NOTES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outstanding promissory notes in the amount of $30,000 (December 31, 2014 - $30,000). The promissory notes bear 10% annual interest and were due in 2012. As of December 31, 2015, the notes are in default and there has been no request for payment.</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PROMISSORY NOTE, RELATED PARTY</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has an outstanding promissory note in the amount of $23,000 (December 31, 2014 - $23,000) owed to an officer and a director of the Company. The promissory note bears no interest charges and has no fixed repayment terms.</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 and increase in authorized shares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February 18, 2014, the Company completed a reverse stock split thereby issuing 1 new share for each 100 outstanding shares of the Company’s common stock and amended the Company’s Articles of Incorporation to increase the authorized shares of common stock from 150,000,000 shares of common stock to 500,000,000 shares.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Convertible Preferred Stock</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Company has designated 1,250,000 Series A Convertible preferred shares (Series A) par value $0.001. Each share of Series A is automatically converted into five shares of the Company’s common stock upon the occurrence of the 1:100 reverse stock split.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designated 1,500,000 Series B Convertible preferred shares (Series B), par value $0.001. The terms of the Series B are as follows:</w:t>
      </w:r>
    </w:p>
    <w:p>
      <w:pPr>
        <w:spacing w:after="0" w:line="142"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rank pari passu to the common stock with respect to rights on liquidation, winding up and dissolution;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have no dividend rights except as may be declared by the Board in its sole and absolute discretion;</w:t>
      </w:r>
    </w:p>
    <w:p>
      <w:pPr>
        <w:spacing w:after="0" w:line="130"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shall have the right to cast one thousand (1,000) votes for each share held of record on all matters submitted to a vote of holders of the Corporation’s common stock;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shall automatically convert into seven (7) shares of common upon the occurrence of a 1:100 reverse stock split.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shares outstanding under preferred shares as of December 31,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Share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w:t>
      </w:r>
    </w:p>
    <w:p>
      <w:pPr>
        <w:ind w:right="20" w:firstLine="8"/>
        <w:spacing w:after="0" w:line="252" w:lineRule="auto"/>
        <w:tabs>
          <w:tab w:leader="none" w:pos="2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366,000 common shares with substantially the same terms as the January 2015 Warrants and pay a 7% finders fee on gross proceeds from the sale of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125,000 common shares with substantially the same terms as the March 2015 Warrants and pay a 3.5% finders fee on gross proceeds from the sale of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Fair Value of Warrants Issued</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ASC 480-10 Distinguishing liabilities from equity and ASC 815-40 Contracts in an Entity’s Own Equity, the common stock purchase warrants are classified as a derivative liability as the Company cannot control their ability to gross settle the financial instruments with registered securities. The fair value of the warrants issued pursuant to the January and March 2015 stock purchase agreement was $9,313,000. The weighted average inputs include contractual term of 5.0 years, volatility of 158% and risk free rate of 1.2%.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2015 Restructuring agreement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May 2015, the Company entered into a restructuring agreement with the investors of the January 2015 and March 2015 private placements, where:</w:t>
      </w:r>
    </w:p>
    <w:p>
      <w:pPr>
        <w:spacing w:after="0" w:line="142"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exercise price of the Series A warrants was changed from $1.50 per warrant to $0.10 per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exercise price of Series B warrants was changed from $0.40 per warrant to $0.20 per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warrant of Series B existing prior to the restructuring agreement was replaced with two warrants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exercise price of the Series C warrants was changed from $1.00 per warrant to $0.50 per warrant,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warrant of Series C existing prior to the restructuring agreement was replaced with two warrants of such series.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a result of the restructuring agreement, the Company issued an additional 12,320,000 Series B warrants and 12,320,000 Series C Warrants. The fair value of the warrants issued pursuant to the May 2015 restructuring agreement was $6,133,000. The weighted average inputs include contractual term of 2.46 years, volatility of 141% and risk free rate of 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Compensation</w:t>
      </w:r>
    </w:p>
    <w:p>
      <w:pPr>
        <w:spacing w:after="0" w:line="11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In November, 2015, the Company entered into an employment agreement with Dr. Glynn Wilson, the Company’s Chief Executive Officer, President and Chairman of the Company. As part of the agreement, the Company granted Dr. Wilson 315,000 shares of unregistered common stock, fully vested. As of December 31, 2015, the shares have not been issued. Accordingly, the fair value of the common stock of approximately $191,000 was accounted for as an accrued liability.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December 31, 2015 and changes during the period is presented below:</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color w:val="auto"/>
              </w:rPr>
              <w:t>Number of</w:t>
            </w:r>
          </w:p>
        </w:tc>
        <w:tc>
          <w:tcPr>
            <w:tcW w:w="340" w:type="dxa"/>
            <w:vAlign w:val="bottom"/>
          </w:tcPr>
          <w:p>
            <w:pPr>
              <w:spacing w:after="0"/>
              <w:rPr>
                <w:sz w:val="14"/>
                <w:szCs w:val="1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14"/>
                <w:szCs w:val="14"/>
                <w:color w:val="auto"/>
                <w:w w:val="90"/>
              </w:rPr>
              <w:t>Weighted Average</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Weighted Average</w:t>
            </w:r>
          </w:p>
        </w:tc>
      </w:tr>
      <w:tr>
        <w:trPr>
          <w:trHeight w:val="167"/>
        </w:trPr>
        <w:tc>
          <w:tcPr>
            <w:tcW w:w="496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color w:val="auto"/>
              </w:rPr>
              <w:t>Warrants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Remaining Life</w:t>
            </w:r>
          </w:p>
        </w:tc>
      </w:tr>
      <w:tr>
        <w:trPr>
          <w:trHeight w:val="88"/>
        </w:trPr>
        <w:tc>
          <w:tcPr>
            <w:tcW w:w="496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2,659,417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Issued</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86,730,975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0.54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(37,079,990)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0.25</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Extinguished or expired</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(203,905)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2.39</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52,106,497</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r>
        <w:trPr>
          <w:trHeight w:val="20"/>
        </w:trPr>
        <w:tc>
          <w:tcPr>
            <w:tcW w:w="4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a warrant holder exercised 4,820,000 of Series A warrants at $0.10 per warrant for a total of $482,000.</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warrant holders exercised 24,639,995 of Series B warrants at $0.20 per warrant for a total of $4,928,000.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warrant holders exercised 7,620,000 of Series C warrants at $0.50 per warrant for a total of $3,810,000.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derivative liabilities associated with these warrants in the amount of $16,835,000 were credited to additional paid-in capital.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March 19, 2014, the Company adopted the 2014 Omnibus Stock Option Plan (“2014 Plan”). The 2014 Plan was amended in February 2015 to provide for grants to consultants, and again in November 2015 to (i) increase the number of shares reserved for issuance under the Plan by 5.0 million shares to 7.0 million shares. Options granted under the Plan shall be at prices and for terms as determined by the Board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as of December 31, 2015 and 2014 and changes during the years is presented below:</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4"/>
                <w:szCs w:val="14"/>
                <w:color w:val="auto"/>
              </w:rPr>
              <w:t>Number of</w:t>
            </w:r>
          </w:p>
        </w:tc>
        <w:tc>
          <w:tcPr>
            <w:tcW w:w="1680" w:type="dxa"/>
            <w:vAlign w:val="bottom"/>
            <w:gridSpan w:val="3"/>
          </w:tcPr>
          <w:p>
            <w:pPr>
              <w:spacing w:after="0"/>
              <w:rPr>
                <w:sz w:val="20"/>
                <w:szCs w:val="20"/>
                <w:color w:val="auto"/>
              </w:rPr>
            </w:pPr>
            <w:r>
              <w:rPr>
                <w:rFonts w:ascii="Arial" w:cs="Arial" w:eastAsia="Arial" w:hAnsi="Arial"/>
                <w:sz w:val="14"/>
                <w:szCs w:val="14"/>
                <w:color w:val="auto"/>
              </w:rPr>
              <w:t>Weighted Average</w:t>
            </w: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Weighted Average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20" w:type="dxa"/>
            <w:vAlign w:val="bottom"/>
            <w:gridSpan w:val="3"/>
          </w:tcPr>
          <w:p>
            <w:pPr>
              <w:jc w:val="right"/>
              <w:ind w:right="8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Remaining Life</w:t>
            </w:r>
          </w:p>
        </w:tc>
        <w:tc>
          <w:tcPr>
            <w:tcW w:w="3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Intrinsic Value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2014</w:t>
            </w: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65,430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18.00</w:t>
            </w:r>
          </w:p>
        </w:tc>
        <w:tc>
          <w:tcPr>
            <w:tcW w:w="136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91"/>
              </w:rPr>
              <w:t>5.04</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Issued</w:t>
            </w: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left="29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Cancelled/Forfeited</w:t>
            </w: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Outstanding at January 1, 2015</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65,430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620" w:type="dxa"/>
            <w:vAlign w:val="bottom"/>
          </w:tcPr>
          <w:p>
            <w:pPr>
              <w:spacing w:after="0"/>
              <w:rPr>
                <w:sz w:val="19"/>
                <w:szCs w:val="19"/>
                <w:color w:val="auto"/>
              </w:rPr>
            </w:pPr>
          </w:p>
        </w:tc>
        <w:tc>
          <w:tcPr>
            <w:tcW w:w="1060" w:type="dxa"/>
            <w:vAlign w:val="bottom"/>
            <w:tcBorders>
              <w:top w:val="single" w:sz="8" w:color="auto"/>
            </w:tcBorders>
          </w:tcPr>
          <w:p>
            <w:pPr>
              <w:jc w:val="center"/>
              <w:ind w:left="654"/>
              <w:spacing w:after="0"/>
              <w:rPr>
                <w:sz w:val="20"/>
                <w:szCs w:val="20"/>
                <w:color w:val="auto"/>
              </w:rPr>
            </w:pPr>
            <w:r>
              <w:rPr>
                <w:rFonts w:ascii="Arial" w:cs="Arial" w:eastAsia="Arial" w:hAnsi="Arial"/>
                <w:sz w:val="18"/>
                <w:szCs w:val="18"/>
                <w:color w:val="auto"/>
                <w:w w:val="91"/>
              </w:rPr>
              <w:t>4.04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3,540,000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0.55</w:t>
            </w:r>
          </w:p>
        </w:tc>
        <w:tc>
          <w:tcPr>
            <w:tcW w:w="136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91"/>
              </w:rPr>
              <w:t>4.39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Cancelled/Forfeited</w:t>
            </w:r>
          </w:p>
        </w:tc>
        <w:tc>
          <w:tcPr>
            <w:tcW w:w="1420" w:type="dxa"/>
            <w:vAlign w:val="bottom"/>
            <w:gridSpan w:val="3"/>
          </w:tcPr>
          <w:p>
            <w:pPr>
              <w:jc w:val="right"/>
              <w:ind w:right="560"/>
              <w:spacing w:after="0"/>
              <w:rPr>
                <w:sz w:val="20"/>
                <w:szCs w:val="20"/>
                <w:color w:val="auto"/>
              </w:rPr>
            </w:pPr>
            <w:r>
              <w:rPr>
                <w:rFonts w:ascii="Arial" w:cs="Arial" w:eastAsia="Arial" w:hAnsi="Arial"/>
                <w:sz w:val="18"/>
                <w:szCs w:val="18"/>
                <w:color w:val="auto"/>
              </w:rPr>
              <w:t>(21,280)</w:t>
            </w:r>
          </w:p>
        </w:tc>
        <w:tc>
          <w:tcPr>
            <w:tcW w:w="1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17.00</w:t>
            </w:r>
          </w:p>
        </w:tc>
        <w:tc>
          <w:tcPr>
            <w:tcW w:w="1360" w:type="dxa"/>
            <w:vAlign w:val="bottom"/>
            <w:gridSpan w:val="2"/>
          </w:tcPr>
          <w:p>
            <w:pPr>
              <w:jc w:val="center"/>
              <w:ind w:left="29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3,584,150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91"/>
              </w:rPr>
              <w:t>9.69</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177,000</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at December 31, 2015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80" w:type="dxa"/>
            <w:vAlign w:val="bottom"/>
            <w:gridSpan w:val="2"/>
            <w:vMerge w:val="continue"/>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1,987,000</w:t>
            </w:r>
          </w:p>
        </w:tc>
        <w:tc>
          <w:tcPr>
            <w:tcW w:w="6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0.92</w:t>
            </w:r>
          </w:p>
        </w:tc>
        <w:tc>
          <w:tcPr>
            <w:tcW w:w="1360" w:type="dxa"/>
            <w:vAlign w:val="bottom"/>
            <w:gridSpan w:val="2"/>
          </w:tcPr>
          <w:p>
            <w:pPr>
              <w:jc w:val="center"/>
              <w:ind w:left="354"/>
              <w:spacing w:after="0"/>
              <w:rPr>
                <w:sz w:val="20"/>
                <w:szCs w:val="20"/>
                <w:color w:val="auto"/>
              </w:rPr>
            </w:pPr>
            <w:r>
              <w:rPr>
                <w:rFonts w:ascii="Arial" w:cs="Arial" w:eastAsia="Arial" w:hAnsi="Arial"/>
                <w:sz w:val="18"/>
                <w:szCs w:val="18"/>
                <w:color w:val="auto"/>
                <w:w w:val="91"/>
              </w:rPr>
              <w:t>9.59</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132,000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for the Black-Scholes option-pricing model to value stock options granted in 2015:</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71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9.08</w:t>
            </w:r>
          </w:p>
        </w:tc>
        <w:tc>
          <w:tcPr>
            <w:tcW w:w="2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Weighted-average volatility</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2.10%</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costs of $945,000 are expected to be recognized over the next 1.86 years.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no income tax expense due to operating losses incurred for the years ended December 31, 2015 and 2014. Approximately $1.6 million in non-qualified stock options were cancelled during 2015 due to terminations that resulted in a reversal of the deferred tax asset of approximately $0.52 million. The cancellations did not result in a book income for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temporary differences that give rise to significant portions of the deferred tax assets as of December 31, 2015 and 2014 are as follows:</w:t>
      </w:r>
    </w:p>
    <w:p>
      <w:pPr>
        <w:spacing w:after="0" w:line="24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color w:val="auto"/>
                <w:w w:val="97"/>
              </w:rPr>
              <w:t>Year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40" w:type="dxa"/>
            <w:vAlign w:val="bottom"/>
            <w:gridSpan w:val="4"/>
          </w:tcPr>
          <w:p>
            <w:pPr>
              <w:ind w:left="1120"/>
              <w:spacing w:after="0"/>
              <w:rPr>
                <w:sz w:val="20"/>
                <w:szCs w:val="20"/>
                <w:color w:val="auto"/>
              </w:rPr>
            </w:pPr>
            <w:r>
              <w:rPr>
                <w:rFonts w:ascii="Arial" w:cs="Arial" w:eastAsia="Arial" w:hAnsi="Arial"/>
                <w:sz w:val="14"/>
                <w:szCs w:val="14"/>
                <w:color w:val="auto"/>
              </w:rPr>
              <w:t>December 31, 2015</w:t>
            </w:r>
          </w:p>
        </w:tc>
        <w:tc>
          <w:tcPr>
            <w:tcW w:w="1580" w:type="dxa"/>
            <w:vAlign w:val="bottom"/>
            <w:gridSpan w:val="4"/>
          </w:tcPr>
          <w:p>
            <w:pPr>
              <w:ind w:left="320"/>
              <w:spacing w:after="0"/>
              <w:rPr>
                <w:sz w:val="20"/>
                <w:szCs w:val="20"/>
                <w:color w:val="auto"/>
              </w:rPr>
            </w:pPr>
            <w:r>
              <w:rPr>
                <w:rFonts w:ascii="Arial" w:cs="Arial" w:eastAsia="Arial" w:hAnsi="Arial"/>
                <w:sz w:val="14"/>
                <w:szCs w:val="14"/>
                <w:color w:val="auto"/>
              </w:rPr>
              <w:t>December 31, 2014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4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8,359,000</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10,433,000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License agreements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268,000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Technology licensing fee</w:t>
            </w:r>
          </w:p>
        </w:tc>
        <w:tc>
          <w:tcPr>
            <w:tcW w:w="1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10,826,000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Valuation allowance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(10,826,000)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(12,471,000)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 of valuation allowance</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Company assesses the likelihood that deferred tax assets will be realized. To the extent that realization is not likely, a valuation allowance is established.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Based upon the history of losses, management believes that it is more likely than not that future benefits of deferred tax assets will not be realized and has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established a full valuation allowance for the years ended December 31, 2015 and 2014. The valuation allowance decreased by $1.6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The Company has research and development tax credit carryforwards of $117,000 to offset future federal income taxes. The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tax credit carryforwards begin to expire in 2029.</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has approximately $24,123,000 of federal and $4,336,000 of state NOLs that may be available to offset future taxable income, if any. The federal net operating loss carryforwards, if not utilized, will expire between 2029 and 2035. The state net operating loss carryforwards, if not utilized, will expire in 2035.</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years ended December 31, 2015 and 2014, the expected tax expense (benefit) based on the U. S. federal statutory rate is reconciled with the actual tax provision (benefit)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color w:val="auto"/>
                <w:w w:val="97"/>
              </w:rPr>
              <w:t>Year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Year Ended</w:t>
            </w:r>
          </w:p>
        </w:tc>
      </w:tr>
      <w:tr>
        <w:trPr>
          <w:trHeight w:val="167"/>
        </w:trPr>
        <w:tc>
          <w:tcPr>
            <w:tcW w:w="5640" w:type="dxa"/>
            <w:vAlign w:val="bottom"/>
          </w:tcPr>
          <w:p>
            <w:pPr>
              <w:spacing w:after="0"/>
              <w:rPr>
                <w:sz w:val="14"/>
                <w:szCs w:val="14"/>
                <w:color w:val="auto"/>
              </w:rPr>
            </w:pPr>
          </w:p>
        </w:tc>
        <w:tc>
          <w:tcPr>
            <w:tcW w:w="1500" w:type="dxa"/>
            <w:vAlign w:val="bottom"/>
            <w:gridSpan w:val="4"/>
          </w:tcPr>
          <w:p>
            <w:pPr>
              <w:jc w:val="right"/>
              <w:ind w:right="360"/>
              <w:spacing w:after="0"/>
              <w:rPr>
                <w:sz w:val="20"/>
                <w:szCs w:val="20"/>
                <w:color w:val="auto"/>
              </w:rPr>
            </w:pPr>
            <w:r>
              <w:rPr>
                <w:rFonts w:ascii="Arial" w:cs="Arial" w:eastAsia="Arial" w:hAnsi="Arial"/>
                <w:sz w:val="14"/>
                <w:szCs w:val="14"/>
                <w:color w:val="auto"/>
                <w:w w:val="91"/>
              </w:rPr>
              <w:t>December 31, 2015</w:t>
            </w:r>
          </w:p>
        </w:tc>
        <w:tc>
          <w:tcPr>
            <w:tcW w:w="1540" w:type="dxa"/>
            <w:vAlign w:val="bottom"/>
            <w:gridSpan w:val="4"/>
          </w:tcPr>
          <w:p>
            <w:pPr>
              <w:ind w:left="280"/>
              <w:spacing w:after="0"/>
              <w:rPr>
                <w:sz w:val="20"/>
                <w:szCs w:val="20"/>
                <w:color w:val="auto"/>
              </w:rPr>
            </w:pPr>
            <w:r>
              <w:rPr>
                <w:rFonts w:ascii="Arial" w:cs="Arial" w:eastAsia="Arial" w:hAnsi="Arial"/>
                <w:sz w:val="14"/>
                <w:szCs w:val="14"/>
                <w:color w:val="auto"/>
              </w:rPr>
              <w:t>December 31, 2014</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 S. federal statutory rate</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(11,582,000)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(10,449,000)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(199,000)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94"/>
        </w:trPr>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Permanent differences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 Non-cash loss on extinguishment of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9,122,000</w:t>
            </w: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Change in fair value of derivative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 Write off of net operating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3,591,000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permanent differences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(1,645,000)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1,265,000</w:t>
            </w: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2015 and 2014, there were no unrecognized tax benefits. The Company recognizes accrued interest and penalties as income tax expense. No amounts were accrued for the payment of interest and penalties at December 31, 2015 and 2014. The Company is currently not aware of any issues under review that could result in significant payments, accruals or material deviation from its position in the next year.</w:t>
      </w:r>
    </w:p>
    <w:p>
      <w:pPr>
        <w:spacing w:after="0" w:line="3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CONTINGENCIES AND COMMITMENTS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has entered into an office property lease for one year expiring in July 2016. The minimum rental payments due under the agreement as at December 31, 2015 are $17,500.</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 the year ended December 31, 2015, the Company exercised its option to license certain intellectual property rights from Mayo Foundation under a license and assignment agreement. Under the agreement, the Company has agreed to:</w:t>
      </w:r>
    </w:p>
    <w:p>
      <w:pPr>
        <w:spacing w:after="0" w:line="76"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Make upfront license fee payments of $100,000 and $350,000 as partial consideration by March 21, 2016 and June 21, 2016, respectively;</w:t>
      </w:r>
    </w:p>
    <w:p>
      <w:pPr>
        <w:spacing w:after="0" w:line="142"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 annual license maintenance fees of $50,000 beginning on July 21, 2017 and every year thereafter until the Company starts paying 6% royalty on sales of the licensed product.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 milestone fees for each licensed product developed by the Company on achievement of certain events.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case of a fundamental transaction investors in the January and March 2015 financings could require the Company to pay them the Black Scholes value of their remaining warrants.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registration statement. Exhibit numbers correspond to the exhibit requirements of Regulation S-K.</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10860" w:type="dxa"/>
            <w:vAlign w:val="bottom"/>
            <w:gridSpan w:val="3"/>
            <w:vMerge w:val="restart"/>
          </w:tcPr>
          <w:p>
            <w:pPr>
              <w:ind w:left="5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10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60" w:type="dxa"/>
            <w:vAlign w:val="bottom"/>
          </w:tcPr>
          <w:p>
            <w:pPr>
              <w:ind w:left="100"/>
              <w:spacing w:after="0"/>
              <w:rPr>
                <w:sz w:val="20"/>
                <w:szCs w:val="20"/>
                <w:color w:val="auto"/>
              </w:rPr>
            </w:pPr>
            <w:r>
              <w:rPr>
                <w:rFonts w:ascii="Arial" w:cs="Arial" w:eastAsia="Arial" w:hAnsi="Arial"/>
                <w:sz w:val="18"/>
                <w:szCs w:val="18"/>
                <w:color w:val="auto"/>
              </w:rPr>
              <w:t>3.1</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4"/>
              </w:rPr>
              <w:t>Amended Articles of Incorporation dated February 3, 2009 as filed as Exhibit 3. 1 to Form 8-K filed on February 6, 2009 and incorporated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3.2</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9"/>
              </w:rPr>
              <w:t>Amended Articles of Incorporation dated May 19, 1999 as filed as Exhibit 2. 1 to the Registration Statement filed on Form 10-SB 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September 3, 1999 and 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3.3</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2"/>
              </w:rPr>
              <w:t>Amended and Restated Bylaws of the Company dated May 10, 2004 as filed as Exhibit 3. 1 to the Company’s Quarterly Report on Form 10-</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QSB as filed on May 20, 2004 and 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4.1</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1"/>
              </w:rPr>
              <w:t>Securities Purchase Agreement, dated May 17, 2010, as filed as Exhibit 10. 1 to our Current Report on Form 8-K as filed on May 18, 2010 and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4.2</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1"/>
              </w:rPr>
              <w:t>Registration Rights Agreement, dated May 24, 2010, as filed as Exhibit 10. 4 to our Current Report on Form 8-K as filed on May 18, 2010 and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4.3</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9"/>
              </w:rPr>
              <w:t>Security Agreement, dated May 24, 2010, as filed as Exhibit 10. 3 to our Current Report on Form 8-K as filed on May 18, 2010 and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4.4</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9"/>
              </w:rPr>
              <w:t>Form of Senior Secured Convertible Note, as filed as Exhibit 10. 2 to our Current Report on Form 8-K as filed on May 18, 2010 and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4.5</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3"/>
              </w:rPr>
              <w:t>Form of Series A Warrants, as filed as Exhibit 10. 5 to our Current Report on Form 8-K as filed on May 18, 2010 and incorporated herein by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4.6</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3"/>
              </w:rPr>
              <w:t>Form of Series B Warrants, as filed as Exhibit 10. 6 to our Current Report on Form 8-K as filed on May 18, 2010 and incorporated herein by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4.7</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3"/>
              </w:rPr>
              <w:t>Form of Series C Warrants, as filed as Exhibit 10. 7 to our Current Report on Form 8-K as filed on May 18, 2010 and incorporated herein by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4.8</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Securities Purchase Agreement, dated February 24, 2011, as filed as Exhibit 10. 1 to our Current Report on Form 8-K as filed on March 2, 2011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4.9</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3"/>
              </w:rPr>
              <w:t>Form of Convertible Note, as filed as Exhibit 10. 2 to our Current Report on Form 8-K as filed on March 2, 2011 and incorporated herein by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w w:val="96"/>
              </w:rPr>
              <w:t>4.10</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5"/>
              </w:rPr>
              <w:t>Security Agreement, dated February 24, 2011, as filed as Exhibit 10. 3 to our Current Report on Form 8-K as filed on March 2, 2011 and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24"/>
        </w:trPr>
        <w:tc>
          <w:tcPr>
            <w:tcW w:w="460" w:type="dxa"/>
            <w:vAlign w:val="bottom"/>
          </w:tcPr>
          <w:p>
            <w:pPr>
              <w:ind w:left="100"/>
              <w:spacing w:after="0"/>
              <w:rPr>
                <w:sz w:val="20"/>
                <w:szCs w:val="20"/>
                <w:color w:val="auto"/>
              </w:rPr>
            </w:pPr>
            <w:r>
              <w:rPr>
                <w:rFonts w:ascii="Arial" w:cs="Arial" w:eastAsia="Arial" w:hAnsi="Arial"/>
                <w:sz w:val="18"/>
                <w:szCs w:val="18"/>
                <w:color w:val="auto"/>
                <w:w w:val="96"/>
              </w:rPr>
              <w:t>4.11</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2"/>
              </w:rPr>
              <w:t>Form of Warrant, as filed as Exhibit 10. 4 to our Current Report on Form 8-K as filed on March 2, 2011 and 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w w:val="96"/>
              </w:rPr>
              <w:t>4.12</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3"/>
              </w:rPr>
              <w:t>Form of Convertible Note in connection with the sale of same on April 12, 2011 filed as an Exhibit to the Company’s Annual Report on Form</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10-K as filed on April 18, 2011 and incorporated by reference herein.</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w w:val="96"/>
              </w:rPr>
              <w:t>4.13</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4"/>
              </w:rPr>
              <w:t>Security Agreement, dated April 12, 2011 filed as an Exhibit to the Company’s Annual Report on Form 10-K as filed on April 18, 2011 and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incorporated by reference herein.</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w w:val="96"/>
              </w:rPr>
              <w:t>4.14</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4"/>
              </w:rPr>
              <w:t>Form of Securities Purchase Agreement in connection with the sale of Units on April 14, 2011 filed as an Exhibit to the Company’s Annual</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Report on Form 10-K as filed on April 18, 2011 and incorporated by reference herein.</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w w:val="96"/>
              </w:rPr>
              <w:t>4.15</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2"/>
              </w:rPr>
              <w:t>Form of Warrant in connection with Securities Purchase Agreement dated April 14, 2011 filed as an Exhibit to the Company’s Annual Report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on Form 10-K as filed on April 18, 2011 and incorporated by reference herein.</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w w:val="96"/>
              </w:rPr>
              <w:t>4.16</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7"/>
              </w:rPr>
              <w:t>Form of Common Stock Purchase Warrant, as filed as Exhibit 4. 1 to our Current Report on Form 8-K as filed on August 14, 2014 and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w w:val="96"/>
              </w:rPr>
              <w:t>4.17</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3"/>
              </w:rPr>
              <w:t>Form of Placement Agent Warrant, as filed as Exhibit 4. 2 to our Current Report on Form 8-K as filed on August 14, 2014 and incorporated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w w:val="96"/>
              </w:rPr>
              <w:t>4.18</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2"/>
              </w:rPr>
              <w:t>Form of Common Stock Purchase Warrants-Series A, as filed as Exhibit 4. 1 to our Current Report on Form 8-K as filed on January 12, 2015</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w w:val="96"/>
              </w:rPr>
              <w:t>4.19</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2"/>
              </w:rPr>
              <w:t>Form of Common Stock Purchase Warrants-Series B, as filed as Exhibit 4. 2 to our Current Report on Form 8-K as filed on January 12, 2015</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00"/>
          </w:cols>
          <w:pgMar w:left="240" w:top="459" w:right="25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94"/>
              </w:rPr>
              <w:t>Exhibit</w:t>
            </w:r>
          </w:p>
        </w:tc>
        <w:tc>
          <w:tcPr>
            <w:tcW w:w="334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88"/>
              </w:rPr>
              <w:t>No.</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0</wp:posOffset>
            </wp:positionV>
            <wp:extent cx="2832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72"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Form of Common Stock Purchase Warrants-Series C, as filed as Exhibit 4. 3 to our Current Report on Form 8-K as filed on January 12, 2015 and incorporated herein by reference.</w:t>
      </w:r>
    </w:p>
    <w:p>
      <w:pPr>
        <w:spacing w:after="0" w:line="62"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Form of Common Stock Purchase Warrants-Series D, as filed as Exhibit 4. 4 to our Current Report on Form 8-K as filed on January 12, 2015 and incorporated herein by reference.</w:t>
      </w:r>
    </w:p>
    <w:p>
      <w:pPr>
        <w:spacing w:after="0" w:line="62"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Form of Common Stock Purchase Warrants-Series E, as filed as Exhibit 4. 5 to our Current Report on Form 8-K as filed on January 12, 2015 and incorporated herein by reference.</w:t>
      </w:r>
    </w:p>
    <w:p>
      <w:pPr>
        <w:spacing w:after="0" w:line="62" w:lineRule="exact"/>
        <w:rPr>
          <w:sz w:val="20"/>
          <w:szCs w:val="20"/>
          <w:color w:val="auto"/>
        </w:rPr>
      </w:pPr>
    </w:p>
    <w:p>
      <w:pPr>
        <w:ind w:left="920" w:right="300" w:hanging="737"/>
        <w:spacing w:after="0" w:line="277" w:lineRule="auto"/>
        <w:tabs>
          <w:tab w:leader="none" w:pos="9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Form of Placement Agent Common Stock Purchase Warrants-Series A, as filed as Exhibit 4. 6 to our Current Report on Form 8-K as filed on January 12, 2015 and incorporated herein by reference.</w:t>
      </w:r>
    </w:p>
    <w:p>
      <w:pPr>
        <w:spacing w:after="0" w:line="62" w:lineRule="exact"/>
        <w:rPr>
          <w:sz w:val="20"/>
          <w:szCs w:val="20"/>
          <w:color w:val="auto"/>
        </w:rPr>
      </w:pPr>
    </w:p>
    <w:p>
      <w:pPr>
        <w:ind w:left="920" w:right="300" w:hanging="737"/>
        <w:spacing w:after="0" w:line="277" w:lineRule="auto"/>
        <w:tabs>
          <w:tab w:leader="none" w:pos="90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Form of Placement Agent Common Stock Purchase Warrants-Series B, as filed as Exhibit 4. 7 to our Current Report on Form 8-K as filed on January 12, 2015 and incorporated herein by reference.</w:t>
      </w:r>
    </w:p>
    <w:p>
      <w:pPr>
        <w:spacing w:after="0" w:line="62" w:lineRule="exact"/>
        <w:rPr>
          <w:sz w:val="20"/>
          <w:szCs w:val="20"/>
          <w:color w:val="auto"/>
        </w:rPr>
      </w:pPr>
    </w:p>
    <w:p>
      <w:pPr>
        <w:ind w:left="920" w:right="300" w:hanging="737"/>
        <w:spacing w:after="0" w:line="277" w:lineRule="auto"/>
        <w:tabs>
          <w:tab w:leader="none" w:pos="90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Form of Placement Agent Common Stock Purchase Warrants-Series C, as filed as Exhibit 4. 8 to our Current Report on Form 8-K as filed on January 12, 2015 and incorporated herein by reference.</w:t>
      </w:r>
    </w:p>
    <w:p>
      <w:pPr>
        <w:spacing w:after="0" w:line="62" w:lineRule="exact"/>
        <w:rPr>
          <w:sz w:val="20"/>
          <w:szCs w:val="20"/>
          <w:color w:val="auto"/>
        </w:rPr>
      </w:pPr>
    </w:p>
    <w:p>
      <w:pPr>
        <w:ind w:left="920" w:right="300" w:hanging="737"/>
        <w:spacing w:after="0" w:line="277" w:lineRule="auto"/>
        <w:tabs>
          <w:tab w:leader="none" w:pos="90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Form of Placement Agent Common Stock Purchase Warrants-Series D, as filed as Exhibit 4. 9 to our Current Report on Form 8-K as filed on January 12, 2015 and incorporated herein by reference.</w:t>
      </w:r>
    </w:p>
    <w:p>
      <w:pPr>
        <w:spacing w:after="0" w:line="62" w:lineRule="exact"/>
        <w:rPr>
          <w:sz w:val="20"/>
          <w:szCs w:val="20"/>
          <w:color w:val="auto"/>
        </w:rPr>
      </w:pPr>
    </w:p>
    <w:p>
      <w:pPr>
        <w:ind w:left="920" w:right="220" w:hanging="737"/>
        <w:spacing w:after="0" w:line="277" w:lineRule="auto"/>
        <w:tabs>
          <w:tab w:leader="none" w:pos="90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Form of Placement Agent Common Stock Purchase Warrants-Series E, as filed as Exhibit 4. 10 to our Current Report on Form 8-K as filed on January 12, 2015 and incorporated herein by reference.</w:t>
      </w:r>
    </w:p>
    <w:p>
      <w:pPr>
        <w:spacing w:after="0" w:line="62" w:lineRule="exact"/>
        <w:rPr>
          <w:sz w:val="20"/>
          <w:szCs w:val="20"/>
          <w:color w:val="auto"/>
        </w:rPr>
      </w:pPr>
    </w:p>
    <w:p>
      <w:pPr>
        <w:ind w:left="920" w:right="240" w:hanging="737"/>
        <w:spacing w:after="0" w:line="277" w:lineRule="auto"/>
        <w:tabs>
          <w:tab w:leader="none" w:pos="90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8"/>
          <w:szCs w:val="18"/>
          <w:color w:val="auto"/>
        </w:rPr>
        <w:t>Form of Common Stock Purchase Warrants-Series A-1, as filed as Exhibit 4. 1 to our Current Report on Form 8-K as filed on March 10, 2015 and incorporated herein by reference.</w:t>
      </w:r>
    </w:p>
    <w:p>
      <w:pPr>
        <w:spacing w:after="0" w:line="62" w:lineRule="exact"/>
        <w:rPr>
          <w:sz w:val="20"/>
          <w:szCs w:val="20"/>
          <w:color w:val="auto"/>
        </w:rPr>
      </w:pPr>
    </w:p>
    <w:p>
      <w:pPr>
        <w:ind w:left="920" w:right="240" w:hanging="737"/>
        <w:spacing w:after="0" w:line="277" w:lineRule="auto"/>
        <w:tabs>
          <w:tab w:leader="none" w:pos="90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8"/>
          <w:szCs w:val="18"/>
          <w:color w:val="auto"/>
        </w:rPr>
        <w:t>Form of Common Stock Purchase Warrants-Series B-1, as filed as Exhibit 4. 2 to our Current Report on Form 8-K as filed on March 10, 2015 and incorporated herein by reference.</w:t>
      </w:r>
    </w:p>
    <w:p>
      <w:pPr>
        <w:spacing w:after="0" w:line="62" w:lineRule="exact"/>
        <w:rPr>
          <w:sz w:val="20"/>
          <w:szCs w:val="20"/>
          <w:color w:val="auto"/>
        </w:rPr>
      </w:pPr>
    </w:p>
    <w:p>
      <w:pPr>
        <w:ind w:left="920" w:right="240" w:hanging="737"/>
        <w:spacing w:after="0" w:line="277" w:lineRule="auto"/>
        <w:tabs>
          <w:tab w:leader="none" w:pos="90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8"/>
          <w:szCs w:val="18"/>
          <w:color w:val="auto"/>
        </w:rPr>
        <w:t>Form of Common Stock Purchase Warrants-Series C-1, as filed as Exhibit 4. 3 to our Current Report on Form 8-K as filed on March 10, 2015 and incorporated herein by reference.</w:t>
      </w:r>
    </w:p>
    <w:p>
      <w:pPr>
        <w:spacing w:after="0" w:line="62" w:lineRule="exact"/>
        <w:rPr>
          <w:sz w:val="20"/>
          <w:szCs w:val="20"/>
          <w:color w:val="auto"/>
        </w:rPr>
      </w:pPr>
    </w:p>
    <w:p>
      <w:pPr>
        <w:ind w:left="920" w:right="240" w:hanging="737"/>
        <w:spacing w:after="0" w:line="277" w:lineRule="auto"/>
        <w:tabs>
          <w:tab w:leader="none" w:pos="90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Form of Common Stock Purchase Warrants-Series D-1, as filed as Exhibit 4. 4 to our Current Report on Form 8-K as filed on March 10, 2015 and incorporated herein by reference.</w:t>
      </w:r>
    </w:p>
    <w:p>
      <w:pPr>
        <w:spacing w:after="0" w:line="62" w:lineRule="exact"/>
        <w:rPr>
          <w:sz w:val="20"/>
          <w:szCs w:val="20"/>
          <w:color w:val="auto"/>
        </w:rPr>
      </w:pPr>
    </w:p>
    <w:p>
      <w:pPr>
        <w:ind w:left="920" w:right="260" w:hanging="737"/>
        <w:spacing w:after="0" w:line="277" w:lineRule="auto"/>
        <w:tabs>
          <w:tab w:leader="none" w:pos="90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Form of Common Stock Purchase Warrants-Series E-1, as filed as Exhibit 4. 5 to our Current Report on Form 8-K as filed on March 10, 2015 and incorporated herein by reference.</w:t>
      </w:r>
    </w:p>
    <w:p>
      <w:pPr>
        <w:spacing w:after="0" w:line="62" w:lineRule="exact"/>
        <w:rPr>
          <w:sz w:val="20"/>
          <w:szCs w:val="20"/>
          <w:color w:val="auto"/>
        </w:rPr>
      </w:pPr>
    </w:p>
    <w:p>
      <w:pPr>
        <w:ind w:left="920" w:right="140" w:hanging="737"/>
        <w:spacing w:after="0" w:line="277" w:lineRule="auto"/>
        <w:tabs>
          <w:tab w:leader="none" w:pos="90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Form of Placement Agent Common Stock Purchase Warrants-Series A-1, as filed as Exhibit 4. 6 to our Current Report on Form 8-K as filed on March 10, 2015 and incorporated herein by reference.</w:t>
      </w:r>
    </w:p>
    <w:p>
      <w:pPr>
        <w:spacing w:after="0" w:line="62" w:lineRule="exact"/>
        <w:rPr>
          <w:sz w:val="20"/>
          <w:szCs w:val="20"/>
          <w:color w:val="auto"/>
        </w:rPr>
      </w:pPr>
    </w:p>
    <w:p>
      <w:pPr>
        <w:ind w:left="920" w:right="160" w:hanging="737"/>
        <w:spacing w:after="0" w:line="277" w:lineRule="auto"/>
        <w:tabs>
          <w:tab w:leader="none" w:pos="90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8"/>
          <w:szCs w:val="18"/>
          <w:color w:val="auto"/>
        </w:rPr>
        <w:t>Form of Placement Agent Common Stock Purchase Warrants-Series B-1, as filed as Exhibit 4. 7 to our Current Report on Form 8-K as filed on March 10, 2015 and incorporated herein by reference.</w:t>
      </w:r>
    </w:p>
    <w:p>
      <w:pPr>
        <w:spacing w:after="0" w:line="62" w:lineRule="exact"/>
        <w:rPr>
          <w:sz w:val="20"/>
          <w:szCs w:val="20"/>
          <w:color w:val="auto"/>
        </w:rPr>
      </w:pPr>
    </w:p>
    <w:p>
      <w:pPr>
        <w:ind w:left="920" w:right="160" w:hanging="737"/>
        <w:spacing w:after="0" w:line="277" w:lineRule="auto"/>
        <w:tabs>
          <w:tab w:leader="none" w:pos="90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8"/>
          <w:szCs w:val="18"/>
          <w:color w:val="auto"/>
        </w:rPr>
        <w:t>Form of Placement Agent Common Stock Purchase Warrants-Series C-1, as filed as Exhibit 4. 8 to our Current Report on Form 8-K as filed on March 10, 2015 and incorporated herein by reference.</w:t>
      </w:r>
    </w:p>
    <w:p>
      <w:pPr>
        <w:spacing w:after="0" w:line="62" w:lineRule="exact"/>
        <w:rPr>
          <w:sz w:val="20"/>
          <w:szCs w:val="20"/>
          <w:color w:val="auto"/>
        </w:rPr>
      </w:pPr>
    </w:p>
    <w:p>
      <w:pPr>
        <w:ind w:left="920" w:right="140" w:hanging="737"/>
        <w:spacing w:after="0" w:line="277" w:lineRule="auto"/>
        <w:tabs>
          <w:tab w:leader="none" w:pos="900"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8"/>
          <w:szCs w:val="18"/>
          <w:color w:val="auto"/>
        </w:rPr>
        <w:t>Form of Placement Agent Common Stock Purchase Warrants-Series D-1, as filed as Exhibit 4. 9 to our Current Report on Form 8-K as filed on March 10, 2015 and incorporated herein by reference.</w:t>
      </w:r>
    </w:p>
    <w:p>
      <w:pPr>
        <w:spacing w:after="0" w:line="62" w:lineRule="exact"/>
        <w:rPr>
          <w:sz w:val="20"/>
          <w:szCs w:val="20"/>
          <w:color w:val="auto"/>
        </w:rPr>
      </w:pPr>
    </w:p>
    <w:p>
      <w:pPr>
        <w:ind w:left="920" w:right="80" w:hanging="737"/>
        <w:spacing w:after="0" w:line="277" w:lineRule="auto"/>
        <w:tabs>
          <w:tab w:leader="none" w:pos="90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8"/>
          <w:szCs w:val="18"/>
          <w:color w:val="auto"/>
        </w:rPr>
        <w:t>Form of Placement Agent Common Stock Purchase Warrants-Series E-1, as filed as Exhibit 4. 10 to our Current Report on Form 8-K as filed on March 10, 2015 and incorporated herein by reference.</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Executive Services Agreement with Denis Corin as filed as Exhibit 10. 1 to our Quarterly Report on Form 10-QSB as filed on November 14,</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2007 and incorporated herein by reference.</w:t>
      </w:r>
    </w:p>
    <w:p>
      <w:pPr>
        <w:spacing w:after="0" w:line="103" w:lineRule="exact"/>
        <w:rPr>
          <w:sz w:val="20"/>
          <w:szCs w:val="20"/>
          <w:color w:val="auto"/>
        </w:rPr>
      </w:pPr>
    </w:p>
    <w:p>
      <w:pPr>
        <w:ind w:left="920" w:right="660" w:hanging="827"/>
        <w:spacing w:after="0" w:line="277"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Executive Services Agreement with Denis Corin as filed as Exhibit 10. 2 to our Quarterly Report on Form 10-QSB as filed on November 14, 2007 and incorporated herein by reference.</w:t>
      </w:r>
    </w:p>
    <w:p>
      <w:pPr>
        <w:spacing w:after="0" w:line="62" w:lineRule="exact"/>
        <w:rPr>
          <w:sz w:val="20"/>
          <w:szCs w:val="20"/>
          <w:color w:val="auto"/>
        </w:rPr>
      </w:pPr>
    </w:p>
    <w:p>
      <w:pPr>
        <w:ind w:left="920" w:right="100" w:hanging="827"/>
        <w:spacing w:after="0" w:line="308"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License Agreement made March 6, 2000 between GeneMax Pharmaceuticals, UBC and Dr. Jefferies as filed as an Exhibit to our Annual Report on Form 10-KSB for the year ended December 31, 2004 as filed on April 15, 2005 and incorporated by reference herein.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94"/>
              </w:rPr>
              <w:t>Exhibit</w:t>
            </w:r>
          </w:p>
        </w:tc>
        <w:tc>
          <w:tcPr>
            <w:tcW w:w="334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88"/>
              </w:rPr>
              <w:t>No.</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0</wp:posOffset>
            </wp:positionV>
            <wp:extent cx="2832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72" w:lineRule="exact"/>
        <w:rPr>
          <w:sz w:val="20"/>
          <w:szCs w:val="20"/>
          <w:color w:val="auto"/>
        </w:rPr>
      </w:pPr>
    </w:p>
    <w:p>
      <w:pPr>
        <w:ind w:left="920" w:right="120" w:hanging="827"/>
        <w:spacing w:after="0" w:line="264" w:lineRule="auto"/>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Collaborative Research Agreement made September 1, 2000 between GeneMax Pharmaceuticals, GeneMax Pharmaceuticals Inc. and UBC as filed as an Exhibit to our Annual Report on Form 10-KSB for the year ended December 31, 2004 as filed on April 15, 2005 and incorporated by reference herein.</w:t>
      </w:r>
    </w:p>
    <w:p>
      <w:pPr>
        <w:spacing w:after="0" w:line="73" w:lineRule="exact"/>
        <w:rPr>
          <w:sz w:val="20"/>
          <w:szCs w:val="20"/>
          <w:color w:val="auto"/>
        </w:rPr>
      </w:pPr>
    </w:p>
    <w:p>
      <w:pPr>
        <w:jc w:val="center"/>
        <w:ind w:right="420"/>
        <w:spacing w:after="0" w:line="308" w:lineRule="auto"/>
        <w:rPr>
          <w:sz w:val="20"/>
          <w:szCs w:val="20"/>
          <w:color w:val="auto"/>
        </w:rPr>
      </w:pPr>
      <w:r>
        <w:rPr>
          <w:rFonts w:ascii="Arial" w:cs="Arial" w:eastAsia="Arial" w:hAnsi="Arial"/>
          <w:sz w:val="17"/>
          <w:szCs w:val="17"/>
          <w:color w:val="auto"/>
        </w:rPr>
        <w:t>10.5      Production Services Agreement made March 18, 2003 between the Company and Molecular Medicine as filed as an Exhibit to our Annual Report on Form 10-KSB for the year ended December 31, 2004 as filed on April 15, 2005 and incorporated by reference herein.</w:t>
      </w:r>
    </w:p>
    <w:p>
      <w:pPr>
        <w:spacing w:after="0" w:line="38" w:lineRule="exact"/>
        <w:rPr>
          <w:sz w:val="20"/>
          <w:szCs w:val="20"/>
          <w:color w:val="auto"/>
        </w:rPr>
      </w:pPr>
    </w:p>
    <w:p>
      <w:pPr>
        <w:ind w:left="920" w:hanging="827"/>
        <w:spacing w:after="0" w:line="342" w:lineRule="auto"/>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Biological Materials Transfer Agreement made October 21, 2003 between the Company and National Institutes of Health as filed as an Exhibit to our Annual Report on Form 10-KSB for the year ended December 31, 2004 as filed on April 15, 2005 and incorporated by reference herein.</w:t>
      </w:r>
    </w:p>
    <w:p>
      <w:pPr>
        <w:spacing w:after="0" w:line="16"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Option and Settlement Agreement made January 23, 2006 between GeneMax Pharmaceuticals, GeneMax Pharmaceuticals Inc., UBC and Dr.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Jefferies as filed as an Exhibit to the Company’s Current Report on Form 8-K as filed on January 24, 2006 and incorporated by reference herein.</w:t>
      </w:r>
    </w:p>
    <w:p>
      <w:pPr>
        <w:spacing w:after="0" w:line="126" w:lineRule="exact"/>
        <w:rPr>
          <w:sz w:val="20"/>
          <w:szCs w:val="20"/>
          <w:color w:val="auto"/>
        </w:rPr>
      </w:pPr>
    </w:p>
    <w:p>
      <w:pPr>
        <w:ind w:left="920" w:right="660" w:hanging="827"/>
        <w:spacing w:after="0" w:line="277" w:lineRule="auto"/>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2009 Stock Incentive Plan as filed as Exhibit B to our Information Statement filed on Definitive Schedule 14-C on January 29, 2010 and incorporated herein by reference.</w:t>
      </w:r>
    </w:p>
    <w:p>
      <w:pPr>
        <w:spacing w:after="0" w:line="62" w:lineRule="exact"/>
        <w:rPr>
          <w:sz w:val="20"/>
          <w:szCs w:val="20"/>
          <w:color w:val="auto"/>
        </w:rPr>
      </w:pPr>
    </w:p>
    <w:p>
      <w:pPr>
        <w:ind w:left="920" w:right="240" w:hanging="827"/>
        <w:spacing w:after="0" w:line="308" w:lineRule="auto"/>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Technology Option Agreement, dated June 1, 2010, between TapImmune Inc. and Mayo Foundation for Education and Research as filed as an Exhibit to the Company’s Current Report on Form 8-K as filed on June 4, 2010 and incorporated by reference herein.</w:t>
      </w:r>
    </w:p>
    <w:p>
      <w:pPr>
        <w:spacing w:after="0" w:line="38" w:lineRule="exact"/>
        <w:rPr>
          <w:sz w:val="20"/>
          <w:szCs w:val="20"/>
          <w:color w:val="auto"/>
        </w:rPr>
      </w:pPr>
    </w:p>
    <w:p>
      <w:pPr>
        <w:ind w:left="920" w:right="20" w:hanging="827"/>
        <w:spacing w:after="0" w:line="277" w:lineRule="auto"/>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Securities Purchase Agreement, dated as of August 11, 2014, by and among the Company and the Purchasers, as filed as Exhibit 10. 1 to our Current Report on Form 8-K as filed on August 14, 2014 and incorporated herein by reference.</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Placement Agency Agreement, dated as of July 29, 2014, by and between the Company and H. C. Wainwright &amp; Co., LLC, as filed as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 2 to our Current Report on Form 8-K as filed on August 14, 2014 and incorporated herein by reference.</w:t>
      </w:r>
    </w:p>
    <w:p>
      <w:pPr>
        <w:spacing w:after="0" w:line="103" w:lineRule="exact"/>
        <w:rPr>
          <w:sz w:val="20"/>
          <w:szCs w:val="20"/>
          <w:color w:val="auto"/>
        </w:rPr>
      </w:pPr>
    </w:p>
    <w:p>
      <w:pPr>
        <w:ind w:left="920" w:right="160" w:hanging="827"/>
        <w:spacing w:after="0" w:line="277" w:lineRule="auto"/>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Securities Purchase Agreement, dated as of January 12, 2015, by and among the Company and the Purchasers, as filed as Exhibit 10. 1 to our Current Report on Form 8-K as filed on January 12, 2015 and incorporated herein by reference.</w:t>
      </w:r>
    </w:p>
    <w:p>
      <w:pPr>
        <w:spacing w:after="0" w:line="62" w:lineRule="exact"/>
        <w:rPr>
          <w:sz w:val="20"/>
          <w:szCs w:val="20"/>
          <w:color w:val="auto"/>
        </w:rPr>
      </w:pPr>
    </w:p>
    <w:p>
      <w:pPr>
        <w:ind w:left="920" w:right="300" w:hanging="827"/>
        <w:spacing w:after="0" w:line="264" w:lineRule="auto"/>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Placement Agency Agreement, dated as of July 29, 2014 and Amended on January 12, 2015, by and between the Company and H. C. Wainwright &amp; Co., LLC, as filed as Exhibit 10. 2 to our Current Report on Form 8-K as filed on January 12, 2015 and incorporated herein by reference.</w:t>
      </w:r>
    </w:p>
    <w:p>
      <w:pPr>
        <w:spacing w:after="0" w:line="73" w:lineRule="exact"/>
        <w:rPr>
          <w:sz w:val="20"/>
          <w:szCs w:val="20"/>
          <w:color w:val="auto"/>
        </w:rPr>
      </w:pPr>
    </w:p>
    <w:p>
      <w:pPr>
        <w:ind w:left="920" w:right="320" w:hanging="827"/>
        <w:spacing w:after="0" w:line="277"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Finders Agreement, dated as of January 12, 2015, by and between the Company and Olympus Securities LLC, as filed as Exhibit 10. 3 to our Current Report on Form 8-K as filed on January 12, 2015 and incorporated herein by reference.</w:t>
      </w:r>
    </w:p>
    <w:p>
      <w:pPr>
        <w:spacing w:after="0" w:line="62" w:lineRule="exact"/>
        <w:rPr>
          <w:sz w:val="20"/>
          <w:szCs w:val="20"/>
          <w:color w:val="auto"/>
        </w:rPr>
      </w:pPr>
    </w:p>
    <w:p>
      <w:pPr>
        <w:ind w:left="920" w:right="120" w:hanging="827"/>
        <w:spacing w:after="0" w:line="277"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Securities Purchase Agreement, dated as of March 9, 2015, by and among the Company and Eastern Capital Limited, as filed as Exhibit 10. 1 to our Current Report on Form 8-K as filed on March 10, 2015 and incorporated herein by reference.</w:t>
      </w:r>
    </w:p>
    <w:p>
      <w:pPr>
        <w:spacing w:after="0" w:line="62" w:lineRule="exact"/>
        <w:rPr>
          <w:sz w:val="20"/>
          <w:szCs w:val="20"/>
          <w:color w:val="auto"/>
        </w:rPr>
      </w:pPr>
    </w:p>
    <w:p>
      <w:pPr>
        <w:ind w:left="920" w:right="80" w:hanging="827"/>
        <w:spacing w:after="0" w:line="264"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Placement Agency Agreement, dated as of July 29, 2014, Amended on January 12, 2015, by and between the Company and H. C. Wainwright &amp; Co., LLC and Amended on March 9, 2015, by and between the Company and H. C. Wainwright &amp; Co., LLC, as filed as Exhibit 10. 2 to our Current Report on Form 8-K as filed on March 10, 2015 and incorporated herein by reference.</w:t>
      </w:r>
    </w:p>
    <w:p>
      <w:pPr>
        <w:spacing w:after="0" w:line="73"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Form of Restructuring Agreement dated May 28, 2015 as filed as an Exhibit to the Company’s Current Report on Form 8-K as filed on June 3,</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2015 and incorporated by reference herein.</w:t>
      </w:r>
    </w:p>
    <w:p>
      <w:pPr>
        <w:spacing w:after="0" w:line="103" w:lineRule="exact"/>
        <w:rPr>
          <w:sz w:val="20"/>
          <w:szCs w:val="20"/>
          <w:color w:val="auto"/>
        </w:rPr>
      </w:pPr>
    </w:p>
    <w:p>
      <w:pPr>
        <w:ind w:left="920" w:right="140" w:hanging="827"/>
        <w:spacing w:after="0" w:line="277" w:lineRule="auto"/>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Amended and Restated Restructuring Agreement, dated as of June 2, 2015 as filed as an Exhibit to the Company’s Current Report on Form 8-K as filed on June 5, 2015 and incorporated by reference herein.</w:t>
      </w:r>
    </w:p>
    <w:p>
      <w:pPr>
        <w:spacing w:after="0" w:line="62" w:lineRule="exact"/>
        <w:rPr>
          <w:sz w:val="20"/>
          <w:szCs w:val="20"/>
          <w:color w:val="auto"/>
        </w:rPr>
      </w:pPr>
    </w:p>
    <w:p>
      <w:pPr>
        <w:ind w:left="920" w:right="200" w:hanging="827"/>
        <w:spacing w:after="0" w:line="277"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Consulting Agreement, dated February 10, 2015, between TapImmune Inc. and John Bonfiglio as filed as an Exhibit to the Company’s Current Report on Form 8-K as filed on, July 30, 2015 and incorporated by reference herein. **</w:t>
      </w:r>
    </w:p>
    <w:p>
      <w:pPr>
        <w:spacing w:after="0" w:line="62" w:lineRule="exact"/>
        <w:rPr>
          <w:sz w:val="20"/>
          <w:szCs w:val="20"/>
          <w:color w:val="auto"/>
        </w:rPr>
      </w:pPr>
    </w:p>
    <w:p>
      <w:pPr>
        <w:ind w:left="920" w:right="100" w:hanging="827"/>
        <w:spacing w:after="0" w:line="277"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License and Assignment Agreement, dated July 21, 2015, with The Mayo Foundation for Medical Education and Research filed as an Exhibit to the Company’s Quarterly Report on Form 10-Q as filed on August 14, 2015 and incorporated by reference herein.</w:t>
      </w:r>
    </w:p>
    <w:p>
      <w:pPr>
        <w:spacing w:after="0" w:line="62" w:lineRule="exact"/>
        <w:rPr>
          <w:sz w:val="20"/>
          <w:szCs w:val="20"/>
          <w:color w:val="auto"/>
        </w:rPr>
      </w:pPr>
    </w:p>
    <w:p>
      <w:pPr>
        <w:ind w:left="920" w:right="180" w:hanging="827"/>
        <w:spacing w:after="0" w:line="277"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2014 Omnibus Stock Ownership Plan filed as an Exhibit to the Company’s Quarterly Report on Form 10-Q as filed on November 16, 2015 and incorporated by reference herein. **</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0820" w:type="dxa"/>
            <w:vAlign w:val="bottom"/>
            <w:gridSpan w:val="3"/>
            <w:vMerge w:val="restart"/>
          </w:tcPr>
          <w:p>
            <w:pPr>
              <w:ind w:left="53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b w:val="1"/>
                <w:bCs w:val="1"/>
                <w:color w:val="auto"/>
              </w:rPr>
              <w:t>No.</w:t>
            </w:r>
          </w:p>
        </w:tc>
        <w:tc>
          <w:tcPr>
            <w:tcW w:w="108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w w:val="84"/>
              </w:rPr>
              <w:t>10.22</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1"/>
              </w:rPr>
              <w:t>Amendment to 2014 Omnibus Stock Ownership Plan (February 10, 2015) filed as an Exhibit to the Company’s Quarterly Report on Form 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Q as filed on November 16, 2015 and incorporated by reference herein. **</w:t>
            </w: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w w:val="84"/>
              </w:rPr>
              <w:t>10.23</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1"/>
              </w:rPr>
              <w:t>Amendment to 2014 Omnibus Stock Ownership Plan (November 6, 2015) filed as an Exhibit to the Company’s Quarterly Report on Form 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Q as filed on November 16, 2015 and incorporated by reference herein. **</w:t>
            </w: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w w:val="84"/>
              </w:rPr>
              <w:t>10.24</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3"/>
              </w:rPr>
              <w:t>Form of Stock Option Award Agreement – Key Employee filed as an Exhibit to the Company’s Quarterly Report on Form 10-Q as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November 16, 2015 and incorporated by reference herein. **</w:t>
            </w: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w w:val="84"/>
              </w:rPr>
              <w:t>10.25</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3"/>
              </w:rPr>
              <w:t>Form of Stock Option Award Agreement – Non-employee Director filed as an Exhibit to the Company’s Quarterly Report on Form 10-Q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filed on November 16, 2015 and incorporated by reference herein. **</w:t>
            </w: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w w:val="84"/>
              </w:rPr>
              <w:t>10.26</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6"/>
              </w:rPr>
              <w:t>Form of Stock Option Award Agreement – Consultant filed as an Exhibit to the Company’s Quarterly Report on Form 10-Q as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November 16, 2015 and incorporated by reference herein. **</w:t>
            </w: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w w:val="84"/>
              </w:rPr>
              <w:t>10.27</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4"/>
              </w:rPr>
              <w:t>Form of Restricted Stock Award Agreement – Consultant filed as an Exhibit to the Company’s Quarterly Report on Form 10-Q as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November 16, 2015 and incorporated by reference herein. **</w:t>
            </w: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w w:val="84"/>
              </w:rPr>
              <w:t>10.28</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3"/>
              </w:rPr>
              <w:t>Employment Agreement between TapImmune, Inc. and Dr. Glynn Wilson, dated November 12, 2015 filed as an Exhibit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Quarterly Report on Form 10-Q as filed on November 16, 2015 and incorporated by reference herein. **</w:t>
            </w: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w w:val="84"/>
              </w:rPr>
              <w:t>10.29</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3"/>
              </w:rPr>
              <w:t>Amendment to Consulting Agreement between TapImmune Inc. and John Bonfiglio dated as of June 12, 2015 as filed as an Exhibit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Company’s Current Report on Form 8-K as filed on, February 16, 2016 and incorporated by reference herein. **</w:t>
            </w: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w w:val="84"/>
              </w:rPr>
              <w:t>10.30</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0"/>
              </w:rPr>
              <w:t>Second Amendment to the Consulting Agreement by and between TapImmune Inc. and John Bonfiglio dated as of February 10, 2016 as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7"/>
              </w:rPr>
              <w:t>as an Exhibit to the Company’s Current Report on Form 8-K as filed on, February 16, 2016 and incorporated by reference herein.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60" w:right="240" w:hanging="1062"/>
        <w:spacing w:after="0" w:line="277" w:lineRule="auto"/>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Code of Ethics and Business Conduct filed as an Exhibit to the Company’s Quarterly Report on Form 10-Q as filed on November 16, 2015 and incorporated by reference herein.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21.1</w:t>
            </w:r>
          </w:p>
        </w:tc>
        <w:tc>
          <w:tcPr>
            <w:tcW w:w="10360" w:type="dxa"/>
            <w:vAlign w:val="bottom"/>
          </w:tcPr>
          <w:p>
            <w:pPr>
              <w:ind w:left="240"/>
              <w:spacing w:after="0"/>
              <w:rPr>
                <w:sz w:val="20"/>
                <w:szCs w:val="20"/>
                <w:color w:val="auto"/>
              </w:rPr>
            </w:pPr>
            <w:r>
              <w:rPr>
                <w:rFonts w:ascii="Arial" w:cs="Arial" w:eastAsia="Arial" w:hAnsi="Arial"/>
                <w:sz w:val="18"/>
                <w:szCs w:val="18"/>
                <w:color w:val="auto"/>
                <w:w w:val="99"/>
              </w:rPr>
              <w:t>Subsidiaries of TapImmune Inc. filed as an Exhibit to the Company’s Annual Report on Form 10-K as filed on April 18, 2011 and</w:t>
            </w:r>
          </w:p>
        </w:tc>
      </w:tr>
      <w:tr>
        <w:trPr>
          <w:trHeight w:val="230"/>
        </w:trPr>
        <w:tc>
          <w:tcPr>
            <w:tcW w:w="92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incorporated by reference herein.</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0360" w:type="dxa"/>
            <w:vAlign w:val="bottom"/>
          </w:tcPr>
          <w:p>
            <w:pPr>
              <w:ind w:left="240"/>
              <w:spacing w:after="0"/>
              <w:rPr>
                <w:sz w:val="20"/>
                <w:szCs w:val="20"/>
                <w:color w:val="auto"/>
              </w:rPr>
            </w:pPr>
            <w:r>
              <w:rPr>
                <w:rFonts w:ascii="Arial" w:cs="Arial" w:eastAsia="Arial" w:hAnsi="Arial"/>
                <w:sz w:val="18"/>
                <w:szCs w:val="18"/>
                <w:color w:val="auto"/>
                <w:w w:val="92"/>
              </w:rPr>
              <w:t>Certification of Principal Executive Officer and Acting Principal Accounting Officer pursuant to Securities Exchange Act of 1934 Rule 13a-</w:t>
            </w:r>
          </w:p>
        </w:tc>
      </w:tr>
      <w:tr>
        <w:trPr>
          <w:trHeight w:val="230"/>
        </w:trPr>
        <w:tc>
          <w:tcPr>
            <w:tcW w:w="92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14(a) or 15d-14(a). *</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36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 and Acting Principal Accounting Officer pursuant to 18 U. S. C. Section 1350.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Executive management contract or compensatory plan or arrangement.</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this exhibit has been submitted separately with the SEC.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Section 13 and 15 (d)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56"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Glynn Wilson</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Principal Executive Officer and Acting Principal</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Accounting Officer</w:t>
      </w:r>
    </w:p>
    <w:p>
      <w:pPr>
        <w:spacing w:after="0" w:line="21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Date: April 14, 2016</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Glynn Wilson,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14, 2016</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Sherry Grisewood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Sherry Grisewood,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14, 2016</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David Laskow-Pooley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Laskow-Pooley,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14, 2016</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Reddish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Reddish,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14, 2016</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John Bonfiglio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Bonfiglio,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14, 2016</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Frederick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Frederick Wasserman,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14, 2016</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131"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TapImmune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900" w:right="820" w:hanging="446"/>
        <w:spacing w:after="0" w:line="342" w:lineRule="auto"/>
        <w:tabs>
          <w:tab w:leader="none" w:pos="9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160" w:hanging="446"/>
        <w:spacing w:after="0" w:line="277"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Glynn Wilson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 Principal Executive Officer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Acting Principal Accounting Officer</w:t>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i w:val="1"/>
          <w:iCs w:val="1"/>
          <w:color w:val="auto"/>
        </w:rPr>
        <w:t xml:space="preserve">In connection with the Annual Report of TapImmune, Inc. (the “Company”) on Form 10-K for the period ended December 31, 2015 as filed with the Securities and Exchange Commission on the date hereof (the “Report”), </w:t>
      </w:r>
      <w:r>
        <w:rPr>
          <w:rFonts w:ascii="Arial" w:cs="Arial" w:eastAsia="Arial" w:hAnsi="Arial"/>
          <w:sz w:val="16"/>
          <w:szCs w:val="16"/>
          <w:color w:val="auto"/>
        </w:rPr>
        <w:t>I, Glynn Wilson, Principal Executive Officer and Acting Principal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the Company, certify, pursuant to 18 U.S.C. Section 1350, as adopted pursuant to Section 906 of the Sarbanes-Oxley Act of 2002, that:</w:t>
      </w:r>
    </w:p>
    <w:p>
      <w:pPr>
        <w:spacing w:after="0" w:line="39"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this Report fairly presents, in all material respects, the financial condition and results of operations of the Company.</w:t>
      </w: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certification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2016</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Glynn Wilson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Executive Officer, Principal Executive Officer and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Acting 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upperLetter"/>
      <w:start w:val="35"/>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Roman"/>
      <w:start w:val="6"/>
    </w:lvl>
  </w:abstractNum>
  <w:abstractNum w:abstractNumId="28">
    <w:nsid w:val="4B588F54"/>
    <w:multiLevelType w:val="hybridMultilevel"/>
    <w:lvl w:ilvl="0">
      <w:lvlJc w:val="left"/>
      <w:lvlText w:val="(%1)"/>
      <w:numFmt w:val="lowerRoman"/>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lvl w:ilvl="1">
      <w:lvlJc w:val="left"/>
      <w:lvlText w:val="(%2)"/>
      <w:numFmt w:val="lowerRoman"/>
      <w:start w:val="1"/>
    </w:lvl>
    <w:lvl w:ilvl="2">
      <w:lvlJc w:val="left"/>
      <w:lvlText w:val="(%3)"/>
      <w:numFmt w:val="decimal"/>
      <w:start w:val="1"/>
    </w:lvl>
  </w:abstractNum>
  <w:abstractNum w:abstractNumId="32">
    <w:nsid w:val="7644A45C"/>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33">
    <w:nsid w:val="32FFF902"/>
    <w:multiLevelType w:val="hybridMultilevel"/>
    <w:lvl w:ilvl="0">
      <w:lvlJc w:val="left"/>
      <w:lvlText w:val="•"/>
      <w:numFmt w:val="bullet"/>
      <w:start w:val="1"/>
    </w:lvl>
    <w:lvl w:ilvl="1">
      <w:lvlJc w:val="left"/>
      <w:lvlText w:val="(%2)"/>
      <w:numFmt w:val="decimal"/>
      <w:start w:val="3"/>
    </w:lvl>
    <w:lvl w:ilvl="2">
      <w:lvlJc w:val="left"/>
      <w:lvlText w:val="%3"/>
      <w:numFmt w:val="lowerRoman"/>
      <w:start w:val="1"/>
    </w:lvl>
    <w:lvl w:ilvl="3">
      <w:lvlJc w:val="left"/>
      <w:lvlText w:val="%4"/>
      <w:numFmt w:val="upperLetter"/>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1"/>
      <w:numFmt w:val="upperLetter"/>
      <w:start w:val="35"/>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lowerRoman"/>
      <w:start w:val="2"/>
    </w:lvl>
  </w:abstractNum>
  <w:abstractNum w:abstractNumId="41">
    <w:nsid w:val="12E685FB"/>
    <w:multiLevelType w:val="hybridMultilevel"/>
    <w:lvl w:ilvl="0">
      <w:lvlJc w:val="left"/>
      <w:lvlText w:val="(%1)"/>
      <w:numFmt w:val="lowerLetter"/>
      <w:start w:val="2"/>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9"/>
    </w:lvl>
  </w:abstractNum>
  <w:abstractNum w:abstractNumId="49">
    <w:nsid w:val="39386575"/>
    <w:multiLevelType w:val="hybridMultilevel"/>
    <w:lvl w:ilvl="0">
      <w:lvlJc w:val="left"/>
      <w:lvlText w:val="(%1)"/>
      <w:numFmt w:val="decimal"/>
      <w:start w:val="12"/>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1)"/>
      <w:numFmt w:val="lowerRoman"/>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14"/>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2020-01-20T04:11:05Z</dcterms:created>
  <dcterms:modified xsi:type="dcterms:W3CDTF">2020-01-20T04:11:05Z</dcterms:modified>
</cp:coreProperties>
</file>