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both"/>
        <w:rPr/>
      </w:pPr>
      <w:hyperlink w:anchor="TOC">
        <w:bookmarkStart w:id="0" w:name="mrkr-20250630x10q.htm"/>
        <w:bookmarkStart w:id="1" w:name="ksmrkr2025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bookmarkStart w:id="2" w:name="_e18e9865_3d63_4d8a_8ffd_1af0601bede6"/>
      <w:bookmarkEnd w:id="2"/>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 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 xml:space="preserve">Quarterly Report Under Section 13 or 15(d) of the Securities Exchange Act of 1934 for the quarterly period ended June 30, 2025 </w:t>
      </w:r>
    </w:p>
    <w:p>
      <w:pPr>
        <w:pStyle w:val="TextBody"/>
        <w:pBdr/>
        <w:bidi w:val="0"/>
        <w:spacing w:before="0" w:after="240"/>
        <w:ind w:left="0" w:right="0" w:hanging="360"/>
        <w:jc w:val="both"/>
        <w:rPr/>
      </w:pPr>
      <w:r>
        <w:rPr/>
        <w:t>​</w:t>
      </w:r>
    </w:p>
    <w:p>
      <w:pPr>
        <w:pStyle w:val="TextBody"/>
        <w:pBdr/>
        <w:bidi w:val="0"/>
        <w:spacing w:before="0" w:after="0"/>
        <w:ind w:left="0" w:right="0" w:hanging="360"/>
        <w:jc w:val="both"/>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bidi w:val="0"/>
        <w:spacing w:before="0" w:after="240"/>
        <w:ind w:left="0" w:right="0" w:hanging="0"/>
        <w:jc w:val="center"/>
        <w:rPr/>
      </w:pPr>
      <w:r>
        <w:rPr/>
        <w:t>​</w:t>
      </w:r>
    </w:p>
    <w:p>
      <w:pPr>
        <w:pStyle w:val="TextBody"/>
        <w:bidi w:val="0"/>
        <w:spacing w:before="0" w:after="0"/>
        <w:ind w:left="0" w:right="0" w:hanging="0"/>
        <w:jc w:val="center"/>
        <w:rPr/>
      </w:pPr>
      <w:r>
        <w:rPr/>
        <w:drawing>
          <wp:inline distT="0" distB="0" distL="0" distR="0">
            <wp:extent cx="2666365" cy="761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1365"/>
                    </a:xfrm>
                    <a:prstGeom prst="rect">
                      <a:avLst/>
                    </a:prstGeom>
                  </pic:spPr>
                </pic:pic>
              </a:graphicData>
            </a:graphic>
          </wp:inline>
        </w:drawing>
      </w:r>
    </w:p>
    <w:p>
      <w:pPr>
        <w:pStyle w:val="TextBody"/>
        <w:bidi w:val="0"/>
        <w:spacing w:before="0" w:after="240"/>
        <w:ind w:left="0" w:right="0" w:hanging="0"/>
        <w:jc w:val="center"/>
        <w:rPr/>
      </w:pPr>
      <w:r>
        <w:rPr/>
        <w:t>​</w:t>
      </w:r>
    </w:p>
    <w:p>
      <w:pPr>
        <w:pStyle w:val="TextBody"/>
        <w:pBdr>
          <w:bottom w:val="single" w:sz="2" w:space="1" w:color="000000"/>
        </w:pBdr>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POwtxz2ArkGgztzbByYQyg_2_2"/>
      <w:bookmarkStart w:id="4" w:name="Tc_35zh3C6MYUC3-3rKUYZ9lQ_2_0"/>
      <w:bookmarkStart w:id="5" w:name="_9af6c5aa_2964_4dcd_963c_1242e1a24825"/>
      <w:bookmarkStart w:id="6" w:name="Tc_POwtxz2ArkGgztzbByYQyg_2_2"/>
      <w:bookmarkStart w:id="7" w:name="Tc_35zh3C6MYUC3-3rKUYZ9lQ_2_0"/>
      <w:bookmarkStart w:id="8" w:name="_9af6c5aa_2964_4dcd_963c_1242e1a24825"/>
      <w:bookmarkEnd w:id="6"/>
      <w:bookmarkEnd w:id="7"/>
      <w:bookmarkEnd w:id="8"/>
    </w:p>
    <w:tbl>
      <w:tblPr>
        <w:tblW w:w="7363" w:type="dxa"/>
        <w:jc w:val="left"/>
        <w:tblInd w:w="0" w:type="dxa"/>
        <w:tblLayout w:type="fixed"/>
        <w:tblCellMar>
          <w:top w:w="0" w:type="dxa"/>
          <w:left w:w="0" w:type="dxa"/>
          <w:bottom w:w="0" w:type="dxa"/>
          <w:right w:w="0" w:type="dxa"/>
        </w:tblCellMar>
      </w:tblPr>
      <w:tblGrid>
        <w:gridCol w:w="4321"/>
        <w:gridCol w:w="326"/>
        <w:gridCol w:w="2716"/>
      </w:tblGrid>
      <w:tr>
        <w:trPr/>
        <w:tc>
          <w:tcPr>
            <w:tcW w:w="43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716" w:type="dxa"/>
            <w:tcBorders/>
            <w:vAlign w:val="center"/>
          </w:tcPr>
          <w:p>
            <w:pPr>
              <w:pStyle w:val="TableContents"/>
              <w:bidi w:val="0"/>
              <w:spacing w:before="0" w:after="0"/>
              <w:ind w:left="0" w:right="0" w:hanging="0"/>
              <w:jc w:val="both"/>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vAlign w:val="center"/>
          </w:tcPr>
          <w:p>
            <w:pPr>
              <w:pStyle w:val="TableContents"/>
              <w:bidi w:val="0"/>
              <w:spacing w:before="0" w:after="0"/>
              <w:ind w:left="0" w:right="0" w:hanging="0"/>
              <w:jc w:val="both"/>
              <w:rPr/>
            </w:pPr>
            <w:r>
              <w:rPr/>
              <w:t>    </w:t>
            </w:r>
          </w:p>
        </w:tc>
        <w:tc>
          <w:tcPr>
            <w:tcW w:w="27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7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9" w:name="Tc_VQbiZnzqwEiaazHNfp3yvA_3_2"/>
      <w:bookmarkStart w:id="10" w:name="Tc_YUp-ALvOY0ewdS6c8cxPMg_3_0"/>
      <w:bookmarkStart w:id="11" w:name="Tc_3zLCdvZQNUmFE2kKeKk9_g_2_0"/>
      <w:bookmarkStart w:id="12" w:name="_b494b851_bca4_40ad_954f_bf49924fdd67"/>
      <w:bookmarkStart w:id="13" w:name="Tc_VQbiZnzqwEiaazHNfp3yvA_3_2"/>
      <w:bookmarkStart w:id="14" w:name="Tc_YUp-ALvOY0ewdS6c8cxPMg_3_0"/>
      <w:bookmarkStart w:id="15" w:name="Tc_3zLCdvZQNUmFE2kKeKk9_g_2_0"/>
      <w:bookmarkStart w:id="16" w:name="_b494b851_bca4_40ad_954f_bf49924fdd67"/>
      <w:bookmarkEnd w:id="13"/>
      <w:bookmarkEnd w:id="14"/>
      <w:bookmarkEnd w:id="15"/>
      <w:bookmarkEnd w:id="16"/>
    </w:p>
    <w:tbl>
      <w:tblPr>
        <w:tblW w:w="5113" w:type="dxa"/>
        <w:jc w:val="left"/>
        <w:tblInd w:w="0" w:type="dxa"/>
        <w:tblLayout w:type="fixed"/>
        <w:tblCellMar>
          <w:top w:w="0" w:type="dxa"/>
          <w:left w:w="0" w:type="dxa"/>
          <w:bottom w:w="0" w:type="dxa"/>
          <w:right w:w="0" w:type="dxa"/>
        </w:tblCellMar>
      </w:tblPr>
      <w:tblGrid>
        <w:gridCol w:w="3856"/>
        <w:gridCol w:w="326"/>
        <w:gridCol w:w="93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2450 Holcombe Blvd, TMC Partners Office 1.311</w:t>
            </w:r>
            <w:r>
              <w:rPr>
                <w:rFonts w:ascii="Times New Roman;Times;serif" w:hAnsi="Times New Roman;Times;serif"/>
                <w:sz w:val="18"/>
              </w:rPr>
              <w:br/>
            </w:r>
            <w:r>
              <w:rPr>
                <w:rFonts w:ascii="Times New Roman;Times;serif" w:hAnsi="Times New Roman;Times;serif"/>
                <w:b/>
                <w:sz w:val="18"/>
              </w:rPr>
              <w:t>Houston, Texas</w:t>
            </w:r>
          </w:p>
        </w:tc>
        <w:tc>
          <w:tcPr>
            <w:tcW w:w="326" w:type="dxa"/>
            <w:tcBorders/>
            <w:vAlign w:val="center"/>
          </w:tcPr>
          <w:p>
            <w:pPr>
              <w:pStyle w:val="TableContents"/>
              <w:bidi w:val="0"/>
              <w:spacing w:before="0" w:after="0"/>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77021</w:t>
            </w:r>
          </w:p>
        </w:tc>
      </w:tr>
      <w:tr>
        <w:trPr/>
        <w:tc>
          <w:tcPr>
            <w:tcW w:w="38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both"/>
        <w:rPr/>
      </w:pPr>
      <w:r>
        <w:rPr/>
        <w:t>​</w:t>
      </w:r>
    </w:p>
    <w:tbl>
      <w:tblPr>
        <w:tblW w:w="2596" w:type="dxa"/>
        <w:jc w:val="left"/>
        <w:tblInd w:w="0" w:type="dxa"/>
        <w:tblLayout w:type="fixed"/>
        <w:tblCellMar>
          <w:top w:w="0" w:type="dxa"/>
          <w:left w:w="0" w:type="dxa"/>
          <w:bottom w:w="28" w:type="dxa"/>
          <w:right w:w="0" w:type="dxa"/>
        </w:tblCellMar>
      </w:tblPr>
      <w:tblGrid>
        <w:gridCol w:w="2116"/>
        <w:gridCol w:w="326"/>
        <w:gridCol w:w="154"/>
      </w:tblGrid>
      <w:tr>
        <w:trPr/>
        <w:tc>
          <w:tcPr>
            <w:tcW w:w="21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tcMar>
              <w:bottom w:w="0" w:type="dxa"/>
            </w:tcMar>
            <w:vAlign w:val="center"/>
          </w:tcPr>
          <w:p>
            <w:pPr>
              <w:pStyle w:val="TableContents"/>
              <w:bidi w:val="0"/>
              <w:spacing w:before="0" w:after="0"/>
              <w:ind w:left="0" w:right="0" w:hanging="0"/>
              <w:jc w:val="both"/>
              <w:rPr/>
            </w:pPr>
            <w:r>
              <w:rPr/>
              <w:t>    </w:t>
            </w:r>
          </w:p>
        </w:tc>
        <w:tc>
          <w:tcPr>
            <w:tcW w:w="154"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154"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tbl>
      <w:tblPr>
        <w:tblW w:w="6316" w:type="dxa"/>
        <w:jc w:val="left"/>
        <w:tblInd w:w="0" w:type="dxa"/>
        <w:tblLayout w:type="fixed"/>
        <w:tblCellMar>
          <w:top w:w="0" w:type="dxa"/>
          <w:left w:w="0" w:type="dxa"/>
          <w:bottom w:w="28" w:type="dxa"/>
          <w:right w:w="0" w:type="dxa"/>
        </w:tblCellMar>
      </w:tblPr>
      <w:tblGrid>
        <w:gridCol w:w="6316"/>
      </w:tblGrid>
      <w:tr>
        <w:trPr/>
        <w:tc>
          <w:tcPr>
            <w:tcW w:w="6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2450 Holcombe Blvd, Suite BCM-A, MS: BCM251</w:t>
              <w:br/>
              <w:t>Houston, Texas 77021</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Address)</w:t>
            </w:r>
          </w:p>
        </w:tc>
      </w:tr>
      <w:tr>
        <w:trPr/>
        <w:tc>
          <w:tcPr>
            <w:tcW w:w="6316" w:type="dxa"/>
            <w:tcBorders>
              <w:top w:val="single" w:sz="2" w:space="0" w:color="000000"/>
            </w:tcBorders>
            <w:tcMar>
              <w:top w:w="28" w:type="dxa"/>
              <w:bottom w:w="0" w:type="dxa"/>
            </w:tcMar>
            <w:vAlign w:val="center"/>
          </w:tcPr>
          <w:p>
            <w:pPr>
              <w:pStyle w:val="TableContents"/>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9z67VyqNPEilspfVUE_M8w_2_4"/>
      <w:bookmarkStart w:id="18" w:name="Tc_L8ldWUuhjUyL7P68MdYvVg_1_4"/>
      <w:bookmarkStart w:id="19" w:name="Tc_K8YuXkY6FkucK24LrEXdmQ_1_2"/>
      <w:bookmarkStart w:id="20" w:name="Tc_R13rNpt0mE2SsUiBoBSBmw_1_0"/>
      <w:bookmarkStart w:id="21" w:name="_48eb8589_7c2b_4e5e_aafa_5d79a6048cfb"/>
      <w:bookmarkStart w:id="22" w:name="Tc_9z67VyqNPEilspfVUE_M8w_2_4"/>
      <w:bookmarkStart w:id="23" w:name="Tc_L8ldWUuhjUyL7P68MdYvVg_1_4"/>
      <w:bookmarkStart w:id="24" w:name="Tc_K8YuXkY6FkucK24LrEXdmQ_1_2"/>
      <w:bookmarkStart w:id="25" w:name="Tc_R13rNpt0mE2SsUiBoBSBmw_1_0"/>
      <w:bookmarkStart w:id="26" w:name="_48eb8589_7c2b_4e5e_aafa_5d79a6048cfb"/>
      <w:bookmarkEnd w:id="22"/>
      <w:bookmarkEnd w:id="23"/>
      <w:bookmarkEnd w:id="24"/>
      <w:bookmarkEnd w:id="25"/>
      <w:bookmarkEnd w:id="26"/>
    </w:p>
    <w:tbl>
      <w:tblPr>
        <w:tblW w:w="9295" w:type="dxa"/>
        <w:jc w:val="left"/>
        <w:tblInd w:w="0" w:type="dxa"/>
        <w:tblLayout w:type="fixed"/>
        <w:tblCellMar>
          <w:top w:w="0" w:type="dxa"/>
          <w:left w:w="0" w:type="dxa"/>
          <w:bottom w:w="0" w:type="dxa"/>
          <w:right w:w="0" w:type="dxa"/>
        </w:tblCellMar>
      </w:tblPr>
      <w:tblGrid>
        <w:gridCol w:w="3601"/>
        <w:gridCol w:w="326"/>
        <w:gridCol w:w="1561"/>
        <w:gridCol w:w="326"/>
        <w:gridCol w:w="3481"/>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sbDZ2pdAS0-FQoLDWQCFaQ_3_3"/>
      <w:bookmarkStart w:id="28" w:name="Tc_k779eo61VUqQumvlw6474A_2_3"/>
      <w:bookmarkStart w:id="29" w:name="Tc_FQ6H_vF9ikSCseRTHD19iQ_2_2"/>
      <w:bookmarkStart w:id="30" w:name="Tc_6zn62htKmE6EpIKBjWNVWg_2_1"/>
      <w:bookmarkStart w:id="31" w:name="Tc_2aA4nbAJgk2dAxhkn3Hjng_1_4"/>
      <w:bookmarkStart w:id="32" w:name="Tc_Y8KbjXv5tEW-OiyNQTNYIA_1_3"/>
      <w:bookmarkStart w:id="33" w:name="Tc_HcrxAqdSjESoqPC2IvVUyw_1_2"/>
      <w:bookmarkStart w:id="34" w:name="Tc_WJuYMMxrFkiaP57-6qNWnw_1_1"/>
      <w:bookmarkStart w:id="35" w:name="_17bfc702_e87f_4382_8129_12a53eb10ff5"/>
      <w:bookmarkStart w:id="36" w:name="Tc_sbDZ2pdAS0-FQoLDWQCFaQ_3_3"/>
      <w:bookmarkStart w:id="37" w:name="Tc_k779eo61VUqQumvlw6474A_2_3"/>
      <w:bookmarkStart w:id="38" w:name="Tc_FQ6H_vF9ikSCseRTHD19iQ_2_2"/>
      <w:bookmarkStart w:id="39" w:name="Tc_6zn62htKmE6EpIKBjWNVWg_2_1"/>
      <w:bookmarkStart w:id="40" w:name="Tc_2aA4nbAJgk2dAxhkn3Hjng_1_4"/>
      <w:bookmarkStart w:id="41" w:name="Tc_Y8KbjXv5tEW-OiyNQTNYIA_1_3"/>
      <w:bookmarkStart w:id="42" w:name="Tc_HcrxAqdSjESoqPC2IvVUyw_1_2"/>
      <w:bookmarkStart w:id="43" w:name="Tc_WJuYMMxrFkiaP57-6qNWnw_1_1"/>
      <w:bookmarkStart w:id="44" w:name="_17bfc702_e87f_4382_8129_12a53eb10ff5"/>
      <w:bookmarkEnd w:id="36"/>
      <w:bookmarkEnd w:id="37"/>
      <w:bookmarkEnd w:id="38"/>
      <w:bookmarkEnd w:id="39"/>
      <w:bookmarkEnd w:id="40"/>
      <w:bookmarkEnd w:id="41"/>
      <w:bookmarkEnd w:id="42"/>
      <w:bookmarkEnd w:id="43"/>
      <w:bookmarkEnd w:id="44"/>
    </w:p>
    <w:tbl>
      <w:tblPr>
        <w:tblW w:w="4493" w:type="dxa"/>
        <w:jc w:val="left"/>
        <w:tblInd w:w="0" w:type="dxa"/>
        <w:tblLayout w:type="fixed"/>
        <w:tblCellMar>
          <w:top w:w="0" w:type="dxa"/>
          <w:left w:w="0" w:type="dxa"/>
          <w:bottom w:w="0" w:type="dxa"/>
          <w:right w:w="0" w:type="dxa"/>
        </w:tblCellMar>
      </w:tblPr>
      <w:tblGrid>
        <w:gridCol w:w="124"/>
        <w:gridCol w:w="1651"/>
        <w:gridCol w:w="316"/>
        <w:gridCol w:w="2041"/>
        <w:gridCol w:w="36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775"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registrant had 12,938,910 shares of common stock outstanding as of August 4, 2025.</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pPr>
      <w:bookmarkStart w:id="45" w:name="_62c7a8a8_c25c_448a_973b_ff0a68dce783"/>
      <w:bookmarkStart w:id="46" w:name="TOC"/>
      <w:bookmarkEnd w:id="45"/>
      <w:bookmarkEnd w:id="46"/>
      <w:r>
        <w:rPr/>
        <w:t>​</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8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June 30, 2025 and December 31,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and six months ended June 30, 2025 and 2024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2025 and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bidi w:val="0"/>
              <w:spacing w:before="0" w:after="0"/>
              <w:ind w:left="0" w:right="0" w:hanging="0"/>
              <w:jc w:val="both"/>
              <w:rPr/>
            </w:pPr>
            <w:r>
              <w:rPr/>
              <w:t>​</w:t>
            </w:r>
          </w:p>
        </w:tc>
        <w:tc>
          <w:tcPr>
            <w:tcW w:w="8823" w:type="dxa"/>
            <w:tcBorders/>
            <w:shd w:fill="CCEEFF" w:val="clear"/>
            <w:vAlign w:val="center"/>
          </w:tcPr>
          <w:p>
            <w:pPr>
              <w:pStyle w:val="TableContents"/>
              <w:bidi w:val="0"/>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bidi w:val="0"/>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bidi w:val="0"/>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bidi w:val="0"/>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bidi w:val="0"/>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bidi w:val="0"/>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before="0" w:after="0"/>
              <w:ind w:left="0" w:right="0" w:hanging="0"/>
              <w:jc w:val="both"/>
              <w:rPr/>
            </w:pPr>
            <w:r>
              <w:rPr/>
              <w:t>​</w:t>
            </w:r>
          </w:p>
        </w:tc>
        <w:tc>
          <w:tcPr>
            <w:tcW w:w="8823" w:type="dxa"/>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811" w:type="dxa"/>
            <w:tcBorders/>
            <w:shd w:fill="CCEEFF" w:val="clear"/>
            <w:vAlign w:val="center"/>
          </w:tcPr>
          <w:p>
            <w:pPr>
              <w:pStyle w:val="TableContents"/>
              <w:pBdr/>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bidi w:val="0"/>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634" w:type="dxa"/>
            <w:gridSpan w:val="2"/>
            <w:tcBorders/>
            <w:vAlign w:val="center"/>
          </w:tcPr>
          <w:p>
            <w:pPr>
              <w:pStyle w:val="TableContents"/>
              <w:bidi w:val="0"/>
              <w:spacing w:before="0" w:after="0"/>
              <w:ind w:left="0" w:right="0" w:hanging="0"/>
              <w:jc w:val="both"/>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634" w:type="dxa"/>
            <w:gridSpan w:val="2"/>
            <w:tcBorders/>
            <w:shd w:fill="CCEEFF" w:val="clear"/>
            <w:vAlign w:val="center"/>
          </w:tcPr>
          <w:p>
            <w:pPr>
              <w:pStyle w:val="TableContents"/>
              <w:pBdr/>
              <w:bidi w:val="0"/>
              <w:spacing w:before="0" w:after="0"/>
              <w:ind w:left="0" w:right="0" w:hanging="0"/>
              <w:jc w:val="both"/>
              <w:rPr/>
            </w:pPr>
            <w:hyperlink w:anchor="SIGNATURES_772915">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idi w:val="0"/>
        <w:spacing w:before="0" w:after="240"/>
        <w:ind w:left="0" w:right="0" w:hanging="979"/>
        <w:jc w:val="both"/>
        <w:rPr>
          <w:rFonts w:ascii="Times New Roman;Times;serif" w:hAnsi="Times New Roman;Times;serif"/>
          <w:b/>
          <w:sz w:val="20"/>
        </w:rPr>
      </w:pPr>
      <w:bookmarkStart w:id="47" w:name="PARTIFINANCIALINFORMATION_341259"/>
      <w:bookmarkStart w:id="48" w:name="_80e5e78f_e3cf_454d_b069_90fa11ac49fd"/>
      <w:bookmarkEnd w:id="47"/>
      <w:bookmarkEnd w:id="48"/>
      <w:r>
        <w:rPr>
          <w:rFonts w:ascii="Times New Roman;Times;serif" w:hAnsi="Times New Roman;Times;serif"/>
          <w:b/>
          <w:sz w:val="20"/>
        </w:rPr>
        <w:t>PART I.      FINANCIAL INFORMATION</w:t>
      </w:r>
    </w:p>
    <w:p>
      <w:pPr>
        <w:pStyle w:val="TextBody"/>
        <w:pBdr/>
        <w:bidi w:val="0"/>
        <w:spacing w:before="0" w:after="240"/>
        <w:ind w:left="0" w:right="0" w:hanging="979"/>
        <w:jc w:val="both"/>
        <w:rPr>
          <w:rFonts w:ascii="Times New Roman;Times;serif" w:hAnsi="Times New Roman;Times;serif"/>
          <w:b/>
          <w:sz w:val="20"/>
        </w:rPr>
      </w:pPr>
      <w:bookmarkStart w:id="49" w:name="Item1FinancialStatements_6919"/>
      <w:bookmarkEnd w:id="4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_74901"/>
      <w:bookmarkEnd w:id="5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1" w:name="Tc_FxLYedRXTE6f7wavgzdeDw_26_5"/>
      <w:bookmarkStart w:id="52" w:name="Tc_dRvm-q5QYEa8d55TwcMvvg_26_2"/>
      <w:bookmarkStart w:id="53" w:name="Tc_AmChnfWtN0q4ed_ofm85mQ_26_0"/>
      <w:bookmarkStart w:id="54" w:name="Tc_WhDzCUgeMku4LfKgKYugyw_25_0"/>
      <w:bookmarkStart w:id="55" w:name="Tc_66_ATBSas0Gzd8lyS8HQ7w_24_0"/>
      <w:bookmarkStart w:id="56" w:name="Tc_DP3TgGtRQECXHx-p-BNa9Q_23_0"/>
      <w:bookmarkStart w:id="57" w:name="Tc_hD8omUn8qUuQ62Z0ZXvwpg_22_0"/>
      <w:bookmarkStart w:id="58" w:name="Tc_fw4MPFibHEKQMgsZaUIHxQ_21_0"/>
      <w:bookmarkStart w:id="59" w:name="Tc_RjmHfmc3Ekq_ieGgWq2lLA_20_0"/>
      <w:bookmarkStart w:id="60" w:name="Tc_e6DhwmcayUe-WxrHKV9URg_18_0"/>
      <w:bookmarkStart w:id="61" w:name="Tc_vKRVB_k9tEON9u4GIs49QA_17_0"/>
      <w:bookmarkStart w:id="62" w:name="Tc_1evjB7meCkCIpO0XBEKrBw_16_6"/>
      <w:bookmarkStart w:id="63" w:name="Tc_CsQOEcpnH06GutDz3Mcjhg_16_0"/>
      <w:bookmarkStart w:id="64" w:name="Tc_oPopnSS73Ea24ixk7gsUkw_14_5"/>
      <w:bookmarkStart w:id="65" w:name="Tc_7yz3_NReA0C8xUrIuu4CXQ_14_2"/>
      <w:bookmarkStart w:id="66" w:name="Tc_OauK20586keFHuKncH-uOQ_14_0"/>
      <w:bookmarkStart w:id="67" w:name="Tc_67xtcjsZqkeG9CXdSNd_iQ_13_0"/>
      <w:bookmarkStart w:id="68" w:name="Tc_HLeozXEn5EiLEdBr8WCmHQ_12_0"/>
      <w:bookmarkStart w:id="69" w:name="Tc_nLeylPsk8E2XbI0xm52wsg_10_5"/>
      <w:bookmarkStart w:id="70" w:name="Tc_iBx2KwAOTkqYFnMfZDoNLA_10_2"/>
      <w:bookmarkStart w:id="71" w:name="Tc_0CWIW3uHuk2zmcfja_kTWw_10_0"/>
      <w:bookmarkStart w:id="72" w:name="Tc_Zj1IqMb6rkiGC7Sh6m33_A_9_0"/>
      <w:bookmarkStart w:id="73" w:name="Tc_dr2eABmz1kO3t52VQkHE6g_8_0"/>
      <w:bookmarkStart w:id="74" w:name="Tc_Nym_hWIPXUKwAFk6ADNj1A_7_0"/>
      <w:bookmarkStart w:id="75" w:name="Tc_vVU9np8gTEuD-MfclL0aUg_6_6"/>
      <w:bookmarkStart w:id="76" w:name="Tc_h8x0-9G7pkmB0xKJWllGyw_6_0"/>
      <w:bookmarkStart w:id="77" w:name="Tc_METPJLH6L0ysZ9TwRbfhlQ_5_5"/>
      <w:bookmarkStart w:id="78" w:name="Tc_6Wnyr1j5NUStqp3CCPQvkA_5_2"/>
      <w:bookmarkStart w:id="79" w:name="Tc_cAhHHUlQHUGuN2InFxARGA_5_0"/>
      <w:bookmarkStart w:id="80" w:name="Tc_xXOjrz2QmEuEtT98dVnJng_4_0"/>
      <w:bookmarkStart w:id="81" w:name="Tc_JTk8Ob6rx0C9297PL8dwFg_3_0"/>
      <w:bookmarkStart w:id="82" w:name="Tc_4Pn983x0NECgoSw-oLP1Sg_2_5"/>
      <w:bookmarkStart w:id="83" w:name="Tc_Fiy_U4gqIEu___R-neUw6g_2_2"/>
      <w:bookmarkStart w:id="84" w:name="Tc_XSHU1VWK_k6As8lMO6gUnw_1_5"/>
      <w:bookmarkStart w:id="85" w:name="Tc__6odSKcojUWs-0T2pdSx2Q_1_2"/>
      <w:bookmarkStart w:id="86" w:name="_26afe0e9_21d1_4a66_8191_7bdba9228693"/>
      <w:bookmarkStart w:id="87" w:name="Tc_FxLYedRXTE6f7wavgzdeDw_26_5"/>
      <w:bookmarkStart w:id="88" w:name="Tc_dRvm-q5QYEa8d55TwcMvvg_26_2"/>
      <w:bookmarkStart w:id="89" w:name="Tc_AmChnfWtN0q4ed_ofm85mQ_26_0"/>
      <w:bookmarkStart w:id="90" w:name="Tc_WhDzCUgeMku4LfKgKYugyw_25_0"/>
      <w:bookmarkStart w:id="91" w:name="Tc_66_ATBSas0Gzd8lyS8HQ7w_24_0"/>
      <w:bookmarkStart w:id="92" w:name="Tc_DP3TgGtRQECXHx-p-BNa9Q_23_0"/>
      <w:bookmarkStart w:id="93" w:name="Tc_hD8omUn8qUuQ62Z0ZXvwpg_22_0"/>
      <w:bookmarkStart w:id="94" w:name="Tc_fw4MPFibHEKQMgsZaUIHxQ_21_0"/>
      <w:bookmarkStart w:id="95" w:name="Tc_RjmHfmc3Ekq_ieGgWq2lLA_20_0"/>
      <w:bookmarkStart w:id="96" w:name="Tc_e6DhwmcayUe-WxrHKV9URg_18_0"/>
      <w:bookmarkStart w:id="97" w:name="Tc_vKRVB_k9tEON9u4GIs49QA_17_0"/>
      <w:bookmarkStart w:id="98" w:name="Tc_1evjB7meCkCIpO0XBEKrBw_16_6"/>
      <w:bookmarkStart w:id="99" w:name="Tc_CsQOEcpnH06GutDz3Mcjhg_16_0"/>
      <w:bookmarkStart w:id="100" w:name="Tc_oPopnSS73Ea24ixk7gsUkw_14_5"/>
      <w:bookmarkStart w:id="101" w:name="Tc_7yz3_NReA0C8xUrIuu4CXQ_14_2"/>
      <w:bookmarkStart w:id="102" w:name="Tc_OauK20586keFHuKncH-uOQ_14_0"/>
      <w:bookmarkStart w:id="103" w:name="Tc_67xtcjsZqkeG9CXdSNd_iQ_13_0"/>
      <w:bookmarkStart w:id="104" w:name="Tc_HLeozXEn5EiLEdBr8WCmHQ_12_0"/>
      <w:bookmarkStart w:id="105" w:name="Tc_nLeylPsk8E2XbI0xm52wsg_10_5"/>
      <w:bookmarkStart w:id="106" w:name="Tc_iBx2KwAOTkqYFnMfZDoNLA_10_2"/>
      <w:bookmarkStart w:id="107" w:name="Tc_0CWIW3uHuk2zmcfja_kTWw_10_0"/>
      <w:bookmarkStart w:id="108" w:name="Tc_Zj1IqMb6rkiGC7Sh6m33_A_9_0"/>
      <w:bookmarkStart w:id="109" w:name="Tc_dr2eABmz1kO3t52VQkHE6g_8_0"/>
      <w:bookmarkStart w:id="110" w:name="Tc_Nym_hWIPXUKwAFk6ADNj1A_7_0"/>
      <w:bookmarkStart w:id="111" w:name="Tc_vVU9np8gTEuD-MfclL0aUg_6_6"/>
      <w:bookmarkStart w:id="112" w:name="Tc_h8x0-9G7pkmB0xKJWllGyw_6_0"/>
      <w:bookmarkStart w:id="113" w:name="Tc_METPJLH6L0ysZ9TwRbfhlQ_5_5"/>
      <w:bookmarkStart w:id="114" w:name="Tc_6Wnyr1j5NUStqp3CCPQvkA_5_2"/>
      <w:bookmarkStart w:id="115" w:name="Tc_cAhHHUlQHUGuN2InFxARGA_5_0"/>
      <w:bookmarkStart w:id="116" w:name="Tc_xXOjrz2QmEuEtT98dVnJng_4_0"/>
      <w:bookmarkStart w:id="117" w:name="Tc_JTk8Ob6rx0C9297PL8dwFg_3_0"/>
      <w:bookmarkStart w:id="118" w:name="Tc_4Pn983x0NECgoSw-oLP1Sg_2_5"/>
      <w:bookmarkStart w:id="119" w:name="Tc_Fiy_U4gqIEu___R-neUw6g_2_2"/>
      <w:bookmarkStart w:id="120" w:name="Tc_XSHU1VWK_k6As8lMO6gUnw_1_5"/>
      <w:bookmarkStart w:id="121" w:name="Tc__6odSKcojUWs-0T2pdSx2Q_1_2"/>
      <w:bookmarkStart w:id="122" w:name="_26afe0e9_21d1_4a66_8191_7bdba922869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6642"/>
        <w:gridCol w:w="326"/>
        <w:gridCol w:w="211"/>
        <w:gridCol w:w="1221"/>
        <w:gridCol w:w="326"/>
        <w:gridCol w:w="211"/>
        <w:gridCol w:w="1268"/>
      </w:tblGrid>
      <w:tr>
        <w:trPr/>
        <w:tc>
          <w:tcPr>
            <w:tcW w:w="6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17670" cy="175260"/>
                      <wp:effectExtent l="0" t="0" r="0" b="0"/>
                      <wp:wrapNone/>
                      <wp:docPr id="5" name="Frame4"/>
                      <a:graphic xmlns:a="http://schemas.openxmlformats.org/drawingml/2006/main">
                        <a:graphicData uri="http://schemas.microsoft.com/office/word/2010/wordprocessingShape">
                          <wps:wsp>
                            <wps:cNvSpPr txBox="1"/>
                            <wps:spPr>
                              <a:xfrm>
                                <a:off x="0" y="0"/>
                                <a:ext cx="42176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75335" cy="175260"/>
                      <wp:effectExtent l="0" t="0" r="0" b="0"/>
                      <wp:wrapNone/>
                      <wp:docPr id="8" name="Frame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805180" cy="175260"/>
                      <wp:effectExtent l="0" t="0" r="0" b="0"/>
                      <wp:wrapNone/>
                      <wp:docPr id="11" name="Frame10"/>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664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4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42"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w:t>
            </w:r>
          </w:p>
        </w:tc>
        <w:tc>
          <w:tcPr>
            <w:tcW w:w="14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both"/>
              <w:rPr/>
            </w:pPr>
            <w:r>
              <w:rPr/>
              <w:t>​</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8" w:type="dxa"/>
            <w:tcBorders/>
            <w:vAlign w:val="center"/>
          </w:tcPr>
          <w:p>
            <w:pPr>
              <w:pStyle w:val="TableContents"/>
              <w:bidi w:val="0"/>
              <w:spacing w:before="0" w:after="1"/>
              <w:ind w:left="0" w:right="0" w:hanging="0"/>
              <w:jc w:val="both"/>
              <w:rPr/>
            </w:pPr>
            <w:r>
              <w:rPr/>
              <w:t>​</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10,461,971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8" w:type="dxa"/>
            <w:tcBorders/>
            <w:vAlign w:val="center"/>
          </w:tcPr>
          <w:p>
            <w:pPr>
              <w:pStyle w:val="TableContents"/>
              <w:bidi w:val="0"/>
              <w:spacing w:before="0" w:after="1"/>
              <w:ind w:left="0" w:right="0" w:hanging="0"/>
              <w:jc w:val="right"/>
              <w:rPr/>
            </w:pPr>
            <w:r>
              <w:rPr/>
              <w:t>—</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1,278,589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483,717</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1,674,335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2,346,703</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14,767,870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22,022,860</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14,767,870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22,022,860</w:t>
            </w:r>
          </w:p>
        </w:tc>
      </w:tr>
      <w:tr>
        <w:trPr/>
        <w:tc>
          <w:tcPr>
            <w:tcW w:w="664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pPr>
            <w:r>
              <w:rPr/>
              <w:t>​</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8" w:type="dxa"/>
            <w:tcBorders/>
            <w:vAlign w:val="center"/>
          </w:tcPr>
          <w:p>
            <w:pPr>
              <w:pStyle w:val="TableContents"/>
              <w:bidi w:val="0"/>
              <w:spacing w:before="0" w:after="1"/>
              <w:ind w:left="0" w:right="0" w:hanging="0"/>
              <w:jc w:val="right"/>
              <w:rPr/>
            </w:pPr>
            <w:r>
              <w:rPr/>
              <w:t>  </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8" w:type="dxa"/>
            <w:tcBorders/>
            <w:shd w:fill="CCEEFF" w:val="clear"/>
            <w:vAlign w:val="center"/>
          </w:tcPr>
          <w:p>
            <w:pPr>
              <w:pStyle w:val="TableContents"/>
              <w:bidi w:val="0"/>
              <w:spacing w:before="0" w:after="1"/>
              <w:ind w:left="0" w:right="0" w:hanging="0"/>
              <w:jc w:val="right"/>
              <w:rPr/>
            </w:pPr>
            <w:r>
              <w:rPr/>
              <w:t>  </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2,267,871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1,753,954</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656,631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1,710,500</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4,277,477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4,277,477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42"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pPr>
            <w:r>
              <w:rPr/>
              <w:t>​</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268" w:type="dxa"/>
            <w:tcBorders/>
            <w:vAlign w:val="center"/>
          </w:tcPr>
          <w:p>
            <w:pPr>
              <w:pStyle w:val="TableContents"/>
              <w:bidi w:val="0"/>
              <w:spacing w:before="0" w:after="1"/>
              <w:ind w:left="0" w:right="0" w:hanging="0"/>
              <w:jc w:val="right"/>
              <w:rPr/>
            </w:pPr>
            <w:r>
              <w:rPr/>
              <w:t>​</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June 30, 2025 and December 31, 2024 , respectively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2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26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$0.001 par value, 30 million shares authorized, 11.3 million and 10.7 million shares issued and outstanding as of June 30, 2025 and December 31, 2024, respectively (see Note 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11,313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2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10,708</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465,958,006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465,564,876</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(455,478,926)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2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(447,017,178)</w:t>
            </w:r>
          </w:p>
        </w:tc>
      </w:tr>
      <w:tr>
        <w:trPr/>
        <w:tc>
          <w:tcPr>
            <w:tcW w:w="6642" w:type="dxa"/>
            <w:tcBorders/>
            <w:shd w:fill="CCEEFF" w:val="clear"/>
            <w:vAlign w:val="center"/>
          </w:tcPr>
          <w:p>
            <w:pPr>
              <w:pStyle w:val="TableContents"/>
              <w:pBdr/>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10,490,393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18,558,406</w:t>
            </w:r>
          </w:p>
        </w:tc>
      </w:tr>
      <w:tr>
        <w:trPr/>
        <w:tc>
          <w:tcPr>
            <w:tcW w:w="6642" w:type="dxa"/>
            <w:tcBorders/>
            <w:vAlign w:val="center"/>
          </w:tcPr>
          <w:p>
            <w:pPr>
              <w:pStyle w:val="TableContents"/>
              <w:pBdr/>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14,767,870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22,022,860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123" w:name="_33d6366a_c247_47c0_9321_476d32f23aa7"/>
      <w:bookmarkEnd w:id="12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24" w:name="CONDENSEDCONSOLIDATEDSTATEMENTSOFOPERATI"/>
      <w:bookmarkEnd w:id="124"/>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25" w:name="Tc_EM-7-9USyUShNgB0lVAaTA_23_0"/>
      <w:bookmarkStart w:id="126" w:name="Tc_8brsdq5V0EiSqSxFb7ul-A_22_0"/>
      <w:bookmarkStart w:id="127" w:name="Tc_ZgJdS9K8j0aHY9v95iD7Ow_21_0"/>
      <w:bookmarkStart w:id="128" w:name="Tc_grrgGFrdt0WhHe8KuSKyjA_19_11"/>
      <w:bookmarkStart w:id="129" w:name="Tc_CHAvR4Uq_0K-7s5d6Ywgew_19_8"/>
      <w:bookmarkStart w:id="130" w:name="Tc_UO2UANBAp0KpQFF_CPiQhQ_19_5"/>
      <w:bookmarkStart w:id="131" w:name="Tc_P5Ouni8s2UeSFI2o9iRhow_19_2"/>
      <w:bookmarkStart w:id="132" w:name="Tc_b2Z_3X0EpkmCjAmgRJxB3w_19_0"/>
      <w:bookmarkStart w:id="133" w:name="Tc_BpXMXQWy4EWYrirDVVTmsw_18_0"/>
      <w:bookmarkStart w:id="134" w:name="Tc_wdaYyMlb1UOP7lIGFrVITg_16_11"/>
      <w:bookmarkStart w:id="135" w:name="Tc_X3m3mCN2Dkuy5UUztFKcbg_16_8"/>
      <w:bookmarkStart w:id="136" w:name="Tc_iWOiUZ5B6Ui7tYFtYT-n4g_16_5"/>
      <w:bookmarkStart w:id="137" w:name="Tc_3-fTV7z03EqGC7w6UnmmEg_16_2"/>
      <w:bookmarkStart w:id="138" w:name="Tc_J6E6PK5Nx0yLX-v2F09BtQ_16_0"/>
      <w:bookmarkStart w:id="139" w:name="Tc_ksllJBL690eOh3pRxVBKjA_15_12"/>
      <w:bookmarkStart w:id="140" w:name="Tc_iPs2SUKHMkivLxYmJn7ecA_15_6"/>
      <w:bookmarkStart w:id="141" w:name="Tc_eTttS4cQpU26OHSB6A6G7w_15_0"/>
      <w:bookmarkStart w:id="142" w:name="Tc_XoEp1nojcEO1mmVrLlivyQ_14_0"/>
      <w:bookmarkStart w:id="143" w:name="Tc_bS-SaJYxzkuNbhKMrx1TzQ_13_0"/>
      <w:bookmarkStart w:id="144" w:name="Tc_805iw08j80eu4tguJ9zj8Q_12_0"/>
      <w:bookmarkStart w:id="145" w:name="Tc_kenGZHQtrUKPVXXv7r00Ug_11_0"/>
      <w:bookmarkStart w:id="146" w:name="Tc_xR8VRkjD-EiGjMaMgVDEww_10_12"/>
      <w:bookmarkStart w:id="147" w:name="Tc_rqLcpj2NF0CWiy7FV-82jw_10_6"/>
      <w:bookmarkStart w:id="148" w:name="Tc_KEa1RB2M40-yDWg945714Q_10_3"/>
      <w:bookmarkStart w:id="149" w:name="Tc_W1yvTIGNVU-uuMxSR7ahDg_10_0"/>
      <w:bookmarkStart w:id="150" w:name="Tc_4chh1mKkf0Opk8_ZUAbq4A_9_0"/>
      <w:bookmarkStart w:id="151" w:name="Tc_KE34trVNakmK0qL9tSxFFQ_8_0"/>
      <w:bookmarkStart w:id="152" w:name="Tc_nHQdGraLjU25hG3aTfFdKA_7_0"/>
      <w:bookmarkStart w:id="153" w:name="Tc_d9Yz8Ds2t06N48rGgV2Y1w_6_0"/>
      <w:bookmarkStart w:id="154" w:name="Tc_jsVUbqvhskCEFOrSXGABcg_5_11"/>
      <w:bookmarkStart w:id="155" w:name="Tc_6PFiwSn9T0qWgL08t8bGIA_5_8"/>
      <w:bookmarkStart w:id="156" w:name="Tc_n5F1pokMmkeaa_5gcI6I2Q_5_5"/>
      <w:bookmarkStart w:id="157" w:name="Tc_CzFkQOq0sk6mOKvveSoPXQ_5_2"/>
      <w:bookmarkStart w:id="158" w:name="Tc_3XMzkputcUis_IE_iEs_3Q_5_0"/>
      <w:bookmarkStart w:id="159" w:name="Tc_bTuleWeUC0WjhhfOPVQsbw_4_0"/>
      <w:bookmarkStart w:id="160" w:name="Tc_k3A4Xih4WkqcOVgwVrphcA_3_11"/>
      <w:bookmarkStart w:id="161" w:name="Tc_BhgqOF69zkWFVursJz8p9Q_3_8"/>
      <w:bookmarkStart w:id="162" w:name="Tc_yM9d-RoWJEGBH6Mj6LUTAw_3_5"/>
      <w:bookmarkStart w:id="163" w:name="Tc_InSV_mIPekOG8z3koeFgjA_3_2"/>
      <w:bookmarkStart w:id="164" w:name="Tc_9afuqL8M3UWON6Ea2WmhGQ_2_8"/>
      <w:bookmarkStart w:id="165" w:name="Tc__1761P_pKEm76UUy5PShUw_2_2"/>
      <w:bookmarkStart w:id="166" w:name="Tc_gHa635Nd8EiSXEu-jYtUdQ_1_8"/>
      <w:bookmarkStart w:id="167" w:name="Tc_NTZZIacSP0u7sNN8wTdT2w_1_2"/>
      <w:bookmarkStart w:id="168" w:name="_27f4abe9_6cf8_486a_b066_c8b756ce667b"/>
      <w:bookmarkStart w:id="169" w:name="_20c1f205_f1f1_4485_855d_a9970cde981b"/>
      <w:bookmarkStart w:id="170" w:name="Tc_EM-7-9USyUShNgB0lVAaTA_23_0"/>
      <w:bookmarkStart w:id="171" w:name="Tc_8brsdq5V0EiSqSxFb7ul-A_22_0"/>
      <w:bookmarkStart w:id="172" w:name="Tc_ZgJdS9K8j0aHY9v95iD7Ow_21_0"/>
      <w:bookmarkStart w:id="173" w:name="Tc_grrgGFrdt0WhHe8KuSKyjA_19_11"/>
      <w:bookmarkStart w:id="174" w:name="Tc_CHAvR4Uq_0K-7s5d6Ywgew_19_8"/>
      <w:bookmarkStart w:id="175" w:name="Tc_UO2UANBAp0KpQFF_CPiQhQ_19_5"/>
      <w:bookmarkStart w:id="176" w:name="Tc_P5Ouni8s2UeSFI2o9iRhow_19_2"/>
      <w:bookmarkStart w:id="177" w:name="Tc_b2Z_3X0EpkmCjAmgRJxB3w_19_0"/>
      <w:bookmarkStart w:id="178" w:name="Tc_BpXMXQWy4EWYrirDVVTmsw_18_0"/>
      <w:bookmarkStart w:id="179" w:name="Tc_wdaYyMlb1UOP7lIGFrVITg_16_11"/>
      <w:bookmarkStart w:id="180" w:name="Tc_X3m3mCN2Dkuy5UUztFKcbg_16_8"/>
      <w:bookmarkStart w:id="181" w:name="Tc_iWOiUZ5B6Ui7tYFtYT-n4g_16_5"/>
      <w:bookmarkStart w:id="182" w:name="Tc_3-fTV7z03EqGC7w6UnmmEg_16_2"/>
      <w:bookmarkStart w:id="183" w:name="Tc_J6E6PK5Nx0yLX-v2F09BtQ_16_0"/>
      <w:bookmarkStart w:id="184" w:name="Tc_ksllJBL690eOh3pRxVBKjA_15_12"/>
      <w:bookmarkStart w:id="185" w:name="Tc_iPs2SUKHMkivLxYmJn7ecA_15_6"/>
      <w:bookmarkStart w:id="186" w:name="Tc_eTttS4cQpU26OHSB6A6G7w_15_0"/>
      <w:bookmarkStart w:id="187" w:name="Tc_XoEp1nojcEO1mmVrLlivyQ_14_0"/>
      <w:bookmarkStart w:id="188" w:name="Tc_bS-SaJYxzkuNbhKMrx1TzQ_13_0"/>
      <w:bookmarkStart w:id="189" w:name="Tc_805iw08j80eu4tguJ9zj8Q_12_0"/>
      <w:bookmarkStart w:id="190" w:name="Tc_kenGZHQtrUKPVXXv7r00Ug_11_0"/>
      <w:bookmarkStart w:id="191" w:name="Tc_xR8VRkjD-EiGjMaMgVDEww_10_12"/>
      <w:bookmarkStart w:id="192" w:name="Tc_rqLcpj2NF0CWiy7FV-82jw_10_6"/>
      <w:bookmarkStart w:id="193" w:name="Tc_KEa1RB2M40-yDWg945714Q_10_3"/>
      <w:bookmarkStart w:id="194" w:name="Tc_W1yvTIGNVU-uuMxSR7ahDg_10_0"/>
      <w:bookmarkStart w:id="195" w:name="Tc_4chh1mKkf0Opk8_ZUAbq4A_9_0"/>
      <w:bookmarkStart w:id="196" w:name="Tc_KE34trVNakmK0qL9tSxFFQ_8_0"/>
      <w:bookmarkStart w:id="197" w:name="Tc_nHQdGraLjU25hG3aTfFdKA_7_0"/>
      <w:bookmarkStart w:id="198" w:name="Tc_d9Yz8Ds2t06N48rGgV2Y1w_6_0"/>
      <w:bookmarkStart w:id="199" w:name="Tc_jsVUbqvhskCEFOrSXGABcg_5_11"/>
      <w:bookmarkStart w:id="200" w:name="Tc_6PFiwSn9T0qWgL08t8bGIA_5_8"/>
      <w:bookmarkStart w:id="201" w:name="Tc_n5F1pokMmkeaa_5gcI6I2Q_5_5"/>
      <w:bookmarkStart w:id="202" w:name="Tc_CzFkQOq0sk6mOKvveSoPXQ_5_2"/>
      <w:bookmarkStart w:id="203" w:name="Tc_3XMzkputcUis_IE_iEs_3Q_5_0"/>
      <w:bookmarkStart w:id="204" w:name="Tc_bTuleWeUC0WjhhfOPVQsbw_4_0"/>
      <w:bookmarkStart w:id="205" w:name="Tc_k3A4Xih4WkqcOVgwVrphcA_3_11"/>
      <w:bookmarkStart w:id="206" w:name="Tc_BhgqOF69zkWFVursJz8p9Q_3_8"/>
      <w:bookmarkStart w:id="207" w:name="Tc_yM9d-RoWJEGBH6Mj6LUTAw_3_5"/>
      <w:bookmarkStart w:id="208" w:name="Tc_InSV_mIPekOG8z3koeFgjA_3_2"/>
      <w:bookmarkStart w:id="209" w:name="Tc_9afuqL8M3UWON6Ea2WmhGQ_2_8"/>
      <w:bookmarkStart w:id="210" w:name="Tc__1761P_pKEm76UUy5PShUw_2_2"/>
      <w:bookmarkStart w:id="211" w:name="Tc_gHa635Nd8EiSXEu-jYtUdQ_1_8"/>
      <w:bookmarkStart w:id="212" w:name="Tc_NTZZIacSP0u7sNN8wTdT2w_1_2"/>
      <w:bookmarkStart w:id="213" w:name="_27f4abe9_6cf8_486a_b066_c8b756ce667b"/>
      <w:bookmarkStart w:id="214" w:name="_20c1f205_f1f1_4485_855d_a9970cde981b"/>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10205" w:type="dxa"/>
        <w:jc w:val="left"/>
        <w:tblInd w:w="0" w:type="dxa"/>
        <w:tblLayout w:type="fixed"/>
        <w:tblCellMar>
          <w:top w:w="0" w:type="dxa"/>
          <w:left w:w="0" w:type="dxa"/>
          <w:bottom w:w="0" w:type="dxa"/>
          <w:right w:w="0" w:type="dxa"/>
        </w:tblCellMar>
      </w:tblPr>
      <w:tblGrid>
        <w:gridCol w:w="3849"/>
        <w:gridCol w:w="326"/>
        <w:gridCol w:w="211"/>
        <w:gridCol w:w="1046"/>
        <w:gridCol w:w="326"/>
        <w:gridCol w:w="211"/>
        <w:gridCol w:w="1034"/>
        <w:gridCol w:w="326"/>
        <w:gridCol w:w="211"/>
        <w:gridCol w:w="1046"/>
        <w:gridCol w:w="326"/>
        <w:gridCol w:w="211"/>
        <w:gridCol w:w="1082"/>
      </w:tblGrid>
      <w:tr>
        <w:trPr/>
        <w:tc>
          <w:tcPr>
            <w:tcW w:w="3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44115" cy="175260"/>
                      <wp:effectExtent l="0" t="0" r="0" b="0"/>
                      <wp:wrapNone/>
                      <wp:docPr id="12" name="Frame11"/>
                      <a:graphic xmlns:a="http://schemas.openxmlformats.org/drawingml/2006/main">
                        <a:graphicData uri="http://schemas.microsoft.com/office/word/2010/wordprocessingShape">
                          <wps:wsp>
                            <wps:cNvSpPr txBox="1"/>
                            <wps:spPr>
                              <a:xfrm>
                                <a:off x="0" y="0"/>
                                <a:ext cx="244411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4210" cy="175260"/>
                      <wp:effectExtent l="0" t="0" r="0" b="0"/>
                      <wp:wrapNone/>
                      <wp:docPr id="15" name="Frame14"/>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6590" cy="175260"/>
                      <wp:effectExtent l="0" t="0" r="0" b="0"/>
                      <wp:wrapNone/>
                      <wp:docPr id="18" name="Frame17"/>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4210" cy="175260"/>
                      <wp:effectExtent l="0" t="0" r="0" b="0"/>
                      <wp:wrapNone/>
                      <wp:docPr id="21" name="Frame20"/>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87070" cy="175260"/>
                      <wp:effectExtent l="0" t="0" r="0" b="0"/>
                      <wp:wrapNone/>
                      <wp:docPr id="24" name="Frame23"/>
                      <a:graphic xmlns:a="http://schemas.openxmlformats.org/drawingml/2006/main">
                        <a:graphicData uri="http://schemas.microsoft.com/office/word/2010/wordprocessingShape">
                          <wps:wsp>
                            <wps:cNvSpPr txBox="1"/>
                            <wps:spPr>
                              <a:xfrm>
                                <a:off x="0" y="0"/>
                                <a:ext cx="6870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84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2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87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4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87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4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4"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2" w:type="dxa"/>
            <w:tcBorders/>
            <w:shd w:fill="CCEEFF" w:val="clear"/>
            <w:vAlign w:val="center"/>
          </w:tcPr>
          <w:p>
            <w:pPr>
              <w:pStyle w:val="TableContents"/>
              <w:bidi w:val="0"/>
              <w:spacing w:before="0" w:after="1"/>
              <w:ind w:left="0" w:right="0" w:hanging="0"/>
              <w:jc w:val="both"/>
              <w:rPr/>
            </w:pPr>
            <w:r>
              <w:rPr/>
              <w:t>​</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861,184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1,169,236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1,210,288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2,413,297</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861,184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1,169,236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1,210,288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2,413,297</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4"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82" w:type="dxa"/>
            <w:tcBorders/>
            <w:vAlign w:val="center"/>
          </w:tcPr>
          <w:p>
            <w:pPr>
              <w:pStyle w:val="TableContents"/>
              <w:bidi w:val="0"/>
              <w:spacing w:before="0" w:after="1"/>
              <w:ind w:left="0" w:right="0" w:hanging="0"/>
              <w:jc w:val="both"/>
              <w:rPr/>
            </w:pPr>
            <w:r>
              <w:rPr/>
              <w:t>​</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4,177,054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2,335,430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7,312,481</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4,910,446</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945,163</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1,141,871</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2,314,378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2,359,934</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453,135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5,122,217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3,477,301</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10,079,994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7,270,380</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(4,261,033)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(2,308,065)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(8,869,706)</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(4,857,083)</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2" w:type="dxa"/>
            <w:tcBorders/>
            <w:vAlign w:val="center"/>
          </w:tcPr>
          <w:p>
            <w:pPr>
              <w:pStyle w:val="TableContents"/>
              <w:bidi w:val="0"/>
              <w:spacing w:before="0" w:after="1"/>
              <w:ind w:left="0" w:right="0" w:hanging="0"/>
              <w:jc w:val="right"/>
              <w:rPr/>
            </w:pPr>
            <w:r>
              <w:rPr/>
              <w:t>​</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128,025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115,388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290,514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271,584</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(4,015,564)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(2,192,677)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(8,461,748)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(4,585,499)</w:t>
            </w:r>
          </w:p>
        </w:tc>
      </w:tr>
      <w:tr>
        <w:trPr/>
        <w:tc>
          <w:tcPr>
            <w:tcW w:w="3849"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r>
      <w:tr>
        <w:trPr/>
        <w:tc>
          <w:tcPr>
            <w:tcW w:w="3849"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2" w:type="dxa"/>
            <w:tcBorders/>
            <w:shd w:fill="CCEEFF" w:val="clear"/>
            <w:vAlign w:val="center"/>
          </w:tcPr>
          <w:p>
            <w:pPr>
              <w:pStyle w:val="TableContents"/>
              <w:bidi w:val="0"/>
              <w:spacing w:before="0" w:after="1"/>
              <w:ind w:left="0" w:right="0" w:hanging="0"/>
              <w:jc w:val="right"/>
              <w:rPr/>
            </w:pPr>
            <w:r>
              <w:rPr/>
              <w:t>​</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82" w:type="dxa"/>
            <w:tcBorders/>
            <w:vAlign w:val="center"/>
          </w:tcPr>
          <w:p>
            <w:pPr>
              <w:pStyle w:val="TableContents"/>
              <w:bidi w:val="0"/>
              <w:spacing w:before="0" w:after="1"/>
              <w:ind w:left="0" w:right="0" w:hanging="0"/>
              <w:jc w:val="right"/>
              <w:rPr/>
            </w:pPr>
            <w:r>
              <w:rPr/>
              <w:t>​</w:t>
            </w:r>
          </w:p>
        </w:tc>
      </w:tr>
      <w:tr>
        <w:trPr/>
        <w:tc>
          <w:tcPr>
            <w:tcW w:w="3849"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r>
      <w:tr>
        <w:trPr/>
        <w:tc>
          <w:tcPr>
            <w:tcW w:w="3849"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pPr>
            <w:r>
              <w:rPr/>
              <w:t>​</w:t>
            </w:r>
          </w:p>
        </w:tc>
        <w:tc>
          <w:tcPr>
            <w:tcW w:w="1082"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8,910,097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215" w:name="_5e66fcf6_bd3c_4b6b_a493_01a4acb145df"/>
      <w:bookmarkEnd w:id="21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16" w:name="CONDENSEDCONSOLIDATEDSTATEMENTSOFSTOCKHO"/>
      <w:bookmarkEnd w:id="21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7" w:name="Tc_dVdpdPjXW0iOH1HS-8POhg_9_13"/>
      <w:bookmarkStart w:id="218" w:name="Tc_WHS4WAOv0kOkKDkLu51rKw_9_10"/>
      <w:bookmarkStart w:id="219" w:name="Tc_G8HUDLODjEWUSnw6CyvNEw_9_7"/>
      <w:bookmarkStart w:id="220" w:name="Tc_hWD0cqN9OEiRUhC2iZuqJQ_9_4"/>
      <w:bookmarkStart w:id="221" w:name="Tc_8S6B2cVMs0GFX4kP6GnqZA_9_0"/>
      <w:bookmarkStart w:id="222" w:name="Tc_l3Q0rR8uwUqJVMe8cda9hQ_8_8"/>
      <w:bookmarkStart w:id="223" w:name="Tc_lgGYxOPW7Uq6FxlH_JA7Bg_8_5"/>
      <w:bookmarkStart w:id="224" w:name="Tc_Sf2RDpHqtkSq5_-I7gCkTw_8_2"/>
      <w:bookmarkStart w:id="225" w:name="Tc_YJbWzDc7OkyBvQX63bH6Aw_8_0"/>
      <w:bookmarkStart w:id="226" w:name="Tc_d2Yuqn5N-kC6D9AVzZ2nzw_7_11"/>
      <w:bookmarkStart w:id="227" w:name="Tc_bGFodKDBR0yPSjt_OM2bUw_7_5"/>
      <w:bookmarkStart w:id="228" w:name="Tc_ENF8d-BP0kSGsbW09QhLng_7_2"/>
      <w:bookmarkStart w:id="229" w:name="Tc_5_FDLgkhrkO2o7Vs5A97MQ_7_0"/>
      <w:bookmarkStart w:id="230" w:name="Tc_ZhrMvAWjmUi4wCPU4HBvKg_6_11"/>
      <w:bookmarkStart w:id="231" w:name="Tc_mvkwTbZUrEmuqcX5P8opvQ_6_8"/>
      <w:bookmarkStart w:id="232" w:name="Tc_x1sJ67CHEU6OoycB3mSzOA_6_0"/>
      <w:bookmarkStart w:id="233" w:name="Tc_eUP1tjUsh0G8tiTNW1vvyQ_5_13"/>
      <w:bookmarkStart w:id="234" w:name="Tc_8MKwPASW8EemofM7KoR-SA_5_10"/>
      <w:bookmarkStart w:id="235" w:name="Tc_uABCo7Qrl0S3FZb3jLtQJw_5_7"/>
      <w:bookmarkStart w:id="236" w:name="Tc_kx7a8RSZfkCcSg4gpu1p0A_5_4"/>
      <w:bookmarkStart w:id="237" w:name="Tc_kmPrakENBk-09kcxkQIJFA_5_0"/>
      <w:bookmarkStart w:id="238" w:name="Tc_uMsteXjFZUKWwk0PG_SJCA_4_13"/>
      <w:bookmarkStart w:id="239" w:name="Tc_fTcM0l4EaUO5yXOVyGVJzg_4_10"/>
      <w:bookmarkStart w:id="240" w:name="Tc_SCBgQMNRMECWzv3m0MsN4w_4_7"/>
      <w:bookmarkStart w:id="241" w:name="Tc_xEqGlkrFNEegJx-I_uqAzA_4_4"/>
      <w:bookmarkStart w:id="242" w:name="Tc_KqGhBLCxk0KkIkKmO0wf0w_4_2"/>
      <w:bookmarkStart w:id="243" w:name="Tc_zy9j0gVMaEGg7u1OSHYppQ_3_13"/>
      <w:bookmarkStart w:id="244" w:name="Tc_lriwvFr-rE-rwtyqaVXcIg_3_10"/>
      <w:bookmarkStart w:id="245" w:name="Tc_c0R7TMGCOUSyEWfkW6KTtA_3_7"/>
      <w:bookmarkStart w:id="246" w:name="Tc_Ufd90cxMiEeeUG9uzduWSA_3_2"/>
      <w:bookmarkStart w:id="247" w:name="Tc_zOYFMHWkl02Hg8VlkUqvag_2_13"/>
      <w:bookmarkStart w:id="248" w:name="Tc_Bor4jQPiz0esBqRR3ZXt6A_1_2"/>
      <w:bookmarkStart w:id="249" w:name="_61df9c88_5d51_492c_8c04_c37cd1a34ed4"/>
      <w:bookmarkStart w:id="250" w:name="Tc_dVdpdPjXW0iOH1HS-8POhg_9_13"/>
      <w:bookmarkStart w:id="251" w:name="Tc_WHS4WAOv0kOkKDkLu51rKw_9_10"/>
      <w:bookmarkStart w:id="252" w:name="Tc_G8HUDLODjEWUSnw6CyvNEw_9_7"/>
      <w:bookmarkStart w:id="253" w:name="Tc_hWD0cqN9OEiRUhC2iZuqJQ_9_4"/>
      <w:bookmarkStart w:id="254" w:name="Tc_8S6B2cVMs0GFX4kP6GnqZA_9_0"/>
      <w:bookmarkStart w:id="255" w:name="Tc_l3Q0rR8uwUqJVMe8cda9hQ_8_8"/>
      <w:bookmarkStart w:id="256" w:name="Tc_lgGYxOPW7Uq6FxlH_JA7Bg_8_5"/>
      <w:bookmarkStart w:id="257" w:name="Tc_Sf2RDpHqtkSq5_-I7gCkTw_8_2"/>
      <w:bookmarkStart w:id="258" w:name="Tc_YJbWzDc7OkyBvQX63bH6Aw_8_0"/>
      <w:bookmarkStart w:id="259" w:name="Tc_d2Yuqn5N-kC6D9AVzZ2nzw_7_11"/>
      <w:bookmarkStart w:id="260" w:name="Tc_bGFodKDBR0yPSjt_OM2bUw_7_5"/>
      <w:bookmarkStart w:id="261" w:name="Tc_ENF8d-BP0kSGsbW09QhLng_7_2"/>
      <w:bookmarkStart w:id="262" w:name="Tc_5_FDLgkhrkO2o7Vs5A97MQ_7_0"/>
      <w:bookmarkStart w:id="263" w:name="Tc_ZhrMvAWjmUi4wCPU4HBvKg_6_11"/>
      <w:bookmarkStart w:id="264" w:name="Tc_mvkwTbZUrEmuqcX5P8opvQ_6_8"/>
      <w:bookmarkStart w:id="265" w:name="Tc_x1sJ67CHEU6OoycB3mSzOA_6_0"/>
      <w:bookmarkStart w:id="266" w:name="Tc_eUP1tjUsh0G8tiTNW1vvyQ_5_13"/>
      <w:bookmarkStart w:id="267" w:name="Tc_8MKwPASW8EemofM7KoR-SA_5_10"/>
      <w:bookmarkStart w:id="268" w:name="Tc_uABCo7Qrl0S3FZb3jLtQJw_5_7"/>
      <w:bookmarkStart w:id="269" w:name="Tc_kx7a8RSZfkCcSg4gpu1p0A_5_4"/>
      <w:bookmarkStart w:id="270" w:name="Tc_kmPrakENBk-09kcxkQIJFA_5_0"/>
      <w:bookmarkStart w:id="271" w:name="Tc_uMsteXjFZUKWwk0PG_SJCA_4_13"/>
      <w:bookmarkStart w:id="272" w:name="Tc_fTcM0l4EaUO5yXOVyGVJzg_4_10"/>
      <w:bookmarkStart w:id="273" w:name="Tc_SCBgQMNRMECWzv3m0MsN4w_4_7"/>
      <w:bookmarkStart w:id="274" w:name="Tc_xEqGlkrFNEegJx-I_uqAzA_4_4"/>
      <w:bookmarkStart w:id="275" w:name="Tc_KqGhBLCxk0KkIkKmO0wf0w_4_2"/>
      <w:bookmarkStart w:id="276" w:name="Tc_zy9j0gVMaEGg7u1OSHYppQ_3_13"/>
      <w:bookmarkStart w:id="277" w:name="Tc_lriwvFr-rE-rwtyqaVXcIg_3_10"/>
      <w:bookmarkStart w:id="278" w:name="Tc_c0R7TMGCOUSyEWfkW6KTtA_3_7"/>
      <w:bookmarkStart w:id="279" w:name="Tc_Ufd90cxMiEeeUG9uzduWSA_3_2"/>
      <w:bookmarkStart w:id="280" w:name="Tc_zOYFMHWkl02Hg8VlkUqvag_2_13"/>
      <w:bookmarkStart w:id="281" w:name="Tc_Bor4jQPiz0esBqRR3ZXt6A_1_2"/>
      <w:bookmarkStart w:id="282" w:name="_61df9c88_5d51_492c_8c04_c37cd1a34ed4"/>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tbl>
      <w:tblPr>
        <w:tblW w:w="10205" w:type="dxa"/>
        <w:jc w:val="left"/>
        <w:tblInd w:w="0" w:type="dxa"/>
        <w:tblLayout w:type="fixed"/>
        <w:tblCellMar>
          <w:top w:w="0" w:type="dxa"/>
          <w:left w:w="0" w:type="dxa"/>
          <w:bottom w:w="0" w:type="dxa"/>
          <w:right w:w="0" w:type="dxa"/>
        </w:tblCellMar>
      </w:tblPr>
      <w:tblGrid>
        <w:gridCol w:w="3058"/>
        <w:gridCol w:w="326"/>
        <w:gridCol w:w="916"/>
        <w:gridCol w:w="326"/>
        <w:gridCol w:w="199"/>
        <w:gridCol w:w="612"/>
        <w:gridCol w:w="326"/>
        <w:gridCol w:w="207"/>
        <w:gridCol w:w="1069"/>
        <w:gridCol w:w="326"/>
        <w:gridCol w:w="196"/>
        <w:gridCol w:w="1098"/>
        <w:gridCol w:w="326"/>
        <w:gridCol w:w="196"/>
        <w:gridCol w:w="1024"/>
      </w:tblGrid>
      <w:tr>
        <w:trPr/>
        <w:tc>
          <w:tcPr>
            <w:tcW w:w="3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941830" cy="175260"/>
                      <wp:effectExtent l="0" t="0" r="0" b="0"/>
                      <wp:wrapNone/>
                      <wp:docPr id="25" name="Frame24"/>
                      <a:graphic xmlns:a="http://schemas.openxmlformats.org/drawingml/2006/main">
                        <a:graphicData uri="http://schemas.microsoft.com/office/word/2010/wordprocessingShape">
                          <wps:wsp>
                            <wps:cNvSpPr txBox="1"/>
                            <wps:spPr>
                              <a:xfrm>
                                <a:off x="0" y="0"/>
                                <a:ext cx="19418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81660" cy="175260"/>
                      <wp:effectExtent l="0" t="0" r="0" b="0"/>
                      <wp:wrapNone/>
                      <wp:docPr id="27" name="Frame2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6365" cy="175260"/>
                      <wp:effectExtent l="0" t="0" r="0" b="0"/>
                      <wp:wrapNone/>
                      <wp:docPr id="29" name="Frame28"/>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8620" cy="175260"/>
                      <wp:effectExtent l="0" t="0" r="0" b="0"/>
                      <wp:wrapNone/>
                      <wp:docPr id="30" name="Frame29"/>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1445" cy="175260"/>
                      <wp:effectExtent l="0" t="0" r="0" b="0"/>
                      <wp:wrapNone/>
                      <wp:docPr id="32" name="Frame31"/>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78815" cy="175260"/>
                      <wp:effectExtent l="0" t="0" r="0" b="0"/>
                      <wp:wrapNone/>
                      <wp:docPr id="33" name="Frame32"/>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4"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7230" cy="175260"/>
                      <wp:effectExtent l="0" t="0" r="0" b="0"/>
                      <wp:wrapNone/>
                      <wp:docPr id="36" name="Frame35"/>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38" name="Frame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50240" cy="175260"/>
                      <wp:effectExtent l="0" t="0" r="0" b="0"/>
                      <wp:wrapNone/>
                      <wp:docPr id="39" name="Frame38"/>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821"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2025</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10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    </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April 1, 2025</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11,214,835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11,213</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465,944,020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(451,463,362)</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14,491,871</w:t>
            </w:r>
          </w:p>
        </w:tc>
      </w:tr>
      <w:tr>
        <w:trPr/>
        <w:tc>
          <w:tcPr>
            <w:tcW w:w="305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prefunded warrants </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10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Stock-based compensation </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pPr>
            <w:r>
              <w:rPr/>
              <w:t>​</w:t>
            </w:r>
          </w:p>
        </w:tc>
        <w:tc>
          <w:tcPr>
            <w:tcW w:w="6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0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13,986</w:t>
            </w:r>
          </w:p>
        </w:tc>
      </w:tr>
      <w:tr>
        <w:trPr/>
        <w:tc>
          <w:tcPr>
            <w:tcW w:w="305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(4,015,564)</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(4,015,564)</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June 30, 2025</w:t>
            </w:r>
          </w:p>
        </w:tc>
        <w:tc>
          <w:tcPr>
            <w:tcW w:w="326" w:type="dxa"/>
            <w:tcBorders/>
            <w:shd w:fill="CCEEFF" w:val="clear"/>
            <w:vAlign w:val="center"/>
          </w:tcPr>
          <w:p>
            <w:pPr>
              <w:pStyle w:val="TableContents"/>
              <w:bidi w:val="0"/>
              <w:spacing w:before="0" w:after="0"/>
              <w:ind w:left="0" w:right="0" w:hanging="0"/>
              <w:jc w:val="both"/>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11,314,835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11,313</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465,958,006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(455,478,926)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10,490,393</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83" w:name="Tc_-MCVb6eB8kWaitMabLhi3g_9_13"/>
      <w:bookmarkStart w:id="284" w:name="Tc_xKiTNe60y0-f-gSWfCMmoA_9_10"/>
      <w:bookmarkStart w:id="285" w:name="Tc_0-GynuWYjU2M2AeMqOo3jg_9_7"/>
      <w:bookmarkStart w:id="286" w:name="Tc_g8YCb3W0tkKKBzDq3KfGjQ_9_4"/>
      <w:bookmarkStart w:id="287" w:name="Tc_kWW9Ui0Nl0GWYa-xmjIzWQ_9_0"/>
      <w:bookmarkStart w:id="288" w:name="Tc_RmQMlVu3O0G-zE8nBUu7rg_8_8"/>
      <w:bookmarkStart w:id="289" w:name="Tc_9SNDdmCMHEqaU550O2h6aQ_8_5"/>
      <w:bookmarkStart w:id="290" w:name="Tc_XEzcKJZKqkKJhIkOBkaVyg_8_2"/>
      <w:bookmarkStart w:id="291" w:name="Tc_ZHB_YqWDMUCW4wwFfqm9Rw_8_0"/>
      <w:bookmarkStart w:id="292" w:name="Tc_JFfF-LpYA0CVerj3meIsIw_7_11"/>
      <w:bookmarkStart w:id="293" w:name="Tc_mXUM4H5BS0a4C-tpOs8P9Q_7_5"/>
      <w:bookmarkStart w:id="294" w:name="Tc_Lvul1dzYeEi3-XmA_b0sZQ_7_2"/>
      <w:bookmarkStart w:id="295" w:name="Tc_zg-LcGj86U-4Iuq6GSQA1Q_7_0"/>
      <w:bookmarkStart w:id="296" w:name="Tc_60zz7mTRIkOT-0JmH3ZvPw_6_11"/>
      <w:bookmarkStart w:id="297" w:name="Tc_xxJsfJxOe0imgkIsNch2kQ_6_8"/>
      <w:bookmarkStart w:id="298" w:name="Tc_rdaB_ossAUqjvCz2v1SjOw_6_0"/>
      <w:bookmarkStart w:id="299" w:name="Tc_4HiYnFNeEUuF6yu7nUQSBA_5_13"/>
      <w:bookmarkStart w:id="300" w:name="Tc_fuxHNja12kWtgEj0opeTQg_5_10"/>
      <w:bookmarkStart w:id="301" w:name="Tc_5dqHL1ZJTEWs-AUq7-fGMA_5_7"/>
      <w:bookmarkStart w:id="302" w:name="Tc_qfOOBCEgV0u8UpQjZlPI7g_5_4"/>
      <w:bookmarkStart w:id="303" w:name="Tc_fjAk2r5Bg0eITn7BBG6qWQ_5_0"/>
      <w:bookmarkStart w:id="304" w:name="Tc_rYuiHSO1OkCvl8pe9NSHcQ_4_13"/>
      <w:bookmarkStart w:id="305" w:name="Tc_J4oSpBuNC0WW5WU2A2p8gQ_4_10"/>
      <w:bookmarkStart w:id="306" w:name="Tc_feIpw9i2zEmjeO2t_CURCA_4_7"/>
      <w:bookmarkStart w:id="307" w:name="Tc_xrB9mDoX70ObuadE-8mqUQ_4_4"/>
      <w:bookmarkStart w:id="308" w:name="Tc_xtlGDcNbsU2EzGobVe8uKw_4_2"/>
      <w:bookmarkStart w:id="309" w:name="Tc_ixw-YCuE-UOJy6ksIgKobw_3_13"/>
      <w:bookmarkStart w:id="310" w:name="Tc_gGCeoGD-bU-nBzP4ow_Tcw_3_10"/>
      <w:bookmarkStart w:id="311" w:name="Tc_F5C-A4TKUk-HuYUdf7KUaA_3_7"/>
      <w:bookmarkStart w:id="312" w:name="Tc_LnwHkCIT80eTmmg9iC4V_g_3_2"/>
      <w:bookmarkStart w:id="313" w:name="Tc_eQRCQngl7ki1HYfvkXWU4A_2_13"/>
      <w:bookmarkStart w:id="314" w:name="Tc_CHwPJO79sEKNdHy53toi7g_1_2"/>
      <w:bookmarkStart w:id="315" w:name="_54c1946e_d944_416e_89a0_b6e5afed3a82"/>
      <w:bookmarkStart w:id="316" w:name="Tc_-MCVb6eB8kWaitMabLhi3g_9_13"/>
      <w:bookmarkStart w:id="317" w:name="Tc_xKiTNe60y0-f-gSWfCMmoA_9_10"/>
      <w:bookmarkStart w:id="318" w:name="Tc_0-GynuWYjU2M2AeMqOo3jg_9_7"/>
      <w:bookmarkStart w:id="319" w:name="Tc_g8YCb3W0tkKKBzDq3KfGjQ_9_4"/>
      <w:bookmarkStart w:id="320" w:name="Tc_kWW9Ui0Nl0GWYa-xmjIzWQ_9_0"/>
      <w:bookmarkStart w:id="321" w:name="Tc_RmQMlVu3O0G-zE8nBUu7rg_8_8"/>
      <w:bookmarkStart w:id="322" w:name="Tc_9SNDdmCMHEqaU550O2h6aQ_8_5"/>
      <w:bookmarkStart w:id="323" w:name="Tc_XEzcKJZKqkKJhIkOBkaVyg_8_2"/>
      <w:bookmarkStart w:id="324" w:name="Tc_ZHB_YqWDMUCW4wwFfqm9Rw_8_0"/>
      <w:bookmarkStart w:id="325" w:name="Tc_JFfF-LpYA0CVerj3meIsIw_7_11"/>
      <w:bookmarkStart w:id="326" w:name="Tc_mXUM4H5BS0a4C-tpOs8P9Q_7_5"/>
      <w:bookmarkStart w:id="327" w:name="Tc_Lvul1dzYeEi3-XmA_b0sZQ_7_2"/>
      <w:bookmarkStart w:id="328" w:name="Tc_zg-LcGj86U-4Iuq6GSQA1Q_7_0"/>
      <w:bookmarkStart w:id="329" w:name="Tc_60zz7mTRIkOT-0JmH3ZvPw_6_11"/>
      <w:bookmarkStart w:id="330" w:name="Tc_xxJsfJxOe0imgkIsNch2kQ_6_8"/>
      <w:bookmarkStart w:id="331" w:name="Tc_rdaB_ossAUqjvCz2v1SjOw_6_0"/>
      <w:bookmarkStart w:id="332" w:name="Tc_4HiYnFNeEUuF6yu7nUQSBA_5_13"/>
      <w:bookmarkStart w:id="333" w:name="Tc_fuxHNja12kWtgEj0opeTQg_5_10"/>
      <w:bookmarkStart w:id="334" w:name="Tc_5dqHL1ZJTEWs-AUq7-fGMA_5_7"/>
      <w:bookmarkStart w:id="335" w:name="Tc_qfOOBCEgV0u8UpQjZlPI7g_5_4"/>
      <w:bookmarkStart w:id="336" w:name="Tc_fjAk2r5Bg0eITn7BBG6qWQ_5_0"/>
      <w:bookmarkStart w:id="337" w:name="Tc_rYuiHSO1OkCvl8pe9NSHcQ_4_13"/>
      <w:bookmarkStart w:id="338" w:name="Tc_J4oSpBuNC0WW5WU2A2p8gQ_4_10"/>
      <w:bookmarkStart w:id="339" w:name="Tc_feIpw9i2zEmjeO2t_CURCA_4_7"/>
      <w:bookmarkStart w:id="340" w:name="Tc_xrB9mDoX70ObuadE-8mqUQ_4_4"/>
      <w:bookmarkStart w:id="341" w:name="Tc_xtlGDcNbsU2EzGobVe8uKw_4_2"/>
      <w:bookmarkStart w:id="342" w:name="Tc_ixw-YCuE-UOJy6ksIgKobw_3_13"/>
      <w:bookmarkStart w:id="343" w:name="Tc_gGCeoGD-bU-nBzP4ow_Tcw_3_10"/>
      <w:bookmarkStart w:id="344" w:name="Tc_F5C-A4TKUk-HuYUdf7KUaA_3_7"/>
      <w:bookmarkStart w:id="345" w:name="Tc_LnwHkCIT80eTmmg9iC4V_g_3_2"/>
      <w:bookmarkStart w:id="346" w:name="Tc_eQRCQngl7ki1HYfvkXWU4A_2_13"/>
      <w:bookmarkStart w:id="347" w:name="Tc_CHwPJO79sEKNdHy53toi7g_1_2"/>
      <w:bookmarkStart w:id="348" w:name="_54c1946e_d944_416e_89a0_b6e5afed3a82"/>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tbl>
      <w:tblPr>
        <w:tblW w:w="10205" w:type="dxa"/>
        <w:jc w:val="left"/>
        <w:tblInd w:w="0" w:type="dxa"/>
        <w:tblLayout w:type="fixed"/>
        <w:tblCellMar>
          <w:top w:w="0" w:type="dxa"/>
          <w:left w:w="0" w:type="dxa"/>
          <w:bottom w:w="0" w:type="dxa"/>
          <w:right w:w="0" w:type="dxa"/>
        </w:tblCellMar>
      </w:tblPr>
      <w:tblGrid>
        <w:gridCol w:w="3058"/>
        <w:gridCol w:w="326"/>
        <w:gridCol w:w="916"/>
        <w:gridCol w:w="326"/>
        <w:gridCol w:w="199"/>
        <w:gridCol w:w="612"/>
        <w:gridCol w:w="326"/>
        <w:gridCol w:w="207"/>
        <w:gridCol w:w="1070"/>
        <w:gridCol w:w="326"/>
        <w:gridCol w:w="196"/>
        <w:gridCol w:w="1098"/>
        <w:gridCol w:w="326"/>
        <w:gridCol w:w="196"/>
        <w:gridCol w:w="1023"/>
      </w:tblGrid>
      <w:tr>
        <w:trPr/>
        <w:tc>
          <w:tcPr>
            <w:tcW w:w="3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941830" cy="175260"/>
                      <wp:effectExtent l="0" t="0" r="0" b="0"/>
                      <wp:wrapNone/>
                      <wp:docPr id="40" name="Frame39"/>
                      <a:graphic xmlns:a="http://schemas.openxmlformats.org/drawingml/2006/main">
                        <a:graphicData uri="http://schemas.microsoft.com/office/word/2010/wordprocessingShape">
                          <wps:wsp>
                            <wps:cNvSpPr txBox="1"/>
                            <wps:spPr>
                              <a:xfrm>
                                <a:off x="0" y="0"/>
                                <a:ext cx="19418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81660" cy="175260"/>
                      <wp:effectExtent l="0" t="0" r="0" b="0"/>
                      <wp:wrapNone/>
                      <wp:docPr id="42" name="Frame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6365" cy="175260"/>
                      <wp:effectExtent l="0" t="0" r="0" b="0"/>
                      <wp:wrapNone/>
                      <wp:docPr id="44" name="Frame4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8620" cy="175260"/>
                      <wp:effectExtent l="0" t="0" r="0" b="0"/>
                      <wp:wrapNone/>
                      <wp:docPr id="45" name="Frame44"/>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1445" cy="175260"/>
                      <wp:effectExtent l="0" t="0" r="0" b="0"/>
                      <wp:wrapNone/>
                      <wp:docPr id="47" name="Frame4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79450" cy="175260"/>
                      <wp:effectExtent l="0" t="0" r="0" b="0"/>
                      <wp:wrapNone/>
                      <wp:docPr id="48" name="Frame47"/>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0"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7230" cy="175260"/>
                      <wp:effectExtent l="0" t="0" r="0" b="0"/>
                      <wp:wrapNone/>
                      <wp:docPr id="51" name="Frame50"/>
                      <a:graphic xmlns:a="http://schemas.openxmlformats.org/drawingml/2006/main">
                        <a:graphicData uri="http://schemas.microsoft.com/office/word/2010/wordprocessingShape">
                          <wps:wsp>
                            <wps:cNvSpPr txBox="1"/>
                            <wps:spPr>
                              <a:xfrm>
                                <a:off x="0" y="0"/>
                                <a:ext cx="69723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2"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24460" cy="175260"/>
                      <wp:effectExtent l="0" t="0" r="0" b="0"/>
                      <wp:wrapNone/>
                      <wp:docPr id="53"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9605" cy="175260"/>
                      <wp:effectExtent l="0" t="0" r="0" b="0"/>
                      <wp:wrapNone/>
                      <wp:docPr id="54" name="Frame53"/>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6821"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2025</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207" w:type="dxa"/>
            <w:tcBorders/>
            <w:vAlign w:val="center"/>
          </w:tcPr>
          <w:p>
            <w:pPr>
              <w:pStyle w:val="TableContents"/>
              <w:bidi w:val="0"/>
              <w:spacing w:before="0" w:after="0"/>
              <w:ind w:left="0" w:right="0" w:hanging="0"/>
              <w:jc w:val="both"/>
              <w:rPr/>
            </w:pPr>
            <w:r>
              <w:rPr/>
              <w:t>​</w:t>
            </w:r>
          </w:p>
        </w:tc>
        <w:tc>
          <w:tcPr>
            <w:tcW w:w="10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96" w:type="dxa"/>
            <w:tcBorders/>
            <w:vAlign w:val="center"/>
          </w:tcPr>
          <w:p>
            <w:pPr>
              <w:pStyle w:val="TableContents"/>
              <w:bidi w:val="0"/>
              <w:spacing w:before="0" w:after="0"/>
              <w:ind w:left="0" w:right="0" w:hanging="0"/>
              <w:jc w:val="both"/>
              <w:rPr/>
            </w:pPr>
            <w:r>
              <w:rPr/>
              <w:t>​</w:t>
            </w:r>
          </w:p>
        </w:tc>
        <w:tc>
          <w:tcPr>
            <w:tcW w:w="109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both"/>
              <w:rPr/>
            </w:pPr>
            <w:r>
              <w:rPr/>
              <w:t>​</w:t>
            </w:r>
          </w:p>
        </w:tc>
        <w:tc>
          <w:tcPr>
            <w:tcW w:w="12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0"/>
              <w:ind w:left="0" w:right="0" w:hanging="0"/>
              <w:jc w:val="both"/>
              <w:rPr/>
            </w:pPr>
            <w:r>
              <w:rPr/>
              <w:t>​</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both"/>
              <w:rPr/>
            </w:pPr>
            <w:r>
              <w:rPr/>
              <w:t>​</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058"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both"/>
              <w:rPr/>
            </w:pPr>
            <w:r>
              <w:rPr/>
              <w:t>​</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0"/>
              <w:ind w:left="0" w:right="0" w:hanging="0"/>
              <w:jc w:val="both"/>
              <w:rPr/>
            </w:pPr>
            <w:r>
              <w:rPr/>
              <w:t>​</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both"/>
              <w:rPr/>
            </w:pPr>
            <w:r>
              <w:rPr/>
              <w:t>​</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January 1, 2025</w:t>
            </w:r>
          </w:p>
        </w:tc>
        <w:tc>
          <w:tcPr>
            <w:tcW w:w="326" w:type="dxa"/>
            <w:tcBorders/>
            <w:shd w:fill="CCEEFF" w:val="clear"/>
            <w:vAlign w:val="center"/>
          </w:tcPr>
          <w:p>
            <w:pPr>
              <w:pStyle w:val="TableContents"/>
              <w:bidi w:val="0"/>
              <w:spacing w:before="0" w:after="0"/>
              <w:ind w:left="0" w:right="0" w:hanging="0"/>
              <w:jc w:val="both"/>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10,709,005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10,708</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465,564,876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(447,017,178)</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18,558,406</w:t>
            </w:r>
          </w:p>
        </w:tc>
      </w:tr>
      <w:tr>
        <w:trPr/>
        <w:tc>
          <w:tcPr>
            <w:tcW w:w="305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Issuance of common stock from exercise of prefunded warrants</w:t>
            </w:r>
          </w:p>
        </w:tc>
        <w:tc>
          <w:tcPr>
            <w:tcW w:w="326" w:type="dxa"/>
            <w:tcBorders/>
            <w:vAlign w:val="center"/>
          </w:tcPr>
          <w:p>
            <w:pPr>
              <w:pStyle w:val="TableContents"/>
              <w:bidi w:val="0"/>
              <w:spacing w:before="0" w:after="0"/>
              <w:ind w:left="0" w:right="0" w:hanging="0"/>
              <w:jc w:val="both"/>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605,830</w:t>
            </w:r>
          </w:p>
        </w:tc>
        <w:tc>
          <w:tcPr>
            <w:tcW w:w="326" w:type="dxa"/>
            <w:tcBorders/>
            <w:vAlign w:val="center"/>
          </w:tcPr>
          <w:p>
            <w:pPr>
              <w:pStyle w:val="TableContents"/>
              <w:bidi w:val="0"/>
              <w:spacing w:before="0" w:after="0"/>
              <w:ind w:left="0" w:right="0" w:hanging="0"/>
              <w:jc w:val="both"/>
              <w:rPr/>
            </w:pPr>
            <w:r>
              <w:rPr/>
              <w:t>​</w:t>
            </w:r>
          </w:p>
        </w:tc>
        <w:tc>
          <w:tcPr>
            <w:tcW w:w="199" w:type="dxa"/>
            <w:tcBorders/>
            <w:vAlign w:val="center"/>
          </w:tcPr>
          <w:p>
            <w:pPr>
              <w:pStyle w:val="TableContents"/>
              <w:bidi w:val="0"/>
              <w:spacing w:before="0" w:after="0"/>
              <w:ind w:left="0" w:right="0" w:hanging="0"/>
              <w:jc w:val="both"/>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c>
          <w:tcPr>
            <w:tcW w:w="326" w:type="dxa"/>
            <w:tcBorders/>
            <w:vAlign w:val="center"/>
          </w:tcPr>
          <w:p>
            <w:pPr>
              <w:pStyle w:val="TableContents"/>
              <w:bidi w:val="0"/>
              <w:spacing w:before="0" w:after="0"/>
              <w:ind w:left="0" w:right="0" w:hanging="0"/>
              <w:jc w:val="both"/>
              <w:rPr/>
            </w:pPr>
            <w:r>
              <w:rPr/>
              <w:t>​</w:t>
            </w:r>
          </w:p>
        </w:tc>
        <w:tc>
          <w:tcPr>
            <w:tcW w:w="207" w:type="dxa"/>
            <w:tcBorders/>
            <w:vAlign w:val="center"/>
          </w:tcPr>
          <w:p>
            <w:pPr>
              <w:pStyle w:val="TableContents"/>
              <w:bidi w:val="0"/>
              <w:spacing w:before="0" w:after="0"/>
              <w:ind w:left="0" w:right="0" w:hanging="0"/>
              <w:jc w:val="both"/>
              <w:rPr/>
            </w:pPr>
            <w:r>
              <w:rPr/>
              <w:t>​</w:t>
            </w:r>
          </w:p>
        </w:tc>
        <w:tc>
          <w:tcPr>
            <w:tcW w:w="10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9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vAlign w:val="center"/>
          </w:tcPr>
          <w:p>
            <w:pPr>
              <w:pStyle w:val="TableContents"/>
              <w:bidi w:val="0"/>
              <w:spacing w:before="0" w:after="0"/>
              <w:ind w:left="0" w:right="0" w:hanging="0"/>
              <w:jc w:val="both"/>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both"/>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shd w:fill="CCEEFF" w:val="clear"/>
            <w:vAlign w:val="center"/>
          </w:tcPr>
          <w:p>
            <w:pPr>
              <w:pStyle w:val="TableContents"/>
              <w:bidi w:val="0"/>
              <w:spacing w:before="0" w:after="0"/>
              <w:ind w:left="0" w:right="0" w:hanging="0"/>
              <w:jc w:val="both"/>
              <w:rPr/>
            </w:pPr>
            <w:r>
              <w:rPr/>
              <w:t> </w:t>
            </w:r>
          </w:p>
        </w:tc>
        <w:tc>
          <w:tcPr>
            <w:tcW w:w="6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shd w:fill="CCEEFF" w:val="clear"/>
            <w:vAlign w:val="center"/>
          </w:tcPr>
          <w:p>
            <w:pPr>
              <w:pStyle w:val="TableContents"/>
              <w:bidi w:val="0"/>
              <w:spacing w:before="0" w:after="0"/>
              <w:ind w:left="0" w:right="0" w:hanging="0"/>
              <w:jc w:val="both"/>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393,130</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 </w:t>
            </w:r>
          </w:p>
        </w:tc>
        <w:tc>
          <w:tcPr>
            <w:tcW w:w="109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shd w:fill="CCEEFF" w:val="clear"/>
            <w:vAlign w:val="center"/>
          </w:tcPr>
          <w:p>
            <w:pPr>
              <w:pStyle w:val="TableContents"/>
              <w:bidi w:val="0"/>
              <w:spacing w:before="0" w:after="0"/>
              <w:ind w:left="0" w:right="0" w:hanging="0"/>
              <w:jc w:val="both"/>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393,130</w:t>
            </w:r>
          </w:p>
        </w:tc>
      </w:tr>
      <w:tr>
        <w:trPr/>
        <w:tc>
          <w:tcPr>
            <w:tcW w:w="3058"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both"/>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(8,461,748)</w:t>
            </w:r>
          </w:p>
        </w:tc>
        <w:tc>
          <w:tcPr>
            <w:tcW w:w="326" w:type="dxa"/>
            <w:tcBorders/>
            <w:vAlign w:val="center"/>
          </w:tcPr>
          <w:p>
            <w:pPr>
              <w:pStyle w:val="TableContents"/>
              <w:bidi w:val="0"/>
              <w:spacing w:before="0" w:after="0"/>
              <w:ind w:left="0" w:right="0" w:hanging="0"/>
              <w:jc w:val="both"/>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(8,461,748)</w:t>
            </w:r>
          </w:p>
        </w:tc>
      </w:tr>
      <w:tr>
        <w:trPr/>
        <w:tc>
          <w:tcPr>
            <w:tcW w:w="3058" w:type="dxa"/>
            <w:tcBorders/>
            <w:shd w:fill="CCEEFF" w:val="clear"/>
            <w:vAlign w:val="center"/>
          </w:tcPr>
          <w:p>
            <w:pPr>
              <w:pStyle w:val="TableContents"/>
              <w:pBdr/>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Balance at June 30, 2025</w:t>
            </w:r>
          </w:p>
        </w:tc>
        <w:tc>
          <w:tcPr>
            <w:tcW w:w="326" w:type="dxa"/>
            <w:tcBorders/>
            <w:shd w:fill="CCEEFF" w:val="clear"/>
            <w:vAlign w:val="center"/>
          </w:tcPr>
          <w:p>
            <w:pPr>
              <w:pStyle w:val="TableContents"/>
              <w:bidi w:val="0"/>
              <w:spacing w:before="0" w:after="0"/>
              <w:ind w:left="0" w:right="0" w:hanging="0"/>
              <w:jc w:val="both"/>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11,314,835</w:t>
            </w:r>
          </w:p>
        </w:tc>
        <w:tc>
          <w:tcPr>
            <w:tcW w:w="326" w:type="dxa"/>
            <w:tcBorders/>
            <w:shd w:fill="CCEEFF" w:val="clear"/>
            <w:vAlign w:val="center"/>
          </w:tcPr>
          <w:p>
            <w:pPr>
              <w:pStyle w:val="TableContents"/>
              <w:bidi w:val="0"/>
              <w:spacing w:before="0" w:after="0"/>
              <w:ind w:left="0" w:right="0" w:hanging="0"/>
              <w:jc w:val="both"/>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11,313</w:t>
            </w:r>
          </w:p>
        </w:tc>
        <w:tc>
          <w:tcPr>
            <w:tcW w:w="326" w:type="dxa"/>
            <w:tcBorders/>
            <w:shd w:fill="CCEEFF" w:val="clear"/>
            <w:vAlign w:val="center"/>
          </w:tcPr>
          <w:p>
            <w:pPr>
              <w:pStyle w:val="TableContents"/>
              <w:bidi w:val="0"/>
              <w:spacing w:before="0" w:after="0"/>
              <w:ind w:left="0" w:right="0" w:hanging="0"/>
              <w:jc w:val="both"/>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465,958,006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8"/>
              </w:rPr>
            </w:pPr>
            <w:r>
              <w:rPr>
                <w:rFonts w:ascii="Times New Roman;Times;serif" w:hAnsi="Times New Roman;Times;serif"/>
                <w:b/>
                <w:sz w:val="18"/>
              </w:rPr>
              <w:t>(455,478,926)</w:t>
            </w:r>
          </w:p>
        </w:tc>
        <w:tc>
          <w:tcPr>
            <w:tcW w:w="326" w:type="dxa"/>
            <w:tcBorders/>
            <w:shd w:fill="CCEEFF" w:val="clear"/>
            <w:vAlign w:val="center"/>
          </w:tcPr>
          <w:p>
            <w:pPr>
              <w:pStyle w:val="TableContents"/>
              <w:bidi w:val="0"/>
              <w:spacing w:before="0" w:after="0"/>
              <w:ind w:left="0" w:right="0" w:hanging="0"/>
              <w:jc w:val="both"/>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8"/>
              </w:rPr>
            </w:pPr>
            <w:r>
              <w:rPr>
                <w:rFonts w:ascii="Times New Roman;Times;serif" w:hAnsi="Times New Roman;Times;serif"/>
                <w:b/>
                <w:sz w:val="18"/>
              </w:rPr>
              <w:t>10,490,393</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49" w:name="Tc_NhADZh3vWk22jaJznkE2fw_10_13"/>
      <w:bookmarkStart w:id="350" w:name="Tc_xqouXtZkikuzvtF_p3vGhw_10_10"/>
      <w:bookmarkStart w:id="351" w:name="Tc_S8EUFZyeeE-sHNeqj6nong_10_7"/>
      <w:bookmarkStart w:id="352" w:name="Tc_4VAQZdRFX0etjd6VdnxRMg_10_4"/>
      <w:bookmarkStart w:id="353" w:name="Tc_WKoehIKBTkKxz01ri2Jljg_10_0"/>
      <w:bookmarkStart w:id="354" w:name="Tc_fbqjqlwGjUSOzc7p-ZIL_w_9_8"/>
      <w:bookmarkStart w:id="355" w:name="Tc_gsVUN0I8JUm2lIJal0qUvQ_9_5"/>
      <w:bookmarkStart w:id="356" w:name="Tc_KePKAOz5NEWs6gftolrcdQ_9_2"/>
      <w:bookmarkStart w:id="357" w:name="Tc_E6Xb-ZlIlEOoRPNP7aO_iw_9_0"/>
      <w:bookmarkStart w:id="358" w:name="Tc_o3WyI-k4NECQxvJJtxBaLg_8_11"/>
      <w:bookmarkStart w:id="359" w:name="Tc_BWX21I6NMU28RdlRel7x9w_8_5"/>
      <w:bookmarkStart w:id="360" w:name="Tc_UHBAPslLkEC6EYiwbX6yow_8_2"/>
      <w:bookmarkStart w:id="361" w:name="Tc_g_4pZTG94EedFqBfyZJomA_8_0"/>
      <w:bookmarkStart w:id="362" w:name="Tc_xtYrf56AHkmpM-9cbdv19Q_7_11"/>
      <w:bookmarkStart w:id="363" w:name="Tc_qfYzS08gS0uWNgMV1gr0ZA_7_0"/>
      <w:bookmarkStart w:id="364" w:name="Tc_3zFJkXZ04kGa_MCUr9R0Aw_6_11"/>
      <w:bookmarkStart w:id="365" w:name="Tc_EkWeFYhlBkm-DdBDvETeXA_6_0"/>
      <w:bookmarkStart w:id="366" w:name="Tc_61bpNbj6W0CUUmcNjwM2jA_5_13"/>
      <w:bookmarkStart w:id="367" w:name="Tc_WKVCQbHl-061viRuwq5I-Q_5_10"/>
      <w:bookmarkStart w:id="368" w:name="Tc_fK6aXZhFokecLJGq13JSkA_5_7"/>
      <w:bookmarkStart w:id="369" w:name="Tc_XSCCh5zzFk-TE3R-Iyjqdw_5_4"/>
      <w:bookmarkStart w:id="370" w:name="Tc__fH7hlL-sEipy6UZpwdRSA_5_0"/>
      <w:bookmarkStart w:id="371" w:name="Tc_938xFqp7j0GKm4sWbanFdw_4_13"/>
      <w:bookmarkStart w:id="372" w:name="Tc_-nlsiNpSDU-Po6r9rFespg_4_10"/>
      <w:bookmarkStart w:id="373" w:name="Tc_tl-YgjKkL0m4WaGu2sIfLA_4_7"/>
      <w:bookmarkStart w:id="374" w:name="Tc_LtdBn09EgkKocQ7kjdVPcQ_4_4"/>
      <w:bookmarkStart w:id="375" w:name="Tc_Z0UuB2RmTES-pA7ihH8lkA_4_2"/>
      <w:bookmarkStart w:id="376" w:name="Tc_L5vuhyf4w0qHMK-XUsyaxg_3_13"/>
      <w:bookmarkStart w:id="377" w:name="Tc_NCntwh4W_keabIDjRvKtvQ_3_10"/>
      <w:bookmarkStart w:id="378" w:name="Tc_IsA-nx6Om0ePl8QKXreNCw_3_7"/>
      <w:bookmarkStart w:id="379" w:name="Tc_4kd439igdUOhQrV6zYHlbQ_3_2"/>
      <w:bookmarkStart w:id="380" w:name="Tc_ho_cAwxh_UqmO25c0onQEw_2_13"/>
      <w:bookmarkStart w:id="381" w:name="Tc_2k1S-FJK00WdFpqvokVqHw_1_2"/>
      <w:bookmarkStart w:id="382" w:name="_c1450533_3c51_4976_8011_fcca10739c29"/>
      <w:bookmarkStart w:id="383" w:name="Tc_NhADZh3vWk22jaJznkE2fw_10_13"/>
      <w:bookmarkStart w:id="384" w:name="Tc_xqouXtZkikuzvtF_p3vGhw_10_10"/>
      <w:bookmarkStart w:id="385" w:name="Tc_S8EUFZyeeE-sHNeqj6nong_10_7"/>
      <w:bookmarkStart w:id="386" w:name="Tc_4VAQZdRFX0etjd6VdnxRMg_10_4"/>
      <w:bookmarkStart w:id="387" w:name="Tc_WKoehIKBTkKxz01ri2Jljg_10_0"/>
      <w:bookmarkStart w:id="388" w:name="Tc_fbqjqlwGjUSOzc7p-ZIL_w_9_8"/>
      <w:bookmarkStart w:id="389" w:name="Tc_gsVUN0I8JUm2lIJal0qUvQ_9_5"/>
      <w:bookmarkStart w:id="390" w:name="Tc_KePKAOz5NEWs6gftolrcdQ_9_2"/>
      <w:bookmarkStart w:id="391" w:name="Tc_E6Xb-ZlIlEOoRPNP7aO_iw_9_0"/>
      <w:bookmarkStart w:id="392" w:name="Tc_o3WyI-k4NECQxvJJtxBaLg_8_11"/>
      <w:bookmarkStart w:id="393" w:name="Tc_BWX21I6NMU28RdlRel7x9w_8_5"/>
      <w:bookmarkStart w:id="394" w:name="Tc_UHBAPslLkEC6EYiwbX6yow_8_2"/>
      <w:bookmarkStart w:id="395" w:name="Tc_g_4pZTG94EedFqBfyZJomA_8_0"/>
      <w:bookmarkStart w:id="396" w:name="Tc_xtYrf56AHkmpM-9cbdv19Q_7_11"/>
      <w:bookmarkStart w:id="397" w:name="Tc_qfYzS08gS0uWNgMV1gr0ZA_7_0"/>
      <w:bookmarkStart w:id="398" w:name="Tc_3zFJkXZ04kGa_MCUr9R0Aw_6_11"/>
      <w:bookmarkStart w:id="399" w:name="Tc_EkWeFYhlBkm-DdBDvETeXA_6_0"/>
      <w:bookmarkStart w:id="400" w:name="Tc_61bpNbj6W0CUUmcNjwM2jA_5_13"/>
      <w:bookmarkStart w:id="401" w:name="Tc_WKVCQbHl-061viRuwq5I-Q_5_10"/>
      <w:bookmarkStart w:id="402" w:name="Tc_fK6aXZhFokecLJGq13JSkA_5_7"/>
      <w:bookmarkStart w:id="403" w:name="Tc_XSCCh5zzFk-TE3R-Iyjqdw_5_4"/>
      <w:bookmarkStart w:id="404" w:name="Tc__fH7hlL-sEipy6UZpwdRSA_5_0"/>
      <w:bookmarkStart w:id="405" w:name="Tc_938xFqp7j0GKm4sWbanFdw_4_13"/>
      <w:bookmarkStart w:id="406" w:name="Tc_-nlsiNpSDU-Po6r9rFespg_4_10"/>
      <w:bookmarkStart w:id="407" w:name="Tc_tl-YgjKkL0m4WaGu2sIfLA_4_7"/>
      <w:bookmarkStart w:id="408" w:name="Tc_LtdBn09EgkKocQ7kjdVPcQ_4_4"/>
      <w:bookmarkStart w:id="409" w:name="Tc_Z0UuB2RmTES-pA7ihH8lkA_4_2"/>
      <w:bookmarkStart w:id="410" w:name="Tc_L5vuhyf4w0qHMK-XUsyaxg_3_13"/>
      <w:bookmarkStart w:id="411" w:name="Tc_NCntwh4W_keabIDjRvKtvQ_3_10"/>
      <w:bookmarkStart w:id="412" w:name="Tc_IsA-nx6Om0ePl8QKXreNCw_3_7"/>
      <w:bookmarkStart w:id="413" w:name="Tc_4kd439igdUOhQrV6zYHlbQ_3_2"/>
      <w:bookmarkStart w:id="414" w:name="Tc_ho_cAwxh_UqmO25c0onQEw_2_13"/>
      <w:bookmarkStart w:id="415" w:name="Tc_2k1S-FJK00WdFpqvokVqHw_1_2"/>
      <w:bookmarkStart w:id="416" w:name="_c1450533_3c51_4976_8011_fcca10739c29"/>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tbl>
      <w:tblPr>
        <w:tblW w:w="10205" w:type="dxa"/>
        <w:jc w:val="left"/>
        <w:tblInd w:w="0" w:type="dxa"/>
        <w:tblLayout w:type="fixed"/>
        <w:tblCellMar>
          <w:top w:w="0" w:type="dxa"/>
          <w:left w:w="0" w:type="dxa"/>
          <w:bottom w:w="0" w:type="dxa"/>
          <w:right w:w="0" w:type="dxa"/>
        </w:tblCellMar>
      </w:tblPr>
      <w:tblGrid>
        <w:gridCol w:w="3175"/>
        <w:gridCol w:w="326"/>
        <w:gridCol w:w="826"/>
        <w:gridCol w:w="326"/>
        <w:gridCol w:w="224"/>
        <w:gridCol w:w="587"/>
        <w:gridCol w:w="326"/>
        <w:gridCol w:w="208"/>
        <w:gridCol w:w="1075"/>
        <w:gridCol w:w="326"/>
        <w:gridCol w:w="196"/>
        <w:gridCol w:w="1105"/>
        <w:gridCol w:w="326"/>
        <w:gridCol w:w="196"/>
        <w:gridCol w:w="983"/>
      </w:tblGrid>
      <w:tr>
        <w:trPr/>
        <w:tc>
          <w:tcPr>
            <w:tcW w:w="3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16125" cy="175260"/>
                      <wp:effectExtent l="0" t="0" r="0" b="0"/>
                      <wp:wrapNone/>
                      <wp:docPr id="55" name="Frame54"/>
                      <a:graphic xmlns:a="http://schemas.openxmlformats.org/drawingml/2006/main">
                        <a:graphicData uri="http://schemas.microsoft.com/office/word/2010/wordprocessingShape">
                          <wps:wsp>
                            <wps:cNvSpPr txBox="1"/>
                            <wps:spPr>
                              <a:xfrm>
                                <a:off x="0" y="0"/>
                                <a:ext cx="20161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4510" cy="175260"/>
                      <wp:effectExtent l="0" t="0" r="0" b="0"/>
                      <wp:wrapNone/>
                      <wp:docPr id="57" name="Frame5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2240" cy="175260"/>
                      <wp:effectExtent l="0" t="0" r="0" b="0"/>
                      <wp:wrapNone/>
                      <wp:docPr id="59" name="Frame5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72745" cy="175260"/>
                      <wp:effectExtent l="0" t="0" r="0" b="0"/>
                      <wp:wrapNone/>
                      <wp:docPr id="60" name="Frame59"/>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2080" cy="175260"/>
                      <wp:effectExtent l="0" t="0" r="0" b="0"/>
                      <wp:wrapNone/>
                      <wp:docPr id="62" name="Frame6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82625" cy="175260"/>
                      <wp:effectExtent l="0" t="0" r="0" b="0"/>
                      <wp:wrapNone/>
                      <wp:docPr id="63" name="Frame62"/>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5"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01675" cy="175260"/>
                      <wp:effectExtent l="0" t="0" r="0" b="0"/>
                      <wp:wrapNone/>
                      <wp:docPr id="66" name="Frame65"/>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68"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24205" cy="175260"/>
                      <wp:effectExtent l="0" t="0" r="0" b="0"/>
                      <wp:wrapNone/>
                      <wp:docPr id="69" name="Frame68"/>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670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2024</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2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3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1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75" w:type="dxa"/>
            <w:tcBorders/>
            <w:shd w:fill="CCEEFF" w:val="clear"/>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April 1, 2024</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8,910,917</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8,910</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450,458,009</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(438,678,685)</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11,788,234</w:t>
            </w:r>
          </w:p>
        </w:tc>
      </w:tr>
      <w:tr>
        <w:trPr/>
        <w:tc>
          <w:tcPr>
            <w:tcW w:w="3175"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Shares purchased pursuant to ATM agreement</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8,178</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36,894</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36,902</w:t>
            </w:r>
          </w:p>
        </w:tc>
      </w:tr>
      <w:tr>
        <w:trPr/>
        <w:tc>
          <w:tcPr>
            <w:tcW w:w="3175"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stock options </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3,600</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pPr>
            <w:r>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7,700</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1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7,704</w:t>
            </w:r>
          </w:p>
        </w:tc>
      </w:tr>
      <w:tr>
        <w:trPr/>
        <w:tc>
          <w:tcPr>
            <w:tcW w:w="3175" w:type="dxa"/>
            <w:tcBorders/>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62,601</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62,601</w:t>
            </w:r>
          </w:p>
        </w:tc>
      </w:tr>
      <w:tr>
        <w:trPr/>
        <w:tc>
          <w:tcPr>
            <w:tcW w:w="3175" w:type="dxa"/>
            <w:tcBorders/>
            <w:shd w:fill="CCEEFF" w:val="clear"/>
            <w:vAlign w:val="center"/>
          </w:tcPr>
          <w:p>
            <w:pPr>
              <w:pStyle w:val="TableContents"/>
              <w:pBdr/>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5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(2,192,677)</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(2,192,677)</w:t>
            </w:r>
          </w:p>
        </w:tc>
      </w:tr>
      <w:tr>
        <w:trPr/>
        <w:tc>
          <w:tcPr>
            <w:tcW w:w="3175" w:type="dxa"/>
            <w:tcBorders/>
            <w:vAlign w:val="center"/>
          </w:tcPr>
          <w:p>
            <w:pPr>
              <w:pStyle w:val="TableContents"/>
              <w:pBdr/>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June 30, 2024</w:t>
            </w:r>
          </w:p>
        </w:tc>
        <w:tc>
          <w:tcPr>
            <w:tcW w:w="326" w:type="dxa"/>
            <w:tcBorders/>
            <w:vAlign w:val="center"/>
          </w:tcPr>
          <w:p>
            <w:pPr>
              <w:pStyle w:val="TableContents"/>
              <w:bidi w:val="0"/>
              <w:spacing w:before="0" w:after="1"/>
              <w:ind w:left="0" w:right="0" w:hanging="0"/>
              <w:jc w:val="both"/>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8,922,695</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w:t>
            </w:r>
          </w:p>
        </w:tc>
        <w:tc>
          <w:tcPr>
            <w:tcW w:w="326" w:type="dxa"/>
            <w:tcBorders/>
            <w:vAlign w:val="center"/>
          </w:tcPr>
          <w:p>
            <w:pPr>
              <w:pStyle w:val="TableContents"/>
              <w:bidi w:val="0"/>
              <w:spacing w:before="0" w:after="1"/>
              <w:ind w:left="0" w:right="0" w:hanging="0"/>
              <w:jc w:val="both"/>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450,565,204</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(440,871,362)</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9,702,764</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7" w:name="Tc_JT8D0HbI1UmahzwkcqHFoA_10_13"/>
      <w:bookmarkStart w:id="418" w:name="Tc_Qqx-wMrhWUm-zIJo2hXPng_10_10"/>
      <w:bookmarkStart w:id="419" w:name="Tc_lww0R2qYhEapXGUJ_RAqTQ_10_7"/>
      <w:bookmarkStart w:id="420" w:name="Tc_dLlE1OnX0kqNtZZZKmPVoQ_10_4"/>
      <w:bookmarkStart w:id="421" w:name="Tc_NPWM6n5BtkubqGw887u2hQ_10_0"/>
      <w:bookmarkStart w:id="422" w:name="Tc_7R_NcsyyokmiHjQY8OFRsw_9_8"/>
      <w:bookmarkStart w:id="423" w:name="Tc_a0qbDzqEd02Z6dR4mRMWfw_9_5"/>
      <w:bookmarkStart w:id="424" w:name="Tc_R64k9NF6UEKGigJVjkzGXw_9_2"/>
      <w:bookmarkStart w:id="425" w:name="Tc_HAG7XWKBEkm4eqJq6xXunA_9_0"/>
      <w:bookmarkStart w:id="426" w:name="Tc_qqB1IR_EyUmh49EPMbc-zw_8_11"/>
      <w:bookmarkStart w:id="427" w:name="Tc_C6JuTSfwa0WKA5KK741Yrw_8_5"/>
      <w:bookmarkStart w:id="428" w:name="Tc_cSmc1-CeYEK8kgLz1BGusQ_8_2"/>
      <w:bookmarkStart w:id="429" w:name="Tc_C-gC3Udu8EqWe2T-mgkobA_8_0"/>
      <w:bookmarkStart w:id="430" w:name="Tc_yJag44xPU0-qv5X9KjZb0w_7_11"/>
      <w:bookmarkStart w:id="431" w:name="Tc_jT_1xgp3-Ui2nAAd3XHZmA_7_0"/>
      <w:bookmarkStart w:id="432" w:name="Tc_nJKRAu2Ulke4gZXOpqR9nw_6_11"/>
      <w:bookmarkStart w:id="433" w:name="Tc_33k9DTtjO0aM1R4sdcktHg_6_0"/>
      <w:bookmarkStart w:id="434" w:name="Tc_ovM8jvmspkCjrabMUUxZjA_5_13"/>
      <w:bookmarkStart w:id="435" w:name="Tc_LnhM_5fCT0iicFG7dSUqHg_5_10"/>
      <w:bookmarkStart w:id="436" w:name="Tc_4kcCPWceDkWQV5we1uR5Rw_5_7"/>
      <w:bookmarkStart w:id="437" w:name="Tc_VWnegRMwhUKPqy2e9bjVkw_5_4"/>
      <w:bookmarkStart w:id="438" w:name="Tc_M0pyZLRffkKXcHeapagT1Q_5_0"/>
      <w:bookmarkStart w:id="439" w:name="Tc__ItOkRSH2UOx_MzdY-8NTA_4_13"/>
      <w:bookmarkStart w:id="440" w:name="Tc_D6KfwP6kK0iRrEU6GWRJbQ_4_10"/>
      <w:bookmarkStart w:id="441" w:name="Tc_JRDR3mtDhkC6RtmlEhvkmw_4_7"/>
      <w:bookmarkStart w:id="442" w:name="Tc_Fjreg9wTXU-0PylMuy1qmQ_4_4"/>
      <w:bookmarkStart w:id="443" w:name="Tc_ManLI53Zvka23YfkwGDVZg_4_2"/>
      <w:bookmarkStart w:id="444" w:name="Tc_P4vecWWKQUyfkZcxV1ZQdA_3_13"/>
      <w:bookmarkStart w:id="445" w:name="Tc_W6LZpBVhykyCzrMFsldIgg_3_10"/>
      <w:bookmarkStart w:id="446" w:name="Tc_HilqyLSJkUCuBBO3yNxteQ_3_7"/>
      <w:bookmarkStart w:id="447" w:name="Tc_scYyCp_SyU2f9M8iJh1PZQ_3_2"/>
      <w:bookmarkStart w:id="448" w:name="Tc_XwbDZ9m_mka4Bvgglwxqpg_2_13"/>
      <w:bookmarkStart w:id="449" w:name="Tc_5U-Ek4n6hkSjjdgzrcbwYA_1_2"/>
      <w:bookmarkStart w:id="450" w:name="_e969cfad_60a4_4df7_a425_4ae2b2a8991a"/>
      <w:bookmarkStart w:id="451" w:name="Tc_JT8D0HbI1UmahzwkcqHFoA_10_13"/>
      <w:bookmarkStart w:id="452" w:name="Tc_Qqx-wMrhWUm-zIJo2hXPng_10_10"/>
      <w:bookmarkStart w:id="453" w:name="Tc_lww0R2qYhEapXGUJ_RAqTQ_10_7"/>
      <w:bookmarkStart w:id="454" w:name="Tc_dLlE1OnX0kqNtZZZKmPVoQ_10_4"/>
      <w:bookmarkStart w:id="455" w:name="Tc_NPWM6n5BtkubqGw887u2hQ_10_0"/>
      <w:bookmarkStart w:id="456" w:name="Tc_7R_NcsyyokmiHjQY8OFRsw_9_8"/>
      <w:bookmarkStart w:id="457" w:name="Tc_a0qbDzqEd02Z6dR4mRMWfw_9_5"/>
      <w:bookmarkStart w:id="458" w:name="Tc_R64k9NF6UEKGigJVjkzGXw_9_2"/>
      <w:bookmarkStart w:id="459" w:name="Tc_HAG7XWKBEkm4eqJq6xXunA_9_0"/>
      <w:bookmarkStart w:id="460" w:name="Tc_qqB1IR_EyUmh49EPMbc-zw_8_11"/>
      <w:bookmarkStart w:id="461" w:name="Tc_C6JuTSfwa0WKA5KK741Yrw_8_5"/>
      <w:bookmarkStart w:id="462" w:name="Tc_cSmc1-CeYEK8kgLz1BGusQ_8_2"/>
      <w:bookmarkStart w:id="463" w:name="Tc_C-gC3Udu8EqWe2T-mgkobA_8_0"/>
      <w:bookmarkStart w:id="464" w:name="Tc_yJag44xPU0-qv5X9KjZb0w_7_11"/>
      <w:bookmarkStart w:id="465" w:name="Tc_jT_1xgp3-Ui2nAAd3XHZmA_7_0"/>
      <w:bookmarkStart w:id="466" w:name="Tc_nJKRAu2Ulke4gZXOpqR9nw_6_11"/>
      <w:bookmarkStart w:id="467" w:name="Tc_33k9DTtjO0aM1R4sdcktHg_6_0"/>
      <w:bookmarkStart w:id="468" w:name="Tc_ovM8jvmspkCjrabMUUxZjA_5_13"/>
      <w:bookmarkStart w:id="469" w:name="Tc_LnhM_5fCT0iicFG7dSUqHg_5_10"/>
      <w:bookmarkStart w:id="470" w:name="Tc_4kcCPWceDkWQV5we1uR5Rw_5_7"/>
      <w:bookmarkStart w:id="471" w:name="Tc_VWnegRMwhUKPqy2e9bjVkw_5_4"/>
      <w:bookmarkStart w:id="472" w:name="Tc_M0pyZLRffkKXcHeapagT1Q_5_0"/>
      <w:bookmarkStart w:id="473" w:name="Tc__ItOkRSH2UOx_MzdY-8NTA_4_13"/>
      <w:bookmarkStart w:id="474" w:name="Tc_D6KfwP6kK0iRrEU6GWRJbQ_4_10"/>
      <w:bookmarkStart w:id="475" w:name="Tc_JRDR3mtDhkC6RtmlEhvkmw_4_7"/>
      <w:bookmarkStart w:id="476" w:name="Tc_Fjreg9wTXU-0PylMuy1qmQ_4_4"/>
      <w:bookmarkStart w:id="477" w:name="Tc_ManLI53Zvka23YfkwGDVZg_4_2"/>
      <w:bookmarkStart w:id="478" w:name="Tc_P4vecWWKQUyfkZcxV1ZQdA_3_13"/>
      <w:bookmarkStart w:id="479" w:name="Tc_W6LZpBVhykyCzrMFsldIgg_3_10"/>
      <w:bookmarkStart w:id="480" w:name="Tc_HilqyLSJkUCuBBO3yNxteQ_3_7"/>
      <w:bookmarkStart w:id="481" w:name="Tc_scYyCp_SyU2f9M8iJh1PZQ_3_2"/>
      <w:bookmarkStart w:id="482" w:name="Tc_XwbDZ9m_mka4Bvgglwxqpg_2_13"/>
      <w:bookmarkStart w:id="483" w:name="Tc_5U-Ek4n6hkSjjdgzrcbwYA_1_2"/>
      <w:bookmarkStart w:id="484" w:name="_e969cfad_60a4_4df7_a425_4ae2b2a8991a"/>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W w:w="10205" w:type="dxa"/>
        <w:jc w:val="left"/>
        <w:tblInd w:w="0" w:type="dxa"/>
        <w:tblLayout w:type="fixed"/>
        <w:tblCellMar>
          <w:top w:w="0" w:type="dxa"/>
          <w:left w:w="0" w:type="dxa"/>
          <w:bottom w:w="0" w:type="dxa"/>
          <w:right w:w="0" w:type="dxa"/>
        </w:tblCellMar>
      </w:tblPr>
      <w:tblGrid>
        <w:gridCol w:w="3175"/>
        <w:gridCol w:w="326"/>
        <w:gridCol w:w="826"/>
        <w:gridCol w:w="326"/>
        <w:gridCol w:w="224"/>
        <w:gridCol w:w="587"/>
        <w:gridCol w:w="326"/>
        <w:gridCol w:w="208"/>
        <w:gridCol w:w="1075"/>
        <w:gridCol w:w="326"/>
        <w:gridCol w:w="196"/>
        <w:gridCol w:w="1105"/>
        <w:gridCol w:w="326"/>
        <w:gridCol w:w="196"/>
        <w:gridCol w:w="983"/>
      </w:tblGrid>
      <w:tr>
        <w:trPr/>
        <w:tc>
          <w:tcPr>
            <w:tcW w:w="3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16125" cy="175260"/>
                      <wp:effectExtent l="0" t="0" r="0" b="0"/>
                      <wp:wrapNone/>
                      <wp:docPr id="70" name="Frame69"/>
                      <a:graphic xmlns:a="http://schemas.openxmlformats.org/drawingml/2006/main">
                        <a:graphicData uri="http://schemas.microsoft.com/office/word/2010/wordprocessingShape">
                          <wps:wsp>
                            <wps:cNvSpPr txBox="1"/>
                            <wps:spPr>
                              <a:xfrm>
                                <a:off x="0" y="0"/>
                                <a:ext cx="20161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24510" cy="175260"/>
                      <wp:effectExtent l="0" t="0" r="0" b="0"/>
                      <wp:wrapNone/>
                      <wp:docPr id="72" name="Frame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2240" cy="175260"/>
                      <wp:effectExtent l="0" t="0" r="0" b="0"/>
                      <wp:wrapNone/>
                      <wp:docPr id="74" name="Frame7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72745" cy="175260"/>
                      <wp:effectExtent l="0" t="0" r="0" b="0"/>
                      <wp:wrapNone/>
                      <wp:docPr id="75" name="Frame74"/>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2080" cy="175260"/>
                      <wp:effectExtent l="0" t="0" r="0" b="0"/>
                      <wp:wrapNone/>
                      <wp:docPr id="77" name="Frame76"/>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82625" cy="175260"/>
                      <wp:effectExtent l="0" t="0" r="0" b="0"/>
                      <wp:wrapNone/>
                      <wp:docPr id="78" name="Frame77"/>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0"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1675" cy="175260"/>
                      <wp:effectExtent l="0" t="0" r="0" b="0"/>
                      <wp:wrapNone/>
                      <wp:docPr id="81" name="Frame80"/>
                      <a:graphic xmlns:a="http://schemas.openxmlformats.org/drawingml/2006/main">
                        <a:graphicData uri="http://schemas.microsoft.com/office/word/2010/wordprocessingShape">
                          <wps:wsp>
                            <wps:cNvSpPr txBox="1"/>
                            <wps:spPr>
                              <a:xfrm>
                                <a:off x="0" y="0"/>
                                <a:ext cx="7016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2"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3"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24205" cy="175260"/>
                      <wp:effectExtent l="0" t="0" r="0" b="0"/>
                      <wp:wrapNone/>
                      <wp:docPr id="84" name="Frame83"/>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6704"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2024</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1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96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both"/>
              <w:rPr/>
            </w:pPr>
            <w:r>
              <w:rPr/>
              <w:t>​</w:t>
            </w:r>
          </w:p>
        </w:tc>
        <w:tc>
          <w:tcPr>
            <w:tcW w:w="12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vAlign w:val="center"/>
          </w:tcPr>
          <w:p>
            <w:pPr>
              <w:pStyle w:val="TableContents"/>
              <w:bidi w:val="0"/>
              <w:spacing w:before="0" w:after="1"/>
              <w:ind w:left="0" w:right="0" w:hanging="0"/>
              <w:jc w:val="both"/>
              <w:rPr/>
            </w:pPr>
            <w:r>
              <w:rPr/>
              <w:t>​</w:t>
            </w:r>
          </w:p>
        </w:tc>
        <w:tc>
          <w:tcPr>
            <w:tcW w:w="13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both"/>
              <w:rPr/>
            </w:pPr>
            <w:r>
              <w:rPr/>
              <w:t>​</w:t>
            </w:r>
          </w:p>
        </w:tc>
        <w:tc>
          <w:tcPr>
            <w:tcW w:w="117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175"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both"/>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both"/>
              <w:rPr/>
            </w:pPr>
            <w:r>
              <w:rPr/>
              <w:t>    </w:t>
            </w:r>
          </w:p>
        </w:tc>
        <w:tc>
          <w:tcPr>
            <w:tcW w:w="12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vAlign w:val="center"/>
          </w:tcPr>
          <w:p>
            <w:pPr>
              <w:pStyle w:val="TableContents"/>
              <w:bidi w:val="0"/>
              <w:spacing w:before="0" w:after="1"/>
              <w:ind w:left="0" w:right="0" w:hanging="0"/>
              <w:jc w:val="both"/>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both"/>
              <w:rPr/>
            </w:pPr>
            <w:r>
              <w:rPr/>
              <w:t>    </w:t>
            </w:r>
          </w:p>
        </w:tc>
        <w:tc>
          <w:tcPr>
            <w:tcW w:w="11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175"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January 1, 2024</w:t>
            </w:r>
          </w:p>
        </w:tc>
        <w:tc>
          <w:tcPr>
            <w:tcW w:w="326" w:type="dxa"/>
            <w:tcBorders/>
            <w:shd w:fill="CCEEFF" w:val="clear"/>
            <w:vAlign w:val="center"/>
          </w:tcPr>
          <w:p>
            <w:pPr>
              <w:pStyle w:val="TableContents"/>
              <w:bidi w:val="0"/>
              <w:spacing w:before="0" w:after="1"/>
              <w:ind w:left="0" w:right="0" w:hanging="0"/>
              <w:jc w:val="both"/>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8,891,420</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8,891</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450,329,515</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5"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(436,285,863)</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14,052,543</w:t>
            </w:r>
          </w:p>
        </w:tc>
      </w:tr>
      <w:tr>
        <w:trPr/>
        <w:tc>
          <w:tcPr>
            <w:tcW w:w="3175"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Shares purchased pursuant to ATM agreement</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8,178</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w:t>
            </w:r>
          </w:p>
        </w:tc>
        <w:tc>
          <w:tcPr>
            <w:tcW w:w="5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36,894</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11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36,902</w:t>
            </w:r>
          </w:p>
        </w:tc>
      </w:tr>
      <w:tr>
        <w:trPr/>
        <w:tc>
          <w:tcPr>
            <w:tcW w:w="3175"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Issuance of common stock from exercise of stock options </w:t>
            </w:r>
          </w:p>
        </w:tc>
        <w:tc>
          <w:tcPr>
            <w:tcW w:w="326" w:type="dxa"/>
            <w:tcBorders/>
            <w:shd w:fill="CCEEFF" w:val="clear"/>
            <w:vAlign w:val="center"/>
          </w:tcPr>
          <w:p>
            <w:pPr>
              <w:pStyle w:val="TableContents"/>
              <w:bidi w:val="0"/>
              <w:spacing w:before="0" w:after="1"/>
              <w:ind w:left="0" w:right="0" w:hanging="0"/>
              <w:jc w:val="both"/>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23,097</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shd w:fill="CCEEFF" w:val="clear"/>
            <w:vAlign w:val="center"/>
          </w:tcPr>
          <w:p>
            <w:pPr>
              <w:pStyle w:val="TableContents"/>
              <w:bidi w:val="0"/>
              <w:spacing w:before="0" w:after="1"/>
              <w:ind w:left="0" w:right="0" w:hanging="0"/>
              <w:jc w:val="both"/>
              <w:rPr/>
            </w:pPr>
            <w:r>
              <w:rPr/>
              <w:t>​</w:t>
            </w:r>
          </w:p>
        </w:tc>
        <w:tc>
          <w:tcPr>
            <w:tcW w:w="58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shd w:fill="CCEEFF" w:val="clear"/>
            <w:vAlign w:val="center"/>
          </w:tcPr>
          <w:p>
            <w:pPr>
              <w:pStyle w:val="TableContents"/>
              <w:bidi w:val="0"/>
              <w:spacing w:before="0" w:after="1"/>
              <w:ind w:left="0" w:right="0" w:hanging="0"/>
              <w:jc w:val="both"/>
              <w:rPr/>
            </w:pPr>
            <w:r>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56,777</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110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shd w:fill="CCEEFF" w:val="clear"/>
            <w:vAlign w:val="center"/>
          </w:tcPr>
          <w:p>
            <w:pPr>
              <w:pStyle w:val="TableContents"/>
              <w:bidi w:val="0"/>
              <w:spacing w:before="0" w:after="1"/>
              <w:ind w:left="0" w:right="0" w:hanging="0"/>
              <w:jc w:val="both"/>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56,800</w:t>
            </w:r>
          </w:p>
        </w:tc>
      </w:tr>
      <w:tr>
        <w:trPr/>
        <w:tc>
          <w:tcPr>
            <w:tcW w:w="3175"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1"/>
              <w:ind w:left="0" w:right="0" w:hanging="0"/>
              <w:jc w:val="both"/>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pPr>
            <w:r>
              <w:rPr/>
              <w:t> </w:t>
            </w:r>
          </w:p>
        </w:tc>
        <w:tc>
          <w:tcPr>
            <w:tcW w:w="58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08" w:type="dxa"/>
            <w:tcBorders/>
            <w:vAlign w:val="center"/>
          </w:tcPr>
          <w:p>
            <w:pPr>
              <w:pStyle w:val="TableContents"/>
              <w:bidi w:val="0"/>
              <w:spacing w:before="0" w:after="1"/>
              <w:ind w:left="0" w:right="0" w:hanging="0"/>
              <w:jc w:val="both"/>
              <w:rPr/>
            </w:pPr>
            <w:r>
              <w:rPr/>
              <w:t> </w:t>
            </w:r>
          </w:p>
        </w:tc>
        <w:tc>
          <w:tcPr>
            <w:tcW w:w="107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142,018</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 </w:t>
            </w:r>
          </w:p>
        </w:tc>
        <w:tc>
          <w:tcPr>
            <w:tcW w:w="110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96" w:type="dxa"/>
            <w:tcBorders/>
            <w:vAlign w:val="center"/>
          </w:tcPr>
          <w:p>
            <w:pPr>
              <w:pStyle w:val="TableContents"/>
              <w:bidi w:val="0"/>
              <w:spacing w:before="0" w:after="1"/>
              <w:ind w:left="0" w:right="0" w:hanging="0"/>
              <w:jc w:val="both"/>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142,018</w:t>
            </w:r>
          </w:p>
        </w:tc>
      </w:tr>
      <w:tr>
        <w:trPr/>
        <w:tc>
          <w:tcPr>
            <w:tcW w:w="3175"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loss</w:t>
            </w:r>
          </w:p>
        </w:tc>
        <w:tc>
          <w:tcPr>
            <w:tcW w:w="326" w:type="dxa"/>
            <w:tcBorders/>
            <w:shd w:fill="CCEEFF" w:val="clear"/>
            <w:vAlign w:val="center"/>
          </w:tcPr>
          <w:p>
            <w:pPr>
              <w:pStyle w:val="TableContents"/>
              <w:bidi w:val="0"/>
              <w:spacing w:before="0" w:after="1"/>
              <w:ind w:left="0" w:right="0" w:hanging="0"/>
              <w:jc w:val="both"/>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(4,585,499)</w:t>
            </w:r>
          </w:p>
        </w:tc>
        <w:tc>
          <w:tcPr>
            <w:tcW w:w="326" w:type="dxa"/>
            <w:tcBorders/>
            <w:shd w:fill="CCEEFF" w:val="clear"/>
            <w:vAlign w:val="center"/>
          </w:tcPr>
          <w:p>
            <w:pPr>
              <w:pStyle w:val="TableContents"/>
              <w:bidi w:val="0"/>
              <w:spacing w:before="0" w:after="1"/>
              <w:ind w:left="0" w:right="0" w:hanging="0"/>
              <w:jc w:val="both"/>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(4,585,499)</w:t>
            </w:r>
          </w:p>
        </w:tc>
      </w:tr>
      <w:tr>
        <w:trPr/>
        <w:tc>
          <w:tcPr>
            <w:tcW w:w="3175" w:type="dxa"/>
            <w:tcBorders/>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Balance at June 30, 2024</w:t>
            </w:r>
          </w:p>
        </w:tc>
        <w:tc>
          <w:tcPr>
            <w:tcW w:w="326" w:type="dxa"/>
            <w:tcBorders/>
            <w:vAlign w:val="center"/>
          </w:tcPr>
          <w:p>
            <w:pPr>
              <w:pStyle w:val="TableContents"/>
              <w:bidi w:val="0"/>
              <w:spacing w:before="0" w:after="1"/>
              <w:ind w:left="0" w:right="0" w:hanging="0"/>
              <w:jc w:val="both"/>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8,922,695</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5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8,922</w:t>
            </w:r>
          </w:p>
        </w:tc>
        <w:tc>
          <w:tcPr>
            <w:tcW w:w="326" w:type="dxa"/>
            <w:tcBorders/>
            <w:vAlign w:val="center"/>
          </w:tcPr>
          <w:p>
            <w:pPr>
              <w:pStyle w:val="TableContents"/>
              <w:bidi w:val="0"/>
              <w:spacing w:before="0" w:after="1"/>
              <w:ind w:left="0" w:right="0" w:hanging="0"/>
              <w:jc w:val="both"/>
              <w:rPr/>
            </w:pPr>
            <w:r>
              <w:rPr/>
              <w:t>​</w:t>
            </w:r>
          </w:p>
        </w:tc>
        <w:tc>
          <w:tcPr>
            <w:tcW w:w="208"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450,565,204</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11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(440,871,362)</w:t>
            </w:r>
          </w:p>
        </w:tc>
        <w:tc>
          <w:tcPr>
            <w:tcW w:w="326" w:type="dxa"/>
            <w:tcBorders/>
            <w:vAlign w:val="center"/>
          </w:tcPr>
          <w:p>
            <w:pPr>
              <w:pStyle w:val="TableContents"/>
              <w:bidi w:val="0"/>
              <w:spacing w:before="0" w:after="1"/>
              <w:ind w:left="0" w:right="0" w:hanging="0"/>
              <w:jc w:val="both"/>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b/>
                <w:sz w:val="18"/>
              </w:rPr>
            </w:pPr>
            <w:r>
              <w:rPr>
                <w:rFonts w:ascii="Times New Roman;Times;serif" w:hAnsi="Times New Roman;Times;serif"/>
                <w:b/>
                <w:sz w:val="18"/>
              </w:rPr>
              <w:t>$</w:t>
            </w:r>
          </w:p>
        </w:tc>
        <w:tc>
          <w:tcPr>
            <w:tcW w:w="98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9,702,764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485" w:name="_bf561a46_7c8a_4195_81d4_dec87ef9582c"/>
      <w:bookmarkEnd w:id="48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86" w:name="CONDENSEDCONSOLIDATEDSTATEMENTSOFCASHFLO"/>
      <w:bookmarkEnd w:id="48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87" w:name="Tc_5aPHrWwgOUmG246t1udYZg_21_5"/>
      <w:bookmarkStart w:id="488" w:name="Tc_h5Vkhk8-okG9cKUqwQVTMQ_21_2"/>
      <w:bookmarkStart w:id="489" w:name="Tc_KZUAim8qYUaChrMzQsIQCw_21_0"/>
      <w:bookmarkStart w:id="490" w:name="Tc_YQfbB1JYt0a2qb_W8Y1NDw_20_0"/>
      <w:bookmarkStart w:id="491" w:name="Tc_YvetioJDZE6_sanGikR84w_19_0"/>
      <w:bookmarkStart w:id="492" w:name="Tc_1VOQB-0ab0-cpdORZBxKSQ_18_0"/>
      <w:bookmarkStart w:id="493" w:name="Tc_k-nEy3v82EyhdESxT79qhQ_17_0"/>
      <w:bookmarkStart w:id="494" w:name="Tc__gvFknJ3pUmI3dig1QDDHQ_16_3"/>
      <w:bookmarkStart w:id="495" w:name="Tc_siIgdcclWUemlBsvptQ4SQ_16_0"/>
      <w:bookmarkStart w:id="496" w:name="Tc_EJtzYwT6VkSZemC0UDCV9Q_15_0"/>
      <w:bookmarkStart w:id="497" w:name="Tc_F-HlfXny-U6UUdI3JfVwwg_14_0"/>
      <w:bookmarkStart w:id="498" w:name="Tc_CbW4_yAqt0mj7oR3xTUoiw_13_6"/>
      <w:bookmarkStart w:id="499" w:name="Tc_adqh-7api02UbLzNzNhwnQ_13_0"/>
      <w:bookmarkStart w:id="500" w:name="Tc_tSdBhxbpk0q44faF5mYJBw_12_0"/>
      <w:bookmarkStart w:id="501" w:name="Tc_uNayN4AOVECbO9Jhl6v4FQ_11_0"/>
      <w:bookmarkStart w:id="502" w:name="Tc_eCra1JwnX0OFAhHJhN5AcQ_10_0"/>
      <w:bookmarkStart w:id="503" w:name="Tc_jqgTk_qIuEi7xewVon9_UQ_9_0"/>
      <w:bookmarkStart w:id="504" w:name="Tc_-K3SAoAPtUWVmcENsmwIkg_8_0"/>
      <w:bookmarkStart w:id="505" w:name="Tc_Oqb7plPL30KmoEpZmuIfTA_7_0"/>
      <w:bookmarkStart w:id="506" w:name="Tc_QvHe3n5U1EGR5TTJxL0L6g_6_0"/>
      <w:bookmarkStart w:id="507" w:name="Tc_2lzS-ktAskaojnt1qlKTxQ_5_5"/>
      <w:bookmarkStart w:id="508" w:name="Tc_FmONfG5y2U6uwfqogl9FEg_5_2"/>
      <w:bookmarkStart w:id="509" w:name="Tc_e0ZSX5dwN06MMw1UqQzPrA_5_0"/>
      <w:bookmarkStart w:id="510" w:name="Tc_-FequhvebUi9DK-UNphh9Q_4_0"/>
      <w:bookmarkStart w:id="511" w:name="Tc_KX_QGP-ZiEGbHccWr75Bqw_3_5"/>
      <w:bookmarkStart w:id="512" w:name="Tc_-SSoTeMwBES2WSdtP8gErA_3_2"/>
      <w:bookmarkStart w:id="513" w:name="Tc_QTD2W3UK1ESeg5kv0818VQ_2_2"/>
      <w:bookmarkStart w:id="514" w:name="Tc_A0GVMA29wEqLcP7T9sKe0Q_1_2"/>
      <w:bookmarkStart w:id="515" w:name="_2754bc31_9829_47cf_b327_8a54e3fb6fa6"/>
      <w:bookmarkStart w:id="516" w:name="Tc_5aPHrWwgOUmG246t1udYZg_21_5"/>
      <w:bookmarkStart w:id="517" w:name="Tc_h5Vkhk8-okG9cKUqwQVTMQ_21_2"/>
      <w:bookmarkStart w:id="518" w:name="Tc_KZUAim8qYUaChrMzQsIQCw_21_0"/>
      <w:bookmarkStart w:id="519" w:name="Tc_YQfbB1JYt0a2qb_W8Y1NDw_20_0"/>
      <w:bookmarkStart w:id="520" w:name="Tc_YvetioJDZE6_sanGikR84w_19_0"/>
      <w:bookmarkStart w:id="521" w:name="Tc_1VOQB-0ab0-cpdORZBxKSQ_18_0"/>
      <w:bookmarkStart w:id="522" w:name="Tc_k-nEy3v82EyhdESxT79qhQ_17_0"/>
      <w:bookmarkStart w:id="523" w:name="Tc__gvFknJ3pUmI3dig1QDDHQ_16_3"/>
      <w:bookmarkStart w:id="524" w:name="Tc_siIgdcclWUemlBsvptQ4SQ_16_0"/>
      <w:bookmarkStart w:id="525" w:name="Tc_EJtzYwT6VkSZemC0UDCV9Q_15_0"/>
      <w:bookmarkStart w:id="526" w:name="Tc_F-HlfXny-U6UUdI3JfVwwg_14_0"/>
      <w:bookmarkStart w:id="527" w:name="Tc_CbW4_yAqt0mj7oR3xTUoiw_13_6"/>
      <w:bookmarkStart w:id="528" w:name="Tc_adqh-7api02UbLzNzNhwnQ_13_0"/>
      <w:bookmarkStart w:id="529" w:name="Tc_tSdBhxbpk0q44faF5mYJBw_12_0"/>
      <w:bookmarkStart w:id="530" w:name="Tc_uNayN4AOVECbO9Jhl6v4FQ_11_0"/>
      <w:bookmarkStart w:id="531" w:name="Tc_eCra1JwnX0OFAhHJhN5AcQ_10_0"/>
      <w:bookmarkStart w:id="532" w:name="Tc_jqgTk_qIuEi7xewVon9_UQ_9_0"/>
      <w:bookmarkStart w:id="533" w:name="Tc_-K3SAoAPtUWVmcENsmwIkg_8_0"/>
      <w:bookmarkStart w:id="534" w:name="Tc_Oqb7plPL30KmoEpZmuIfTA_7_0"/>
      <w:bookmarkStart w:id="535" w:name="Tc_QvHe3n5U1EGR5TTJxL0L6g_6_0"/>
      <w:bookmarkStart w:id="536" w:name="Tc_2lzS-ktAskaojnt1qlKTxQ_5_5"/>
      <w:bookmarkStart w:id="537" w:name="Tc_FmONfG5y2U6uwfqogl9FEg_5_2"/>
      <w:bookmarkStart w:id="538" w:name="Tc_e0ZSX5dwN06MMw1UqQzPrA_5_0"/>
      <w:bookmarkStart w:id="539" w:name="Tc_-FequhvebUi9DK-UNphh9Q_4_0"/>
      <w:bookmarkStart w:id="540" w:name="Tc_KX_QGP-ZiEGbHccWr75Bqw_3_5"/>
      <w:bookmarkStart w:id="541" w:name="Tc_-SSoTeMwBES2WSdtP8gErA_3_2"/>
      <w:bookmarkStart w:id="542" w:name="Tc_QTD2W3UK1ESeg5kv0818VQ_2_2"/>
      <w:bookmarkStart w:id="543" w:name="Tc_A0GVMA29wEqLcP7T9sKe0Q_1_2"/>
      <w:bookmarkStart w:id="544" w:name="_2754bc31_9829_47cf_b327_8a54e3fb6fa6"/>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tbl>
      <w:tblPr>
        <w:tblW w:w="8937" w:type="dxa"/>
        <w:jc w:val="left"/>
        <w:tblInd w:w="0" w:type="dxa"/>
        <w:tblLayout w:type="fixed"/>
        <w:tblCellMar>
          <w:top w:w="0" w:type="dxa"/>
          <w:left w:w="0" w:type="dxa"/>
          <w:bottom w:w="0" w:type="dxa"/>
          <w:right w:w="0" w:type="dxa"/>
        </w:tblCellMar>
      </w:tblPr>
      <w:tblGrid>
        <w:gridCol w:w="5716"/>
        <w:gridCol w:w="326"/>
        <w:gridCol w:w="211"/>
        <w:gridCol w:w="1051"/>
        <w:gridCol w:w="326"/>
        <w:gridCol w:w="211"/>
        <w:gridCol w:w="109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9660" cy="175260"/>
                      <wp:effectExtent l="0" t="0" r="0" b="0"/>
                      <wp:wrapNone/>
                      <wp:docPr id="85" name="Frame8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88" name="Frame8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9"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5960" cy="175260"/>
                      <wp:effectExtent l="0" t="0" r="0" b="0"/>
                      <wp:wrapNone/>
                      <wp:docPr id="91" name="Frame9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71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(8,461,748)</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393,130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142,018</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both"/>
              <w:rPr/>
            </w:pPr>
            <w:r>
              <w:rPr/>
              <w:t>​</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(794,872)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(396,268)</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672,368</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(1,462,332)</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(1,053,869)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(1,037,086)</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513,917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(65,521)</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1,352,975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(7,378,099)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(7,404,688)</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36,902</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exercise of warrants and stock options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56,800</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93,702</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(7,377,494)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(7,310,986)</w:t>
            </w:r>
          </w:p>
        </w:tc>
      </w:tr>
      <w:tr>
        <w:trPr/>
        <w:tc>
          <w:tcPr>
            <w:tcW w:w="57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15,111,450</w:t>
            </w:r>
          </w:p>
        </w:tc>
      </w:tr>
      <w:tr>
        <w:trPr/>
        <w:tc>
          <w:tcPr>
            <w:tcW w:w="5716"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11,814,946</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7,800,464</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bookmarkStart w:id="545" w:name="_8b9f92a7_33d3_4a74_bab2_3bdba0acf729"/>
      <w:bookmarkEnd w:id="545"/>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546" w:name="NOTESTOCONDENSEDCONSOLIDATEDFINANCIALSTA"/>
      <w:bookmarkEnd w:id="546"/>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of novel T cell-based immunotherapies for the treatment of hematological malignancies and solid tumor indications. The Company’s Multi-Antigen Recognizing (“MAR”)-T cell technology is based on the selective expansion of non-engineered, tumor-specific T cells that recognize tumor associated antigens, or tumor targets. MAR-T cells are designed to detect and kill tumor cells expressing those targets to produce a broad spectrum anti-tumor activity. The Company was incorporated in Nevada in 1992 and reincorporated in Delaware in October 2018.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 Baylor College of Medicine (“BCM”) supplies the Company with MT-601, the Company’s lead Multi-Antigen Recognizing (MAR)-T cell therapy in anticipation of the commencement of the Company’s larger pivotal trial for 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unaudited condensed consolidated statement of operations are not necessarily indicative of results to be expected for the year ending December 31, 2025, or for any future interim period. The condensed consolidated balance sheet at December 31, 2024 has been derived from 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2024 and notes thereto included in the Company’s annual report on Form 10-K filed on March 31,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3: LIQUIDITY AND FINANCIAL CONDITION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2025, the Company had cash, cash equivalents, and restricted cash of approximately $11.8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 and grants.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Company entered into an At The Market Offering Agreement (the “ATM Agreement”) with H.C. Wainwright &amp; Co. LLC, relating to the sale of shares of its common stock , from time to time, through H.C. Wainwright &amp; Co. LLC pursuant to the Company’s shelf registration statement on Form S-3 (File No. 333-283512), which the SEC declared effective on December 6, 2024. The Company’s use of the shelf registration statement on Form S-3 will be limited for so long as it is subject to General Instruction I.B.6 of Form S-3, which limits the amounts that the Company may sell under the registration statement and in accordance with the ATM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H.C. Wainwright &amp; Co. LLC is entitled to compensation under the ATM Agreement at a commission rate equal to 3.0% of the gross sales price per share sold under the ATM Agreement. Recently, between July 17 and 21, 2025, the Company sold 1,624,075 shares of common stock pursuant to the ATM Agreement for net proceeds of $4.5 million, after deducting agent commissions, at an average price of $2.87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Cancer Prevention and Research Institute of Texas (“CPRIT”) to support the Company’s clinical investigation of MT-401 as an Off - the - Shelf (“OTS”) product in patients with Acute Myeloid Leukemia (“AML”) (the “CPRIT AML Grant”). Through the date of this filing, the Company has received $11.0 million of funds from the CPRIT AML Grant. The Company recorded $0.3 million and $0.5 million of grant income related to the CPRIT AML Grant as revenue for the three and six months ended June 30, 2025, respectively. As of June 30, 2025, the Company’s grant income receivable balance for this grant was $1.3 million, which represented grant income earned in advance of funds to be received from CPRIT.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U.S. Food and Drug Administration (the “FDA”) that it had awarded the Company a $2.0 million grant from the FDA’s Orphan Products Grant program to support the Company’s clinical investigation of MT-401 for the treatment of post-transplant AML (the “FDA Grant”). Through the date of this filing, the Company has received $1.1 million from the FDA Grant. The Company recorded $0.1 million of grant income related to the FDA Grant as revenue for the three and six months ended June 30, 2025, and as of June 30, 2025, the Company had $0.1 million in grant income receivable balance for this grant. In August 2025, the Company received $0.1 million of funds from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$1.3 million from SBIR. The Company recorded approximately $12,000 and $0.1 million of grant income related to the SBIR AML Grant as revenue for the three and six months ended June 30, 2025, respectively. As of June 30, 2025, the Company’s grant income receivable balance for this grant was $12,000 which represented grant income earned in advance of funds to be received from the SBIR. In August 2025, the Company received $12,000 of funds from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2 - year period from the NIH SBIR program to support control over tumor immune escape in pancreatic cancer using a dual T cell product strategy (the “Decoy Grant”). Through the date of this filing, the Company has received approximately $0.3 million from NIH for this grant. The Company recorded approximately $0.2 million of grant income related to the Decoy Grant as revenue during the three and six months ended June 30, 2025, and as of June 30, 2025, the Company’s grant income receivable balance for this grant was approximately $0.2 million. In August 2025, the Company received $0.3 million of funds from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no grant income related to this grant as revenue for the three and six months ended June 30, 2025, respectively, and as of June 30, 2025, the Company had no grant income receivable balance related to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another $2.0 million grant from the NIH SBIR program to support the advancement of MT-601 in patients with pancreatic cancer (the “PANACEA Grant”). Through the date of this filing, the Company has received approximately $0.1 million from NIH for this grant. The Company recorded approximately $0.1 million of grant income related to the PANACEA Grant as revenue during the three and six months ended June 30, 2025, respectively, and as of June 30, 2025, the Company’s grant income receivable balance for this grant was approximately $0.1 million. In August 2025, the Company received $0.1 million of funds from the PANACEA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“CPRIT Pancreatic Grant”). Through the date of this filing, the Company has received $1.6 million of funds from this grant. The Company recorded $0.2 million of grant income related to this grant as revenue during the three and six months ended June 30, 2025. As of June 30, 2025, $1.4 million was recorded as restricted cash and deferred revenue on the Company’s condensed consolidated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 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Company’s lack of recurring revenues, anticipated uses of cash and historical recurring cash losses from operating activities, and cash, cash equivalents, and restricted cash as of June 30, 2025, and taking into consideration the net proceeds received in July of 2025 through the sale of Common Stock pursuant to its ATM Agreement with H.C. Wainwright &amp; Co., LLC (see Note 13), the Company anticipates that it will be able to fund its operating expenses and capital expenditure requirements into the second quarter of 2026, assuming no additional grant funds are received, either from new grants or from existing awarded grants. These factors raise substantial doubt regarding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considering raising additional capital through the issuance of securities and intends to apply for additional grant funds, which could enable the Company to fund its operating expenses and capital expenditure requirements beyond the second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continues, or accelerates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Company’s significant accounting policies to those previously disclosed in the Annual Report on Form 10-K for the year ended December 31, 2024 filed on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Restricted Cash,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cash equivalents, and restricted cash at June 30, 2025 consisted of cash and certificates of deposit in institutions in the United States. The Company maintains cash in accounts which are in excess of the Federal Deposit Insurance Corporation (“FDIC”) insured limits of $250,000. As of June 30, 2025, the Company had approximately $1.9 million in cash at financial institutions, including $1.4 million of restricted cash at financial institutions, and approximately $9.9 million in U.S. government agency securities, for aggregate cash, cash equivalents, and restricted cash of $11.8 million. As of December 31, 2024, the Company had approximately $1.1 million in cash at financial institutions and approximately $18.1 million in U.S. government agency securities, for aggregate cash and cash equivalents of $19.2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and deferred revenue until it is earned and recorded to grant income. As of June 30, 2025, $1.4 million was recorded as restricted cash and deferred revenue on the Company’s condensed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Modification of 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adopted Accounting Standard Update (“ASU”) 2023-07, Segment Reporting (Topic 280) - Improvements to Reportable Segment Disclosures, as of January 1, 2024. See the section Recently Adopted Accounting Standards below for more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 candidates. The Company’s CODM, its chief executive officer, reviews operating results on an aggregate basis and manages the operations as a single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Company’s single operating and reportable segment are the same as those described in the Company’s summary of significant accounting policies as previously disclosed in the Annual Report on Form 10-K for the year ended December 31, 2024 filed on March 31, 2025.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Company’s significant expenses are consistent with the expenses presented on the consolidated statement of operations. The CODM makes operating decisions based on the availability of cash and the allocation of cash to the required expenditures. Expenses are not regularly provided to the CODM on a more disaggregated basis for purposes of assessing segment performance and deciding how to allocate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the Financial Accounting Standards Board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We do not expect the adoption of this guidance to have a material impact on its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47" w:name="Tc_Cm7hqFYrtUiMghw8gNhywQ_6_0"/>
      <w:bookmarkStart w:id="548" w:name="Tc_SMLcsgn-pEeiyAFHWFrtyA_5_4"/>
      <w:bookmarkStart w:id="549" w:name="Tc_D29deV2z1USal_95yCCDzQ_5_0"/>
      <w:bookmarkStart w:id="550" w:name="Tc_Xig29SjGMU2uyprZMWuwyw_4_0"/>
      <w:bookmarkStart w:id="551" w:name="Tc_y8C7sT-AM0um2OqQQxJTkQ_3_4"/>
      <w:bookmarkStart w:id="552" w:name="Tc_u-BBS1wAHEqoAROqDCR-OQ_3_2"/>
      <w:bookmarkStart w:id="553" w:name="Tc_YXuCvzaQNUOwEGJlMh_IXw_2_2"/>
      <w:bookmarkStart w:id="554" w:name="Tc_E8yNOegG8Eiq55_ZM1dMPw_1_2"/>
      <w:bookmarkStart w:id="555" w:name="_a5b1bf5a_1a84_47d8_9fe7_666187e4feb9"/>
      <w:bookmarkStart w:id="556" w:name="Tc_N-djkkovREuOw-dbf0cYqQ_12_11"/>
      <w:bookmarkStart w:id="557" w:name="Tc_S09yWEqK90i6QrtmkDzOyA_12_8"/>
      <w:bookmarkStart w:id="558" w:name="Tc_xy3kMAYWrkirVDzQHFCH1A_12_5"/>
      <w:bookmarkStart w:id="559" w:name="Tc_dl3X-S5jYE6EUhgGD45fxQ_12_2"/>
      <w:bookmarkStart w:id="560" w:name="Tc_s9Ys1oHWTk-ZmuV4Jrvkfw_12_0"/>
      <w:bookmarkStart w:id="561" w:name="Tc_3d_Z0hbPhEK6TfnQmVIbuQ_11_0"/>
      <w:bookmarkStart w:id="562" w:name="Tc_k1hQMOC88k2F0OtyNJlMmA_9_0"/>
      <w:bookmarkStart w:id="563" w:name="Tc_2CVw50yK50GD6AkoI5b9bA_8_0"/>
      <w:bookmarkStart w:id="564" w:name="Tc_40cVtl_XIEaw6oHLLHADqg_7_0"/>
      <w:bookmarkStart w:id="565" w:name="Tc_PnnqI6ElOEOYWmuOzNjp4A_5_11"/>
      <w:bookmarkStart w:id="566" w:name="Tc_TVWOS0eGQkqPNiE8nBv2Mw_5_8"/>
      <w:bookmarkStart w:id="567" w:name="Tc_kU_Q7lckSkWXi5zrymt3wA_5_5"/>
      <w:bookmarkStart w:id="568" w:name="Tc_yoJbMAcXEEWL4Y57m0tOcQ_5_2"/>
      <w:bookmarkStart w:id="569" w:name="Tc_P4bmw4S_XUiwZVYz8XBpfA_5_0"/>
      <w:bookmarkStart w:id="570" w:name="Tc_BHJyAhOlf0e7NoZRe1Xqgg_4_0"/>
      <w:bookmarkStart w:id="571" w:name="Tc_cFtzq0ogEEqYoRUc5x4b2Q_3_11"/>
      <w:bookmarkStart w:id="572" w:name="Tc_gmf9zKN5o0iq6oX2CwgyGQ_3_8"/>
      <w:bookmarkStart w:id="573" w:name="Tc_lG8jG6DNvE6dPWR8cXuNzw_3_5"/>
      <w:bookmarkStart w:id="574" w:name="Tc_BfgP8SRSK0mHfIdCYejoeA_3_2"/>
      <w:bookmarkStart w:id="575" w:name="Tc_YiYSAXUWqEutD6qZEyZs2w_2_8"/>
      <w:bookmarkStart w:id="576" w:name="Tc_m3V4aTIoKEqYqmRkxE60uA_2_2"/>
      <w:bookmarkStart w:id="577" w:name="Tc_QhDp5_1V_UqQRYxm8nVqWw_1_8"/>
      <w:bookmarkStart w:id="578" w:name="Tc_Dayp2NkbWEmmk9nJie1pNA_1_2"/>
      <w:bookmarkStart w:id="579" w:name="_d12d17c6_ded5_4df1_a975_1e6327178778"/>
      <w:bookmarkStart w:id="580" w:name="_18648bef_c2bb_47ef_9084_5476736e56ff"/>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Times New Roman;Times;serif" w:hAnsi="Times New Roman;Times;serif"/>
          <w:b/>
          <w:sz w:val="20"/>
        </w:rPr>
        <w:t>NOTE 5: NET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and six months ended June 30, 2025 and 2024, respectively:</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3"/>
        <w:gridCol w:w="326"/>
        <w:gridCol w:w="211"/>
        <w:gridCol w:w="1047"/>
        <w:gridCol w:w="326"/>
        <w:gridCol w:w="211"/>
        <w:gridCol w:w="1036"/>
        <w:gridCol w:w="386"/>
        <w:gridCol w:w="211"/>
        <w:gridCol w:w="1047"/>
        <w:gridCol w:w="326"/>
        <w:gridCol w:w="211"/>
        <w:gridCol w:w="1084"/>
      </w:tblGrid>
      <w:tr>
        <w:trPr/>
        <w:tc>
          <w:tcPr>
            <w:tcW w:w="3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402205" cy="175260"/>
                      <wp:effectExtent l="0" t="0" r="0" b="0"/>
                      <wp:wrapNone/>
                      <wp:docPr id="92" name="Frame91"/>
                      <a:graphic xmlns:a="http://schemas.openxmlformats.org/drawingml/2006/main">
                        <a:graphicData uri="http://schemas.microsoft.com/office/word/2010/wordprocessingShape">
                          <wps:wsp>
                            <wps:cNvSpPr txBox="1"/>
                            <wps:spPr>
                              <a:xfrm>
                                <a:off x="0" y="0"/>
                                <a:ext cx="24022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4845" cy="175260"/>
                      <wp:effectExtent l="0" t="0" r="0" b="0"/>
                      <wp:wrapNone/>
                      <wp:docPr id="95" name="Frame94"/>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7"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57860" cy="175260"/>
                      <wp:effectExtent l="0" t="0" r="0" b="0"/>
                      <wp:wrapNone/>
                      <wp:docPr id="98" name="Frame9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5110" cy="175260"/>
                      <wp:effectExtent l="0" t="0" r="0" b="0"/>
                      <wp:wrapNone/>
                      <wp:docPr id="99" name="Frame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4845" cy="175260"/>
                      <wp:effectExtent l="0" t="0" r="0" b="0"/>
                      <wp:wrapNone/>
                      <wp:docPr id="101" name="Frame100"/>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3"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88340" cy="175260"/>
                      <wp:effectExtent l="0" t="0" r="0" b="0"/>
                      <wp:wrapNone/>
                      <wp:docPr id="104" name="Frame103"/>
                      <a:graphic xmlns:a="http://schemas.openxmlformats.org/drawingml/2006/main">
                        <a:graphicData uri="http://schemas.microsoft.com/office/word/2010/wordprocessingShape">
                          <wps:wsp>
                            <wps:cNvSpPr txBox="1"/>
                            <wps:spPr>
                              <a:xfrm>
                                <a:off x="0" y="0"/>
                                <a:ext cx="6883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78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83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86" w:type="dxa"/>
            <w:tcBorders/>
            <w:vAlign w:val="center"/>
          </w:tcPr>
          <w:p>
            <w:pPr>
              <w:pStyle w:val="TableContents"/>
              <w:bidi w:val="0"/>
              <w:spacing w:before="0" w:after="1"/>
              <w:ind w:left="0" w:right="0" w:hanging="0"/>
              <w:jc w:val="both"/>
              <w:rPr/>
            </w:pPr>
            <w:r>
              <w:rPr/>
              <w:t> </w:t>
            </w:r>
          </w:p>
        </w:tc>
        <w:tc>
          <w:tcPr>
            <w:tcW w:w="287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78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83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86" w:type="dxa"/>
            <w:tcBorders/>
            <w:vAlign w:val="center"/>
          </w:tcPr>
          <w:p>
            <w:pPr>
              <w:pStyle w:val="TableContents"/>
              <w:bidi w:val="0"/>
              <w:spacing w:before="0" w:after="1"/>
              <w:ind w:left="0" w:right="0" w:hanging="0"/>
              <w:jc w:val="both"/>
              <w:rPr/>
            </w:pPr>
            <w:r>
              <w:rPr/>
              <w:t> </w:t>
            </w:r>
          </w:p>
        </w:tc>
        <w:tc>
          <w:tcPr>
            <w:tcW w:w="28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783"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6" w:type="dxa"/>
            <w:tcBorders/>
            <w:vAlign w:val="center"/>
          </w:tcPr>
          <w:p>
            <w:pPr>
              <w:pStyle w:val="TableContents"/>
              <w:bidi w:val="0"/>
              <w:spacing w:before="0" w:after="1"/>
              <w:ind w:left="0" w:right="0" w:hanging="0"/>
              <w:jc w:val="both"/>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83" w:type="dxa"/>
            <w:tcBorders/>
            <w:shd w:fill="CCEEFF" w:val="clear"/>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4" w:type="dxa"/>
            <w:tcBorders/>
            <w:shd w:fill="CCEEFF" w:val="clear"/>
            <w:vAlign w:val="center"/>
          </w:tcPr>
          <w:p>
            <w:pPr>
              <w:pStyle w:val="TableContents"/>
              <w:bidi w:val="0"/>
              <w:spacing w:before="0" w:after="1"/>
              <w:ind w:left="0" w:right="0" w:hanging="0"/>
              <w:jc w:val="both"/>
              <w:rPr/>
            </w:pPr>
            <w:r>
              <w:rPr/>
              <w:t>​</w:t>
            </w:r>
          </w:p>
        </w:tc>
      </w:tr>
      <w:tr>
        <w:trPr/>
        <w:tc>
          <w:tcPr>
            <w:tcW w:w="3783"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(4,015,564)</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(2,192,677)</w:t>
            </w:r>
          </w:p>
        </w:tc>
        <w:tc>
          <w:tcPr>
            <w:tcW w:w="38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(8,461,748)</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(4,585,499)</w:t>
            </w:r>
          </w:p>
        </w:tc>
      </w:tr>
      <w:tr>
        <w:trPr/>
        <w:tc>
          <w:tcPr>
            <w:tcW w:w="378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4" w:type="dxa"/>
            <w:tcBorders/>
            <w:shd w:fill="CCEEFF" w:val="clear"/>
            <w:vAlign w:val="center"/>
          </w:tcPr>
          <w:p>
            <w:pPr>
              <w:pStyle w:val="TableContents"/>
              <w:bidi w:val="0"/>
              <w:spacing w:before="0" w:after="1"/>
              <w:ind w:left="0" w:right="0" w:hanging="0"/>
              <w:jc w:val="both"/>
              <w:rPr/>
            </w:pPr>
            <w:r>
              <w:rPr/>
              <w:t>​</w:t>
            </w:r>
          </w:p>
        </w:tc>
      </w:tr>
      <w:tr>
        <w:trPr/>
        <w:tc>
          <w:tcPr>
            <w:tcW w:w="3783"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4" w:type="dxa"/>
            <w:tcBorders/>
            <w:vAlign w:val="center"/>
          </w:tcPr>
          <w:p>
            <w:pPr>
              <w:pStyle w:val="TableContents"/>
              <w:bidi w:val="0"/>
              <w:spacing w:before="0" w:after="1"/>
              <w:ind w:left="0" w:right="0" w:hanging="0"/>
              <w:jc w:val="right"/>
              <w:rPr/>
            </w:pPr>
            <w:r>
              <w:rPr/>
              <w:t>​</w:t>
            </w:r>
          </w:p>
        </w:tc>
      </w:tr>
      <w:tr>
        <w:trPr/>
        <w:tc>
          <w:tcPr>
            <w:tcW w:w="378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basic</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10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r>
      <w:tr>
        <w:trPr/>
        <w:tc>
          <w:tcPr>
            <w:tcW w:w="3783"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common shares outstanding, diluted</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13,956,562</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8,918,233</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12,539,169</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8,910,097</w:t>
            </w:r>
          </w:p>
        </w:tc>
      </w:tr>
      <w:tr>
        <w:trPr/>
        <w:tc>
          <w:tcPr>
            <w:tcW w:w="378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both"/>
              <w:rPr/>
            </w:pPr>
            <w:r>
              <w:rPr/>
              <w:t>​</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47"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84" w:type="dxa"/>
            <w:tcBorders/>
            <w:shd w:fill="CCEEFF" w:val="clear"/>
            <w:vAlign w:val="center"/>
          </w:tcPr>
          <w:p>
            <w:pPr>
              <w:pStyle w:val="TableContents"/>
              <w:bidi w:val="0"/>
              <w:spacing w:before="0" w:after="1"/>
              <w:ind w:left="0" w:right="0" w:hanging="0"/>
              <w:jc w:val="both"/>
              <w:rPr/>
            </w:pPr>
            <w:r>
              <w:rPr/>
              <w:t>​</w:t>
            </w:r>
          </w:p>
        </w:tc>
      </w:tr>
      <w:tr>
        <w:trPr/>
        <w:tc>
          <w:tcPr>
            <w:tcW w:w="3783" w:type="dxa"/>
            <w:tcBorders/>
            <w:vAlign w:val="center"/>
          </w:tcPr>
          <w:p>
            <w:pPr>
              <w:pStyle w:val="TableContents"/>
              <w:bidi w:val="0"/>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84" w:type="dxa"/>
            <w:tcBorders/>
            <w:vAlign w:val="center"/>
          </w:tcPr>
          <w:p>
            <w:pPr>
              <w:pStyle w:val="TableContents"/>
              <w:bidi w:val="0"/>
              <w:spacing w:before="0" w:after="1"/>
              <w:ind w:left="0" w:right="0" w:hanging="0"/>
              <w:jc w:val="right"/>
              <w:rPr/>
            </w:pPr>
            <w:r>
              <w:rPr/>
              <w:t>​</w:t>
            </w:r>
          </w:p>
        </w:tc>
      </w:tr>
      <w:tr>
        <w:trPr/>
        <w:tc>
          <w:tcPr>
            <w:tcW w:w="378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Loss from per share, basic and diluted</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8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bidi w:val="0"/>
        <w:spacing w:before="0" w:after="24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2836"/>
        <w:gridCol w:w="326"/>
        <w:gridCol w:w="931"/>
        <w:gridCol w:w="326"/>
        <w:gridCol w:w="88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00860" cy="175260"/>
                      <wp:effectExtent l="0" t="0" r="0" b="0"/>
                      <wp:wrapNone/>
                      <wp:docPr id="105" name="Frame10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7" name="Frame1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2610" cy="175260"/>
                      <wp:effectExtent l="0" t="0" r="0" b="0"/>
                      <wp:wrapNone/>
                      <wp:docPr id="109" name="Frame1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4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1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83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709,000</w:t>
            </w:r>
          </w:p>
        </w:tc>
        <w:tc>
          <w:tcPr>
            <w:tcW w:w="326" w:type="dxa"/>
            <w:tcBorders/>
            <w:shd w:fill="CCEEFF" w:val="clear"/>
            <w:vAlign w:val="center"/>
          </w:tcPr>
          <w:p>
            <w:pPr>
              <w:pStyle w:val="TableContents"/>
              <w:bidi w:val="0"/>
              <w:spacing w:before="0" w:after="1"/>
              <w:ind w:left="0" w:right="0" w:hanging="0"/>
              <w:jc w:val="both"/>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601,000</w:t>
            </w:r>
          </w:p>
        </w:tc>
      </w:tr>
      <w:tr>
        <w:trPr/>
        <w:tc>
          <w:tcPr>
            <w:tcW w:w="283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vAlign w:val="center"/>
          </w:tcPr>
          <w:p>
            <w:pPr>
              <w:pStyle w:val="TableContents"/>
              <w:bidi w:val="0"/>
              <w:spacing w:before="0" w:after="1"/>
              <w:ind w:left="0" w:right="0" w:hanging="0"/>
              <w:jc w:val="both"/>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5,031,000</w:t>
            </w:r>
          </w:p>
        </w:tc>
        <w:tc>
          <w:tcPr>
            <w:tcW w:w="326" w:type="dxa"/>
            <w:tcBorders/>
            <w:vAlign w:val="center"/>
          </w:tcPr>
          <w:p>
            <w:pPr>
              <w:pStyle w:val="TableContents"/>
              <w:bidi w:val="0"/>
              <w:spacing w:before="0" w:after="1"/>
              <w:ind w:left="0" w:right="0" w:hanging="0"/>
              <w:jc w:val="both"/>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3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bidi w:val="0"/>
              <w:spacing w:before="0" w:after="1"/>
              <w:ind w:left="0" w:right="0" w:hanging="0"/>
              <w:jc w:val="both"/>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5,740,000</w:t>
            </w:r>
          </w:p>
        </w:tc>
        <w:tc>
          <w:tcPr>
            <w:tcW w:w="326" w:type="dxa"/>
            <w:tcBorders/>
            <w:shd w:fill="CCEEFF" w:val="clear"/>
            <w:vAlign w:val="center"/>
          </w:tcPr>
          <w:p>
            <w:pPr>
              <w:pStyle w:val="TableContents"/>
              <w:bidi w:val="0"/>
              <w:spacing w:before="0" w:after="1"/>
              <w:ind w:left="0" w:right="0" w:hanging="0"/>
              <w:jc w:val="both"/>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601,000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6: OTHER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Qualifying grant income earned in advance of cash received from grants is recognized as revenue and recorded as other receivable. The Company recorded $0.3 million and $0.5 million of grant income related to the CPRIT AML Grant for the three and six months ended June 30, 2025, respectively. As of June 30, 2025, the Company’s grant income receivable balance for this grant was $1.3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$12,000 and $0.1 million of grant income related to the SBIR AML Grant as revenue for the three and six months ended June 30, 2025, respectively. As of June 30, 2025, the Company’s grant income receivable balance for this grant was $12,000, which represented grant income earned in advance of funds to be received from the SBIR. In August 2025, the Company received $12,000 of funds from the SBIR AML Grant.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approximately $0.1 million of grant income related to the FDA Grant as revenue for the three and six months ended June 30, 2025, respectively. As of June 30, 2025, the Company’s grant income receivable balance for this grant was $0.1 million. In August 2025, the Company received $0.1 million of funds from the FDA Grant.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approximately $0.2 million of grant income related to the Decoy Grant as revenue during the three and six months ended June 30, 2025, respectively, and as of June 30, 2025, the Company’s grant income receivable balance for this grant was approximately $0.2 million. In August 2025, the Company received $0.3 million of funds from the Decoy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approximately $0.1 million of grant income related to the PANACEA Grant as revenue during the three and six months ended June 30, 2025, respectively, and as of June 30, 2025, the Company’s grant income receivable balance for this grant was $0.1 million. In August 2025, the Company received $0.1 million of funds from the PANACEA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581" w:name="Tc_DDSzxJH-oEyn2LYtKMkWMA_9_5"/>
      <w:bookmarkStart w:id="582" w:name="Tc_oW7XOqc9jkOO4ZU6ET4b1Q_9_2"/>
      <w:bookmarkStart w:id="583" w:name="Tc_luWCQ-EX4Eu6DRyd8Zu59g_9_0"/>
      <w:bookmarkStart w:id="584" w:name="Tc_A_v5IC5FDE-F3b_xhdJXUw_8_0"/>
      <w:bookmarkStart w:id="585" w:name="Tc_qWeIskuXB0GEl5xd34jg9g_7_0"/>
      <w:bookmarkStart w:id="586" w:name="Tc_3httXMilI0WcJ4G6fL07hA_5_0"/>
      <w:bookmarkStart w:id="587" w:name="Tc_3phmXtM8nU661O_EDi4rEg_4_0"/>
      <w:bookmarkStart w:id="588" w:name="Tc_ZVDdk-ipG0-1hAVVPTmJAg_3_5"/>
      <w:bookmarkStart w:id="589" w:name="Tc_IArXo9LR2kmG8xNTiVAJKg_3_2"/>
      <w:bookmarkStart w:id="590" w:name="Tc_O2P9q0DKs027FQHJtmelsw_3_0"/>
      <w:bookmarkStart w:id="591" w:name="Tc_QCsVa7zuvEqJTfWzZi-Q5g_2_5"/>
      <w:bookmarkStart w:id="592" w:name="Tc_kpKc1XYCyEmm8Yv-MttfSA_2_2"/>
      <w:bookmarkStart w:id="593" w:name="Tc_7n0PqfT_uU2fGnxIu4DSEA_1_5"/>
      <w:bookmarkStart w:id="594" w:name="Tc_7pnWNjHrm0S_af34iPxDIw_1_2"/>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ascii="Times New Roman;Times;serif" w:hAnsi="Times New Roman;Times;serif"/>
          <w:b/>
          <w:sz w:val="20"/>
        </w:rPr>
        <w:t>NOTE 7: ACCOUNTS PAYABLE, ACCRUED LIABILITIES AND RELATED PARTY PAYABLE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accrued liabilities, and related party payable consist of the following as of June 30, 2025 and December 31, 2024, respectively:</w:t>
      </w:r>
    </w:p>
    <w:p>
      <w:pPr>
        <w:pStyle w:val="TextBody"/>
        <w:bidi w:val="0"/>
        <w:spacing w:before="0" w:after="240"/>
        <w:ind w:left="0" w:right="0" w:hanging="0"/>
        <w:jc w:val="left"/>
        <w:rPr/>
      </w:pPr>
      <w:r>
        <w:rPr/>
        <w:t>​</w:t>
      </w:r>
    </w:p>
    <w:tbl>
      <w:tblPr>
        <w:tblW w:w="8697" w:type="dxa"/>
        <w:jc w:val="left"/>
        <w:tblInd w:w="0" w:type="dxa"/>
        <w:tblLayout w:type="fixed"/>
        <w:tblCellMar>
          <w:top w:w="0" w:type="dxa"/>
          <w:left w:w="0" w:type="dxa"/>
          <w:bottom w:w="0" w:type="dxa"/>
          <w:right w:w="0" w:type="dxa"/>
        </w:tblCellMar>
      </w:tblPr>
      <w:tblGrid>
        <w:gridCol w:w="5656"/>
        <w:gridCol w:w="326"/>
        <w:gridCol w:w="211"/>
        <w:gridCol w:w="931"/>
        <w:gridCol w:w="326"/>
        <w:gridCol w:w="211"/>
        <w:gridCol w:w="1036"/>
      </w:tblGrid>
      <w:tr>
        <w:trPr/>
        <w:tc>
          <w:tcPr>
            <w:tcW w:w="5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591560" cy="175260"/>
                      <wp:effectExtent l="0" t="0" r="0" b="0"/>
                      <wp:wrapNone/>
                      <wp:docPr id="110" name="Frame109"/>
                      <a:graphic xmlns:a="http://schemas.openxmlformats.org/drawingml/2006/main">
                        <a:graphicData uri="http://schemas.microsoft.com/office/word/2010/wordprocessingShape">
                          <wps:wsp>
                            <wps:cNvSpPr txBox="1"/>
                            <wps:spPr>
                              <a:xfrm>
                                <a:off x="0" y="0"/>
                                <a:ext cx="35915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91185" cy="175260"/>
                      <wp:effectExtent l="0" t="0" r="0" b="0"/>
                      <wp:wrapNone/>
                      <wp:docPr id="113"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5"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57860" cy="175260"/>
                      <wp:effectExtent l="0" t="0" r="0" b="0"/>
                      <wp:wrapNone/>
                      <wp:docPr id="116" name="Frame1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5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104,000</w:t>
            </w:r>
          </w:p>
        </w:tc>
      </w:tr>
      <w:tr>
        <w:trPr/>
        <w:tc>
          <w:tcPr>
            <w:tcW w:w="565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both"/>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204,000</w:t>
            </w:r>
          </w:p>
        </w:tc>
      </w:tr>
      <w:tr>
        <w:trPr/>
        <w:tc>
          <w:tcPr>
            <w:tcW w:w="565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accrued liabilities and related party payable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2,925,000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3,464,000</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$0.7 million and $1.7 million related-party payable as of June 30, 2025 and December 31, 2024, respectively, reflect amounts for outsourced product development and manufacturing services. See Note 12: Related Party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95" w:name="Tc_LICCR6e-YkST_GPsN9eXHA_7_11"/>
      <w:bookmarkStart w:id="596" w:name="Tc_W0aX4tVli0aQpAqQ6GHFxw_6_11"/>
      <w:bookmarkStart w:id="597" w:name="Tc_C0bSiyBoaEK5g01xphDQiw_6_4"/>
      <w:bookmarkStart w:id="598" w:name="Tc_BbutNWkGYk-GraxM_dVV6Q_6_2"/>
      <w:bookmarkStart w:id="599" w:name="Tc_ZanH5HpWxkOC8FpU-zz51w_6_0"/>
      <w:bookmarkStart w:id="600" w:name="Tc_7ZqFm7XXFUG7rJ0JUV3rNA_5_13"/>
      <w:bookmarkStart w:id="601" w:name="Tc_O30vOdiTsUmyTW9SyTmfKQ_5_11"/>
      <w:bookmarkStart w:id="602" w:name="Tc_a9q8CwYXhUyyxZ4J9LEjWQ_5_4"/>
      <w:bookmarkStart w:id="603" w:name="Tc_vQfP84UE30CF1EyDvYmLyA_5_2"/>
      <w:bookmarkStart w:id="604" w:name="Tc_2ZOSH17CxUGF1eqszhehXg_5_0"/>
      <w:bookmarkStart w:id="605" w:name="Tc_JCHsKCxTyUyuINv-TzE0JA_4_15"/>
      <w:bookmarkStart w:id="606" w:name="Tc_f_ukeaKn9UOkI3lCE2j7yQ_4_13"/>
      <w:bookmarkStart w:id="607" w:name="Tc_dmDaA52UiE2du0X4JgJv4w_4_11"/>
      <w:bookmarkStart w:id="608" w:name="Tc_p0NpY-owxUaGy2_8koKruw_4_9"/>
      <w:bookmarkStart w:id="609" w:name="Tc_Sj5K0BkYnEGMe_s57oBpQg_4_7"/>
      <w:bookmarkStart w:id="610" w:name="Tc_HYkQ2hplikS1Ja7tlzHksA_4_4"/>
      <w:bookmarkStart w:id="611" w:name="Tc_fnqcrQF6UUuz9z0YPc8Mag_4_2"/>
      <w:bookmarkStart w:id="612" w:name="Tc_AJGRVbgToEK79f-TVCL7rg_3_15"/>
      <w:bookmarkStart w:id="613" w:name="Tc_MbC4Nt5SKEqm91ksZM-iHA_3_11"/>
      <w:bookmarkStart w:id="614" w:name="Tc_lBd5OE2ZO0q40TILSeAzOg_3_9"/>
      <w:bookmarkStart w:id="615" w:name="Tc_IKRT8GnSnkOIKszbIn9m7g_3_7"/>
      <w:bookmarkStart w:id="616" w:name="Tc___f2bcscfUa3vzc95enNJw_3_4"/>
      <w:bookmarkStart w:id="617" w:name="Tc_T1c9SnCwtEqSwSePXMPjGA_2_15"/>
      <w:bookmarkStart w:id="618" w:name="Tc_XgO81DuZmUO6PEMisK6Tzw_2_9"/>
      <w:bookmarkStart w:id="619" w:name="Tc_RRtjh2NrtEGK2T9DO8mAgg_2_4"/>
      <w:bookmarkStart w:id="620" w:name="Tc_Qtf4EbgJ2ECgKhKJRPM7tg_1_15"/>
      <w:bookmarkStart w:id="621" w:name="Tc_fQ_UEKodf0inMYRTjYoD2A_1_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ascii="Times New Roman;Times;serif" w:hAnsi="Times New Roman;Times;serif"/>
          <w:b/>
          <w:sz w:val="20"/>
        </w:rPr>
        <w:t>NOTE 8: STOCKHOLDERS’ EQUITY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2024, certain outstanding options were exercised for 23,097 shares of common stock, providing aggregate proceeds to the Company of approximately $</w:t>
      </w:r>
      <w:r>
        <w:rPr>
          <w:rFonts w:ascii="Times New Roman;Times;serif" w:hAnsi="Times New Roman;Times;serif"/>
          <w:b w:val="false"/>
          <w:i w:val="false"/>
          <w:caps w:val="false"/>
          <w:smallCaps w:val="false"/>
          <w:sz w:val="20"/>
        </w:rPr>
        <w:t>57,000</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warrants outstanding at June 30,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50"/>
        <w:gridCol w:w="326"/>
        <w:gridCol w:w="1381"/>
        <w:gridCol w:w="326"/>
        <w:gridCol w:w="211"/>
        <w:gridCol w:w="571"/>
        <w:gridCol w:w="326"/>
        <w:gridCol w:w="943"/>
        <w:gridCol w:w="326"/>
        <w:gridCol w:w="1061"/>
        <w:gridCol w:w="326"/>
        <w:gridCol w:w="706"/>
        <w:gridCol w:w="326"/>
        <w:gridCol w:w="847"/>
        <w:gridCol w:w="326"/>
        <w:gridCol w:w="1053"/>
      </w:tblGrid>
      <w:tr>
        <w:trPr/>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30250" cy="175260"/>
                      <wp:effectExtent l="0" t="0" r="0" b="0"/>
                      <wp:wrapNone/>
                      <wp:docPr id="117" name="Frame116"/>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876935" cy="175260"/>
                      <wp:effectExtent l="0" t="0" r="0" b="0"/>
                      <wp:wrapNone/>
                      <wp:docPr id="119" name="Frame118"/>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1"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62585" cy="175260"/>
                      <wp:effectExtent l="0" t="0" r="0" b="0"/>
                      <wp:wrapNone/>
                      <wp:docPr id="122"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8805" cy="175260"/>
                      <wp:effectExtent l="0" t="0" r="0" b="0"/>
                      <wp:wrapNone/>
                      <wp:docPr id="124" name="Frame123"/>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73735" cy="175260"/>
                      <wp:effectExtent l="0" t="0" r="0" b="0"/>
                      <wp:wrapNone/>
                      <wp:docPr id="126" name="Frame125"/>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8310" cy="175260"/>
                      <wp:effectExtent l="0" t="0" r="0" b="0"/>
                      <wp:wrapNone/>
                      <wp:docPr id="128" name="Frame12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37845" cy="175260"/>
                      <wp:effectExtent l="0" t="0" r="0" b="0"/>
                      <wp:wrapNone/>
                      <wp:docPr id="130" name="Frame12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8655" cy="175260"/>
                      <wp:effectExtent l="0" t="0" r="0" b="0"/>
                      <wp:wrapNone/>
                      <wp:docPr id="132" name="Frame13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1150"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9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150"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both"/>
              <w:rPr/>
            </w:pPr>
            <w:r>
              <w:rPr/>
              <w:t>​</w:t>
            </w:r>
          </w:p>
        </w:tc>
        <w:tc>
          <w:tcPr>
            <w:tcW w:w="94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150"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1"/>
              <w:ind w:left="0" w:right="0" w:hanging="0"/>
              <w:jc w:val="both"/>
              <w:rPr/>
            </w:pPr>
            <w:r>
              <w:rPr/>
              <w:t>​</w:t>
            </w:r>
          </w:p>
        </w:tc>
        <w:tc>
          <w:tcPr>
            <w:tcW w:w="94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both"/>
              <w:rPr/>
            </w:pPr>
            <w:r>
              <w:rPr/>
              <w:t>​</w:t>
            </w:r>
          </w:p>
        </w:tc>
        <w:tc>
          <w:tcPr>
            <w:tcW w:w="10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both"/>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w:t>
            </w:r>
          </w:p>
        </w:tc>
        <w:tc>
          <w:tcPr>
            <w:tcW w:w="326" w:type="dxa"/>
            <w:tcBorders/>
            <w:vAlign w:val="center"/>
          </w:tcPr>
          <w:p>
            <w:pPr>
              <w:pStyle w:val="TableContents"/>
              <w:bidi w:val="0"/>
              <w:spacing w:before="0" w:after="1"/>
              <w:ind w:left="0" w:right="0" w:hanging="0"/>
              <w:jc w:val="both"/>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05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150"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26" w:type="dxa"/>
            <w:tcBorders/>
            <w:vAlign w:val="center"/>
          </w:tcPr>
          <w:p>
            <w:pPr>
              <w:pStyle w:val="TableContents"/>
              <w:bidi w:val="0"/>
              <w:spacing w:before="0" w:after="1"/>
              <w:ind w:left="0" w:right="0" w:hanging="0"/>
              <w:jc w:val="both"/>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1"/>
              <w:ind w:left="0" w:right="0" w:hanging="0"/>
              <w:jc w:val="both"/>
              <w:rPr/>
            </w:pPr>
            <w:r>
              <w:rPr/>
              <w:t>    </w:t>
            </w:r>
          </w:p>
        </w:tc>
        <w:tc>
          <w:tcPr>
            <w:tcW w:w="9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both"/>
              <w:rPr/>
            </w:pPr>
            <w:r>
              <w:rPr/>
              <w:t>    </w:t>
            </w:r>
          </w:p>
        </w:tc>
        <w:tc>
          <w:tcPr>
            <w:tcW w:w="10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both"/>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26" w:type="dxa"/>
            <w:tcBorders/>
            <w:vAlign w:val="center"/>
          </w:tcPr>
          <w:p>
            <w:pPr>
              <w:pStyle w:val="TableContents"/>
              <w:bidi w:val="0"/>
              <w:spacing w:before="0" w:after="1"/>
              <w:ind w:left="0" w:right="0" w:hanging="0"/>
              <w:jc w:val="both"/>
              <w:rPr/>
            </w:pPr>
            <w:r>
              <w:rPr/>
              <w:t>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50"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Private placement warrants</w:t>
            </w:r>
          </w:p>
        </w:tc>
        <w:tc>
          <w:tcPr>
            <w:tcW w:w="326" w:type="dxa"/>
            <w:tcBorders/>
            <w:shd w:fill="CCEEFF" w:val="clear"/>
            <w:vAlign w:val="center"/>
          </w:tcPr>
          <w:p>
            <w:pPr>
              <w:pStyle w:val="TableContents"/>
              <w:bidi w:val="0"/>
              <w:spacing w:before="0" w:after="1"/>
              <w:ind w:left="0" w:right="0" w:hanging="0"/>
              <w:jc w:val="both"/>
              <w:rPr/>
            </w:pPr>
            <w:r>
              <w:rPr/>
              <w:t> </w:t>
            </w:r>
          </w:p>
        </w:tc>
        <w:tc>
          <w:tcPr>
            <w:tcW w:w="138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before="0" w:after="1"/>
              <w:ind w:left="0" w:right="0" w:hanging="0"/>
              <w:jc w:val="both"/>
              <w:rPr/>
            </w:pPr>
            <w:r>
              <w:rPr/>
              <w:t> </w:t>
            </w:r>
          </w:p>
        </w:tc>
        <w:tc>
          <w:tcPr>
            <w:tcW w:w="94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21, 2030</w:t>
            </w:r>
          </w:p>
        </w:tc>
        <w:tc>
          <w:tcPr>
            <w:tcW w:w="326" w:type="dxa"/>
            <w:tcBorders/>
            <w:shd w:fill="CCEEFF" w:val="clear"/>
            <w:vAlign w:val="center"/>
          </w:tcPr>
          <w:p>
            <w:pPr>
              <w:pStyle w:val="TableContents"/>
              <w:bidi w:val="0"/>
              <w:spacing w:before="0" w:after="1"/>
              <w:ind w:left="0" w:right="0" w:hanging="0"/>
              <w:jc w:val="both"/>
              <w:rPr/>
            </w:pPr>
            <w:r>
              <w:rPr/>
              <w:t> </w:t>
            </w:r>
          </w:p>
        </w:tc>
        <w:tc>
          <w:tcPr>
            <w:tcW w:w="10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c>
          <w:tcPr>
            <w:tcW w:w="326" w:type="dxa"/>
            <w:tcBorders/>
            <w:shd w:fill="CCEEFF" w:val="clear"/>
            <w:vAlign w:val="center"/>
          </w:tcPr>
          <w:p>
            <w:pPr>
              <w:pStyle w:val="TableContents"/>
              <w:bidi w:val="0"/>
              <w:spacing w:before="0" w:after="1"/>
              <w:ind w:left="0" w:right="0" w:hanging="0"/>
              <w:jc w:val="both"/>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10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r>
      <w:tr>
        <w:trPr/>
        <w:tc>
          <w:tcPr>
            <w:tcW w:w="1150"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Pre-funded warrants</w:t>
            </w:r>
          </w:p>
        </w:tc>
        <w:tc>
          <w:tcPr>
            <w:tcW w:w="326" w:type="dxa"/>
            <w:tcBorders/>
            <w:vAlign w:val="center"/>
          </w:tcPr>
          <w:p>
            <w:pPr>
              <w:pStyle w:val="TableContents"/>
              <w:bidi w:val="0"/>
              <w:spacing w:before="0" w:after="1"/>
              <w:ind w:left="0" w:right="0" w:hanging="0"/>
              <w:jc w:val="both"/>
              <w:rPr/>
            </w:pPr>
            <w:r>
              <w:rPr/>
              <w:t> </w:t>
            </w:r>
          </w:p>
        </w:tc>
        <w:tc>
          <w:tcPr>
            <w:tcW w:w="138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December 2024</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0.001</w:t>
            </w:r>
          </w:p>
        </w:tc>
        <w:tc>
          <w:tcPr>
            <w:tcW w:w="326" w:type="dxa"/>
            <w:tcBorders/>
            <w:vAlign w:val="center"/>
          </w:tcPr>
          <w:p>
            <w:pPr>
              <w:pStyle w:val="TableContents"/>
              <w:bidi w:val="0"/>
              <w:spacing w:before="0" w:after="1"/>
              <w:ind w:left="0" w:right="0" w:hanging="0"/>
              <w:jc w:val="both"/>
              <w:rPr/>
            </w:pPr>
            <w:r>
              <w:rPr/>
              <w:t> </w:t>
            </w:r>
          </w:p>
        </w:tc>
        <w:tc>
          <w:tcPr>
            <w:tcW w:w="94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21, 2030</w:t>
            </w:r>
          </w:p>
        </w:tc>
        <w:tc>
          <w:tcPr>
            <w:tcW w:w="326" w:type="dxa"/>
            <w:tcBorders/>
            <w:vAlign w:val="center"/>
          </w:tcPr>
          <w:p>
            <w:pPr>
              <w:pStyle w:val="TableContents"/>
              <w:bidi w:val="0"/>
              <w:spacing w:before="0" w:after="1"/>
              <w:ind w:left="0" w:right="0" w:hanging="0"/>
              <w:jc w:val="both"/>
              <w:rPr/>
            </w:pPr>
            <w:r>
              <w:rPr/>
              <w:t> </w:t>
            </w:r>
          </w:p>
        </w:tc>
        <w:tc>
          <w:tcPr>
            <w:tcW w:w="10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3,247,445</w:t>
            </w:r>
          </w:p>
        </w:tc>
        <w:tc>
          <w:tcPr>
            <w:tcW w:w="326" w:type="dxa"/>
            <w:tcBorders/>
            <w:vAlign w:val="center"/>
          </w:tcPr>
          <w:p>
            <w:pPr>
              <w:pStyle w:val="TableContents"/>
              <w:bidi w:val="0"/>
              <w:spacing w:before="0" w:after="1"/>
              <w:ind w:left="0" w:right="0" w:hanging="0"/>
              <w:jc w:val="both"/>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 </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(605,830)</w:t>
            </w:r>
          </w:p>
        </w:tc>
        <w:tc>
          <w:tcPr>
            <w:tcW w:w="326" w:type="dxa"/>
            <w:tcBorders/>
            <w:vAlign w:val="center"/>
          </w:tcPr>
          <w:p>
            <w:pPr>
              <w:pStyle w:val="TableContents"/>
              <w:bidi w:val="0"/>
              <w:spacing w:before="0" w:after="1"/>
              <w:ind w:left="0" w:right="0" w:hanging="0"/>
              <w:jc w:val="both"/>
              <w:rPr/>
            </w:pPr>
            <w:r>
              <w:rPr/>
              <w:t> </w:t>
            </w:r>
          </w:p>
        </w:tc>
        <w:tc>
          <w:tcPr>
            <w:tcW w:w="10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2,641,615</w:t>
            </w:r>
          </w:p>
        </w:tc>
      </w:tr>
      <w:tr>
        <w:trPr/>
        <w:tc>
          <w:tcPr>
            <w:tcW w:w="1150"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38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571"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943" w:type="dxa"/>
            <w:tcBorders/>
            <w:shd w:fill="CCEEFF" w:val="clear"/>
            <w:vAlign w:val="center"/>
          </w:tcPr>
          <w:p>
            <w:pPr>
              <w:pStyle w:val="TableContents"/>
              <w:bidi w:val="0"/>
              <w:spacing w:before="0" w:after="1"/>
              <w:ind w:left="0" w:right="0" w:hanging="0"/>
              <w:jc w:val="both"/>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8,278,695</w:t>
            </w:r>
          </w:p>
        </w:tc>
        <w:tc>
          <w:tcPr>
            <w:tcW w:w="326" w:type="dxa"/>
            <w:tcBorders/>
            <w:shd w:fill="CCEEFF" w:val="clear"/>
            <w:vAlign w:val="center"/>
          </w:tcPr>
          <w:p>
            <w:pPr>
              <w:pStyle w:val="TableContents"/>
              <w:bidi w:val="0"/>
              <w:spacing w:before="0" w:after="1"/>
              <w:ind w:left="0" w:right="0" w:hanging="0"/>
              <w:jc w:val="both"/>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(605,830)</w:t>
            </w:r>
          </w:p>
        </w:tc>
        <w:tc>
          <w:tcPr>
            <w:tcW w:w="326" w:type="dxa"/>
            <w:tcBorders/>
            <w:shd w:fill="CCEEFF" w:val="clear"/>
            <w:vAlign w:val="center"/>
          </w:tcPr>
          <w:p>
            <w:pPr>
              <w:pStyle w:val="TableContents"/>
              <w:bidi w:val="0"/>
              <w:spacing w:before="0" w:after="1"/>
              <w:ind w:left="0" w:right="0" w:hanging="0"/>
              <w:jc w:val="both"/>
              <w:rPr/>
            </w:pPr>
            <w:r>
              <w:rPr/>
              <w:t> </w:t>
            </w:r>
          </w:p>
        </w:tc>
        <w:tc>
          <w:tcPr>
            <w:tcW w:w="10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7,672,865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2025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12, 2025, pursuant to the Company’s 2020 Equity Incentive Plan,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bookmarkStart w:id="622" w:name="Tc_ADGflap4L0KeFeLjlX_7Gw_7_11"/>
      <w:bookmarkStart w:id="623" w:name="Tc_zkjQUfWGfEiL_yqDnNA-Nw_7_8"/>
      <w:bookmarkStart w:id="624" w:name="Tc_et7I9W0SF0Gay7auWkFYSQ_7_5"/>
      <w:bookmarkStart w:id="625" w:name="Tc_ko-f_nOT70eeZ3mJnML8Zw_7_2"/>
      <w:bookmarkStart w:id="626" w:name="Tc_lVhSmqI6okSlxQ2IwxRBEw_7_0"/>
      <w:bookmarkStart w:id="627" w:name="Tc_H2VsVT9XoEis-Ifbc3-XdQ_6_0"/>
      <w:bookmarkStart w:id="628" w:name="Tc_SYfSdflb4UiPpb_le_XI6w_5_11"/>
      <w:bookmarkStart w:id="629" w:name="Tc_6BdX-Z51cUSIG5nVIF3mmQ_5_8"/>
      <w:bookmarkStart w:id="630" w:name="Tc_dt5yTnuEYESTMRIH3Qou6A_5_5"/>
      <w:bookmarkStart w:id="631" w:name="Tc_BUtZJrvXBEy3PV_CH1Mzow_5_2"/>
      <w:bookmarkStart w:id="632" w:name="Tc_eFMhLd9aRUOHbc2T2f5MvA_5_0"/>
      <w:bookmarkStart w:id="633" w:name="Tc_c4-QnAEJxU6u3ou61SinQg_4_0"/>
      <w:bookmarkStart w:id="634" w:name="Tc_dI1tJ1OlVki0AzZVLFHq2w_3_11"/>
      <w:bookmarkStart w:id="635" w:name="Tc_PpDQmtev6kat7Q8RdXYNWQ_3_8"/>
      <w:bookmarkStart w:id="636" w:name="Tc_nfWn-RHwKUGhQ7c0a4pFag_3_5"/>
      <w:bookmarkStart w:id="637" w:name="Tc_FAsvrZ6Cek6uH72c9DOz3g_3_2"/>
      <w:bookmarkStart w:id="638" w:name="Tc_ErAJvbYNCUCec9vDgF85gA_2_8"/>
      <w:bookmarkStart w:id="639" w:name="Tc_5F2-T8AF5UeGqLlpKcD-pA_2_2"/>
      <w:bookmarkStart w:id="640" w:name="Tc_xAnkje1nP0eHVymQRbgxCw_1_8"/>
      <w:bookmarkStart w:id="641" w:name="Tc_W9HE1hbD0UCGnWbu6i6D3g_1_2"/>
      <w:bookmarkStart w:id="642" w:name="Tc_EBCKqUmJF0-7QieNuorZ2w_7_4"/>
      <w:bookmarkStart w:id="643" w:name="Tc_QWuqhnwpj0KRg8gJCJ7_Ew_7_0"/>
      <w:bookmarkStart w:id="644" w:name="Tc_oQ7eO1hbgEitwYjOyxnx4g_6_4"/>
      <w:bookmarkStart w:id="645" w:name="Tc_Xek_Q4GTz06026fH0dGMGg_6_0"/>
      <w:bookmarkStart w:id="646" w:name="Tc_Zy-d6LmnV0-v82aN4hDg6Q_5_4"/>
      <w:bookmarkStart w:id="647" w:name="Tc_IO9oFwg9vEWX6AiI6vaZxg_5_0"/>
      <w:bookmarkStart w:id="648" w:name="Tc_X8SAY1Bn3UOuCl7iOhqTwQ_4_0"/>
      <w:bookmarkStart w:id="649" w:name="Tc_17K4qnd6kUOT6yYXB79HBQ_3_2"/>
      <w:bookmarkStart w:id="650" w:name="Tc_8_ql-Tj7kkqbs0BshN6l7Q_3_0"/>
      <w:bookmarkStart w:id="651" w:name="Tc_FMm1qjdXL02eQjFrtXZ_tA_2_2"/>
      <w:bookmarkStart w:id="652" w:name="Tc_IfKJGDBAVE2btpE4T0lMqw_1_2"/>
      <w:bookmarkStart w:id="653" w:name="Tc_uGT5hBs46UmGORwxoR-TMA_9_7"/>
      <w:bookmarkStart w:id="654" w:name="Tc_kAscp3k_WkmtTaP6mmf3OQ_9_4"/>
      <w:bookmarkStart w:id="655" w:name="Tc_B-DBUz0mOEucEfUcO_8qBA_9_0"/>
      <w:bookmarkStart w:id="656" w:name="Tc_VCsyEaTPr0KJAsPsEPI1_Q_8_7"/>
      <w:bookmarkStart w:id="657" w:name="Tc_YwagJzju40SxcA51NxW8Tw_8_4"/>
      <w:bookmarkStart w:id="658" w:name="Tc_sNWIalULYUOSsQB2GlgjTA_8_0"/>
      <w:bookmarkStart w:id="659" w:name="Tc_a6Uh3ulGFEafjxxNxRmUBg_7_10"/>
      <w:bookmarkStart w:id="660" w:name="Tc_HWKlOqJ8VEG0lkT3mW0IAQ_7_8"/>
      <w:bookmarkStart w:id="661" w:name="Tc_acYfgt-uwUm3jFj4wYKxRg_7_0"/>
      <w:bookmarkStart w:id="662" w:name="Tc_kDxqttDk60OTbrSRVzI3Rg_6_10"/>
      <w:bookmarkStart w:id="663" w:name="Tc_LHCeVDri7kiKqT1_QULp8A_6_8"/>
      <w:bookmarkStart w:id="664" w:name="Tc_4SYYHrDevEuDXwgdn_p3UQ_6_0"/>
      <w:bookmarkStart w:id="665" w:name="Tc_cCbc6KOW40q1RLSF9rwG5Q_5_7"/>
      <w:bookmarkStart w:id="666" w:name="Tc_0zbNORFzQ0aQafEN3j6azQ_5_4"/>
      <w:bookmarkStart w:id="667" w:name="Tc_76sNgnH3Okex6DWlZM7UHw_5_0"/>
      <w:bookmarkStart w:id="668" w:name="Tc_xfbP8RWwR0She8eiAlxjYg_4_10"/>
      <w:bookmarkStart w:id="669" w:name="Tc_Sa0GC-hkL0WHWwTrqcikHg_4_7"/>
      <w:bookmarkStart w:id="670" w:name="Tc_xSOw9Os92EmQr6r8u86Dag_4_4"/>
      <w:bookmarkStart w:id="671" w:name="Tc_NjMQbmkRWk-JRqvA7P2GXw_4_2"/>
      <w:bookmarkStart w:id="672" w:name="Tc_-1P1ABlBA0e_cEuIVSqZsw_3_10"/>
      <w:bookmarkStart w:id="673" w:name="Tc_S6ILmbF-_06bUYLtA21I0g_3_4"/>
      <w:bookmarkStart w:id="674" w:name="Tc_dAPc4h1Sq0utKC0rILPbxg_2_10"/>
      <w:bookmarkStart w:id="675" w:name="Tc_cYDcd_XiHkKcfcU3wDC8ag_1_10"/>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sz w:val="20"/>
        </w:rPr>
        <w:t>A summary of the Company’s stock option activity for the six months ended June 30, 2025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66"/>
        <w:gridCol w:w="326"/>
        <w:gridCol w:w="1411"/>
        <w:gridCol w:w="326"/>
        <w:gridCol w:w="405"/>
        <w:gridCol w:w="1096"/>
        <w:gridCol w:w="326"/>
        <w:gridCol w:w="323"/>
        <w:gridCol w:w="1198"/>
        <w:gridCol w:w="326"/>
        <w:gridCol w:w="1502"/>
      </w:tblGrid>
      <w:tr>
        <w:trPr/>
        <w:tc>
          <w:tcPr>
            <w:tcW w:w="2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883410" cy="175260"/>
                      <wp:effectExtent l="0" t="0" r="0" b="0"/>
                      <wp:wrapNone/>
                      <wp:docPr id="133" name="Frame132"/>
                      <a:graphic xmlns:a="http://schemas.openxmlformats.org/drawingml/2006/main">
                        <a:graphicData uri="http://schemas.microsoft.com/office/word/2010/wordprocessingShape">
                          <wps:wsp>
                            <wps:cNvSpPr txBox="1"/>
                            <wps:spPr>
                              <a:xfrm>
                                <a:off x="0" y="0"/>
                                <a:ext cx="18834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95985" cy="175260"/>
                      <wp:effectExtent l="0" t="0" r="0" b="0"/>
                      <wp:wrapNone/>
                      <wp:docPr id="135" name="Frame134"/>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57175" cy="175260"/>
                      <wp:effectExtent l="0" t="0" r="0" b="0"/>
                      <wp:wrapNone/>
                      <wp:docPr id="137" name="Frame13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5960" cy="175260"/>
                      <wp:effectExtent l="0" t="0" r="0" b="0"/>
                      <wp:wrapNone/>
                      <wp:docPr id="138" name="Frame1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5105" cy="175260"/>
                      <wp:effectExtent l="0" t="0" r="0" b="0"/>
                      <wp:wrapNone/>
                      <wp:docPr id="140" name="Frame13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60730" cy="175260"/>
                      <wp:effectExtent l="0" t="0" r="0" b="0"/>
                      <wp:wrapNone/>
                      <wp:docPr id="141" name="Frame140"/>
                      <a:graphic xmlns:a="http://schemas.openxmlformats.org/drawingml/2006/main">
                        <a:graphicData uri="http://schemas.microsoft.com/office/word/2010/wordprocessingShape">
                          <wps:wsp>
                            <wps:cNvSpPr txBox="1"/>
                            <wps:spPr>
                              <a:xfrm>
                                <a:off x="0" y="0"/>
                                <a:ext cx="76073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53770" cy="175260"/>
                      <wp:effectExtent l="0" t="0" r="0" b="0"/>
                      <wp:wrapNone/>
                      <wp:docPr id="143" name="Frame142"/>
                      <a:graphic xmlns:a="http://schemas.openxmlformats.org/drawingml/2006/main">
                        <a:graphicData uri="http://schemas.microsoft.com/office/word/2010/wordprocessingShape">
                          <wps:wsp>
                            <wps:cNvSpPr txBox="1"/>
                            <wps:spPr>
                              <a:xfrm>
                                <a:off x="0" y="0"/>
                                <a:ext cx="95377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9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3" w:type="dxa"/>
            <w:tcBorders/>
            <w:vAlign w:val="center"/>
          </w:tcPr>
          <w:p>
            <w:pPr>
              <w:pStyle w:val="TableContents"/>
              <w:bidi w:val="0"/>
              <w:spacing w:before="0" w:after="1"/>
              <w:ind w:left="0" w:right="0" w:hanging="0"/>
              <w:jc w:val="both"/>
              <w:rPr/>
            </w:pPr>
            <w:r>
              <w:rPr/>
              <w:t>​</w:t>
            </w:r>
          </w:p>
        </w:tc>
        <w:tc>
          <w:tcPr>
            <w:tcW w:w="11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    </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3" w:type="dxa"/>
            <w:tcBorders/>
            <w:vAlign w:val="center"/>
          </w:tcPr>
          <w:p>
            <w:pPr>
              <w:pStyle w:val="TableContents"/>
              <w:bidi w:val="0"/>
              <w:spacing w:before="0" w:after="1"/>
              <w:ind w:left="0" w:right="0" w:hanging="0"/>
              <w:jc w:val="both"/>
              <w:rPr/>
            </w:pPr>
            <w:r>
              <w:rPr/>
              <w:t>​</w:t>
            </w:r>
          </w:p>
        </w:tc>
        <w:tc>
          <w:tcPr>
            <w:tcW w:w="119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9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both"/>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w:t>
            </w:r>
          </w:p>
        </w:tc>
        <w:tc>
          <w:tcPr>
            <w:tcW w:w="323" w:type="dxa"/>
            <w:tcBorders/>
            <w:vAlign w:val="center"/>
          </w:tcPr>
          <w:p>
            <w:pPr>
              <w:pStyle w:val="TableContents"/>
              <w:bidi w:val="0"/>
              <w:spacing w:before="0" w:after="1"/>
              <w:ind w:left="0" w:right="0" w:hanging="0"/>
              <w:jc w:val="both"/>
              <w:rPr/>
            </w:pPr>
            <w:r>
              <w:rPr/>
              <w:t>​</w:t>
            </w:r>
          </w:p>
        </w:tc>
        <w:tc>
          <w:tcPr>
            <w:tcW w:w="1198"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96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both"/>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1"/>
              <w:ind w:left="0" w:right="0" w:hanging="0"/>
              <w:jc w:val="both"/>
              <w:rPr/>
            </w:pPr>
            <w:r>
              <w:rPr/>
              <w:t>    </w:t>
            </w:r>
          </w:p>
        </w:tc>
        <w:tc>
          <w:tcPr>
            <w:tcW w:w="15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26" w:type="dxa"/>
            <w:tcBorders/>
            <w:vAlign w:val="center"/>
          </w:tcPr>
          <w:p>
            <w:pPr>
              <w:pStyle w:val="TableContents"/>
              <w:bidi w:val="0"/>
              <w:spacing w:before="0" w:after="1"/>
              <w:ind w:left="0" w:right="0" w:hanging="0"/>
              <w:jc w:val="both"/>
              <w:rPr/>
            </w:pPr>
            <w:r>
              <w:rPr/>
              <w:t>    </w:t>
            </w:r>
          </w:p>
        </w:tc>
        <w:tc>
          <w:tcPr>
            <w:tcW w:w="15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9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December 31, 2024</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587,704</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26" w:type="dxa"/>
            <w:tcBorders/>
            <w:shd w:fill="CCEEFF" w:val="clear"/>
            <w:vAlign w:val="center"/>
          </w:tcPr>
          <w:p>
            <w:pPr>
              <w:pStyle w:val="TableContents"/>
              <w:bidi w:val="0"/>
              <w:spacing w:before="0" w:after="1"/>
              <w:ind w:left="0" w:right="0" w:hanging="0"/>
              <w:jc w:val="right"/>
              <w:rPr/>
            </w:pPr>
            <w:r>
              <w:rPr/>
              <w:t>​</w:t>
            </w:r>
          </w:p>
        </w:tc>
        <w:tc>
          <w:tcPr>
            <w:tcW w:w="32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378,000</w:t>
            </w:r>
          </w:p>
        </w:tc>
        <w:tc>
          <w:tcPr>
            <w:tcW w:w="326" w:type="dxa"/>
            <w:tcBorders/>
            <w:shd w:fill="CCEEFF" w:val="clear"/>
            <w:vAlign w:val="center"/>
          </w:tcPr>
          <w:p>
            <w:pPr>
              <w:pStyle w:val="TableContents"/>
              <w:bidi w:val="0"/>
              <w:spacing w:before="0" w:after="1"/>
              <w:ind w:left="0" w:right="0" w:hanging="0"/>
              <w:jc w:val="both"/>
              <w:rPr/>
            </w:pPr>
            <w:r>
              <w:rPr/>
              <w:t>​</w:t>
            </w:r>
          </w:p>
        </w:tc>
        <w:tc>
          <w:tcPr>
            <w:tcW w:w="15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9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both"/>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w:t>
            </w:r>
          </w:p>
        </w:tc>
        <w:tc>
          <w:tcPr>
            <w:tcW w:w="326" w:type="dxa"/>
            <w:tcBorders/>
            <w:vAlign w:val="center"/>
          </w:tcPr>
          <w:p>
            <w:pPr>
              <w:pStyle w:val="TableContents"/>
              <w:bidi w:val="0"/>
              <w:spacing w:before="0" w:after="1"/>
              <w:ind w:left="0" w:right="0" w:hanging="0"/>
              <w:jc w:val="both"/>
              <w:rPr/>
            </w:pPr>
            <w:r>
              <w:rPr/>
              <w:t>​</w:t>
            </w:r>
          </w:p>
        </w:tc>
        <w:tc>
          <w:tcPr>
            <w:tcW w:w="405" w:type="dxa"/>
            <w:tcBorders/>
            <w:vAlign w:val="center"/>
          </w:tcPr>
          <w:p>
            <w:pPr>
              <w:pStyle w:val="TableContents"/>
              <w:bidi w:val="0"/>
              <w:spacing w:before="0" w:after="1"/>
              <w:ind w:left="0" w:right="0" w:hanging="0"/>
              <w:jc w:val="both"/>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vAlign w:val="center"/>
          </w:tcPr>
          <w:p>
            <w:pPr>
              <w:pStyle w:val="TableContents"/>
              <w:bidi w:val="0"/>
              <w:spacing w:before="0" w:after="1"/>
              <w:ind w:left="0" w:right="0" w:hanging="0"/>
              <w:jc w:val="right"/>
              <w:rPr/>
            </w:pPr>
            <w:r>
              <w:rPr/>
              <w:t>​</w:t>
            </w:r>
          </w:p>
        </w:tc>
        <w:tc>
          <w:tcPr>
            <w:tcW w:w="323" w:type="dxa"/>
            <w:tcBorders/>
            <w:vAlign w:val="center"/>
          </w:tcPr>
          <w:p>
            <w:pPr>
              <w:pStyle w:val="TableContents"/>
              <w:bidi w:val="0"/>
              <w:spacing w:before="0" w:after="1"/>
              <w:ind w:left="0" w:right="0" w:hanging="0"/>
              <w:jc w:val="both"/>
              <w:rPr/>
            </w:pPr>
            <w:r>
              <w:rPr/>
              <w:t>​</w:t>
            </w:r>
          </w:p>
        </w:tc>
        <w:tc>
          <w:tcPr>
            <w:tcW w:w="119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both"/>
              <w:rPr/>
            </w:pPr>
            <w:r>
              <w:rPr/>
              <w:t>​</w:t>
            </w:r>
          </w:p>
        </w:tc>
        <w:tc>
          <w:tcPr>
            <w:tcW w:w="1502" w:type="dxa"/>
            <w:tcBorders/>
            <w:vAlign w:val="center"/>
          </w:tcPr>
          <w:p>
            <w:pPr>
              <w:pStyle w:val="TableContents"/>
              <w:bidi w:val="0"/>
              <w:spacing w:before="0" w:after="1"/>
              <w:ind w:left="0" w:right="0" w:hanging="0"/>
              <w:jc w:val="right"/>
              <w:rPr/>
            </w:pPr>
            <w:r>
              <w:rPr/>
              <w:t>—</w:t>
            </w:r>
          </w:p>
        </w:tc>
      </w:tr>
      <w:tr>
        <w:trPr/>
        <w:tc>
          <w:tcPr>
            <w:tcW w:w="29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(18,443)</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shd w:fill="CCEEFF" w:val="clear"/>
            <w:vAlign w:val="center"/>
          </w:tcPr>
          <w:p>
            <w:pPr>
              <w:pStyle w:val="TableContents"/>
              <w:bidi w:val="0"/>
              <w:spacing w:before="0" w:after="1"/>
              <w:ind w:left="0" w:right="0" w:hanging="0"/>
              <w:jc w:val="righ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1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15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June 30, 2025</w:t>
            </w:r>
          </w:p>
        </w:tc>
        <w:tc>
          <w:tcPr>
            <w:tcW w:w="326" w:type="dxa"/>
            <w:tcBorders/>
            <w:vAlign w:val="center"/>
          </w:tcPr>
          <w:p>
            <w:pPr>
              <w:pStyle w:val="TableContents"/>
              <w:bidi w:val="0"/>
              <w:spacing w:before="0" w:after="1"/>
              <w:ind w:left="0" w:right="0" w:hanging="0"/>
              <w:jc w:val="both"/>
              <w:rPr/>
            </w:pPr>
            <w:r>
              <w:rPr/>
              <w:t> </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709,261</w:t>
            </w:r>
          </w:p>
        </w:tc>
        <w:tc>
          <w:tcPr>
            <w:tcW w:w="326" w:type="dxa"/>
            <w:tcBorders/>
            <w:vAlign w:val="center"/>
          </w:tcPr>
          <w:p>
            <w:pPr>
              <w:pStyle w:val="TableContents"/>
              <w:bidi w:val="0"/>
              <w:spacing w:before="0" w:after="1"/>
              <w:ind w:left="0" w:right="0" w:hanging="0"/>
              <w:jc w:val="both"/>
              <w:rPr/>
            </w:pPr>
            <w:r>
              <w:rPr/>
              <w:t>​</w:t>
            </w:r>
          </w:p>
        </w:tc>
        <w:tc>
          <w:tcPr>
            <w:tcW w:w="405"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19.04</w:t>
            </w:r>
          </w:p>
        </w:tc>
        <w:tc>
          <w:tcPr>
            <w:tcW w:w="326" w:type="dxa"/>
            <w:tcBorders/>
            <w:vAlign w:val="center"/>
          </w:tcPr>
          <w:p>
            <w:pPr>
              <w:pStyle w:val="TableContents"/>
              <w:bidi w:val="0"/>
              <w:spacing w:before="0" w:after="1"/>
              <w:ind w:left="0" w:right="0" w:hanging="0"/>
              <w:jc w:val="right"/>
              <w:rPr/>
            </w:pPr>
            <w:r>
              <w:rPr/>
              <w:t>​</w:t>
            </w:r>
          </w:p>
        </w:tc>
        <w:tc>
          <w:tcPr>
            <w:tcW w:w="323"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11,000</w:t>
            </w:r>
          </w:p>
        </w:tc>
        <w:tc>
          <w:tcPr>
            <w:tcW w:w="326" w:type="dxa"/>
            <w:tcBorders/>
            <w:vAlign w:val="center"/>
          </w:tcPr>
          <w:p>
            <w:pPr>
              <w:pStyle w:val="TableContents"/>
              <w:bidi w:val="0"/>
              <w:spacing w:before="0" w:after="1"/>
              <w:ind w:left="0" w:right="0" w:hanging="0"/>
              <w:jc w:val="both"/>
              <w:rPr/>
            </w:pPr>
            <w:r>
              <w:rPr/>
              <w:t>​</w:t>
            </w:r>
          </w:p>
        </w:tc>
        <w:tc>
          <w:tcPr>
            <w:tcW w:w="15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9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bidi w:val="0"/>
              <w:spacing w:before="0" w:after="1"/>
              <w:ind w:left="0" w:right="0" w:hanging="0"/>
              <w:jc w:val="both"/>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433,178</w:t>
            </w:r>
          </w:p>
        </w:tc>
        <w:tc>
          <w:tcPr>
            <w:tcW w:w="326" w:type="dxa"/>
            <w:tcBorders/>
            <w:shd w:fill="CCEEFF" w:val="clear"/>
            <w:vAlign w:val="center"/>
          </w:tcPr>
          <w:p>
            <w:pPr>
              <w:pStyle w:val="TableContents"/>
              <w:bidi w:val="0"/>
              <w:spacing w:before="0" w:after="1"/>
              <w:ind w:left="0" w:right="0" w:hanging="0"/>
              <w:jc w:val="both"/>
              <w:rPr/>
            </w:pPr>
            <w:r>
              <w:rPr/>
              <w:t>​</w:t>
            </w:r>
          </w:p>
        </w:tc>
        <w:tc>
          <w:tcPr>
            <w:tcW w:w="405"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w:t>
            </w:r>
          </w:p>
        </w:tc>
        <w:tc>
          <w:tcPr>
            <w:tcW w:w="326" w:type="dxa"/>
            <w:tcBorders/>
            <w:shd w:fill="CCEEFF" w:val="clear"/>
            <w:vAlign w:val="center"/>
          </w:tcPr>
          <w:p>
            <w:pPr>
              <w:pStyle w:val="TableContents"/>
              <w:bidi w:val="0"/>
              <w:spacing w:before="0" w:after="1"/>
              <w:ind w:left="0" w:right="0" w:hanging="0"/>
              <w:jc w:val="right"/>
              <w:rPr/>
            </w:pPr>
            <w:r>
              <w:rPr/>
              <w:t>​</w:t>
            </w:r>
          </w:p>
        </w:tc>
        <w:tc>
          <w:tcPr>
            <w:tcW w:w="323"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shd w:fill="CCEEFF" w:val="clear"/>
            <w:vAlign w:val="center"/>
          </w:tcPr>
          <w:p>
            <w:pPr>
              <w:pStyle w:val="TableContents"/>
              <w:bidi w:val="0"/>
              <w:spacing w:before="0" w:after="1"/>
              <w:ind w:left="0" w:right="0" w:hanging="0"/>
              <w:jc w:val="both"/>
              <w:rPr/>
            </w:pPr>
            <w:r>
              <w:rPr/>
              <w:t>​</w:t>
            </w:r>
          </w:p>
        </w:tc>
        <w:tc>
          <w:tcPr>
            <w:tcW w:w="150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six months ended June 30, 2025 were as follows:</w:t>
      </w:r>
    </w:p>
    <w:p>
      <w:pPr>
        <w:pStyle w:val="TextBody"/>
        <w:bidi w:val="0"/>
        <w:spacing w:before="0" w:after="240"/>
        <w:ind w:left="0" w:right="0" w:hanging="0"/>
        <w:jc w:val="left"/>
        <w:rPr/>
      </w:pPr>
      <w:r>
        <w:rPr/>
        <w:t>​</w:t>
      </w:r>
    </w:p>
    <w:tbl>
      <w:tblPr>
        <w:tblW w:w="4888" w:type="dxa"/>
        <w:jc w:val="left"/>
        <w:tblInd w:w="0" w:type="dxa"/>
        <w:tblLayout w:type="fixed"/>
        <w:tblCellMar>
          <w:top w:w="0" w:type="dxa"/>
          <w:left w:w="0" w:type="dxa"/>
          <w:bottom w:w="0" w:type="dxa"/>
          <w:right w:w="0" w:type="dxa"/>
        </w:tblCellMar>
      </w:tblPr>
      <w:tblGrid>
        <w:gridCol w:w="2626"/>
        <w:gridCol w:w="326"/>
        <w:gridCol w:w="504"/>
        <w:gridCol w:w="1116"/>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67510" cy="175260"/>
                      <wp:effectExtent l="0" t="0" r="0" b="0"/>
                      <wp:wrapNone/>
                      <wp:docPr id="144" name="Frame14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20040" cy="175260"/>
                      <wp:effectExtent l="0" t="0" r="0" b="0"/>
                      <wp:wrapNone/>
                      <wp:docPr id="146" name="Frame145"/>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08660" cy="175260"/>
                      <wp:effectExtent l="0" t="0" r="0" b="0"/>
                      <wp:wrapNone/>
                      <wp:docPr id="147" name="Frame146"/>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0660" cy="175260"/>
                      <wp:effectExtent l="0" t="0" r="0" b="0"/>
                      <wp:wrapNone/>
                      <wp:docPr id="148" name="Frame14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6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16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2025</w:t>
            </w:r>
          </w:p>
        </w:tc>
        <w:tc>
          <w:tcPr>
            <w:tcW w:w="316" w:type="dxa"/>
            <w:tcBorders/>
            <w:vAlign w:val="center"/>
          </w:tcPr>
          <w:p>
            <w:pPr>
              <w:pStyle w:val="TableContents"/>
              <w:bidi w:val="0"/>
              <w:spacing w:before="0" w:after="1"/>
              <w:ind w:left="0" w:right="0" w:hanging="0"/>
              <w:jc w:val="center"/>
              <w:rPr/>
            </w:pPr>
            <w:r>
              <w:rPr/>
              <w:t> </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both"/>
              <w:rPr/>
            </w:pPr>
            <w:r>
              <w:rPr/>
              <w:t>​</w:t>
            </w:r>
          </w:p>
        </w:tc>
        <w:tc>
          <w:tcPr>
            <w:tcW w:w="504"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16" w:type="dxa"/>
            <w:tcBorders/>
            <w:shd w:fill="CCEEFF" w:val="clear"/>
            <w:vAlign w:val="center"/>
          </w:tcPr>
          <w:p>
            <w:pPr>
              <w:pStyle w:val="TableContents"/>
              <w:bidi w:val="0"/>
              <w:spacing w:before="0" w:after="1"/>
              <w:ind w:left="0" w:right="0" w:hanging="0"/>
              <w:jc w:val="both"/>
              <w:rPr/>
            </w:pPr>
            <w:r>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26" w:type="dxa"/>
            <w:tcBorders/>
            <w:vAlign w:val="center"/>
          </w:tcPr>
          <w:p>
            <w:pPr>
              <w:pStyle w:val="TableContents"/>
              <w:bidi w:val="0"/>
              <w:spacing w:before="0" w:after="1"/>
              <w:ind w:left="0" w:right="0" w:hanging="0"/>
              <w:jc w:val="both"/>
              <w:rPr/>
            </w:pPr>
            <w:r>
              <w:rPr/>
              <w:t>​</w:t>
            </w:r>
          </w:p>
        </w:tc>
        <w:tc>
          <w:tcPr>
            <w:tcW w:w="504" w:type="dxa"/>
            <w:tcBorders/>
            <w:vAlign w:val="center"/>
          </w:tcPr>
          <w:p>
            <w:pPr>
              <w:pStyle w:val="TableContents"/>
              <w:bidi w:val="0"/>
              <w:spacing w:before="0" w:after="1"/>
              <w:ind w:left="0" w:right="0" w:hanging="0"/>
              <w:jc w:val="both"/>
              <w:rPr/>
            </w:pPr>
            <w:r>
              <w:rPr/>
              <w:t> </w:t>
            </w:r>
          </w:p>
        </w:tc>
        <w:tc>
          <w:tcPr>
            <w:tcW w:w="11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vAlign w:val="center"/>
          </w:tcPr>
          <w:p>
            <w:pPr>
              <w:pStyle w:val="TableContents"/>
              <w:bidi w:val="0"/>
              <w:spacing w:before="0" w:after="1"/>
              <w:ind w:left="0" w:right="0" w:hanging="0"/>
              <w:jc w:val="both"/>
              <w:rPr/>
            </w:pPr>
            <w:r>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bidi w:val="0"/>
              <w:spacing w:before="0" w:after="1"/>
              <w:ind w:left="0" w:right="0" w:hanging="0"/>
              <w:jc w:val="both"/>
              <w:rPr/>
            </w:pPr>
            <w:r>
              <w:rPr/>
              <w:t>​</w:t>
            </w:r>
          </w:p>
        </w:tc>
        <w:tc>
          <w:tcPr>
            <w:tcW w:w="504" w:type="dxa"/>
            <w:tcBorders/>
            <w:shd w:fill="CCEEFF" w:val="clear"/>
            <w:vAlign w:val="center"/>
          </w:tcPr>
          <w:p>
            <w:pPr>
              <w:pStyle w:val="TableContents"/>
              <w:bidi w:val="0"/>
              <w:spacing w:before="0" w:after="1"/>
              <w:ind w:left="0" w:right="0" w:hanging="0"/>
              <w:jc w:val="both"/>
              <w:rPr/>
            </w:pPr>
            <w:r>
              <w:rPr/>
              <w:t> </w:t>
            </w:r>
          </w:p>
        </w:tc>
        <w:tc>
          <w:tcPr>
            <w:tcW w:w="1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26" w:type="dxa"/>
            <w:tcBorders/>
            <w:vAlign w:val="center"/>
          </w:tcPr>
          <w:p>
            <w:pPr>
              <w:pStyle w:val="TableContents"/>
              <w:bidi w:val="0"/>
              <w:spacing w:before="0" w:after="1"/>
              <w:ind w:left="0" w:right="0" w:hanging="0"/>
              <w:jc w:val="both"/>
              <w:rPr/>
            </w:pPr>
            <w:r>
              <w:rPr/>
              <w:t>​</w:t>
            </w:r>
          </w:p>
        </w:tc>
        <w:tc>
          <w:tcPr>
            <w:tcW w:w="504" w:type="dxa"/>
            <w:tcBorders/>
            <w:vAlign w:val="center"/>
          </w:tcPr>
          <w:p>
            <w:pPr>
              <w:pStyle w:val="TableContents"/>
              <w:bidi w:val="0"/>
              <w:spacing w:before="0" w:after="1"/>
              <w:ind w:left="0" w:right="0" w:hanging="0"/>
              <w:jc w:val="both"/>
              <w:rPr/>
            </w:pPr>
            <w:r>
              <w:rPr/>
              <w:t> </w:t>
            </w:r>
          </w:p>
        </w:tc>
        <w:tc>
          <w:tcPr>
            <w:tcW w:w="11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1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bidi w:val="0"/>
              <w:spacing w:before="0" w:after="1"/>
              <w:ind w:left="0" w:right="0" w:hanging="0"/>
              <w:jc w:val="both"/>
              <w:rPr/>
            </w:pPr>
            <w:r>
              <w:rPr/>
              <w:t>​</w:t>
            </w:r>
          </w:p>
        </w:tc>
        <w:tc>
          <w:tcPr>
            <w:tcW w:w="504" w:type="dxa"/>
            <w:tcBorders/>
            <w:shd w:fill="CCEEFF" w:val="clear"/>
            <w:vAlign w:val="center"/>
          </w:tcPr>
          <w:p>
            <w:pPr>
              <w:pStyle w:val="TableContents"/>
              <w:bidi w:val="0"/>
              <w:spacing w:before="0" w:after="1"/>
              <w:ind w:left="0" w:right="0" w:hanging="0"/>
              <w:jc w:val="both"/>
              <w:rPr/>
            </w:pPr>
            <w:r>
              <w:rPr/>
              <w:t> </w:t>
            </w:r>
          </w:p>
        </w:tc>
        <w:tc>
          <w:tcPr>
            <w:tcW w:w="11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bidi w:val="0"/>
        <w:spacing w:before="0" w:after="0"/>
        <w:ind w:left="0" w:right="0" w:hanging="0"/>
        <w:jc w:val="both"/>
        <w:rPr/>
      </w:pPr>
      <w:r>
        <w:rPr/>
        <w:t>​</w:t>
      </w:r>
    </w:p>
    <w:tbl>
      <w:tblPr>
        <w:tblW w:w="8301" w:type="dxa"/>
        <w:jc w:val="left"/>
        <w:tblInd w:w="0" w:type="dxa"/>
        <w:tblLayout w:type="fixed"/>
        <w:tblCellMar>
          <w:top w:w="0" w:type="dxa"/>
          <w:left w:w="0" w:type="dxa"/>
          <w:bottom w:w="0" w:type="dxa"/>
          <w:right w:w="0" w:type="dxa"/>
        </w:tblCellMar>
      </w:tblPr>
      <w:tblGrid>
        <w:gridCol w:w="3001"/>
        <w:gridCol w:w="326"/>
        <w:gridCol w:w="224"/>
        <w:gridCol w:w="719"/>
        <w:gridCol w:w="347"/>
        <w:gridCol w:w="224"/>
        <w:gridCol w:w="719"/>
        <w:gridCol w:w="326"/>
        <w:gridCol w:w="211"/>
        <w:gridCol w:w="781"/>
        <w:gridCol w:w="32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05635" cy="175260"/>
                      <wp:effectExtent l="0" t="0" r="0" b="0"/>
                      <wp:wrapNone/>
                      <wp:docPr id="149" name="Frame148"/>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2240" cy="175260"/>
                      <wp:effectExtent l="0" t="0" r="0" b="0"/>
                      <wp:wrapNone/>
                      <wp:docPr id="151" name="Frame15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56565" cy="175260"/>
                      <wp:effectExtent l="0" t="0" r="0" b="0"/>
                      <wp:wrapNone/>
                      <wp:docPr id="152" name="Frame15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0345" cy="175260"/>
                      <wp:effectExtent l="0" t="0" r="0" b="0"/>
                      <wp:wrapNone/>
                      <wp:docPr id="153" name="Frame15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2240" cy="175260"/>
                      <wp:effectExtent l="0" t="0" r="0" b="0"/>
                      <wp:wrapNone/>
                      <wp:docPr id="154" name="Frame15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56565" cy="175260"/>
                      <wp:effectExtent l="0" t="0" r="0" b="0"/>
                      <wp:wrapNone/>
                      <wp:docPr id="155" name="Frame15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6"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95935" cy="175260"/>
                      <wp:effectExtent l="0" t="0" r="0" b="0"/>
                      <wp:wrapNone/>
                      <wp:docPr id="158" name="Frame1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62610" cy="175260"/>
                      <wp:effectExtent l="0" t="0" r="0" b="0"/>
                      <wp:wrapNone/>
                      <wp:docPr id="161" name="Frame16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223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4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2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0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7" w:type="dxa"/>
            <w:tcBorders/>
            <w:vAlign w:val="center"/>
          </w:tcPr>
          <w:p>
            <w:pPr>
              <w:pStyle w:val="TableContents"/>
              <w:bidi w:val="0"/>
              <w:spacing w:before="0" w:after="1"/>
              <w:ind w:left="0" w:right="0" w:hanging="0"/>
              <w:jc w:val="both"/>
              <w:rPr/>
            </w:pPr>
            <w:r>
              <w:rPr/>
              <w:t>    </w:t>
            </w:r>
          </w:p>
        </w:tc>
        <w:tc>
          <w:tcPr>
            <w:tcW w:w="9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bidi w:val="0"/>
              <w:spacing w:before="0" w:after="1"/>
              <w:ind w:left="0" w:right="0" w:hanging="0"/>
              <w:jc w:val="both"/>
              <w:rPr/>
            </w:pPr>
            <w:r>
              <w:rPr/>
              <w:t> </w:t>
            </w:r>
          </w:p>
        </w:tc>
        <w:tc>
          <w:tcPr>
            <w:tcW w:w="224" w:type="dxa"/>
            <w:tcBorders/>
            <w:shd w:fill="CCEEFF" w:val="clear"/>
            <w:vAlign w:val="center"/>
          </w:tcPr>
          <w:p>
            <w:pPr>
              <w:pStyle w:val="TableContents"/>
              <w:bidi w:val="0"/>
              <w:spacing w:before="0" w:after="1"/>
              <w:ind w:left="0" w:right="0" w:hanging="0"/>
              <w:jc w:val="both"/>
              <w:rPr/>
            </w:pPr>
            <w:r>
              <w:rPr/>
              <w:t>​</w:t>
            </w:r>
          </w:p>
        </w:tc>
        <w:tc>
          <w:tcPr>
            <w:tcW w:w="719" w:type="dxa"/>
            <w:tcBorders/>
            <w:shd w:fill="CCEEFF" w:val="clear"/>
            <w:vAlign w:val="center"/>
          </w:tcPr>
          <w:p>
            <w:pPr>
              <w:pStyle w:val="TableContents"/>
              <w:bidi w:val="0"/>
              <w:spacing w:before="0" w:after="1"/>
              <w:ind w:left="0" w:right="0" w:hanging="0"/>
              <w:jc w:val="right"/>
              <w:rPr/>
            </w:pPr>
            <w:r>
              <w:rPr/>
              <w:t>  </w:t>
            </w:r>
          </w:p>
        </w:tc>
        <w:tc>
          <w:tcPr>
            <w:tcW w:w="347" w:type="dxa"/>
            <w:tcBorders/>
            <w:shd w:fill="CCEEFF" w:val="clear"/>
            <w:vAlign w:val="center"/>
          </w:tcPr>
          <w:p>
            <w:pPr>
              <w:pStyle w:val="TableContents"/>
              <w:bidi w:val="0"/>
              <w:spacing w:before="0" w:after="1"/>
              <w:ind w:left="0" w:right="0" w:hanging="0"/>
              <w:jc w:val="both"/>
              <w:rPr/>
            </w:pPr>
            <w:r>
              <w:rPr/>
              <w:t> </w:t>
            </w:r>
          </w:p>
        </w:tc>
        <w:tc>
          <w:tcPr>
            <w:tcW w:w="224" w:type="dxa"/>
            <w:tcBorders/>
            <w:shd w:fill="CCEEFF" w:val="clear"/>
            <w:vAlign w:val="center"/>
          </w:tcPr>
          <w:p>
            <w:pPr>
              <w:pStyle w:val="TableContents"/>
              <w:bidi w:val="0"/>
              <w:spacing w:before="0" w:after="1"/>
              <w:ind w:left="0" w:right="0" w:hanging="0"/>
              <w:jc w:val="both"/>
              <w:rPr/>
            </w:pPr>
            <w:r>
              <w:rPr/>
              <w:t>​</w:t>
            </w:r>
          </w:p>
        </w:tc>
        <w:tc>
          <w:tcPr>
            <w:tcW w:w="71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both"/>
              <w:rPr/>
            </w:pPr>
            <w:r>
              <w:rPr/>
              <w:t> </w:t>
            </w:r>
          </w:p>
        </w:tc>
        <w:tc>
          <w:tcPr>
            <w:tcW w:w="211" w:type="dxa"/>
            <w:tcBorders/>
            <w:shd w:fill="CCEEFF" w:val="clear"/>
            <w:vAlign w:val="center"/>
          </w:tcPr>
          <w:p>
            <w:pPr>
              <w:pStyle w:val="TableContents"/>
              <w:bidi w:val="0"/>
              <w:spacing w:before="0" w:after="1"/>
              <w:ind w:left="0" w:right="0" w:hanging="0"/>
              <w:jc w:val="both"/>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47" w:type="dxa"/>
            <w:tcBorders/>
            <w:vAlign w:val="center"/>
          </w:tcPr>
          <w:p>
            <w:pPr>
              <w:pStyle w:val="TableContents"/>
              <w:bidi w:val="0"/>
              <w:spacing w:before="0" w:after="1"/>
              <w:ind w:left="0" w:right="0" w:hanging="0"/>
              <w:jc w:val="both"/>
              <w:rPr/>
            </w:pPr>
            <w:r>
              <w:rPr/>
              <w:t>​</w:t>
            </w:r>
          </w:p>
        </w:tc>
        <w:tc>
          <w:tcPr>
            <w:tcW w:w="224"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300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w:t>
            </w:r>
          </w:p>
        </w:tc>
        <w:tc>
          <w:tcPr>
            <w:tcW w:w="347" w:type="dxa"/>
            <w:tcBorders/>
            <w:shd w:fill="CCEEFF" w:val="clear"/>
            <w:vAlign w:val="center"/>
          </w:tcPr>
          <w:p>
            <w:pPr>
              <w:pStyle w:val="TableContents"/>
              <w:bidi w:val="0"/>
              <w:spacing w:before="0" w:after="1"/>
              <w:ind w:left="0" w:right="0" w:hanging="0"/>
              <w:jc w:val="both"/>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132,000</w:t>
            </w:r>
          </w:p>
        </w:tc>
      </w:tr>
      <w:tr>
        <w:trPr/>
        <w:tc>
          <w:tcPr>
            <w:tcW w:w="300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47" w:type="dxa"/>
            <w:tcBorders/>
            <w:vAlign w:val="center"/>
          </w:tcPr>
          <w:p>
            <w:pPr>
              <w:pStyle w:val="TableContents"/>
              <w:bidi w:val="0"/>
              <w:spacing w:before="0" w:after="1"/>
              <w:ind w:left="0" w:right="0" w:hanging="0"/>
              <w:jc w:val="both"/>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142,000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2025, the total stock-based compensation cost related to unvested awards not yet recognized was $0.3 million. The expected weighted average period for compensation costs to be recognized was approximately 2.2 years. Future option grants will impact the compensation expense recognized.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$1.4 million in restricted cash recorded as of June 30, 2025 related to the CPRIT Pancreatic Grant, and none as of December 31, 2024. If qualifying grant income is earned in advance of cash received from grants, it is recognized as revenue and recorded as other receivable.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 in patients with AML.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$0.3 million and $0.5 million of grant income related to the CPRIT AML Grant as revenue for the three and six months ended June 30, 2025, respectively. As of June 30, 2025, the Company’s grant income receivable balance for this grant was $1.3 million, which represented grant income earned in advance of funds to be received from CPRIT.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Company recorded $0.2 million of grant income related to the CPRIT Pancreatic Grant as revenue for the three and six months ended June 30, 2025. As of June 30, 2025, $1.4 million was recorded as restricted cash and deferred revenue on the Company’s condensed consolidated balance sheet.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Both CPRIT grants are subject to certain revenue-sharing arrangements, as per the grant agreements (see Note 11).</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the Company received notice from the FDA that it had awarded the Company a $2.0 million grant from the FDA’s Orphan Products Grant program to support the Company’s clinical investigation of MT-401 for the treatment of post-transplant AML. The Company recorded $0.1 million of grant income related to the FDA Grant as revenue for the three and six months ended June 30, 2025, respectively. As of June 30, 2025, the Company had $0.1 million grant income receivable balance for this grant. In August 2025, the Company received $0.1 million of funds from the FDA Grant.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NIH SBIR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2023, the Company announced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Company recorded $12,000 and $0.1 million of grant income related to the SBIR AML Grant as revenue for the three and six months ended June 30, 2025, respectively. As of June 30, 2025, the Company’s grant income receivable balance for this grant was $12,000, which represented grant income earned in advance of funds to be received from the SBIR. In August 2025, the Company received $12,000 of funds from the SBIR AML Grant.</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NIH SBIR program to support the clinical investigation of MT-601 in patients with non-Hodgkin’s lymphoma (“NHL”) who have relapsed following anti-CD19 chimeric antigen receptor (“CAR”) T cell therapy. The Company recorded no grant income related to this grant as revenue for the three and six months ended June 30, 2025, and as of June 30, 2025, the Company had no grant income receivable balance for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another $2.0 million grant from the NIH SBIR program to support the clinical investigation of MT-601 in patients with pancreatic cancer. The Company recorded approximately $0.1 million of grant income related to the PANACEA Grant as revenue for the three and six months ended June 30, 2025, and had the same balance in other receivables as of June 30, 2025. In August 2025, the Company received $0.1 million of funds from the PANACEA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June 2024, the Company received notice of a $2.0 million grant over a </w:t>
      </w:r>
      <w:r>
        <w:rPr>
          <w:rFonts w:ascii="Times New Roman;Times;serif" w:hAnsi="Times New Roman;Times;serif"/>
          <w:b w:val="false"/>
          <w:i w:val="false"/>
          <w:caps w:val="false"/>
          <w:smallCaps w:val="false"/>
          <w:sz w:val="20"/>
        </w:rPr>
        <w:t>2</w:t>
      </w:r>
      <w:r>
        <w:rPr>
          <w:rFonts w:ascii="Times New Roman;Times;serif" w:hAnsi="Times New Roman;Times;serif"/>
          <w:sz w:val="20"/>
        </w:rPr>
        <w:t>-year period from the NIH SBIR program to support control over tumor immune escape in pancreatic cancer using a dual T cell product strategy. The Company recorded approximately $0.2 million of grant income related to the Decoy Grant as revenue for the three and six months ended June 30, 2025, respectively, and recorded the same amount in other receivables as of June 30, 2025. In August 2025, the Company received $0.3 million of funds from the Decoy Grant.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Cancer Prevention and Research Institute of Texas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clinical investigation of MT-401 in patients with AML. In December 2024, the Company received notice of an additional $9.5 million grant from CPRIT to support the clinical investigation of MT-601 in patients with pancreatic cancer. Both CPRIT grants contain identical terms surrounding intellectual property and revenue sharing.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 with the Baylor College of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that we believe could have a material adverse effect on our business, operating results or financial condition.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76" w:name="Tc_sluvv0gn40i95kUsb2AOyQ_7_11"/>
      <w:bookmarkStart w:id="677" w:name="Tc_3nf1Py5QSk6gx0eRi7vkcg_7_8"/>
      <w:bookmarkStart w:id="678" w:name="Tc_Za-FD8mWtUWsIxUmpLl1-g_7_5"/>
      <w:bookmarkStart w:id="679" w:name="Tc_5qX9kZ4R0kG-3unK4Z1-Tg_7_2"/>
      <w:bookmarkStart w:id="680" w:name="Tc_9fw7seB4IEyUPgb1lRIV8A_7_0"/>
      <w:bookmarkStart w:id="681" w:name="Tc_bjDScajSK0Kg9J_RRPOw6g_6_12"/>
      <w:bookmarkStart w:id="682" w:name="Tc_ReAGakQeV0KYsL3mKKyvAg_6_6"/>
      <w:bookmarkStart w:id="683" w:name="Tc_-WsopWZfgUeflakV67TvuQ_6_0"/>
      <w:bookmarkStart w:id="684" w:name="Tc_35UGiZBoJki91hs0OYR_7g_5_0"/>
      <w:bookmarkStart w:id="685" w:name="Tc_drxWRu3pm06SxKLFcCrjrw_4_11"/>
      <w:bookmarkStart w:id="686" w:name="Tc_Z0tPVM9BU0OPjeljWMV6qA_4_8"/>
      <w:bookmarkStart w:id="687" w:name="Tc_RVWBFT9wm0WsrmTUImFSDg_4_5"/>
      <w:bookmarkStart w:id="688" w:name="Tc_gqNwkkZV-kOSq0epJRMe-g_4_2"/>
      <w:bookmarkStart w:id="689" w:name="Tc_caM67h2pDUi-g2Aq4vTnWg_4_0"/>
      <w:bookmarkStart w:id="690" w:name="Tc_RQ8x49I5X0eXpZgMyTC9vw_3_11"/>
      <w:bookmarkStart w:id="691" w:name="Tc_3pj2xrFwqE-CPBnPksGHbw_3_8"/>
      <w:bookmarkStart w:id="692" w:name="Tc_H8gvABxB0kui5yZKia0cqA_3_5"/>
      <w:bookmarkStart w:id="693" w:name="Tc_bfMr-Vg690qyHysXDaQRLQ_3_2"/>
      <w:bookmarkStart w:id="694" w:name="Tc_fZdoHKiyV0mTA-kH75I1dw_2_8"/>
      <w:bookmarkStart w:id="695" w:name="Tc__azubkZu-U2ZIDb2UbqgHQ_2_2"/>
      <w:bookmarkStart w:id="696" w:name="Tc_NFRjAJRzeka9D18sShEkXA_1_8"/>
      <w:bookmarkStart w:id="697" w:name="Tc_kitQxjLEfky7wmhKfiJacg_1_2"/>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r>
        <w:rPr>
          <w:rFonts w:ascii="Times New Roman;Times;serif" w:hAnsi="Times New Roman;Times;serif"/>
          <w:b/>
          <w:sz w:val="20"/>
        </w:rPr>
        <w:t>NOTE 12: RELATED PARTY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and six months ended June 30, 2025 and 2024, respectively.</w:t>
      </w:r>
    </w:p>
    <w:p>
      <w:pPr>
        <w:pStyle w:val="TextBody"/>
        <w:bidi w:val="0"/>
        <w:spacing w:before="0" w:after="0"/>
        <w:ind w:left="0" w:right="0" w:hanging="0"/>
        <w:jc w:val="both"/>
        <w:rPr/>
      </w:pPr>
      <w:r>
        <w:rPr/>
        <w:t>​</w:t>
      </w:r>
    </w:p>
    <w:tbl>
      <w:tblPr>
        <w:tblW w:w="9278" w:type="dxa"/>
        <w:jc w:val="left"/>
        <w:tblInd w:w="0" w:type="dxa"/>
        <w:tblLayout w:type="fixed"/>
        <w:tblCellMar>
          <w:top w:w="0" w:type="dxa"/>
          <w:left w:w="0" w:type="dxa"/>
          <w:bottom w:w="0" w:type="dxa"/>
          <w:right w:w="0" w:type="dxa"/>
        </w:tblCellMar>
      </w:tblPr>
      <w:tblGrid>
        <w:gridCol w:w="3451"/>
        <w:gridCol w:w="326"/>
        <w:gridCol w:w="211"/>
        <w:gridCol w:w="931"/>
        <w:gridCol w:w="326"/>
        <w:gridCol w:w="211"/>
        <w:gridCol w:w="781"/>
        <w:gridCol w:w="326"/>
        <w:gridCol w:w="211"/>
        <w:gridCol w:w="931"/>
        <w:gridCol w:w="32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1385" cy="175260"/>
                      <wp:effectExtent l="0" t="0" r="0" b="0"/>
                      <wp:wrapNone/>
                      <wp:docPr id="162" name="Frame16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3"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4"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91185" cy="175260"/>
                      <wp:effectExtent l="0" t="0" r="0" b="0"/>
                      <wp:wrapNone/>
                      <wp:docPr id="165" name="Frame1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6"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7"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95935" cy="175260"/>
                      <wp:effectExtent l="0" t="0" r="0" b="0"/>
                      <wp:wrapNone/>
                      <wp:docPr id="168" name="Frame1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1185" cy="175260"/>
                      <wp:effectExtent l="0" t="0" r="0" b="0"/>
                      <wp:wrapNone/>
                      <wp:docPr id="171"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3"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57860" cy="175260"/>
                      <wp:effectExtent l="0" t="0" r="0" b="0"/>
                      <wp:wrapNone/>
                      <wp:docPr id="174"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both"/>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w:t>
            </w:r>
          </w:p>
        </w:tc>
        <w:tc>
          <w:tcPr>
            <w:tcW w:w="24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both"/>
              <w:rPr/>
            </w:pPr>
            <w:r>
              <w:rPr/>
              <w:t> </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1"/>
              <w:ind w:left="0" w:right="0" w:hanging="0"/>
              <w:jc w:val="both"/>
              <w:rPr/>
            </w:pPr>
            <w:r>
              <w:rPr/>
              <w:t>​</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both"/>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both"/>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Cell Ready</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1,080,000</w:t>
            </w:r>
          </w:p>
        </w:tc>
        <w:tc>
          <w:tcPr>
            <w:tcW w:w="32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both"/>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1,836,000</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656,000</w:t>
            </w:r>
          </w:p>
        </w:tc>
        <w:tc>
          <w:tcPr>
            <w:tcW w:w="326"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3,618,000</w:t>
            </w:r>
          </w:p>
        </w:tc>
        <w:tc>
          <w:tcPr>
            <w:tcW w:w="326" w:type="dxa"/>
            <w:tcBorders/>
            <w:vAlign w:val="center"/>
          </w:tcPr>
          <w:p>
            <w:pPr>
              <w:pStyle w:val="TableContents"/>
              <w:bidi w:val="0"/>
              <w:spacing w:before="0" w:after="1"/>
              <w:ind w:left="0" w:right="0" w:hanging="0"/>
              <w:jc w:val="both"/>
              <w:rPr/>
            </w:pPr>
            <w:r>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1,842,000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$0.7 million of related party transactions are included in accounts payable and accrued liabilities as of June 30, 2025. See Note 7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2018, January 2020 and February 2020, the Company entered in Sponsored Research Agreements with BCM, which provided for the conduct of research for the Company by credentialed personnel at BCM’s Center for Cell and Gene Therapy. On April 1, 2025, the Company sighed Amendment #1 to the Sponsored Research and Product Development Agreement with BCM to perform research on “Controlling Tumor Immune Escape in Pancreatic Cancer using a Dual T-Cell Product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into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and Laboratory Service Agreement with BCM, pursuant to which BCM conducts clinical trials for the Company and testing of Marker’s product candidates to develop an optimized potency assay.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is also a shareholder of the Company’s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incurred $1.9 million and $2.5 million in expenses related to services and manufacturing costs and paid BCM approximately $1.8 million and $1.9 million for invoices received,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2024, the Company utilized Wilson Wolf for the purchases of cell culture devices. Mr. John Wilson is a former director of the Company and is serving as the CEO of Wilson Wolf Manufacturing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the Company incurred approximately $21,000 and $50,000 respectively, in expenses related to cell culture devices and paid Wilson Wolf approximately nil and $95,000, respectively, for invoices received.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utilized Cell Ready, LLC for clinical manufacturing supply and product development. On February 22, 2024, the Company entered into a 3-year Master Services Agreement for Product Supply (the “MSA”) with Cell Ready. Cell Ready, which is owned by a former director, Mr. John Wilson, is a contract development and manufacturing organization (“CDMO”). During the three and six months ended June 30, 2025, the Company incurred nil and $0.6 million in expenses related to services and manufacturing costs, respectively, and paid nil and $2.6 million for invoices received,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the ATM Agreement for net proceeds of $4.5 million, after deducting agent commissions, at an average price of $2.87 per share.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698" w:name="Item2ManagementsDiscussionandAnalysisofF"/>
      <w:bookmarkStart w:id="699" w:name="_502560c6_f45d_436b_8d9f_252444d8a65f"/>
      <w:bookmarkEnd w:id="698"/>
      <w:bookmarkEnd w:id="69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included in this Quarterly Report on Form 10-Q.</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MAR-T cells are designed to recognize and kill cancer cells expressing the TAA.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product candidates for 3 clinical indications as part of our MAR-T cell program for:</w:t>
      </w:r>
    </w:p>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MAR-T cell product candidate for the treatment of lymphoma and pancreatic cancer (MT-601)</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candidate in various indications (e.g., MT-401-OTS)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MAR-T cells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immune effector cell-associated neurotoxicity syndrome (“ICANS”) or other severe adverse effects (“SAEs”), were attributed to the use of MAR-T cells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 selective expansion of tumor-specific T cells from a patient’s or donor’s blood capable of recognizing a broad range of tumor antigens→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504940" cy="1590675"/>
            <wp:effectExtent l="0" t="0" r="0" b="0"/>
            <wp:docPr id="1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2" descr=""/>
                    <pic:cNvPicPr>
                      <a:picLocks noChangeAspect="1" noChangeArrowheads="1"/>
                    </pic:cNvPicPr>
                  </pic:nvPicPr>
                  <pic:blipFill>
                    <a:blip r:embed="rId3"/>
                    <a:stretch>
                      <a:fillRect/>
                    </a:stretch>
                  </pic:blipFill>
                  <pic:spPr bwMode="auto">
                    <a:xfrm>
                      <a:off x="0" y="0"/>
                      <a:ext cx="6504940" cy="15906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these reasons, we believe our endogenous T cell receptor-based product candidates may provide meaningful clinical benefit and safety to patients with both hematological and solid tumors.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MAR-T cell recognition of cancer targets. For example, we are assessing the potential of combining MAR-T cell product candidates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19, 2024, we issued a press release providing an update on the progress and clinical observations from the Phase 1 APOLLO study, with a data cutoff date of September 10, 2024. The Phase 1 APOLLO study is investigating MT-601, a MAR-T cell product candidate, in patients with lymphoma who have relapsed after anti-CD19 CAR-T cell therapy or where anti-CD19 CAR-T cells are not an option. In this update, clinical data was available for 9 patients from 5 clinical sites across the United States. Study participants showed early objective responses with and without lymphodepletion. However, immunomonitoring data confirmed that lymphodepletion enhanced the expansion and persistence of MAR-T cell clones in vivo.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 findings from the APOLLO study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Safety</w:t>
            </w:r>
            <w:r>
              <w:rPr>
                <w:caps w:val="false"/>
                <w:smallCaps w:val="false"/>
              </w:rPr>
              <w:t xml:space="preserve"> – </w:t>
            </w:r>
            <w:r>
              <w:rPr>
                <w:rFonts w:ascii="Times New Roman;Times;serif" w:hAnsi="Times New Roman;Times;serif"/>
                <w:b w:val="false"/>
                <w:i w:val="false"/>
                <w:caps w:val="false"/>
                <w:smallCaps w:val="false"/>
                <w:sz w:val="20"/>
              </w:rPr>
              <w:t>Infusion of MT-601 was well tolerated in all study participants, with no observation of immune-effector cell associated neurotoxicity syndrome (“ICANS”) and one reported Grade 1 cytokine release syndrome (“CRS”). No dose limiting toxicities (“DLTs”) have been reported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Efficacy</w:t>
            </w:r>
            <w:r>
              <w:rPr>
                <w:caps w:val="false"/>
                <w:smallCaps w:val="false"/>
              </w:rPr>
              <w:t xml:space="preserve"> – </w:t>
            </w:r>
            <w:r>
              <w:rPr>
                <w:rFonts w:ascii="Times New Roman;Times;serif" w:hAnsi="Times New Roman;Times;serif"/>
                <w:b w:val="false"/>
                <w:i w:val="false"/>
                <w:caps w:val="false"/>
                <w:smallCaps w:val="false"/>
                <w:sz w:val="20"/>
              </w:rPr>
              <w:t>In the first dose cohort, 7 out of 9 patients achieved objective responses (78%) at first response assessment, with 4 patients demonstrating complete response (“CR”; 44.4%).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Time in Follow-Up</w:t>
            </w:r>
            <w:r>
              <w:rPr>
                <w:caps w:val="false"/>
                <w:smallCaps w:val="false"/>
              </w:rPr>
              <w:t xml:space="preserve"> – </w:t>
            </w:r>
            <w:r>
              <w:rPr>
                <w:rFonts w:ascii="Times New Roman;Times;serif" w:hAnsi="Times New Roman;Times;serif"/>
                <w:b w:val="false"/>
                <w:i w:val="false"/>
                <w:caps w:val="false"/>
                <w:smallCaps w:val="false"/>
                <w:sz w:val="20"/>
              </w:rPr>
              <w:t>At the time of the data cutoff, long-term follow-up of 6 to 12 months was available for three patients. Ongoing follow-up visits are being conducted to assess the durability of responses. All study participants are monitored closely to ensure comprehensive data collection and patient safety.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380990" cy="2799715"/>
            <wp:effectExtent l="0" t="0" r="0" b="0"/>
            <wp:docPr id="17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 descr=""/>
                    <pic:cNvPicPr>
                      <a:picLocks noChangeAspect="1" noChangeArrowheads="1"/>
                    </pic:cNvPicPr>
                  </pic:nvPicPr>
                  <pic:blipFill>
                    <a:blip r:embed="rId4"/>
                    <a:stretch>
                      <a:fillRect/>
                    </a:stretch>
                  </pic:blipFill>
                  <pic:spPr bwMode="auto">
                    <a:xfrm>
                      <a:off x="0" y="0"/>
                      <a:ext cx="5380990" cy="2799715"/>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Cell Ready, which is owned by one of our former directors, Mr. John Wilson, is a contract development and manufacturing organization (“CDMO”).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While BCM continues to supply us with products, as we continue our clinical trials, in anticipation of the commencement of our larger pivotal trial for Lymphoma in 2026, as well as the eventual need for commercial scale production, on June 16, 2025, Company entered into a Statement of Work (the “SOW”) with Cellipont Bioservices (“Cellipont”), a leading cell therapy Contract Development and Manufacturing Organization (CDMO), for the manufacturing of MT-601, the Company’s lead Multi-Antigen Recognizing (MAR)-T cell therapy. Pursuant to the SOW, Cellipont will provide technology transfer and cGMP manufacturing services to support the scale-up and production of MT-601 for the Company’s APOLLO study.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2025, we incurred $0.1 million and $0.7 million in expenses related to Cell Ready services and manufacturing costs, respectively (three and six months ended June 30, 2024 - $0.6 million and $1.8 million, respectively). During the three and six months ended June 30, 2025, we paid $2.6 million related to Cell Ready invoices received (three and six months ended June 30, 2024 - $0.6 million and $1.2 million, respectively). During the three and six months ended June 30, 2025, we incurred $1.9 million and $2.5 million, respectively, in expenses related to BCM services and manufacturing costs. No BCM expenses were incurred during the three or six months ended June 30, 2024. During the three and six months ended June 30, 2025, we paid approximately $1.8 million and $1.9 million related to BCM invoices received,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Company entered into a Statement of Work (the “SOW”) with Cellipont Bioservices, a leading cell therapy Contract Development and Manufacturing Organization (“CDMO”), for the manufacturing of MT-601, the Company’s lead MAR-T cell product candidate.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our ATM Agreement, with H.C. Wainwright &amp; Co. LLC, for net proceeds of $4.5 million, after deducting agent commissions, at an average price per share of $2.87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three months ended June 30, 2025 and 2024:</w:t>
      </w:r>
    </w:p>
    <w:tbl>
      <w:tblPr>
        <w:tblW w:w="8738" w:type="dxa"/>
        <w:jc w:val="left"/>
        <w:tblInd w:w="0" w:type="dxa"/>
        <w:tblLayout w:type="fixed"/>
        <w:tblCellMar>
          <w:top w:w="0" w:type="dxa"/>
          <w:left w:w="0" w:type="dxa"/>
          <w:bottom w:w="0" w:type="dxa"/>
          <w:right w:w="0" w:type="dxa"/>
        </w:tblCellMar>
      </w:tblPr>
      <w:tblGrid>
        <w:gridCol w:w="2866"/>
        <w:gridCol w:w="326"/>
        <w:gridCol w:w="211"/>
        <w:gridCol w:w="1051"/>
        <w:gridCol w:w="326"/>
        <w:gridCol w:w="211"/>
        <w:gridCol w:w="1051"/>
        <w:gridCol w:w="326"/>
        <w:gridCol w:w="211"/>
        <w:gridCol w:w="1051"/>
        <w:gridCol w:w="326"/>
        <w:gridCol w:w="436"/>
        <w:gridCol w:w="34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19910" cy="175260"/>
                      <wp:effectExtent l="0" t="0" r="0" b="0"/>
                      <wp:wrapNone/>
                      <wp:docPr id="177" name="Frame17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67385" cy="175260"/>
                      <wp:effectExtent l="0" t="0" r="0" b="0"/>
                      <wp:wrapNone/>
                      <wp:docPr id="180" name="Frame1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67385" cy="175260"/>
                      <wp:effectExtent l="0" t="0" r="0" b="0"/>
                      <wp:wrapNone/>
                      <wp:docPr id="183"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7385" cy="175260"/>
                      <wp:effectExtent l="0" t="0" r="0" b="0"/>
                      <wp:wrapNone/>
                      <wp:docPr id="186" name="Frame18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76860" cy="175260"/>
                      <wp:effectExtent l="0" t="0" r="0" b="0"/>
                      <wp:wrapNone/>
                      <wp:docPr id="188" name="Frame18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5,122,000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8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from continuing operations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(4,016,000)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(1,823,000)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June 30, 2025 and 2024,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 During the three months ended June 30, 2025 and 2024, we recognized $0.3 million and $0.7 million of revenue, respectively, associated with the CPRIT AML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(the “FDA Grant”). During the three months ended June 30, 2025 and 2024, we recognized $0.1 million and $0.2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During the three months ended June 30, 2025 and 2024, we recognized $12,000 and $0.2 million of revenue associated with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we received notice of a $2.0 million grant over a 2-year period from the NIH SBIR program to support control over tumor immune escape in pancreatic cancer using a dual T cell product strategy (the “Decoy Grant”). During the three months ended June 30, 2025 and 2024, we recognized approximately $0.2 million and nil of revenue associated with the Decoy Grant,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notice of an additional $2.0 million grant from the NIH SBIR program to support the clinical investigation of MT-601 in patients with non-Hodgkin’s lymphoma (“NHL”) who have relapsed following anti-CD19 chimeric antigen receptor (“CAR”) T cell therapy. We recorded no grant income related to this grant as revenue during the three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we received another $2.0 million grant from the NIH SBIR program to support the advancement of MT-601 in patients with pancreatic cancer (the “PANACEA Grant”). During the three months ended June 30, 2025, we recognized approximately $0.1 million of revenue associated with the PANACEA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we received notice of an additional $9.5 million grant from CPRIT to support the clinical investigation of MT-601 in patients with metastatic pancreatic cancer (the “CPRIT Pancreatic Grant”). The Company recorded $0.2 million of grant income related to this grant for the three months ended June 30, 2025. As of June 30, 2025, $1.4 million was recorded as restricted cash and deferred revenue on the Company’s condensed consolidated balance sheet. The CPRIT Pancreatic Grant and the CPRIT AML grants are subject to certain revenue-sharing arrangements, see Note 11 to the accompanying condensed consolidated financial statements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three months ended June 30, 2025 were $5.1 million compared to $3.5 million during the same period ended June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79% to $4.2 million for the three months ended June 30, 2025, compared to $2.3 million for the three months ended June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$1.8 million in 2025 was primarily attributable to the following:</w:t>
      </w:r>
    </w:p>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of $1.7 million in clinical trial expenses, </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clinical consulting and other expenses, offset by</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of $0.1 million in headcount-related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17% to $0.9 million for the three months ended June 30, 2025, compared to $1.1 million during the same period ended June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$0.2 million in 2025 was primarily attributable to legal and professional fees and other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$0.1 million and $0.1 million for the three months ended June 30, 2025 and 2024,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$0.1 million and nil for the three months ended June 30, 2025 and 2024,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our net loss during the three months ended June 30, 2025 compared to the three months ended June 30, 2024 was primarily due to cost increases in our research and development activities.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2025 and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for the six months ended June 30, 2025 and 2024:</w:t>
      </w:r>
    </w:p>
    <w:tbl>
      <w:tblPr>
        <w:tblW w:w="9773" w:type="dxa"/>
        <w:jc w:val="left"/>
        <w:tblInd w:w="0" w:type="dxa"/>
        <w:tblLayout w:type="fixed"/>
        <w:tblCellMar>
          <w:top w:w="0" w:type="dxa"/>
          <w:left w:w="0" w:type="dxa"/>
          <w:bottom w:w="0" w:type="dxa"/>
          <w:right w:w="0" w:type="dxa"/>
        </w:tblCellMar>
      </w:tblPr>
      <w:tblGrid>
        <w:gridCol w:w="3901"/>
        <w:gridCol w:w="326"/>
        <w:gridCol w:w="211"/>
        <w:gridCol w:w="1051"/>
        <w:gridCol w:w="326"/>
        <w:gridCol w:w="211"/>
        <w:gridCol w:w="1051"/>
        <w:gridCol w:w="326"/>
        <w:gridCol w:w="211"/>
        <w:gridCol w:w="1051"/>
        <w:gridCol w:w="326"/>
        <w:gridCol w:w="436"/>
        <w:gridCol w:w="3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77135" cy="175260"/>
                      <wp:effectExtent l="0" t="0" r="0" b="0"/>
                      <wp:wrapNone/>
                      <wp:docPr id="190" name="Frame18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7385" cy="175260"/>
                      <wp:effectExtent l="0" t="0" r="0" b="0"/>
                      <wp:wrapNone/>
                      <wp:docPr id="193" name="Frame1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7385" cy="175260"/>
                      <wp:effectExtent l="0" t="0" r="0" b="0"/>
                      <wp:wrapNone/>
                      <wp:docPr id="195" name="Frame19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67385" cy="175260"/>
                      <wp:effectExtent l="0" t="0" r="0" b="0"/>
                      <wp:wrapNone/>
                      <wp:docPr id="198" name="Frame19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6860" cy="175260"/>
                      <wp:effectExtent l="0" t="0" r="0" b="0"/>
                      <wp:wrapNone/>
                      <wp:docPr id="200" name="Frame19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28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both"/>
              <w:rPr/>
            </w:pPr>
            <w:r>
              <w:rPr/>
              <w:t>    </w:t>
            </w:r>
          </w:p>
        </w:tc>
        <w:tc>
          <w:tcPr>
            <w:tcW w:w="20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both"/>
              <w:rPr/>
            </w:pPr>
            <w:r>
              <w:rPr/>
              <w:t> </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both"/>
              <w:rPr/>
            </w:pPr>
            <w:r>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(1,203,000)</w:t>
            </w:r>
          </w:p>
        </w:tc>
        <w:tc>
          <w:tcPr>
            <w:tcW w:w="326" w:type="dxa"/>
            <w:tcBorders/>
            <w:vAlign w:val="center"/>
          </w:tcPr>
          <w:p>
            <w:pPr>
              <w:pStyle w:val="TableContents"/>
              <w:bidi w:val="0"/>
              <w:spacing w:before="0" w:after="0"/>
              <w:ind w:left="0" w:right="0" w:hanging="0"/>
              <w:jc w:val="center"/>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7,313,000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2,360,000</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(46,000)</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on early termination of vendor agreement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453,000</w:t>
            </w:r>
          </w:p>
        </w:tc>
        <w:tc>
          <w:tcPr>
            <w:tcW w:w="326" w:type="dxa"/>
            <w:tcBorders/>
            <w:shd w:fill="CCEEFF" w:val="clear"/>
            <w:vAlign w:val="center"/>
          </w:tcPr>
          <w:p>
            <w:pPr>
              <w:pStyle w:val="TableContents"/>
              <w:bidi w:val="0"/>
              <w:spacing w:before="0" w:after="0"/>
              <w:ind w:left="0" w:right="0" w:hanging="0"/>
              <w:jc w:val="both"/>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10,080,000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7,270,000</w:t>
            </w:r>
          </w:p>
        </w:tc>
        <w:tc>
          <w:tcPr>
            <w:tcW w:w="326" w:type="dxa"/>
            <w:tcBorders/>
            <w:vAlign w:val="center"/>
          </w:tcPr>
          <w:p>
            <w:pPr>
              <w:pStyle w:val="TableContents"/>
              <w:bidi w:val="0"/>
              <w:spacing w:before="0" w:after="0"/>
              <w:ind w:left="0" w:right="0" w:hanging="0"/>
              <w:jc w:val="both"/>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2,810,000</w:t>
            </w:r>
          </w:p>
        </w:tc>
        <w:tc>
          <w:tcPr>
            <w:tcW w:w="326" w:type="dxa"/>
            <w:tcBorders/>
            <w:vAlign w:val="center"/>
          </w:tcPr>
          <w:p>
            <w:pPr>
              <w:pStyle w:val="TableContents"/>
              <w:bidi w:val="0"/>
              <w:spacing w:before="0" w:after="0"/>
              <w:ind w:left="0" w:right="0" w:hanging="0"/>
              <w:jc w:val="both"/>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(8,870,000)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(4,857,000)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(4,013,000)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211" w:type="dxa"/>
            <w:tcBorders/>
            <w:vAlign w:val="center"/>
          </w:tcPr>
          <w:p>
            <w:pPr>
              <w:pStyle w:val="TableContents"/>
              <w:bidi w:val="0"/>
              <w:spacing w:before="0" w:after="0"/>
              <w:ind w:left="0" w:right="0" w:hanging="0"/>
              <w:jc w:val="both"/>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pPr>
            <w:r>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272,000</w:t>
            </w:r>
          </w:p>
        </w:tc>
        <w:tc>
          <w:tcPr>
            <w:tcW w:w="326" w:type="dxa"/>
            <w:tcBorders/>
            <w:shd w:fill="CCEEFF" w:val="clear"/>
            <w:vAlign w:val="center"/>
          </w:tcPr>
          <w:p>
            <w:pPr>
              <w:pStyle w:val="TableContents"/>
              <w:bidi w:val="0"/>
              <w:spacing w:before="0" w:after="0"/>
              <w:ind w:left="0" w:right="0" w:hanging="0"/>
              <w:jc w:val="both"/>
              <w:rPr/>
            </w:pPr>
            <w:r>
              <w:rPr/>
              <w:t> </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117,000</w:t>
            </w:r>
          </w:p>
        </w:tc>
        <w:tc>
          <w:tcPr>
            <w:tcW w:w="326" w:type="dxa"/>
            <w:tcBorders/>
            <w:vAlign w:val="center"/>
          </w:tcPr>
          <w:p>
            <w:pPr>
              <w:pStyle w:val="TableContents"/>
              <w:bidi w:val="0"/>
              <w:spacing w:before="0" w:after="0"/>
              <w:ind w:left="0" w:right="0" w:hanging="0"/>
              <w:jc w:val="both"/>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continuing operations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(8,462,000)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(3,877,000)</w:t>
            </w:r>
          </w:p>
        </w:tc>
        <w:tc>
          <w:tcPr>
            <w:tcW w:w="326" w:type="dxa"/>
            <w:tcBorders/>
            <w:shd w:fill="CCEEFF" w:val="clear"/>
            <w:vAlign w:val="center"/>
          </w:tcPr>
          <w:p>
            <w:pPr>
              <w:pStyle w:val="TableContents"/>
              <w:bidi w:val="0"/>
              <w:spacing w:before="0" w:after="0"/>
              <w:ind w:left="0" w:right="0" w:hanging="0"/>
              <w:jc w:val="both"/>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w:t>
            </w:r>
          </w:p>
        </w:tc>
        <w:tc>
          <w:tcPr>
            <w:tcW w:w="3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six months ended June 30, 2025 and 2024, respectively, from the sales or licensing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 During the six months ended June 30, 2025 and 2024, we recognized $0.5 million and $1.5 million of revenue, respectively, associated with the CPRIT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2022, we received notice from the FDA that it had awarded us a $2.0 million grant from the FDA’s Orphan Products Grant program to support the clinical investigation of MT-401 for the treatment of post-transplant AML (the “FDA Grant”). During the six months ended June 30, 2025 and 2024, we recognized $0.1 million and $0.5 million of revenue, respectively associated with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 During the six months ended June 30, 2025 and 2024, we recognized $0.1 million and $0.4 million of revenue associated with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NIH SBIR program to support control over tumor immune escape in pancreatic cancer using a dual T cell product strategy (the “Decoy Grant”). During the six months ended June 30, 2025, we recognized approximately $0.2 million of revenue associated with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an additional $2.0 million grant from the NIH SBIR program to support the clinical investigation of MT-601 in patients with non-Hodgkin’s lymphoma (“NHL”) who have relapsed following anti-CD19 chimeric antigen receptor (“CAR”) T cell therapy. The Company recorded no grant income related to this grant as revenue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another $2.0 million grant from the NIH SBIR Program to support the advancement of MT-601 in patients with pancreatic cancer (the “PANACEA Grant”). During the six months ended June 30, 2025, we recognized approximately $0.1 of revenue associated with the PANACEA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“CPRIT Pancreatic Grant”). The Company recorded $0.2 million of grant income related to this grant for the six months ended June 30, 2025. As of June 30, 2025, $1.4 million was recorded as restricted cash and deferred revenue on the Company’s condensed consolidated balance sheet. The CPRIT Pancreatic Grant and the CPRIT AML Grant are subject to certain revenue-sharing arrangements, see Note 11 to the accompanying financial statements for further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six months ended June 30, 2025 were $10.1 million compared to $7.3 million during the same period ended June 30,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49% to $7.3 million for the six months ended June 30, 2025, compared to $4.9 million for the six months ended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$2.4 million in 2025 was primarily attributable to the following:</w:t>
      </w:r>
    </w:p>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of $1.9 million in clinical trial expense, </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$0.3 million in clinical consulting expenses and other expenses,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process development costs,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headcount-related expenses .</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2% to $2.3 million for the six months ended June 30, 2025, compared to $2.4 million during the same period ended June 30,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$46,000 in 2025 was primarily attributable to lower legal and professional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$0.3 million and $0.3 million for the six months ended June 30, 2025 and 2024,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$0.1 million and nil for the six months ended June 30, 2025 and 2024,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our net loss during the six months ended June 30, 2025 compared to the six months ended June 30, 2024 was primarily due to cost increases in our research and development activities and the loss on termination of the Cell Ready MSA.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as well as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lack of recurring revenues, anticipated uses of cash and historical recurring cash losses from operating activities, and cash, cash equivalents, and restricted cash as of June 30, 2025, and taking into consideration the net proceeds received in July of 2025 through the sale of Common Stock pursuant to its ATM Agreement with H.C. Wainwright &amp; Co., LLC, we anticipate that we will be able to fund our operating expenses and capital expenditure requirements into the second quarter of 2026, assuming no additional grant funds are received, either from new grants or from existing awarded grants. We are considering raising additional capital through the issuance of common shares and intend to apply for additional grant funds, which could enable us to fund our operating expenses and capital expenditure requirements beyond the second quarter of 2026,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cash equivalents, restricted cash, and working capital as of June 30, 2025 and December 31, 2024:</w:t>
      </w:r>
    </w:p>
    <w:tbl>
      <w:tblPr>
        <w:tblW w:w="6807" w:type="dxa"/>
        <w:jc w:val="left"/>
        <w:tblInd w:w="0" w:type="dxa"/>
        <w:tblLayout w:type="fixed"/>
        <w:tblCellMar>
          <w:top w:w="0" w:type="dxa"/>
          <w:left w:w="0" w:type="dxa"/>
          <w:bottom w:w="0" w:type="dxa"/>
          <w:right w:w="0" w:type="dxa"/>
        </w:tblCellMar>
      </w:tblPr>
      <w:tblGrid>
        <w:gridCol w:w="3556"/>
        <w:gridCol w:w="326"/>
        <w:gridCol w:w="211"/>
        <w:gridCol w:w="1036"/>
        <w:gridCol w:w="326"/>
        <w:gridCol w:w="211"/>
        <w:gridCol w:w="114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58060" cy="175260"/>
                      <wp:effectExtent l="0" t="0" r="0" b="0"/>
                      <wp:wrapNone/>
                      <wp:docPr id="202" name="Frame199"/>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57860" cy="175260"/>
                      <wp:effectExtent l="0" t="0" r="0" b="0"/>
                      <wp:wrapNone/>
                      <wp:docPr id="205" name="Frame20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24535" cy="175260"/>
                      <wp:effectExtent l="0" t="0" r="0" b="0"/>
                      <wp:wrapNone/>
                      <wp:docPr id="208" name="Frame20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both"/>
              <w:rPr/>
            </w:pPr>
            <w:r>
              <w:rPr/>
              <w:t>    </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5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5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11,815,000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19,192,000</w:t>
            </w:r>
          </w:p>
        </w:tc>
      </w:tr>
      <w:tr>
        <w:trPr/>
        <w:tc>
          <w:tcPr>
            <w:tcW w:w="3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18,558,000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six months ended June 30, 2025 and 2024:</w:t>
      </w:r>
    </w:p>
    <w:tbl>
      <w:tblPr>
        <w:tblW w:w="8187" w:type="dxa"/>
        <w:jc w:val="left"/>
        <w:tblInd w:w="0" w:type="dxa"/>
        <w:tblLayout w:type="fixed"/>
        <w:tblCellMar>
          <w:top w:w="0" w:type="dxa"/>
          <w:left w:w="0" w:type="dxa"/>
          <w:bottom w:w="0" w:type="dxa"/>
          <w:right w:w="0" w:type="dxa"/>
        </w:tblCellMar>
      </w:tblPr>
      <w:tblGrid>
        <w:gridCol w:w="4966"/>
        <w:gridCol w:w="326"/>
        <w:gridCol w:w="211"/>
        <w:gridCol w:w="1051"/>
        <w:gridCol w:w="326"/>
        <w:gridCol w:w="211"/>
        <w:gridCol w:w="109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153410" cy="175260"/>
                      <wp:effectExtent l="0" t="0" r="0" b="0"/>
                      <wp:wrapNone/>
                      <wp:docPr id="209" name="Frame20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67385" cy="175260"/>
                      <wp:effectExtent l="0" t="0" r="0" b="0"/>
                      <wp:wrapNone/>
                      <wp:docPr id="212" name="Frame20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5960" cy="175260"/>
                      <wp:effectExtent l="0" t="0" r="0" b="0"/>
                      <wp:wrapNone/>
                      <wp:docPr id="215" name="Frame2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both"/>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w:t>
            </w:r>
          </w:p>
        </w:tc>
        <w:tc>
          <w:tcPr>
            <w:tcW w:w="28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both"/>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cash provided by (used in):</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 </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(7,378,000)</w:t>
            </w:r>
          </w:p>
        </w:tc>
        <w:tc>
          <w:tcPr>
            <w:tcW w:w="3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(7,405,000)</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both"/>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both"/>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94,000</w:t>
            </w:r>
          </w:p>
        </w:tc>
      </w:tr>
      <w:tr>
        <w:trPr/>
        <w:tc>
          <w:tcPr>
            <w:tcW w:w="49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decrease in cash, cash equivalents, and restricted cash</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(7,377,000)</w:t>
            </w:r>
          </w:p>
        </w:tc>
        <w:tc>
          <w:tcPr>
            <w:tcW w:w="32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2025 was $7.4 million. The use of cash primarily related to our net loss of $8.5 million, offset by $0.4 million of non-cash stock-based compensation and a $0.7 million increase from changes in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2024 was $7.4 million. The use of cash primarily related to our net loss from continuing operations of $4.6 million and a $3.0 million decrease from changes in assets and liabilities, offset by $0.1 million of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$605 during the six months ended June 30, 2025 due to the net proceeds from the exercise of warrants. Net cash provided by financing activities was $0.1 million during the six months ended June 30, 2024 due to the net proceeds from the sale of common stock and the exercise of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Assuming the Company can continue to raise additional capital and obtain ongoing grant funding, of which there can be no assurances, we expect our expenses to increase in connection with our ongoing activities, particularly if we are able to expand patient enrollment as we continue the research and development of our product candidates and if we are able to successfully commence our pivotal trial for lymphoma, of which there can be no assurances. In addition, if we obtain approval for any of our product candidates, of which there can be no assurances, we expect to incur significant commercialization expenses related to sales, marketing, manufacturing and distribution. We anticipate that we will need substantial additional funding in connection with our continuing operations, of which there can be no assurances. If we are unable to raise capital when needed or on attractive terms, we could be forced to delay, reduce or eliminate our research and development programs or future commercialization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the CPRIT to support the Company’s clinical investigation of MT-401 in patients with AML. Through the date of this filing, the Company has received $11.0 million of funds from the CPRIT AML Grant. The Company recorded $0.3 million and $0.5 million of grant income related to the CPRIT grant as revenue during the three and six months ended June 30, 2025, respectively, and as of June 30, 2025, the Company had a grant income receivable balance of $1.3 million for this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13, 2022, the Company received notice from the FDA that it had awarded the Company a $2.0 million grant from the FDA’s Orphan Products Grant program to support the clinical investigation of MT-401 for the treatment of post-transplant AML. Through the date of this filing, the Company has received $1.1 million from the FDA Grant. The Company recorded $0.1 million grant income related to the FDA Grant as revenue during the three and six months ended June 30, 2025 and as of June 30, 2025, the Company had $0.1 million of grant income receivable balance for this grant. In August 2025, the Company received $0.1 million of funds from the FDA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Through the date of this filing, the Company has received $1.3 million from the SBIR AML Grant. The Company recorded $12,000 and $0.1 million of grant income from the SBIR AML Grant as revenue during the three and six months ended June 30, 2025, respectively, and as of June 30, 2025, the Company had a grant income receivable balance of $12,000 for this grant. In August 2025, the Company received $12,000 of funds from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NIH SBIR program to support control over tumor immune escape in pancreatic cancer using a dual T cell product strategy. Through the date of this filing, the Company has received approximately $0.3 million from the NIH for the Decoy Grant. The Company recorded approximately $0.2 million of grant income related to the Decoy Grant as revenue during the three and six months ended June 30, 2025 and as of June 30, 2025, the Company had a grant income receivable balance of $0.2 million for this grant. In August 2025, the Company received $0.3 million of funds from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received notice of a $2.0 million grant from the NIH SBIR program to support the clinical investigation of MT-601 in patients with non-Hodgkin’s lymphoma (“NHL”) who have relapsed following anti-CD19 chimeric antigen receptor (“CAR”) T cell therapy. Through the date of this filing, the Company has received $0.7 million of funds from this grant. The Company recorded no grant income related to this grant as revenue for the three and six months ended June 30, 2025, and as of June 30, 2025, the Company had no grant income receivable balance for this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the Company received another $2.0 million grant from the NIH SBIR Program to support the advancement of MT-601 in patients with pancreatic cancer. Through the date of this filing, the Company has received approximately $0.1 million of funds from the PANACEA Grant. The Company recorded approximately $0.1 million of grant income related to this grant as revenue for the three and six months ended June 30, 2025, and as of June 30, 2025, the Company had a grant income receivable balance of $0.1 million for this grant. In August 2025, the Company received $0.1 million of funds from the PANACEA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As of the date of this filing, the Company has received $1.5 million of funds related to this grant. The Company recorded approximately $0.2 million of grant income related to this grant as revenue for the three and six months ended June 30, 2025, respectively. As of June 30, 2025, $1.4 million was recorded as restricted cash and deferred revenue on the Company’s condensed consolidated balance sheet. The CPRIT Pancreatic Grant and the CPRIT AML Grant are subject to certain revenue-sharing arrangements, see Note 11 to the accompanying financial statements for further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further below, between July 17 and 21, 2025, the Company sold 1,624,075 shares of common stock pursuant to our ATM Agreement with H.C. Wainwright &amp; Co., LLC for net proceeds of $4.5 million, after deducting agent commissions, at an average price of $2.87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2025, we had working capital of $10.5 million, compared to working capital of $18.6 million as of December 31, 2024. Operating expenses incurred during the three and six months ended June 30, 2025 were $5.1 million and $10.1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compared to $3.5 million and $7.3 million during the equivalent prior year periods, respectively. Based on our lack of recurring revenues, anticipated uses of cash and historical recurring cash losses from operating activities, and cash, cash equivalents, and restricted cash as of June 30, 2025, and taking into consideration the net proceeds received in July of 2025 through the sale of Common Stock pursuant to its ATM Agreement with H.C. Wainwright &amp; Co., LLC, we anticipate that we will be able to fund our operating expenses and capital expenditure requirements into the second quarter of 2026, assuming no additional grant funds are received, either from new grants or from existing awarded grants. We are considering raising additional capital through the issuance of securities and intend to apply for additional grant funds, which could enable us to fund our operating expenses and capital expenditure requirements beyond the second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could offer and sell, from time to time at our sole discretion through the Sales Agents, shares of our common stock having an aggregate offering price of up to $75.0 million. Any shares of our common stock sold were issued pursuant to our shelf registration statement on Form S-3 (File No. 333-258687), which the SEC declared effective on August 19, 2021. However, our use of the shelf registration statement on Form S-3 was limited for so long as we are subject to General Instruction I.B.6 of Form S-3, which limits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There was no common stock issued under the ATM Agreement during the three months ended March 31, 2024. On June 10, 2024, the Company provided notice of its termination of the ATM Agreement with Cantor Fitzgerald &amp; Co. and RBC Capital Markets, LLC. The Company is not subject to any termination penalties related to the termination of the ATM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November 2024, we entered into an At The Market Offering Agreement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our ATM Agreement with H.C. Wainwright &amp; Co., LLC for net proceeds of $4.5 million, after deducting agent commissions, at an average price of $2.87 per share.</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Private Placement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transaction closed on December 23, 2024. The purchase price per share of common stock and accompanying Private Placement Warrant to purchase a share of common stock was $3.20, and the purchase price per Pre-Funded Warrant and accompanying Private Placement Warrant to purchase a share of common stock was $3.199. 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were not exercisable until the Company obtained shareholder approval, which approval was received on March 21, 2025.</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 xml:space="preserve">Critical Accounting Estimates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critical accounting policies include grant income. The Company does not have any critical accounting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respect to grant income, the Company recognizes revenue when qualifying costs are incurred for the amount the Company is entitled to under the provisions of the contract.</w:t>
      </w:r>
    </w:p>
    <w:p>
      <w:pPr>
        <w:pStyle w:val="TextBody"/>
        <w:pBdr>
          <w:bottom w:val="single" w:sz="2" w:space="1" w:color="000000"/>
        </w:pBdr>
        <w:bidi w:val="0"/>
        <w:spacing w:before="0" w:after="200"/>
        <w:ind w:left="14" w:right="0" w:hanging="0"/>
        <w:jc w:val="left"/>
        <w:rPr>
          <w:rFonts w:ascii="Times New Roman;Times;serif" w:hAnsi="Times New Roman;Times;serif"/>
          <w:b/>
          <w:sz w:val="20"/>
        </w:rPr>
      </w:pPr>
      <w:bookmarkStart w:id="700" w:name="Item3QuantitativeandQualitativeDisclosur"/>
      <w:bookmarkStart w:id="701" w:name="_b3bfd792_776a_4acf_a995_9e82a442b98b"/>
      <w:bookmarkEnd w:id="700"/>
      <w:bookmarkEnd w:id="701"/>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pBdr>
          <w:bottom w:val="single" w:sz="2" w:space="1" w:color="000000"/>
        </w:pBdr>
        <w:bidi w:val="0"/>
        <w:spacing w:before="0" w:after="180"/>
        <w:ind w:left="14" w:right="0" w:hanging="0"/>
        <w:jc w:val="left"/>
        <w:rPr>
          <w:rFonts w:ascii="Times New Roman;Times;serif" w:hAnsi="Times New Roman;Times;serif"/>
          <w:b/>
          <w:sz w:val="20"/>
        </w:rPr>
      </w:pPr>
      <w:bookmarkStart w:id="702" w:name="Item4ControlsandProcedures_453239"/>
      <w:bookmarkStart w:id="703" w:name="_92059f8b_d55b_4569_be0d_a67cc12d6fe7"/>
      <w:bookmarkEnd w:id="702"/>
      <w:bookmarkEnd w:id="703"/>
      <w:r>
        <w:rPr>
          <w:rFonts w:ascii="Times New Roman;Times;serif" w:hAnsi="Times New Roman;Times;serif"/>
          <w:b/>
          <w:sz w:val="20"/>
        </w:rPr>
        <w:t>Item 4.         Controls and Procedures</w:t>
      </w:r>
    </w:p>
    <w:p>
      <w:pPr>
        <w:pStyle w:val="TextBody"/>
        <w:bidi w:val="0"/>
        <w:spacing w:before="0" w:after="18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 xml:space="preserve">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the end of the period covered by this report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as of the end of the period covered by this report. Based on that evaluation, our principal executive officer and principal financial officer concluded that our disclosure controls and procedures are effective in recording, processing, summarizing, and reporting, on a timely basis, information required to be disclosed by us in the reports that we file or submit under the Exchange Act. </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18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June 30, 2025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180"/>
        <w:ind w:left="0" w:right="0" w:hanging="0"/>
        <w:jc w:val="left"/>
        <w:rPr>
          <w:rFonts w:ascii="Times New Roman;Times;serif" w:hAnsi="Times New Roman;Times;serif"/>
          <w:b/>
          <w:sz w:val="20"/>
        </w:rPr>
      </w:pPr>
      <w:bookmarkStart w:id="704" w:name="PARTIIOTHERINFORMATION_786639"/>
      <w:bookmarkStart w:id="705" w:name="_2e563fe8_2aff_4778_a6f4_9bac7738420f"/>
      <w:bookmarkEnd w:id="704"/>
      <w:bookmarkEnd w:id="705"/>
      <w:r>
        <w:rPr>
          <w:rFonts w:ascii="Times New Roman;Times;serif" w:hAnsi="Times New Roman;Times;serif"/>
          <w:b/>
          <w:sz w:val="20"/>
        </w:rPr>
        <w:t>PART II – OTHER INFORMATION</w:t>
      </w:r>
    </w:p>
    <w:p>
      <w:pPr>
        <w:pStyle w:val="TextBody"/>
        <w:pBdr>
          <w:bottom w:val="single" w:sz="2" w:space="1" w:color="000000"/>
        </w:pBdr>
        <w:bidi w:val="0"/>
        <w:spacing w:before="0" w:after="180"/>
        <w:ind w:left="0" w:right="0" w:hanging="0"/>
        <w:jc w:val="left"/>
        <w:rPr>
          <w:rFonts w:ascii="Times New Roman;Times;serif" w:hAnsi="Times New Roman;Times;serif"/>
          <w:b/>
          <w:sz w:val="20"/>
        </w:rPr>
      </w:pPr>
      <w:bookmarkStart w:id="706" w:name="Item1LegalProceedings_798737"/>
      <w:bookmarkEnd w:id="706"/>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0"/>
        <w:ind w:left="0" w:right="0" w:hanging="0"/>
        <w:jc w:val="left"/>
        <w:rPr/>
      </w:pPr>
      <w:r>
        <w:rPr/>
        <w:t>​</w:t>
      </w:r>
    </w:p>
    <w:p>
      <w:pPr>
        <w:pStyle w:val="TextBody"/>
        <w:pBdr>
          <w:bottom w:val="single" w:sz="2" w:space="1" w:color="000000"/>
        </w:pBdr>
        <w:bidi w:val="0"/>
        <w:spacing w:before="0" w:after="180"/>
        <w:ind w:left="0" w:right="0" w:hanging="0"/>
        <w:jc w:val="left"/>
        <w:rPr>
          <w:rFonts w:ascii="Times New Roman;Times;serif" w:hAnsi="Times New Roman;Times;serif"/>
          <w:b/>
          <w:sz w:val="20"/>
        </w:rPr>
      </w:pPr>
      <w:bookmarkStart w:id="707" w:name="Item1ARiskFactors_449487"/>
      <w:bookmarkStart w:id="708" w:name="_a8eb2559_c937_4418_b82d_30913621db77"/>
      <w:bookmarkEnd w:id="707"/>
      <w:bookmarkEnd w:id="708"/>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2024, filed with the Securities and Exchange Commission on March 31, 2025. There have been no material changes to the risk factors described in that report.</w:t>
      </w:r>
    </w:p>
    <w:p>
      <w:pPr>
        <w:pStyle w:val="TextBody"/>
        <w:pBdr>
          <w:bottom w:val="single" w:sz="2" w:space="1" w:color="000000"/>
        </w:pBdr>
        <w:bidi w:val="0"/>
        <w:spacing w:before="0" w:after="180"/>
        <w:ind w:left="14" w:right="0" w:hanging="0"/>
        <w:jc w:val="left"/>
        <w:rPr>
          <w:rFonts w:ascii="Times New Roman;Times;serif" w:hAnsi="Times New Roman;Times;serif"/>
          <w:b/>
          <w:sz w:val="20"/>
        </w:rPr>
      </w:pPr>
      <w:bookmarkStart w:id="709" w:name="Item2UnregisteredSalesofEquitySecurities"/>
      <w:bookmarkStart w:id="710" w:name="_c8cc2d81_7ece_4bf4_bce7_2da030b5698f"/>
      <w:bookmarkEnd w:id="709"/>
      <w:bookmarkEnd w:id="710"/>
      <w:r>
        <w:rPr>
          <w:rFonts w:ascii="Times New Roman;Times;serif" w:hAnsi="Times New Roman;Times;serif"/>
          <w:b/>
          <w:sz w:val="20"/>
        </w:rPr>
        <w:t>Item 2.         Unregistered Sales of Equity Securities and Use of Proceeds</w:t>
      </w:r>
    </w:p>
    <w:p>
      <w:pPr>
        <w:pStyle w:val="TextBody"/>
        <w:pBdr/>
        <w:bidi w:val="0"/>
        <w:spacing w:before="0" w:after="180"/>
        <w:ind w:left="0" w:right="0" w:hanging="36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June 30, 2025.</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11" w:name="Item3DefaultsUponSeniorSecurities_390946"/>
      <w:bookmarkStart w:id="712" w:name="_5cddf7cf_2093_4785_815d_58718a4bc8e3"/>
      <w:bookmarkEnd w:id="711"/>
      <w:bookmarkEnd w:id="712"/>
      <w:r>
        <w:rPr>
          <w:rFonts w:ascii="Times New Roman;Times;serif" w:hAnsi="Times New Roman;Times;serif"/>
          <w:b/>
          <w:sz w:val="20"/>
        </w:rPr>
        <w:t>Item 3.         Defaults Upon Senior Securities</w:t>
      </w:r>
    </w:p>
    <w:p>
      <w:pPr>
        <w:pStyle w:val="TextBody"/>
        <w:bidi w:val="0"/>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13" w:name="Item4MineSafetyDisclosure_210061"/>
      <w:bookmarkStart w:id="714" w:name="_c9f5a87d_2511_4fae_b76f_f83061ab91e9"/>
      <w:bookmarkEnd w:id="713"/>
      <w:bookmarkEnd w:id="714"/>
      <w:r>
        <w:rPr>
          <w:rFonts w:ascii="Times New Roman;Times;serif" w:hAnsi="Times New Roman;Times;serif"/>
          <w:b/>
          <w:sz w:val="20"/>
        </w:rPr>
        <w:t>Item 4.         Mine Safety Disclosure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pBdr>
          <w:bottom w:val="single" w:sz="2" w:space="1" w:color="000000"/>
        </w:pBdr>
        <w:bidi w:val="0"/>
        <w:spacing w:before="0" w:after="240"/>
        <w:ind w:left="14" w:right="0" w:hanging="0"/>
        <w:jc w:val="left"/>
        <w:rPr>
          <w:rFonts w:ascii="Times New Roman;Times;serif" w:hAnsi="Times New Roman;Times;serif"/>
          <w:b/>
          <w:sz w:val="20"/>
        </w:rPr>
      </w:pPr>
      <w:bookmarkStart w:id="715" w:name="Item5OtherInformation_200318"/>
      <w:bookmarkStart w:id="716" w:name="_33341f3b_ee8a_4e40_a540_dfd122ab0a36"/>
      <w:bookmarkEnd w:id="715"/>
      <w:bookmarkEnd w:id="716"/>
      <w:r>
        <w:rPr>
          <w:rFonts w:ascii="Times New Roman;Times;serif" w:hAnsi="Times New Roman;Times;serif"/>
          <w:b/>
          <w:sz w:val="20"/>
        </w:rPr>
        <w:t>Item 5.         Other Information</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0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On August 8, 2025, the Board of Directors of the Company increased Juan Vera’s annual base salary from $400,000 to $440,000. Dr. Vera serves as the Company’s President, Chief Executive Officer and Treasurer.</w:t>
            </w:r>
          </w:p>
        </w:tc>
      </w:tr>
    </w:tbl>
    <w:tbl>
      <w:tblPr>
        <w:tblW w:w="977" w:type="dxa"/>
        <w:jc w:val="left"/>
        <w:tblInd w:w="0" w:type="dxa"/>
        <w:tblLayout w:type="fixed"/>
        <w:tblCellMar>
          <w:top w:w="0" w:type="dxa"/>
          <w:left w:w="0" w:type="dxa"/>
          <w:bottom w:w="0" w:type="dxa"/>
          <w:right w:w="0" w:type="dxa"/>
        </w:tblCellMar>
      </w:tblPr>
      <w:tblGrid>
        <w:gridCol w:w="346"/>
        <w:gridCol w:w="631"/>
      </w:tblGrid>
      <w:tr>
        <w:trPr/>
        <w:tc>
          <w:tcPr>
            <w:tcW w:w="3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6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None.</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i/>
                <w:sz w:val="20"/>
              </w:rPr>
              <w:t>Director and Officer Trading Plans and Arrangements</w:t>
            </w:r>
            <w:r>
              <w:rPr>
                <w:rFonts w:ascii="Times New Roman;Times;serif" w:hAnsi="Times New Roman;Times;serif"/>
                <w:sz w:val="20"/>
              </w:rPr>
              <w:t>. During the quarterly period ended June 30, 2025, no director or officer of the Company adopted or terminated any contract, instruction or written plan for the purchase or sale of securities of the Company intended to satisfy the affirmative defense conditions of Rule 10b5-1(c) of the Exchange Act or any “non-Rule 10b5-1 trading arrangement” (as defined in the Exchange Act).</w:t>
            </w:r>
          </w:p>
        </w:tc>
      </w:tr>
    </w:tbl>
    <w:p>
      <w:pPr>
        <w:pStyle w:val="TextBody"/>
        <w:pBdr/>
        <w:bidi w:val="0"/>
        <w:spacing w:before="0" w:after="0"/>
        <w:ind w:left="0" w:right="0" w:hanging="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pBdr>
          <w:bottom w:val="single" w:sz="2" w:space="1" w:color="000000"/>
        </w:pBdr>
        <w:bidi w:val="0"/>
        <w:spacing w:before="0" w:after="240"/>
        <w:ind w:left="0" w:right="0" w:hanging="0"/>
        <w:jc w:val="left"/>
        <w:rPr>
          <w:rFonts w:ascii="Times New Roman;Times;serif" w:hAnsi="Times New Roman;Times;serif"/>
          <w:b/>
          <w:sz w:val="20"/>
        </w:rPr>
      </w:pPr>
      <w:bookmarkStart w:id="717" w:name="Item6Exhibits_556633"/>
      <w:bookmarkStart w:id="718" w:name="_0fb54212_a8e8_41d8_8b37_7b23885f04a9"/>
      <w:bookmarkEnd w:id="717"/>
      <w:bookmarkEnd w:id="718"/>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76"/>
        <w:gridCol w:w="206"/>
        <w:gridCol w:w="4915"/>
        <w:gridCol w:w="206"/>
        <w:gridCol w:w="511"/>
        <w:gridCol w:w="206"/>
        <w:gridCol w:w="773"/>
        <w:gridCol w:w="206"/>
        <w:gridCol w:w="631"/>
        <w:gridCol w:w="206"/>
        <w:gridCol w:w="680"/>
        <w:gridCol w:w="206"/>
        <w:gridCol w:w="783"/>
      </w:tblGrid>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both"/>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 </w:t>
            </w:r>
          </w:p>
        </w:tc>
        <w:tc>
          <w:tcPr>
            <w:tcW w:w="206" w:type="dxa"/>
            <w:tcBorders/>
            <w:vAlign w:val="center"/>
          </w:tcPr>
          <w:p>
            <w:pPr>
              <w:pStyle w:val="TableContents"/>
              <w:bidi w:val="0"/>
              <w:spacing w:before="0" w:after="0"/>
              <w:ind w:left="0" w:right="0" w:hanging="0"/>
              <w:jc w:val="both"/>
              <w:rPr/>
            </w:pPr>
            <w:r>
              <w:rPr/>
              <w:t>​</w:t>
            </w:r>
          </w:p>
        </w:tc>
        <w:tc>
          <w:tcPr>
            <w:tcW w:w="232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vAlign w:val="center"/>
          </w:tcPr>
          <w:p>
            <w:pPr>
              <w:pStyle w:val="TableContents"/>
              <w:bidi w:val="0"/>
              <w:spacing w:before="0" w:after="0"/>
              <w:ind w:left="0" w:right="0" w:hanging="0"/>
              <w:jc w:val="both"/>
              <w:rPr/>
            </w:pPr>
            <w:r>
              <w:rPr/>
              <w:t>  </w:t>
            </w:r>
          </w:p>
        </w:tc>
        <w:tc>
          <w:tcPr>
            <w:tcW w:w="4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vAlign w:val="center"/>
          </w:tcPr>
          <w:p>
            <w:pPr>
              <w:pStyle w:val="TableContents"/>
              <w:bidi w:val="0"/>
              <w:spacing w:before="0" w:after="0"/>
              <w:ind w:left="0" w:right="0" w:hanging="0"/>
              <w:jc w:val="both"/>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vAlign w:val="center"/>
          </w:tcPr>
          <w:p>
            <w:pPr>
              <w:pStyle w:val="TableContents"/>
              <w:bidi w:val="0"/>
              <w:spacing w:before="0" w:after="0"/>
              <w:ind w:left="0" w:right="0" w:hanging="0"/>
              <w:jc w:val="both"/>
              <w:rPr/>
            </w:pPr>
            <w:r>
              <w:rPr/>
              <w:t>  </w:t>
            </w:r>
          </w:p>
        </w:tc>
        <w:tc>
          <w:tcPr>
            <w:tcW w:w="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vAlign w:val="center"/>
          </w:tcPr>
          <w:p>
            <w:pPr>
              <w:pStyle w:val="TableContents"/>
              <w:bidi w:val="0"/>
              <w:spacing w:before="0" w:after="0"/>
              <w:ind w:left="0" w:right="0" w:hanging="0"/>
              <w:jc w:val="both"/>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vAlign w:val="center"/>
          </w:tcPr>
          <w:p>
            <w:pPr>
              <w:pStyle w:val="TableContents"/>
              <w:bidi w:val="0"/>
              <w:spacing w:before="0" w:after="0"/>
              <w:ind w:left="0" w:right="0" w:hanging="0"/>
              <w:jc w:val="both"/>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vAlign w:val="center"/>
          </w:tcPr>
          <w:p>
            <w:pPr>
              <w:pStyle w:val="TableContents"/>
              <w:bidi w:val="0"/>
              <w:spacing w:before="0" w:after="0"/>
              <w:ind w:left="0" w:right="0" w:hanging="0"/>
              <w:jc w:val="both"/>
              <w:rPr/>
            </w:pPr>
            <w:r>
              <w:rPr/>
              <w:t>  </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5/27/2022</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1/26/2023</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630xex31d2.htm">
              <w:r>
                <w:rPr>
                  <w:rStyle w:val="InternetLink"/>
                  <w:rFonts w:ascii="Times New Roman;Times;serif" w:hAnsi="Times New Roman;Times;serif"/>
                  <w:b w:val="false"/>
                  <w:i w:val="false"/>
                  <w:caps w:val="false"/>
                  <w:smallCaps w:val="false"/>
                  <w:sz w:val="20"/>
                </w:rPr>
                <w:t>Certification of Chief Financial Officer pursuant to Securities Exchange Act of 1934 Rule 13a-14(a) or 15d-14a.</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630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r>
              <w:rPr/>
              <w:t>​</w:t>
            </w:r>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pPr>
            <w:r>
              <w:rPr/>
              <w:t>​</w:t>
            </w:r>
          </w:p>
        </w:tc>
      </w:tr>
      <w:tr>
        <w:trPr/>
        <w:tc>
          <w:tcPr>
            <w:tcW w:w="67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vAlign w:val="center"/>
          </w:tcPr>
          <w:p>
            <w:pPr>
              <w:pStyle w:val="TableContents"/>
              <w:bidi w:val="0"/>
              <w:spacing w:before="0" w:after="0"/>
              <w:ind w:left="0" w:right="0" w:hanging="0"/>
              <w:jc w:val="both"/>
              <w:rPr/>
            </w:pPr>
            <w:r>
              <w:rPr/>
              <w:t>​</w:t>
            </w:r>
          </w:p>
        </w:tc>
        <w:tc>
          <w:tcPr>
            <w:tcW w:w="4915" w:type="dxa"/>
            <w:tcBorders/>
            <w:vAlign w:val="center"/>
          </w:tcPr>
          <w:p>
            <w:pPr>
              <w:pStyle w:val="TableContents"/>
              <w:bidi w:val="0"/>
              <w:spacing w:before="0" w:after="0"/>
              <w:ind w:left="0" w:right="0" w:hanging="0"/>
              <w:jc w:val="both"/>
              <w:rPr/>
            </w:pPr>
            <w:hyperlink w:anchor="mrkr-20250630xex32d2.htm">
              <w:r>
                <w:rPr>
                  <w:rStyle w:val="InternetLink"/>
                  <w:rFonts w:ascii="Times New Roman;Times;serif" w:hAnsi="Times New Roman;Times;serif"/>
                  <w:b w:val="false"/>
                  <w:i w:val="false"/>
                  <w:caps w:val="false"/>
                  <w:smallCaps w:val="false"/>
                  <w:sz w:val="20"/>
                </w:rPr>
                <w:t>Certification of Chief Financial Officer pursuant to 18 U.S.C. 1350 as adopted pursuant to Section 906 of the Sarbanes-Oxley Act of 2002.</w:t>
              </w:r>
            </w:hyperlink>
          </w:p>
        </w:tc>
        <w:tc>
          <w:tcPr>
            <w:tcW w:w="206" w:type="dxa"/>
            <w:tcBorders/>
            <w:vAlign w:val="center"/>
          </w:tcPr>
          <w:p>
            <w:pPr>
              <w:pStyle w:val="TableContents"/>
              <w:bidi w:val="0"/>
              <w:spacing w:before="0" w:after="0"/>
              <w:ind w:left="0" w:right="0" w:hanging="0"/>
              <w:jc w:val="both"/>
              <w:rPr/>
            </w:pPr>
            <w:r>
              <w:rPr/>
              <w:t>​</w:t>
            </w:r>
          </w:p>
        </w:tc>
        <w:tc>
          <w:tcPr>
            <w:tcW w:w="51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73"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3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680"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both"/>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719" w:name="SIGNATURES_772915"/>
      <w:bookmarkStart w:id="720" w:name="SIGNATURES_208803"/>
      <w:bookmarkStart w:id="721" w:name="_04d32af0_0c5f_4745_9a58_6706d6b14bdf"/>
      <w:bookmarkEnd w:id="719"/>
      <w:bookmarkEnd w:id="720"/>
      <w:bookmarkEnd w:id="72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August 14, 2025</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vAlign w:val="center"/>
          </w:tcPr>
          <w:p>
            <w:pPr>
              <w:pStyle w:val="TableContents"/>
              <w:bidi w:val="0"/>
              <w:spacing w:before="0" w:after="0"/>
              <w:ind w:left="0" w:right="0" w:hanging="0"/>
              <w:jc w:val="both"/>
              <w:rPr/>
            </w:pPr>
            <w:r>
              <w:rPr/>
              <w:t>​</w:t>
            </w:r>
          </w:p>
        </w:tc>
        <w:tc>
          <w:tcPr>
            <w:tcW w:w="99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40"/>
        <w:ind w:left="0" w:right="0" w:hanging="0"/>
        <w:jc w:val="right"/>
        <w:rPr>
          <w:rFonts w:ascii="Times New Roman;Times;serif" w:hAnsi="Times New Roman;Times;serif"/>
          <w:b/>
          <w:sz w:val="20"/>
        </w:rPr>
      </w:pPr>
      <w:bookmarkStart w:id="722" w:name="mrkr-20250630xex31d1.htm"/>
      <w:bookmarkStart w:id="723" w:name="ksmrkr20250630xex31d1"/>
      <w:bookmarkEnd w:id="722"/>
      <w:bookmarkEnd w:id="72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4175" w:type="dxa"/>
        <w:jc w:val="left"/>
        <w:tblInd w:w="0" w:type="dxa"/>
        <w:tblLayout w:type="fixed"/>
        <w:tblCellMar>
          <w:top w:w="0" w:type="dxa"/>
          <w:left w:w="0" w:type="dxa"/>
          <w:bottom w:w="0" w:type="dxa"/>
          <w:right w:w="0" w:type="dxa"/>
        </w:tblCellMar>
      </w:tblPr>
      <w:tblGrid>
        <w:gridCol w:w="4021"/>
        <w:gridCol w:w="154"/>
      </w:tblGrid>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August 14, 2025</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w:t>
              <w:br/>
              <w:t>(Principal Executive Officer) </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4" w:name="mrkr-20250630xex31d2.htm"/>
      <w:bookmarkStart w:id="725" w:name="ksmrkr20250630xex31d2"/>
      <w:bookmarkEnd w:id="724"/>
      <w:bookmarkEnd w:id="72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6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 have reviewed this Quarterly Report on Form 10-Q of Marker Therapeutics, Inc.;</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4175" w:type="dxa"/>
        <w:jc w:val="left"/>
        <w:tblInd w:w="0" w:type="dxa"/>
        <w:tblLayout w:type="fixed"/>
        <w:tblCellMar>
          <w:top w:w="0" w:type="dxa"/>
          <w:left w:w="0" w:type="dxa"/>
          <w:bottom w:w="0" w:type="dxa"/>
          <w:right w:w="0" w:type="dxa"/>
        </w:tblCellMar>
      </w:tblPr>
      <w:tblGrid>
        <w:gridCol w:w="4021"/>
        <w:gridCol w:w="154"/>
      </w:tblGrid>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August 14, 2025</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40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Title: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Treasurer</w:t>
              <w:br/>
              <w:t>(Principal Financial and Accounting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6" w:name="mrkr-20250630xex32d1.htm"/>
      <w:bookmarkStart w:id="727" w:name="ksmrkr20250630xex32d1"/>
      <w:bookmarkEnd w:id="726"/>
      <w:bookmarkEnd w:id="727"/>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Chief Executive Officer of Marker Therapeutics, Inc. (the “Company”) hereby certifies, pursuant to 18 U.S.C. Section 1350, as adopted pursuant to Section 906 of the Sarbanes-Oxley Act of 2002, that, to the best of his knowledge, the Quarterly Report on Form 10-Q for the period ended June 30,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16" w:type="dxa"/>
        <w:jc w:val="left"/>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2025</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28" w:name="mrkr-20250630xex32d2.htm"/>
      <w:bookmarkStart w:id="729" w:name="ksmrkr20250630xex32d2"/>
      <w:bookmarkEnd w:id="728"/>
      <w:bookmarkEnd w:id="729"/>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Juan Vera, the Principal Financial Officer of Marker Therapeutics, Inc. (the “Company”) hereby certifies, pursuant to 18 U.S.C. Section 1350, as adopted pursuant to Section 906 of the Sarbanes-Oxley Act of 2002, that, to the best of his knowledge, the Quarterly Report on Form 10-Q for the period ended June 30, 2025,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716" w:type="dxa"/>
        <w:jc w:val="left"/>
        <w:tblInd w:w="0" w:type="dxa"/>
        <w:tblLayout w:type="fixed"/>
        <w:tblCellMar>
          <w:top w:w="0" w:type="dxa"/>
          <w:left w:w="0" w:type="dxa"/>
          <w:bottom w:w="0" w:type="dxa"/>
          <w:right w:w="0" w:type="dxa"/>
        </w:tblCellMar>
      </w:tblPr>
      <w:tblGrid>
        <w:gridCol w:w="556"/>
        <w:gridCol w:w="4006"/>
        <w:gridCol w:w="154"/>
      </w:tblGrid>
      <w:tr>
        <w:trPr/>
        <w:tc>
          <w:tcPr>
            <w:tcW w:w="556" w:type="dxa"/>
            <w:tcBorders/>
            <w:vAlign w:val="center"/>
          </w:tcPr>
          <w:p>
            <w:pPr>
              <w:pStyle w:val="TableContents"/>
              <w:bidi w:val="0"/>
              <w:spacing w:before="0" w:after="0"/>
              <w:ind w:left="0" w:right="0" w:hanging="0"/>
              <w:jc w:val="left"/>
              <w:rPr/>
            </w:pPr>
            <w:r>
              <w:rPr/>
              <w:t>​</w:t>
            </w:r>
          </w:p>
        </w:tc>
        <w:tc>
          <w:tcPr>
            <w:tcW w:w="400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14, 2025</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/s/ Juan Vera</w:t>
            </w:r>
          </w:p>
        </w:tc>
        <w:tc>
          <w:tcPr>
            <w:tcW w:w="154" w:type="dxa"/>
            <w:tcBorders/>
            <w:vAlign w:val="center"/>
          </w:tcPr>
          <w:p>
            <w:pPr>
              <w:pStyle w:val="TableContents"/>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top w:val="single" w:sz="2" w:space="0" w:color="000000"/>
            </w:tcBorders>
            <w:tcMar>
              <w:top w:w="28" w:type="dxa"/>
            </w:tcMar>
            <w:vAlign w:val="center"/>
          </w:tcPr>
          <w:p>
            <w:pPr>
              <w:pStyle w:val="TableContents"/>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Juan Vera</w:t>
            </w:r>
          </w:p>
        </w:tc>
        <w:tc>
          <w:tcPr>
            <w:tcW w:w="154" w:type="dxa"/>
            <w:tcBorders/>
            <w:vAlign w:val="center"/>
          </w:tcPr>
          <w:p>
            <w:pPr>
              <w:pStyle w:val="TableContents"/>
              <w:pBdr/>
              <w:bidi w:val="0"/>
              <w:spacing w:before="0" w:after="0"/>
              <w:ind w:left="0" w:right="0" w:hanging="0"/>
              <w:jc w:val="both"/>
              <w:rPr/>
            </w:pPr>
            <w:r>
              <w:rPr/>
              <w:t>​</w:t>
            </w:r>
          </w:p>
        </w:tc>
      </w:tr>
      <w:tr>
        <w:trPr/>
        <w:tc>
          <w:tcPr>
            <w:tcW w:w="556" w:type="dxa"/>
            <w:tcBorders/>
            <w:vAlign w:val="center"/>
          </w:tcPr>
          <w:p>
            <w:pPr>
              <w:pStyle w:val="TableContents"/>
              <w:pBdr/>
              <w:bidi w:val="0"/>
              <w:spacing w:before="0" w:after="0"/>
              <w:ind w:left="0" w:right="0" w:hanging="0"/>
              <w:jc w:val="both"/>
              <w:rPr/>
            </w:pPr>
            <w:r>
              <w:rPr/>
              <w:t>​</w:t>
            </w:r>
          </w:p>
        </w:tc>
        <w:tc>
          <w:tcPr>
            <w:tcW w:w="4006" w:type="dxa"/>
            <w:tcBorders/>
            <w:vAlign w:val="center"/>
          </w:tcPr>
          <w:p>
            <w:pPr>
              <w:pStyle w:val="TableContents"/>
              <w:pBdr/>
              <w:bidi w:val="0"/>
              <w:spacing w:before="0" w:after="0"/>
              <w:ind w:left="0" w:right="0" w:hanging="144"/>
              <w:jc w:val="both"/>
              <w:rPr>
                <w:rFonts w:ascii="Times New Roman;Times;serif" w:hAnsi="Times New Roman;Times;serif"/>
                <w:sz w:val="20"/>
              </w:rPr>
            </w:pPr>
            <w:r>
              <w:rPr>
                <w:rFonts w:ascii="Times New Roman;Times;serif" w:hAnsi="Times New Roman;Times;serif"/>
                <w:sz w:val="20"/>
              </w:rPr>
              <w:t>President, Chief Executive Officer and Treasurer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pBdr/>
              <w:bidi w:val="0"/>
              <w:spacing w:before="0" w:after="0"/>
              <w:ind w:left="0" w:right="0" w:hanging="144"/>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094038/000114420418054209/tv504951_ex3-4.htm" TargetMode="External"/><Relationship Id="rId6" Type="http://schemas.openxmlformats.org/officeDocument/2006/relationships/hyperlink" Target="https://www.sec.gov/Archives/edgar/data/1094038/000119312522162322/d480537dex31.htm" TargetMode="External"/><Relationship Id="rId7" Type="http://schemas.openxmlformats.org/officeDocument/2006/relationships/hyperlink" Target="https://www.sec.gov/Archives/edgar/data/1094038/000110465923007019/tm234466d1_ex3-1.htm" TargetMode="External"/><Relationship Id="rId8" Type="http://schemas.openxmlformats.org/officeDocument/2006/relationships/hyperlink" Target="https://www.sec.gov/Archives/edgar/data/1094038/000114420418054209/tv504951_ex3-6.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17655</Words>
  <Characters>97171</Characters>
  <CharactersWithSpaces>115794</CharactersWithSpaces>
  <Paragraphs>3449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