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Under Section 13 or 15(d) of the Securities Exchange Act of 1934 for the quarterly period ended September 30, 2023</w:t>
      </w:r>
    </w:p>
    <w:p>
      <w:pPr>
        <w:spacing w:after="0" w:line="154" w:lineRule="exact"/>
        <w:rPr>
          <w:sz w:val="24"/>
          <w:szCs w:val="24"/>
          <w:color w:val="auto"/>
        </w:rPr>
      </w:pPr>
    </w:p>
    <w:p>
      <w:pPr>
        <w:ind w:left="3720" w:right="1140" w:hanging="3712"/>
        <w:spacing w:after="0" w:line="469" w:lineRule="auto"/>
        <w:tabs>
          <w:tab w:leader="none" w:pos="269"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-20955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6"/>
                <w:szCs w:val="16"/>
                <w:b w:val="1"/>
                <w:bCs w:val="1"/>
                <w:color w:val="auto"/>
                <w:w w:val="99"/>
              </w:rPr>
              <w:t>DELAWARE</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1936"/>
              <w:spacing w:after="0"/>
              <w:rPr>
                <w:sz w:val="20"/>
                <w:szCs w:val="20"/>
                <w:color w:val="auto"/>
              </w:rPr>
            </w:pPr>
            <w:r>
              <w:rPr>
                <w:rFonts w:ascii="Arial" w:cs="Arial" w:eastAsia="Arial" w:hAnsi="Arial"/>
                <w:sz w:val="16"/>
                <w:szCs w:val="16"/>
                <w:b w:val="1"/>
                <w:bCs w:val="1"/>
                <w:color w:val="auto"/>
              </w:rPr>
              <w:t>45-4497941</w:t>
            </w:r>
          </w:p>
        </w:tc>
        <w:tc>
          <w:tcPr>
            <w:tcW w:w="20" w:type="dxa"/>
            <w:vAlign w:val="bottom"/>
            <w:tcBorders>
              <w:bottom w:val="single" w:sz="8" w:color="auto"/>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60" w:type="dxa"/>
            <w:vAlign w:val="bottom"/>
            <w:gridSpan w:val="4"/>
          </w:tcPr>
          <w:p>
            <w:pPr>
              <w:jc w:val="center"/>
              <w:ind w:right="980"/>
              <w:spacing w:after="0"/>
              <w:rPr>
                <w:sz w:val="20"/>
                <w:szCs w:val="20"/>
                <w:color w:val="auto"/>
              </w:rPr>
            </w:pPr>
            <w:r>
              <w:rPr>
                <w:rFonts w:ascii="Arial" w:cs="Arial" w:eastAsia="Arial" w:hAnsi="Arial"/>
                <w:sz w:val="16"/>
                <w:szCs w:val="16"/>
                <w:color w:val="auto"/>
                <w:w w:val="95"/>
              </w:rPr>
              <w:t>(I.R.S. Employer Identification No.)</w:t>
            </w:r>
          </w:p>
        </w:tc>
      </w:tr>
      <w:tr>
        <w:trPr>
          <w:trHeight w:val="563"/>
        </w:trPr>
        <w:tc>
          <w:tcPr>
            <w:tcW w:w="20" w:type="dxa"/>
            <w:vAlign w:val="bottom"/>
          </w:tcPr>
          <w:p>
            <w:pPr>
              <w:spacing w:after="0"/>
              <w:rPr>
                <w:sz w:val="24"/>
                <w:szCs w:val="24"/>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b w:val="1"/>
                <w:bCs w:val="1"/>
                <w:color w:val="auto"/>
                <w:w w:val="93"/>
              </w:rPr>
              <w:t>9350 Kirby Drive, Suite 300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6"/>
                <w:szCs w:val="16"/>
                <w:b w:val="1"/>
                <w:bCs w:val="1"/>
                <w:color w:val="auto"/>
                <w:w w:val="87"/>
              </w:rPr>
              <w:t>Houston, Texas</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3"/>
          </w:tcPr>
          <w:p>
            <w:pPr>
              <w:jc w:val="right"/>
              <w:ind w:right="2116"/>
              <w:spacing w:after="0"/>
              <w:rPr>
                <w:sz w:val="20"/>
                <w:szCs w:val="20"/>
                <w:color w:val="auto"/>
              </w:rPr>
            </w:pPr>
            <w:r>
              <w:rPr>
                <w:rFonts w:ascii="Arial" w:cs="Arial" w:eastAsia="Arial" w:hAnsi="Arial"/>
                <w:sz w:val="16"/>
                <w:szCs w:val="16"/>
                <w:b w:val="1"/>
                <w:bCs w:val="1"/>
                <w:color w:val="auto"/>
              </w:rPr>
              <w:t>77054</w:t>
            </w:r>
          </w:p>
        </w:tc>
        <w:tc>
          <w:tcPr>
            <w:tcW w:w="20" w:type="dxa"/>
            <w:vAlign w:val="bottom"/>
            <w:tcBorders>
              <w:bottom w:val="single" w:sz="8" w:color="auto"/>
            </w:tcBorders>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20" w:type="dxa"/>
            <w:vAlign w:val="bottom"/>
            <w:gridSpan w:val="3"/>
          </w:tcPr>
          <w:p>
            <w:pPr>
              <w:jc w:val="center"/>
              <w:ind w:left="338"/>
              <w:spacing w:after="0"/>
              <w:rPr>
                <w:sz w:val="20"/>
                <w:szCs w:val="20"/>
                <w:color w:val="auto"/>
              </w:rPr>
            </w:pPr>
            <w:r>
              <w:rPr>
                <w:rFonts w:ascii="Arial" w:cs="Arial" w:eastAsia="Arial" w:hAnsi="Arial"/>
                <w:sz w:val="16"/>
                <w:szCs w:val="16"/>
                <w:color w:val="auto"/>
                <w:w w:val="93"/>
              </w:rPr>
              <w:t>(Address of principal executive offices)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2"/>
          </w:tcPr>
          <w:p>
            <w:pPr>
              <w:jc w:val="center"/>
              <w:ind w:right="1400"/>
              <w:spacing w:after="0"/>
              <w:rPr>
                <w:sz w:val="20"/>
                <w:szCs w:val="20"/>
                <w:color w:val="auto"/>
              </w:rPr>
            </w:pPr>
            <w:r>
              <w:rPr>
                <w:rFonts w:ascii="Arial" w:cs="Arial" w:eastAsia="Arial" w:hAnsi="Arial"/>
                <w:sz w:val="16"/>
                <w:szCs w:val="16"/>
                <w:color w:val="auto"/>
                <w:w w:val="95"/>
              </w:rPr>
              <w:t>(Zip Code)</w:t>
            </w:r>
          </w:p>
        </w:tc>
      </w:tr>
      <w:tr>
        <w:trPr>
          <w:trHeight w:val="557"/>
        </w:trPr>
        <w:tc>
          <w:tcPr>
            <w:tcW w:w="3820" w:type="dxa"/>
            <w:vAlign w:val="bottom"/>
            <w:gridSpan w:val="2"/>
          </w:tcPr>
          <w:p>
            <w:pPr>
              <w:jc w:val="center"/>
              <w:ind w:left="979"/>
              <w:spacing w:after="0"/>
              <w:rPr>
                <w:sz w:val="20"/>
                <w:szCs w:val="20"/>
                <w:color w:val="auto"/>
              </w:rPr>
            </w:pPr>
            <w:r>
              <w:rPr>
                <w:rFonts w:ascii="Arial" w:cs="Arial" w:eastAsia="Arial" w:hAnsi="Arial"/>
                <w:sz w:val="16"/>
                <w:szCs w:val="16"/>
                <w:b w:val="1"/>
                <w:bCs w:val="1"/>
                <w:color w:val="auto"/>
                <w:w w:val="91"/>
              </w:rPr>
              <w:t>(713) 400-6400</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4420" w:type="dxa"/>
            <w:vAlign w:val="bottom"/>
            <w:tcBorders>
              <w:top w:val="single" w:sz="8" w:color="auto"/>
            </w:tcBorders>
            <w:gridSpan w:val="3"/>
          </w:tcPr>
          <w:p>
            <w:pPr>
              <w:jc w:val="center"/>
              <w:ind w:left="338"/>
              <w:spacing w:after="0"/>
              <w:rPr>
                <w:sz w:val="20"/>
                <w:szCs w:val="20"/>
                <w:color w:val="auto"/>
              </w:rPr>
            </w:pPr>
            <w:r>
              <w:rPr>
                <w:rFonts w:ascii="Arial" w:cs="Arial" w:eastAsia="Arial" w:hAnsi="Arial"/>
                <w:sz w:val="16"/>
                <w:szCs w:val="16"/>
                <w:color w:val="auto"/>
                <w:w w:val="90"/>
              </w:rPr>
              <w:t>(Issuer’s telephone number)</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20" w:type="dxa"/>
            <w:vAlign w:val="bottom"/>
          </w:tcPr>
          <w:p>
            <w:pPr>
              <w:spacing w:after="0"/>
              <w:rPr>
                <w:sz w:val="24"/>
                <w:szCs w:val="24"/>
                <w:color w:val="auto"/>
              </w:rPr>
            </w:pPr>
          </w:p>
        </w:tc>
        <w:tc>
          <w:tcPr>
            <w:tcW w:w="44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w w:val="96"/>
              </w:rPr>
              <w:t>4551 Kennedy Commerce Drive, Houston, Texas, 77032</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040" w:type="dxa"/>
            <w:vAlign w:val="bottom"/>
            <w:gridSpan w:val="6"/>
          </w:tcPr>
          <w:p>
            <w:pPr>
              <w:ind w:left="320"/>
              <w:spacing w:after="0"/>
              <w:rPr>
                <w:sz w:val="20"/>
                <w:szCs w:val="20"/>
                <w:color w:val="auto"/>
              </w:rPr>
            </w:pPr>
            <w:r>
              <w:rPr>
                <w:rFonts w:ascii="Arial" w:cs="Arial" w:eastAsia="Arial" w:hAnsi="Arial"/>
                <w:sz w:val="16"/>
                <w:szCs w:val="16"/>
                <w:color w:val="auto"/>
                <w:w w:val="98"/>
              </w:rPr>
              <w:t>(Former name, former address and former fiscal year, if changed since last report)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9"/>
        </w:trPr>
        <w:tc>
          <w:tcPr>
            <w:tcW w:w="444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420" w:type="dxa"/>
            <w:vAlign w:val="bottom"/>
            <w:gridSpan w:val="3"/>
          </w:tcPr>
          <w:p>
            <w:pPr>
              <w:ind w:left="136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Trading Symbol(s)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8"/>
              </w:rPr>
              <w:t>Common Stock, par value $0.001 per share</w:t>
            </w:r>
          </w:p>
        </w:tc>
        <w:tc>
          <w:tcPr>
            <w:tcW w:w="1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6"/>
                <w:szCs w:val="16"/>
                <w:color w:val="auto"/>
                <w:w w:val="97"/>
              </w:rPr>
              <w:t>MRKR</w:t>
            </w: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20" w:type="dxa"/>
            <w:vAlign w:val="bottom"/>
          </w:tcPr>
          <w:p>
            <w:pPr>
              <w:spacing w:after="0"/>
              <w:rPr>
                <w:sz w:val="19"/>
                <w:szCs w:val="19"/>
                <w:color w:val="auto"/>
              </w:rPr>
            </w:pPr>
          </w:p>
        </w:tc>
      </w:tr>
    </w:tbl>
    <w:p>
      <w:pPr>
        <w:spacing w:after="0" w:line="70"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94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6"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right="1620"/>
        <w:spacing w:after="0" w:line="29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7, 2023, the Company had 8,889,020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706755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and December 31, 2022</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for the three and nine months ended September 30, 2023 and</w:t>
            </w:r>
          </w:p>
        </w:tc>
        <w:tc>
          <w:tcPr>
            <w:tcW w:w="940" w:type="dxa"/>
            <w:vAlign w:val="bottom"/>
            <w:tcBorders>
              <w:bottom w:val="single" w:sz="8" w:color="CCEEFF"/>
            </w:tcBorders>
            <w:shd w:val="clear" w:color="auto" w:fill="CCEEFF"/>
          </w:tcPr>
          <w:p>
            <w:pPr>
              <w:spacing w:after="0"/>
              <w:rPr>
                <w:sz w:val="15"/>
                <w:szCs w:val="15"/>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84"/>
              </w:rPr>
              <w:t>2022</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Stockholders’ Equity for the three and nine months ended September 30,</w:t>
            </w: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2023 and 2022</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3"/>
              </w:rPr>
              <w:t>Condensed Consolidated Statements of Cash Flows for the nine months ended September 30, 2023 and 2022</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1,849,239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585,840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19,486,567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17,802,929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19,486,567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34,422,184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Related party payable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367,915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Current liabilities of 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7,039,338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00"/>
              <w:spacing w:after="0" w:line="201" w:lineRule="exact"/>
              <w:rPr>
                <w:sz w:val="20"/>
                <w:szCs w:val="20"/>
                <w:color w:val="auto"/>
              </w:rPr>
            </w:pPr>
            <w:r>
              <w:rPr>
                <w:rFonts w:ascii="Arial" w:cs="Arial" w:eastAsia="Arial" w:hAnsi="Arial"/>
                <w:sz w:val="18"/>
                <w:szCs w:val="18"/>
                <w:color w:val="auto"/>
                <w:w w:val="92"/>
              </w:rPr>
              <w:t>Preferred stock, $0.001 par value, 5 million shares authorized, 0 shares issued and outstanding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220"/>
              <w:spacing w:after="0"/>
              <w:rPr>
                <w:sz w:val="20"/>
                <w:szCs w:val="20"/>
                <w:color w:val="auto"/>
              </w:rPr>
            </w:pPr>
            <w:r>
              <w:rPr>
                <w:rFonts w:ascii="Arial" w:cs="Arial" w:eastAsia="Arial" w:hAnsi="Arial"/>
                <w:sz w:val="18"/>
                <w:szCs w:val="18"/>
                <w:color w:val="auto"/>
              </w:rPr>
              <w:t>at September 30, 2023 and December 31, 2022, respectively</w:t>
            </w:r>
          </w:p>
        </w:tc>
        <w:tc>
          <w:tcPr>
            <w:tcW w:w="1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Common stock, $0.001 par value, 30 million shares authorized, 8.8 million and 8.4 million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shares issued and outstanding as of September 30, 2023 and December 31, 2022,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(see Note 10)</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450,181,012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447,641,680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(433,482,797)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(428,049,049)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16,707,103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19,601,037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19,486,567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34,422,184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26, 2023, the Company effected a one-for-ten (1-for-10) reverse stock split of its common stock and a corresponding reduction in the total number of authorized shares of its common stock from 300,000,000 to 30,000,000. All historical share and per share amounts reflected in this report have been adjusted to reflect the reverse stock split.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For the Three Months Ended</w:t>
            </w:r>
          </w:p>
        </w:tc>
        <w:tc>
          <w:tcPr>
            <w:tcW w:w="14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257,606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999,571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2,254,601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999,571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2,254,601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2,044,980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3,591,897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1,412,672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3,234,133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6,098,716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3,457,652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6,826,030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13,898,188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19,506,736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(3,200,046)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(5,826,459)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(11,643,587)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(16,752,335)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Arbitration settlement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(2,981,961)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(5,726,709)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(11,305,768)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(16,732,562)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(1,192,874)</w:t>
            </w: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(2,922,406)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(9,341,717)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disposal of discontinued operations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(1,192,874)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5,872,020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(2,981,961)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(6,919,583)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(5,433,748)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(26,074,279)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Loss from continuing operations,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Income (loss) from discontinued operations, basic</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100"/>
              <w:spacing w:after="0"/>
              <w:rPr>
                <w:sz w:val="20"/>
                <w:szCs w:val="20"/>
                <w:color w:val="auto"/>
              </w:rPr>
            </w:pPr>
            <w:r>
              <w:rPr>
                <w:rFonts w:ascii="Arial" w:cs="Arial" w:eastAsia="Arial" w:hAnsi="Arial"/>
                <w:sz w:val="18"/>
                <w:szCs w:val="18"/>
                <w:color w:val="auto"/>
              </w:rPr>
              <w:t>Income (loss) from discontinued operations, diluted</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0.66</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Net loss per share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8,825,881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8,359,920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8,782,340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8,343,477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8,825,881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8,359,920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8,834,512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8,343,477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26, 2023, the Company effected a one-for-ten (1-for-10) reverse stock split of its common stock. All historical share and per share amounts reflected in this report have been adjusted to reflect the reverse stock split.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 September 30, 2023</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180" w:type="dxa"/>
            <w:vAlign w:val="bottom"/>
            <w:gridSpan w:val="4"/>
            <w:vMerge w:val="restart"/>
          </w:tcPr>
          <w:p>
            <w:pPr>
              <w:jc w:val="right"/>
              <w:ind w:right="5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8,799,173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449,526,789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(430,500,836)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19,034,752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w w:val="99"/>
              </w:rPr>
              <w:t>Issuance of common stock from exercise of</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24,774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Shares   purchased   pursuant   to   ATM</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agreeement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(2,981,961)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8,889,020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450,181,012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(433,482,797)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16,707,103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3"/>
              </w:rPr>
              <w:t>For the Nine Months Ended September 30,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180" w:type="dxa"/>
            <w:vAlign w:val="bottom"/>
            <w:gridSpan w:val="4"/>
            <w:vMerge w:val="restart"/>
          </w:tcPr>
          <w:p>
            <w:pPr>
              <w:jc w:val="right"/>
              <w:ind w:right="5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8,405,771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447,641,680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(428,049,049)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19,601,037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rPr>
              <w:t>Shares  purchased  pursuant  to  ATM  and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Lincoln Park agreeements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277,834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1,014,363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1,014,640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as commitment</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fee for future financing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180,410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w w:val="99"/>
              </w:rPr>
              <w:t>Issuance of common stock from exercise of</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25,118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(5,433,748)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(5,433,748)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Fractional shares adjustment due to reverse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split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8,889,020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450,181,012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(433,482,797)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16,707,103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3"/>
              </w:rPr>
              <w:t>For the Three Months Ended September 30, 2022</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180" w:type="dxa"/>
            <w:vAlign w:val="bottom"/>
            <w:gridSpan w:val="4"/>
            <w:vMerge w:val="restart"/>
          </w:tcPr>
          <w:p>
            <w:pPr>
              <w:jc w:val="right"/>
              <w:ind w:right="5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8,359,919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445,290,964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(417,273,051)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1,495,032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(6,919,583)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8,359,919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446,785,996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(424,192,634)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3"/>
              </w:rPr>
              <w:t>For the Nine Months Ended September 30, 2022</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180" w:type="dxa"/>
            <w:vAlign w:val="bottom"/>
            <w:gridSpan w:val="4"/>
            <w:vMerge w:val="restart"/>
          </w:tcPr>
          <w:p>
            <w:pPr>
              <w:jc w:val="right"/>
              <w:ind w:right="535"/>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8,307,868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442,095,642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(398,118,355)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43,985,595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Issuance common shares for cash, net</w:t>
            </w:r>
          </w:p>
        </w:tc>
        <w:tc>
          <w:tcPr>
            <w:tcW w:w="920" w:type="dxa"/>
            <w:vAlign w:val="bottom"/>
          </w:tcPr>
          <w:p>
            <w:pPr>
              <w:jc w:val="right"/>
              <w:spacing w:after="0"/>
              <w:rPr>
                <w:sz w:val="20"/>
                <w:szCs w:val="20"/>
                <w:color w:val="auto"/>
              </w:rPr>
            </w:pPr>
            <w:r>
              <w:rPr>
                <w:rFonts w:ascii="Arial" w:cs="Arial" w:eastAsia="Arial" w:hAnsi="Arial"/>
                <w:sz w:val="18"/>
                <w:szCs w:val="18"/>
                <w:color w:val="auto"/>
              </w:rPr>
              <w:t>14,800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(26,074,279)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(26,074,279)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8,359,919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446,785,996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(424,192,634)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22,601,722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26, 2023, the Company effected a one-for-ten (1-for-10) reverse stock split of its common stock. All historical share and per share amounts reflected in this report have been adjusted to reflect the reverse stock split.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32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(5,433,748)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(26,074,279)</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gain (loss)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(9,341,717)</w:t>
            </w:r>
          </w:p>
        </w:tc>
      </w:tr>
      <w:tr>
        <w:trPr>
          <w:trHeight w:val="209"/>
        </w:trPr>
        <w:tc>
          <w:tcPr>
            <w:tcW w:w="7340" w:type="dxa"/>
            <w:vAlign w:val="bottom"/>
          </w:tcPr>
          <w:p>
            <w:pPr>
              <w:ind w:left="120"/>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(11,305,768)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(16,732,562)</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2,921,765</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lease termination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(278,681)</w:t>
            </w: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(204,222)</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(1,680,782)</w:t>
            </w: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(289,148)</w:t>
            </w:r>
          </w:p>
        </w:tc>
      </w:tr>
      <w:tr>
        <w:trPr>
          <w:trHeight w:val="216"/>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(1,146,186)</w:t>
            </w:r>
          </w:p>
        </w:tc>
      </w:tr>
      <w:tr>
        <w:trPr>
          <w:trHeight w:val="209"/>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 - continuing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(17,409,816)</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Net cash used in operating activities - discontinued operations</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(6,035,961)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(3,256,915)</w:t>
            </w:r>
          </w:p>
        </w:tc>
      </w:tr>
      <w:tr>
        <w:trPr>
          <w:trHeight w:val="210"/>
        </w:trPr>
        <w:tc>
          <w:tcPr>
            <w:tcW w:w="73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(14,072,377)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(20,666,731)</w:t>
            </w: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 -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18,664,122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(4,817,794)</w:t>
            </w:r>
          </w:p>
        </w:tc>
      </w:tr>
      <w:tr>
        <w:trPr>
          <w:trHeight w:val="209"/>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18,664,122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(4,817,794)</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63,573</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 options exercise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1,099,982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63,573</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(25,420,952)</w:t>
            </w: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11,782,172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43,497,331</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17,473,899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18,076,379</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licensed the underlying technology for multiTAA-specific T cell therapy from Baylor College of Medicine (“BCM”) in March 2018. BCM had utilized the therapy in seven exploratory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advancing three product candidates as part of its multiTAA-specific T cell program for:</w:t>
      </w:r>
    </w:p>
    <w:p>
      <w:pPr>
        <w:spacing w:after="0" w:line="225"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(“AML”),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current clinical development programs are:</w:t>
      </w:r>
    </w:p>
    <w:p>
      <w:pPr>
        <w:spacing w:after="0" w:line="225"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MT-401 for the treatment of post-transplant AML,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MT-401-OTS for the treatment of AML,</w:t>
      </w:r>
    </w:p>
    <w:p>
      <w:pPr>
        <w:spacing w:after="0" w:line="9" w:lineRule="exact"/>
        <w:rPr>
          <w:rFonts w:ascii="Arial" w:cs="Arial" w:eastAsia="Arial" w:hAnsi="Arial"/>
          <w:sz w:val="18"/>
          <w:szCs w:val="18"/>
          <w:color w:val="auto"/>
        </w:rPr>
      </w:pPr>
    </w:p>
    <w:p>
      <w:pPr>
        <w:ind w:left="680" w:hanging="321"/>
        <w:spacing w:after="0" w:line="236"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MT-601 for the treatment of lymphoma, and</w:t>
      </w: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MT-601 for the treatment of pancreatic cancer </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is currently undertaking a strategic review of its clinical development programs, including with respect to clinical trial initiation and readout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Purchase Agreement with Cell Ready</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1568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6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advancement will be pending additional financial support from non-dilutive grant activities.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92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(“ASC”) 205-20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and prior comparative periods have been retroactively adjusted to reflect the current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Reverse Stock Split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condensed consolidated financial statements have been retrospectively adjusted to reflect the effect of the Reverse Stock Split for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Organizational Changes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May 2023 and June 2023, the Company implemented changes to its organizational structure as part of an operational cost reduction plan and reorganization plan due to the transaction with Cell Ready.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Effective May 1, 2023, the Company’s board of directors appointed Dr. Vera as the Company’s Chief Executive Officer.</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June 30, 2023, the board of directors appointed Eliot M. Lurier as the Company’s Interim Chief Financial Officer. Mr. Lurier provides consulting services to the Company pursuant to a consulting agreement between the Company and Danforth Advisors, LLC and receives no compensation directly from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 (see Note 6 for information on discontinued operations).</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for the unaudited condensed consolidated statement of operations are not necessarily indicative of results to be expected for the year ending December 31, 2023, or for any future interim period. The condensed consolidated balance sheet at December 31, 2022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2022 and notes thereto included in the Company’s annual report on Form 10-K filed on March 22,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September 30, 2023, the Company had cash and cash equivalents of approximately $17.5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w:t>
      </w:r>
    </w:p>
    <w:p>
      <w:pPr>
        <w:sectPr>
          <w:pgSz w:w="11900" w:h="16838" w:orient="portrait"/>
          <w:cols w:equalWidth="0" w:num="1">
            <w:col w:w="9900"/>
          </w:cols>
          <w:pgMar w:left="980" w:top="517" w:right="101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develop strategic alliances and collaborations. From inception, the Company has been funded by a combination of equity and debt financing.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August 2021, the Company entered a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“ATM Agreement”) with Cantor Fitzgerald</w:t>
      </w:r>
    </w:p>
    <w:p>
      <w:pPr>
        <w:ind w:firstLine="8"/>
        <w:spacing w:after="0" w:line="286"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During the nine months ended September 30, 2023, the Company sold 265,334 shares of its common stock under the ATM Agreement for proceeds of $1.0 million (see Note 10).</w:t>
      </w:r>
    </w:p>
    <w:p>
      <w:pPr>
        <w:spacing w:after="0" w:line="16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$6.9 million of funds from the CPRIT grant. The Company recorded $0.2 million and $2.0 million of grant income related to the CPRIT grant as revenue for the three and nine months ended September 30, 2023, respectively.</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September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$0.0 million and $0.2 million of grant income related to the FDA grant as revenue for the three and nine months ended September 30, 2023, respectively.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2022, the Company entered into a purchase agreement (the “Purchase Agreement”) with Lincoln Park Capital Fund, LLC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During the nine months ended September 30, 2023, The Company sold 12,500 shares of its common stock under the Lincoln Park agreement for proceeds of $33,000 (See Note 10).</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described in Note 1, on June 26, 2023, the Company completed the previously announced transaction with Cell Ready pursuant to the Cell Ready Purchase Agreement. Pursuant to the Cell Ready Purchase Agreement, effective as of the Closing Date, the Company (i) assigned to Cell Ready the leases for the Manufacturing Facilities, (ii) sold to Cell Ready all of the equipment and leasehold improvements at the Manufacturing Facilities and (iii) assigned to Cell Ready its rights, title and interest in the Company’s MSA, dated April 7, 2023, by and between the Company, Cell Ready and Indapta Therapeutics, Inc., as well as its rights, title and interest in any contracts related to the equipment and Manufacturing Facilities (collectively, the “Purchased Assets”). Following the Closing Date, the Company and Cell Ready have agreed to enter a long-term contract pursuant to which Cell Ready will perform a wide variety of services for the Company, including research and development, manufacturing, and regulatory activity in support of the Company’s clinical trials. The terms of the agreement were not yet finalized by September 30, 2023 and, therefore, the parties have not executed such an agreement.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spacing w:after="0" w:line="16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will require substantial expenditures to complete, and may ultimately be unsuccessful. Any delays in completing these activities could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adversely impact the Company. The Company plans to meet its capital requirements primarily through the issuance of debt and equity securities and, in the longer term, revenue from sales of its product candidates, if approved.</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and cash equivalents as of September 30, 2023, will enable the Company to fund its operating expenses and capital expenditure requirements into the second half of 2025. Prior to the Cell Ready transaction, there was substantial doubt regarding the Company’s ability to continue as a going concern, which was alleviated by the proceeds from the transaction.</w:t>
      </w:r>
    </w:p>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based this estimate on assumptions that may prove to be wrong, and the Company could utilize its available capital resources sooner than it currently expects. Furthermore, the Company’s operating plan may change, and it may need additional funds sooner than planned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6"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continues the research and development of its product candidates and seeks to discover additional product candidates;</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680" w:right="320" w:hanging="321"/>
        <w:spacing w:after="0" w:line="250"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enters into contract manufacturing arrangements with Cell Ready or other contract manufacturing organizations for clinical manufacturing supply;</w:t>
      </w:r>
    </w:p>
    <w:p>
      <w:pPr>
        <w:ind w:left="680" w:right="920" w:hanging="321"/>
        <w:spacing w:after="0" w:line="250"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establishes third-party manufacturing capabilities to commercialize any product candidates that may receive regulatory approval;</w:t>
      </w: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680" w:right="280" w:hanging="321"/>
        <w:spacing w:after="0" w:line="323"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does not have sufficient sources of revenue to provide incoming cash flows to sustain its future operations. As outlined above, its ability to pursue its long-term planned business activities is dependent upon its successful efforts to raise additional capital and grant income.</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These consolidated financial statements include the accounts of the Company and its wholly-owned subsidiaries, Marker Cell Therapy, Inc. and GeneMax Pharmaceuticals Inc., a dormant subsidiary that wholly owns GeneMax Pharmaceuticals Canada, Inc. All significant intercompany balances and transactions are eliminated upon consolidation (see Note 6 for information on discontinued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may differ from those estimates.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research and development expense, stock-based compensation expense, and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instruments with a maturity date of three months or less, when acquired,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Federal Deposit Insurance Corporation (the “FDIC”) insurance limits are $250,000 per depositor per insured bank. The Company had cash balances of $17.2 million and $11.5 million uninsured by the FDIC as of September 30, 2023 and December 31,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to those previously disclosed in the Annual Report on Form 10-K for the year ended December 31, 2022 filed on March 22,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nine months ended September 30, 2023 and 2022,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(2,981,961)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(5,726,709)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(11,305,768)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(16,732,562)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(1,192,874)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(2,981,961)</w:t>
            </w: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(6,919,583)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(5,433,748)</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(26,074,279)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8,825,881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8,359,920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8,782,340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 average common shares outstanding, diluted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8,825,881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8,359,920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8,834,512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8,343,477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Net earnings (loss) per share: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 basic</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from discontinued operations, diluted</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(0.83)</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(3.13)</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For the Three Months Ended</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71"/>
        </w:trPr>
        <w:tc>
          <w:tcPr>
            <w:tcW w:w="6120" w:type="dxa"/>
            <w:vAlign w:val="bottom"/>
          </w:tcPr>
          <w:p>
            <w:pPr>
              <w:spacing w:after="0"/>
              <w:rPr>
                <w:sz w:val="14"/>
                <w:szCs w:val="14"/>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82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748,000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996,000</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purchase warrants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1,848,000</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1,848,000</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1,848,000</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1,848,000</w:t>
            </w:r>
          </w:p>
        </w:tc>
      </w:tr>
      <w:tr>
        <w:trPr>
          <w:trHeight w:val="209"/>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2,648,000</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2,844,000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2,596,000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2,844,000</w:t>
            </w:r>
          </w:p>
        </w:tc>
      </w:tr>
      <w:tr>
        <w:trPr>
          <w:trHeight w:val="20"/>
        </w:trPr>
        <w:tc>
          <w:tcPr>
            <w:tcW w:w="6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DISCONTINUED OPERATIONS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discussed in Note 1, on June 26, 2023, the Company completed the previously announced transaction with Cell Ready for cash consideration of $19.0 million, resulting in derecognition of the Purchased Assets and a gain on sale of approximately $8.8 million.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assets and liabilities classified in discontinued operations as of September 30, 2023 and December 31, 2022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8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September 30, 2023</w:t>
            </w:r>
          </w:p>
        </w:tc>
        <w:tc>
          <w:tcPr>
            <w:tcW w:w="232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current assets of discontinued operations</w:t>
            </w: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12,323,143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Right of use assets</w:t>
            </w: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5,479,786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non-current assets of discontinued operations</w:t>
            </w:r>
          </w:p>
        </w:tc>
        <w:tc>
          <w:tcPr>
            <w:tcW w:w="6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17,802,929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 assets of discontinued operations</w:t>
            </w:r>
          </w:p>
        </w:tc>
        <w:tc>
          <w:tcPr>
            <w:tcW w:w="680" w:type="dxa"/>
            <w:vAlign w:val="bottom"/>
          </w:tcPr>
          <w:p>
            <w:pPr>
              <w:spacing w:after="0"/>
              <w:rPr>
                <w:sz w:val="21"/>
                <w:szCs w:val="21"/>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18,388,769</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000" w:type="dxa"/>
            <w:vAlign w:val="bottom"/>
            <w:vMerge w:val="restart"/>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Accounts payable</w:t>
            </w:r>
          </w:p>
        </w:tc>
        <w:tc>
          <w:tcPr>
            <w:tcW w:w="12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2,183,418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deferred revenue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 liabilities</w:t>
            </w: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 of discontinued operations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5,260,616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lease liabilities</w:t>
            </w: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7,039,338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non-current liabilities of discontinued operations</w:t>
            </w:r>
          </w:p>
        </w:tc>
        <w:tc>
          <w:tcPr>
            <w:tcW w:w="6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7,039,338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Total liabilities of discontinued operations</w:t>
            </w:r>
          </w:p>
        </w:tc>
        <w:tc>
          <w:tcPr>
            <w:tcW w:w="68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12,299,954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jc w:val="right"/>
              <w:ind w:right="57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7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reclassified the following operations to discontinued operations for the three and nine months ended September 30, 2023 and 2022, respectively, excluding the gain on disposal: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For the 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71"/>
        </w:trPr>
        <w:tc>
          <w:tcPr>
            <w:tcW w:w="4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06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Service revenue</w:t>
            </w:r>
          </w:p>
        </w:tc>
        <w:tc>
          <w:tcPr>
            <w:tcW w:w="2120" w:type="dxa"/>
            <w:vAlign w:val="bottom"/>
            <w:gridSpan w:val="2"/>
          </w:tcPr>
          <w:p>
            <w:pPr>
              <w:jc w:val="right"/>
              <w:ind w:right="382"/>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816,641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 party service revenue</w:t>
            </w:r>
          </w:p>
        </w:tc>
        <w:tc>
          <w:tcPr>
            <w:tcW w:w="1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2,950,000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2,950,000</w:t>
            </w: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Total revenues</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2,950,000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4,316,641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2,950,000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3,724,997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6,561,957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11,112,122</w:t>
            </w: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1,179,595</w:t>
            </w:r>
          </w:p>
        </w:tc>
      </w:tr>
      <w:tr>
        <w:trPr>
          <w:trHeight w:val="209"/>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4,142,874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7,239,048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12,291,717</w:t>
            </w:r>
          </w:p>
        </w:tc>
      </w:tr>
      <w:tr>
        <w:trPr>
          <w:trHeight w:val="209"/>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5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(1,192,874)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(2,922,406)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(9,341,717)</w:t>
            </w:r>
          </w:p>
        </w:tc>
      </w:tr>
      <w:tr>
        <w:trPr>
          <w:trHeight w:val="20"/>
        </w:trPr>
        <w:tc>
          <w:tcPr>
            <w:tcW w:w="4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Service Revenue</w:t>
      </w:r>
    </w:p>
    <w:p>
      <w:pPr>
        <w:spacing w:after="0" w:line="225"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March 2023, the Company recognized the final $2.5 million of revenue pursuant to this $8.0 million agreement and, at September 30, 2023, the Company had no related party deferred revenue on its condensed consolidated balance sheet.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pursuant to the Wilson Wolf Agreement, Wilson Wolf agreed to pay the Company an additional $1.0 million because the Work Direction was completed within one year from the onset of the Wilson Wolf Agreement, achieving the agreed milestone. As such, the Company recorded an additional $1.0 million of service fee revenue during the three months ended March 31, 2023, which was received in May 2023 and recorded to discontinued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Service Revenue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April 2023, the Company signed the Indapta Master Services Agreement, pursuant to which the Company provided services to Indapta. Under an executed work order of that agreement, now complete, the Company recognized $0.8 million for the services rendered during the quarter ended June 2023. Effective as of the closing date of the Purchase Agreement with Cell Ready, the rights and obligations to the Indapta Agreement were transferred to Cell Ready, and as such the revenues were recorded to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the previously reported property and equipment was disposed of as part of the Cell Ready transaction (see Note 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the previously reported leases were disposed of as a result of the Cell Ready transaction (see Note 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ACCOUNTS PAYABLE, ACCRUED LIABILITIES AND RELATED PARTY PAYABLE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 of the following as of September 30, 2023 and December 31, 2022,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1,119,000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Arbitration settlement fees</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114,000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317,000</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Total accounts payable, accrued liabilities and related party payable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2,672,000</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2,521,000</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$0.4 million of the total above reflects a related-party payable to Cell Ready.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Stock Pursuant to ATM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nine months ended September 30, 2023, the Company sold 265,334 shares of its common stock under the ATM Agreement for proceeds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Purchase Agreement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December 2022, the Company entered into a purchase agreement (the “Purchase Agreement”) with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and classified as equity. In January 2023, Lincoln Park was issued 180,410 shares of stock as a commitment fee at a value of $0.5 million. During the nine months ended September 30, 2023, the Company sold 12,500 shares of its common stock under the Purchase Agreement for proceeds of approximately $33,000.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nine months ended September 30, 2023, certain outstanding options were exercised for 25,118 shares of common stock, providing aggregate proceeds to the Company of approximately $0.1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September 30, 2023 and changes during the period is presented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Warrants</w:t>
            </w: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Expired or cancelled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warrants outstanding at September 30, 2023 expired according to their terms on October 16,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Equity Incentive Awards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Global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Global Market on February 27, 2023,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Global Market on January 3, 2023, with 25% of the option award vesting in one year and the remaining 75% vesting in 36 equal monthly installments thereafter over a three-year period, subject to such employee’s continued service on the applicable vesting date.</w:t>
      </w:r>
    </w:p>
    <w:p>
      <w:pPr>
        <w:spacing w:after="0" w:line="1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10, 2023, the Company’s board of directors approved a one-time share option grant of 100,000 shares of common stock to Dr. Vera for his appointment as the Company’s Chief Executive Officer. The option has a term of ten years and will vest in equal annual installments on May 10, 2024, May 10, 2025, May 10, 2026, and May 10, 2027, subject to Mr. Vera’s continued service to the Company as of the applicable vesting date. Each option award was granted with an exercise price of $1.42 per share, the closing price of the Company’s common stock on the Nasdaq Global Market on May 10, 2023.</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6, 2023, pursuant to the Company’s Non-Employee Director Compensation Policy, which had previously been approved by the Company’s board of directors, a total of 32,000 stock option awards were issued to independent members of the board of directors of the Company. Each option award was granted with an exercise price of $1.72 per share, the closing price of the Company’s common stock on the Nasdaq Global Market on June 6, 2023. Each option award will vest in one year subject to the director’s continuance of service through June 6,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three months ended September 30, 2023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886,173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544,532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(605,693)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381,732</w:t>
            </w:r>
          </w:p>
        </w:tc>
        <w:tc>
          <w:tcPr>
            <w:tcW w:w="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45.72</w:t>
            </w:r>
          </w:p>
        </w:tc>
        <w:tc>
          <w:tcPr>
            <w:tcW w:w="140" w:type="dxa"/>
            <w:vAlign w:val="bottom"/>
            <w:vMerge w:val="continue"/>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114,000</w:t>
            </w:r>
          </w:p>
        </w:tc>
        <w:tc>
          <w:tcPr>
            <w:tcW w:w="14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nine months ended September 30, 2023 was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2023</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91 %</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1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192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71"/>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92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6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106,000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599,000</w:t>
            </w: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2,323,000</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Stock compensation in continuing operations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175,000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2,922,000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in discontinued operations</w:t>
            </w:r>
          </w:p>
        </w:tc>
        <w:tc>
          <w:tcPr>
            <w:tcW w:w="1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1,705,000</w:t>
            </w: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175,000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1,496,000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1,440,000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4,627,000</w:t>
            </w:r>
          </w:p>
        </w:tc>
      </w:tr>
      <w:tr>
        <w:trPr>
          <w:trHeight w:val="20"/>
        </w:trPr>
        <w:tc>
          <w:tcPr>
            <w:tcW w:w="4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nine months ended September 30, 2023, the Company recorded incremental stock-based compensation expense of approximately $0.3 million pertaining to the modification of stock options in connection with the termination of certain employees that were hired by Cell Ready or transitioned to independent consultants. The modification provided for an acceleration of unvested options, resulting in a change in compensation expense that was immediately recognized. $0.2 million is reflected in loss from discontinued operations.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30, 2023, the total stock-based compensation cost related to unvested awards not yet recognized was $0.8 million. The expected weighted average period compensation costs to be recognized was approximately 1.8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GRANT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CPRIT</w:t>
      </w:r>
    </w:p>
    <w:p>
      <w:pPr>
        <w:spacing w:after="0" w:line="225"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following a hematopoietic stem cell transplant. The primary objectives of the adjuvant arm of the trial are to evaluate relapse-free survival after MT-401 treatment when compared with a randomized control group.</w:t>
      </w:r>
    </w:p>
    <w:p>
      <w:pPr>
        <w:spacing w:after="0" w:line="17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If restricted cash is received from grants in advance of incurring qualifying costs, it is recorded as deferred revenue and recognized as revenue when qualifying costs are incurred. There was no restricted cash recorded as of September 30, 2023 and as of December 31, 2022. If qualifying grant income is earned in advance of cash received from grants, it is recognized as revenue and recorded as other receivable.</w:t>
      </w:r>
    </w:p>
    <w:p>
      <w:pPr>
        <w:spacing w:after="0" w:line="18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 recorded $0.2 million and $2.0 million of grant income related to the CPRIT grant as revenue for the three and nine months ended September 30, 2023, respectively. In July 2023, the Company received $2.1 million from CPRIT.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FDA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2022, the Company received notice from the FDA that it had awarded the Company a $2.0 million grant from the FDA’s Orphan Products Grant program to support the Company’s Phase 2 clinical trial of MT-401 for the treatment of post-transplant AML. The Company recorded $0.0 million and $0.2 million of grant income related to the FDA grant as revenue for the three and nine months ended September 30, 2023,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National Institutes of Health Small Business Innovation Research</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May 2023, we announced that we had received a $2.0 million grant from the National Institutes of Health Small Business Innovation Research program to support the development and investigation of MT-401 for the treatment of AML patients following standard-of-care therapy with hypomethylating agents. The Company has not received any funds associated with this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PROCEEDINGS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 The Company is not currently a party to any material legal proceedings, and the Company is not aware of any pending or threatened legal proceeding against it that it believes could have an adverse effect on its business, operating results,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EXPENSES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nine months ended September 30, 2023 and 2022,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0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1,142,000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Bio-Techne Corporation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Cell Ready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Wilson Wolf Manufacturing Corporation</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172,000</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368,000</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1,415,000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September 2019, May 2020 and July 2021, the Company entered into Clinical Supply Agreements with BCM, which provided for BCM to provide to the Company multi tumor antigen specific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August 2020, the Company entered into a Clinical Trial Agreement with BCM, which provided for BCM to provide to the Company investigator-initiated research studies.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has also entered into a Clinical Site Agreement with BCM, which provided for BCM to conduct clinical trials for the Company and is a part of continuing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Wilson Wolf</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currently utilizing Wilson Wolf for the purchases of cell culture devices called G-Rexes. Mr. John Wilson is a member of the Company’s board of directors and is serving as the CEO of Wilson Wolf Manufacturing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Cell Ready, LLC</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is currently utilizing Cell Ready, LLC for its clinical manufacturing supply. Mr. John Wilson is a member of the Company’s board of directors and is serving as the CEO of Cell Ready,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licensed the underlying technology for multiTAA-specific T cell therapy from Baylor College of Medicine (“BCM”) in March 2018. BCM had utilized the therapy in seven exploratory clinical trials. In these studies, BCM treated over 200 patients suffering from a variety of cancers including lymphoma, multiple myeloma, acute myeloid leukemia, acute lymphoblastic leukemia and pancreatic cancer. In those studies, BCM saw evidence of clinical benefit, expansion of infused cells, epitope spreading, and decreased toxicity compared to other cellular therapies.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three product candidates as part of our multiTAA-specific T cell program for:</w:t>
      </w:r>
    </w:p>
    <w:p>
      <w:pPr>
        <w:spacing w:after="0" w:line="198"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(“AML”),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current clinical development programs are:</w:t>
      </w:r>
    </w:p>
    <w:p>
      <w:pPr>
        <w:spacing w:after="0" w:line="185" w:lineRule="exact"/>
        <w:rPr>
          <w:sz w:val="20"/>
          <w:szCs w:val="20"/>
          <w:color w:val="auto"/>
        </w:rPr>
      </w:pPr>
    </w:p>
    <w:p>
      <w:pPr>
        <w:ind w:left="680" w:hanging="321"/>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MT-401 for the treatment of post-transplant AML,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MT-401-OTS for the treatment of AML,</w:t>
      </w:r>
    </w:p>
    <w:p>
      <w:pPr>
        <w:spacing w:after="0" w:line="9" w:lineRule="exact"/>
        <w:rPr>
          <w:rFonts w:ascii="Arial" w:cs="Arial" w:eastAsia="Arial" w:hAnsi="Arial"/>
          <w:sz w:val="18"/>
          <w:szCs w:val="18"/>
          <w:color w:val="auto"/>
        </w:rPr>
      </w:pPr>
    </w:p>
    <w:p>
      <w:pPr>
        <w:ind w:left="680" w:hanging="321"/>
        <w:spacing w:after="0" w:line="236"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MT-601 for the treatment of lymphoma, and</w:t>
      </w:r>
    </w:p>
    <w:p>
      <w:pPr>
        <w:ind w:left="680" w:hanging="321"/>
        <w:spacing w:after="0"/>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MT-601 for the treatment of pancreatic cancer</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346" w:lineRule="exact"/>
        <w:rPr>
          <w:rFonts w:ascii="Arial" w:cs="Arial" w:eastAsia="Arial" w:hAnsi="Arial"/>
          <w:sz w:val="18"/>
          <w:szCs w:val="18"/>
          <w:color w:val="auto"/>
        </w:rPr>
      </w:pPr>
    </w:p>
    <w:p>
      <w:pPr>
        <w:ind w:left="4880" w:right="2480" w:hanging="4872"/>
        <w:spacing w:after="0" w:line="725" w:lineRule="auto"/>
        <w:tabs>
          <w:tab w:leader="none" w:pos="217"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Clinical advancement will be pending additional financial support from non-dilutive grant activities.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-985520</wp:posOffset>
            </wp:positionV>
            <wp:extent cx="1568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currently undertaking a strategic review of our clinical development programs, including with respect to clinical trial initiation and readout guidance.</w:t>
      </w:r>
    </w:p>
    <w:p>
      <w:pPr>
        <w:spacing w:after="0" w:line="170"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color w:val="auto"/>
        </w:rPr>
        <w:t>We believe that the simplicity of our manufacturing process allows additional modifications to expand multiTAA-specific T cell recognition of cancer targets. In May 2023, we entered into a purchase agreement with Cell Ready, LLC with respect to our manufacturing facility and certain related assets. See “Recent Developments.”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151765</wp:posOffset>
            </wp:positionV>
            <wp:extent cx="6172200" cy="2348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June 26, 2023, we completed the previously announced transaction with Cell Ready, LLC, or Cell Ready, pursuant to a Purchase Agreement, or the Cell Ready Purchase Agreement, dated May 1, 2023, by and between us and Cell Ready. Mr. John Wilson is a member of our board of directors and is serving as the CEO of Cell Ready, therefore Cell Ready is a related party. Pursuant to the Cell Ready Purchase Agreement, effective as of the Closing Date,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our Master Services Agreement for Product Supply, or the MSA, dated April 7, 2023, by and between us, Cell Ready and Indapta Therapeutics, Inc. (“Indapta”) as well as our rights, title and interest in any contracts related to the equipment and Manufacturing Facilities (collectively referred to as the “Purchased Assets”). Following the Closing Date, we and Cell Ready have agreed to enter a long-term contract pursuant to which Cell Ready will perform a wide variety of services for us, including research and development, manufacturing, and regulatory activity in support of our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our former employees in our manufacturing, development, quality and regulatory affairs functions.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May 2023, we announced that we had received a $2.0 million grant from the National Institutes of Health Small Business Innovation Research program to support the development and investigation of MT-401 for the treatment of AML patients following standard-of-care therapy with hypomethylating agents. The Company has not received any funds associated with this grant.</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August 2023, we announced non-clinical data of its lead multiTAA-specific T cell product candidate, MT-401, in an Off-the-Shelf (OTS) setting and provided an update on clinical readiness for the OTS program. We anticipats that the first patient will be treated with MT-401 OTS in 2024.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September 2023, we announced preliminary results of the first participant treated with MT-601 in our Phase 1 multicenter APOLLO clinical trial. After relapse following anti-CD19 CAR T cell therapy, the participant was treated with two doses of MT-601 at the 200 million cell dose level without prior lymphodepletion. MT-601 treatment was well tolerated with no reports of higher than Grade 1 treatment-related adverse events. The tolerability at this initial dose level is consistent with the favorable clinical safety profile and tolerability previously reported for other multiTAA-specific T cell products. Eight weeks after the 2nd infusion of MT-601, the participant demonstrated complete metabolic response based on PET-CT scans. We are treating and evaluating additional patients in the Phase 1 APOLLO trial and anticipate reporting additional data in the first quarter of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Organizational Changes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and June 2023, we implemented changes to our organizational structure as part of an operational cost reduction plan and reorganization plan due to the transaction with Cell Ready. In connection with these changes, we reduced headcount, including the separation of our former Chief Executive Officer, Peter Hoang, and our former Chief Accounting Officer, Michael Loiacono. During the second quarter of 2023, we recorded $0.9 million of severance and termination-related costs. The payment of these costs were completed in July of 2023.</w:t>
      </w:r>
    </w:p>
    <w:p>
      <w:pPr>
        <w:spacing w:after="0" w:line="18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Effective May 1, 2023, our board of directors appointed Dr. Vera as our Chief Executive Officer. Effective June 30, 2023, our board of directors appointed Eliot M. Lurier as our Interim Chief Financial Officer. Mr. Lurier provides consulting services to us pursuant to a consulting agreement between us and Danforth Advisors, LLC and receives no compensation directly from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26, 2023, we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in financial tables, other than per-share amounts, have been rounded to the nearest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continuing operations for the three months ended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Grant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(742,000)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(1,547,000)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1,413,000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3,234,000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(1,821,000)</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3,458,000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(3,368,000)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(3,200,000)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(5,826,000)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2,626,000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Arbitration settlement</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(2,982,000)</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(5,726,000)</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2,744,000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(2,982,000)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(5,726,000)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2,744,000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did not generate any revenue during the three months ended September 30, 2023 and 2022, respectively, from the sales or licensing of our product candidates.</w:t>
      </w:r>
    </w:p>
    <w:p>
      <w:pPr>
        <w:spacing w:after="0" w:line="170"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(“CPRIT”) to support our Phase 2 clinical trial of MT-401. During the three months ended September 30, 2023, we recognized $0.2 million of revenue associated with the CPRIT grant.</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September 2022, we received notice from the FDA that it had awarded us a $2.0 million grant from the FDA’s Orphan Products Grant program to support our Phase 2 clinical trial of MT-401 for the treatment of post-transplant AML. During the three months ended September 30, 2023, we recognized $16,000 of revenue associated with the FDA grant and $0 in the same period ended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expenses incurred during the three months ended September 30, 2023 were $3.5 million compared to $6.8 million during the same period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decreased by 43% to $2.0 million for the three months ended September 30, 2023, compared to $3.6 million for the three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$1.6 million in 2023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$1.0 million in process development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$0.5 million in clinical trial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$0.4 million in headcount-related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of $0.1 million in other expenses,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of $0.4 million in Cell Ready production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expenses decreased by 56% to $1.4 million for the three months ended September 30, 2023, compared to $3.2 million during the same period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$1.8 million in 2023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$0.7 million in stock-based compensation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$1.0 million in headcount-related expenses,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of $0.1 million in professional services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Interest income was $0.2 million and $0.1 million for the three months ended September 30, 2023 and 2022, respectively, and was attributable to interest income relating to funds that are held in U.S. Treasury notes and U.S. government agency-backed securities.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continuing operations for the nine months ended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For the 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Grant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2,255,000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2,754,000</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(499,000)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(1,987,000)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9,721,000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(3,622,000)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13,898,000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19,507,000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(5,609,000)</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(11,643,000)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(16,753,000)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5,110,000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Arbitration settlement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(11,305,000)</w:t>
            </w:r>
          </w:p>
        </w:tc>
        <w:tc>
          <w:tcPr>
            <w:tcW w:w="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(16,733,000)</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5,428,000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(11,305,000)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(16,734,000)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5,429,000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did not generate any revenue during the nine months ended September 30, 2023 and 2022, respectively, from the sales or licensing of our product candidates.</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to support our Phase 2 clinical trial of MT-401. During the nine months ended September 30, 2023, we recognized $2.1 million of revenue associated with the CPRIT grant.</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September 2022, we received notice from the FDA that it had awarded us a $2.0 million grant from the FDA’s Orphan Products Grant program to support our Phase 2 clinical trial of MT-401 for the treatment of post-transplant AML. During the nine months ended September 30, 2023, we recognized $0.2 million of revenue associated with the FDA grant and $0 in the same period ended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expenses incurred during the nine months ended September 30, 2023 were $13.9 million compared to $19.5 million during the same period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Research and development expenses decreased by 20% to $7.8 million for the nine months ended September 30, 2023, compared to $9.8 million for the same period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$2.0 million in 2023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$1.4 million in process development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$0.3 million in stock-based compensation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$0.6 million in headcount-related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$0.5 million in sponsored research expenses from BCM agreements,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of $0.3 million in clinical trial expenses, offset by</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$0.5 million in professional services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$0.4 million in Cell Ready production costs,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of $0.2 million in other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expenses decreased by 37% to $6.1 million for the nine months ended September 30, 2023, compared to $9.7 million for the same period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$3.6 million in 2023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$1.9 million in stock-based compensation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$1.1 million in headcount-related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$0.5 million in rent expenses,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of $0.1 million in other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Interest income was $0.3 million and $0.1 million for the nine months ended September 30, 2023 and 2022, respectively, and was attributable to interest income relating to funds that are held in U.S. Treasury notes and U.S. government agency-backed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arbitration proceeding was brought against us before the FINRA by a broker seeking to be paid compensation for two financing transactions that occurred in 2018, a warrant conversion and a private placement brokered by another broker. The FINRA panel found in favor of the broker and awarded the broker $2.4 million for compensation, interest, and attorney fees, which we recorded in the year ended December 31, 2021. During the nine months ended September 30, 2022, we recorded an additional $0.1 million of expense related to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have not generated any revenue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cash and cash equivalents and working capital as of September 30, 2023 and December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38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17,474,000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11,782,000</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Working capital</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16,707,000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8,837,000</w:t>
            </w:r>
          </w:p>
        </w:tc>
      </w:tr>
      <w:tr>
        <w:trPr>
          <w:trHeight w:val="850"/>
        </w:trPr>
        <w:tc>
          <w:tcPr>
            <w:tcW w:w="3380" w:type="dxa"/>
            <w:vAlign w:val="bottom"/>
          </w:tcPr>
          <w:p>
            <w:pPr>
              <w:spacing w:after="0"/>
              <w:rPr>
                <w:sz w:val="24"/>
                <w:szCs w:val="24"/>
                <w:color w:val="auto"/>
              </w:rPr>
            </w:pPr>
          </w:p>
        </w:tc>
        <w:tc>
          <w:tcPr>
            <w:tcW w:w="3960" w:type="dxa"/>
            <w:vAlign w:val="bottom"/>
          </w:tcPr>
          <w:p>
            <w:pPr>
              <w:jc w:val="right"/>
              <w:ind w:right="21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7"/>
        </w:trPr>
        <w:tc>
          <w:tcPr>
            <w:tcW w:w="3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September 30, 2023 and 2022:</w:t>
      </w:r>
    </w:p>
    <w:p>
      <w:pPr>
        <w:spacing w:after="0" w:line="230"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(14,072,000)</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(20,667,000)</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(4,819,000)</w:t>
            </w:r>
          </w:p>
        </w:tc>
      </w:tr>
      <w:tr>
        <w:trPr>
          <w:trHeight w:val="216"/>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64,000</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(25,422,000)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December 31, 2021, the Company had $107,530 and $1,146,186 of restricted cash,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operating activities during the nine months ended September 30, 2023 was ($14.1) million compared to ($20.7) million for the same period last year.</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cash used in operating activities during the nine months ended September 30, 2023 was due to ($11.3) million of net losses from continuing operations partially offset by $0.7 million of stock-based compensation, and changes in operating assets and liabilities of $2.5 million, plus ($6.0) million of cash used in discontinued operations.</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Net cash used in operating activities during the nine months ended September 30, 2022 was due to ($16.7) million of net losses from continuing operations combined with changes in operating assets and liabilities of ($3.3) million and gain on the termination of leases of ($0.3) million, partially offset by stock-based compensation of $2.9 million, plus ($3.3) million of cash used in discontinued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provided by investing activities was $18.7 million primarily from the sale of assets of discounted operations during the nine months ended September 30, 2023.</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investing activities was ($4.8) million for the purchase of property and equipment and construction in progress related to our manufacturing facility during the nine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financing activities was $1.1 million during the nine months ended September 30, 2023, due to sales of common stock under the ATM Agreement and the Lincoln Park Purchase Agreement (as defined below).</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financing activities was $0.1 million during the nine months ended September 30, 2022, due to sales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4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August 2021, we received notice of a Product Development Research award totaling approximately $13.1 million from CPRIT to support our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we have received $6.9 million of funds from the CPRIT grant.</w:t>
      </w:r>
    </w:p>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September 2022, we received notice from the U.S. Food and Drug Administration that it had awarded us a $2.0 million grant from the FDA’s Orphan Products Grant program to support our Phase 2 clinical trial of MT-401 for the treatment of post-transplant AML. To date, we have received $0.2 million of funds from the FDA grant.</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26, 2023, we completed the previously announced transaction with Cell Ready. Pursuant to the Cell Ready Purchase Agreement, effective as of the Closing Date, we assigned and sold, as applicable, the Purchased Assets to Cell Ready. Following the Closing Date, we and Cell Ready have agreed to enter a long-term contract pursuant to which Cell Ready will perform a wide variety of services for us, including research and development, manufacturing, and regulatory activity in support of our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our former employees in our manufacturing, development, quality, and regulatory affairs functions.</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September 30, 2023, we had working capital of $16.7 million, compared to working capital of $8.8 million as of December 31, 2022. Based on our clinical development plans and the disposition of the Purchased Assets pursuant to the Cell Ready Purchase Agreement and related organizational restructuring, we expect that our cash and cash equivalents as of September 30, 2023 will enable us to fund our operating expenses and capital expenditure requirements into the second half of 2025. We have based this estimate on assumptions that may prove to be wrong, and we could utilize our available capital resources sooner than we currently expect. Furthermore, our operating plans may change, and we may need additional funds sooner than planned to meet operational needs and capital requirements for product development and commercialization. Because of the numerous risks and uncertainties associated with the development and commercialization of our product candidates and the extent to which we may enter additional collaborations with third parties to participate in their development and commercialization, we are unable to estimate the amounts of increased capital outlays and operating expenditures associated with our current and anticipated 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as we:</w:t>
      </w:r>
    </w:p>
    <w:p>
      <w:pPr>
        <w:spacing w:after="0" w:line="225" w:lineRule="exact"/>
        <w:rPr>
          <w:sz w:val="20"/>
          <w:szCs w:val="20"/>
          <w:color w:val="auto"/>
        </w:rPr>
      </w:pP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80" w:right="500" w:hanging="321"/>
        <w:spacing w:after="0" w:line="250"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80" w:right="440" w:hanging="321"/>
        <w:spacing w:after="0" w:line="250"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contract manufacturing arrangements with Cell Ready or other contract manufacturing organizations for clinical manufacturing supply;</w:t>
      </w:r>
    </w:p>
    <w:p>
      <w:pPr>
        <w:ind w:left="680" w:right="100" w:hanging="321"/>
        <w:spacing w:after="0" w:line="250"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80" w:hanging="321"/>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80" w:right="460" w:hanging="321"/>
        <w:spacing w:after="0" w:line="323"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3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Because all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plan to continue to fund our operations and capital funding needs through existing cash and future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1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August 2021, we entered a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“ATM Agreement”) with Cantor Fitzgerald &amp; Co. and RBC Capital Markets, LLC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The shelf registration statement on Form S-3 includes a prospectus supplement covering the offering up to a value of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nine months ended September 30, 2023, the Company sold 265,334 shares of its common stock under the ATM Agreement for proceeds of $1.0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2022, we entered into a purchase agreement (the “Purchase Agreement”) with Lincoln Park Capital Fund, LLC (“Lincoln Park”) which provides that, upon the terms and subject to the conditions of the Purchase Agreement, we have the right, but not the obligation, to sell to Lincoln Park up to $25,000,000 of shares of our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nine months ended September 30, 2023, we sold 12,500 shares of our common stock under the Purchase Agreement for proceeds of approximately $33,000.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2022.</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16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Interim Chief Financial Officer, as appropriate, to allow timely decisions regarding required disclosure. Based on such evaluation, our Chief Executive Officer and our Interim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controls over financial reporting during the three and nine months ended September 30, 2023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6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12, 2023. There have been no material changes to the risk factors described in that report, other than as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expected benefits from the transaction with Cell Ready.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closing of the transaction with Cell Ready, or such benefits may be delayed or not occur at all. In particular, we have made the strategic decision to dispose of our manufacturing facilities and related assets in order to focus on clinical development of the multiTAA-specific T cell therapy-based product candidates in our pipeline. Following the closing of the transaction, we no longer operate our own cGMP manufacturing facility and must rely on third parties for the clinical and, if approved, commercial manufacture of our product candidates. Although we intend to enter into a long-term agreement with Cell Ready for manufacturing, among other services, we have not yet executed such agreement and may not realize the anticipated cost savings associated with contracting out our manufacturing, research and development and regulatory requirements. The assumptions we made related to the Cell Ready transaction may prove to be inaccurate, including as to the expected benefits of the transaction and anticipated cost savings. Further, the transition activities following closing may disrupt our operations and divert management’s attention to our business, particularly because our Chief Executive Officer, Dr. Juan Vera, expects to perform consulting work for Cell Ready in addition to his duties for our company. An inability to realize the anticipated benefits of the Cell Ready transaction could have an adverse impact on our business, financial condition and results of operations.</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Following the closing of the transaction with Cell Ready, we no longer operate our own cGMP manufacturing facility and instead will rely on third parties, including Cell Ready, for the clinical and, if approved, commercial manufacture of our product candidates. The third-party manufacturing facilities on which we rely may have limited capacity or fail to meet the applicable stringent regulatory requirements.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do not have any cGMP manufacturing facilities. We currently rely, and expect to continue to rely, on third parties for the cGMP manufacture of our product candidates for clinical development and, if approved, commercial supply. We intend to enter into a long-term agreement with Cell Ready, pursuant to which Cell Ready will perform a wide variety of services for us, including research and development, manufacturing and regulatory activity in support of our clinical trials; however, we have not yet executed such agreement. There is no guarantee that we will or have properly estimated our required manufacturing capacities or that the third parties we rely on to provide required machinery and materials for the manufacturing process will be able to perform on our proposed timelines or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Cell Ready or any other third-party contract manufacturing organization on which we rely experiences capacity constraints, other disruptions, or delays in manufacturing our multiTAA-specific T cell therapy-based product candidates, our planned clinical trials and necessary manufacturing capabilities will be disrupted or delayed.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8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6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nine months ended September 30, 2023.</w:t>
      </w:r>
    </w:p>
    <w:p>
      <w:pPr>
        <w:spacing w:after="0" w:line="22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6292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Certificate of Incorporation (Delaware).</w:t>
              </w:r>
            </w:hyperlink>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860" w:type="dxa"/>
            <w:vAlign w:val="bottom"/>
            <w:gridSpan w:val="12"/>
          </w:tcPr>
          <w:p>
            <w:pPr>
              <w:spacing w:after="0"/>
              <w:rPr>
                <w:rFonts w:ascii="Arial" w:cs="Arial" w:eastAsia="Arial" w:hAnsi="Arial"/>
                <w:sz w:val="18"/>
                <w:szCs w:val="18"/>
                <w:color w:val="0000EE"/>
              </w:rPr>
            </w:pPr>
            <w:hyperlink r:id="rId55">
              <w:r>
                <w:rPr>
                  <w:rFonts w:ascii="Arial" w:cs="Arial" w:eastAsia="Arial" w:hAnsi="Arial"/>
                  <w:sz w:val="18"/>
                  <w:szCs w:val="18"/>
                  <w:color w:val="0000EE"/>
                </w:rPr>
                <w:t>Certificate  of  Amendment  to  Certificate  of</w:t>
              </w:r>
            </w:hyperlink>
          </w:p>
        </w:tc>
        <w:tc>
          <w:tcPr>
            <w:tcW w:w="64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5/27/2022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Incorporation.</w:t>
              </w:r>
            </w:hyperlink>
          </w:p>
        </w:tc>
        <w:tc>
          <w:tcPr>
            <w:tcW w:w="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860" w:type="dxa"/>
            <w:vAlign w:val="bottom"/>
            <w:gridSpan w:val="12"/>
          </w:tcPr>
          <w:p>
            <w:pPr>
              <w:spacing w:after="0"/>
              <w:rPr>
                <w:rFonts w:ascii="Arial" w:cs="Arial" w:eastAsia="Arial" w:hAnsi="Arial"/>
                <w:sz w:val="18"/>
                <w:szCs w:val="18"/>
                <w:color w:val="0000EE"/>
              </w:rPr>
            </w:pPr>
            <w:hyperlink r:id="rId56">
              <w:r>
                <w:rPr>
                  <w:rFonts w:ascii="Arial" w:cs="Arial" w:eastAsia="Arial" w:hAnsi="Arial"/>
                  <w:sz w:val="18"/>
                  <w:szCs w:val="18"/>
                  <w:color w:val="0000EE"/>
                </w:rPr>
                <w:t>Certificate  of  Amendment  to  Amended  and</w:t>
              </w:r>
            </w:hyperlink>
          </w:p>
        </w:tc>
        <w:tc>
          <w:tcPr>
            <w:tcW w:w="64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1/26/2023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Restated Certificate of Incorporation</w:t>
              </w:r>
            </w:hyperlink>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5"/>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Bylaws of Marker Therapeutics, Inc.</w:t>
              </w:r>
            </w:hyperlink>
          </w:p>
        </w:tc>
        <w:tc>
          <w:tcPr>
            <w:tcW w:w="2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center"/>
              <w:ind w:left="73"/>
              <w:spacing w:after="0"/>
              <w:rPr>
                <w:sz w:val="20"/>
                <w:szCs w:val="20"/>
                <w:color w:val="auto"/>
              </w:rPr>
            </w:pPr>
            <w:r>
              <w:rPr>
                <w:rFonts w:ascii="Arial" w:cs="Arial" w:eastAsia="Arial" w:hAnsi="Arial"/>
                <w:sz w:val="18"/>
                <w:szCs w:val="18"/>
                <w:color w:val="auto"/>
                <w:w w:val="99"/>
              </w:rPr>
              <w:t>8-K</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20" w:type="dxa"/>
            <w:vAlign w:val="bottom"/>
            <w:tcBorders>
              <w:bottom w:val="single" w:sz="8" w:color="0000EE"/>
            </w:tcBorders>
          </w:tcPr>
          <w:p>
            <w:pPr>
              <w:spacing w:after="0"/>
              <w:rPr>
                <w:rFonts w:ascii="Arial" w:cs="Arial" w:eastAsia="Arial" w:hAnsi="Arial"/>
                <w:sz w:val="18"/>
                <w:szCs w:val="18"/>
                <w:color w:val="0000EE"/>
              </w:rPr>
            </w:pPr>
            <w:hyperlink r:id="rId58">
              <w:r>
                <w:rPr>
                  <w:rFonts w:ascii="Arial" w:cs="Arial" w:eastAsia="Arial" w:hAnsi="Arial"/>
                  <w:sz w:val="18"/>
                  <w:szCs w:val="18"/>
                  <w:color w:val="0000EE"/>
                </w:rPr>
                <w:t>Separation</w:t>
              </w:r>
            </w:hyperlink>
          </w:p>
        </w:tc>
        <w:tc>
          <w:tcPr>
            <w:tcW w:w="1020" w:type="dxa"/>
            <w:vAlign w:val="bottom"/>
            <w:tcBorders>
              <w:bottom w:val="single" w:sz="8" w:color="0000EE"/>
            </w:tcBorders>
            <w:gridSpan w:val="2"/>
          </w:tcPr>
          <w:p>
            <w:pPr>
              <w:ind w:left="60"/>
              <w:spacing w:after="0"/>
              <w:rPr>
                <w:rFonts w:ascii="Arial" w:cs="Arial" w:eastAsia="Arial" w:hAnsi="Arial"/>
                <w:sz w:val="18"/>
                <w:szCs w:val="18"/>
                <w:color w:val="0000EE"/>
              </w:rPr>
            </w:pPr>
            <w:hyperlink r:id="rId58">
              <w:r>
                <w:rPr>
                  <w:rFonts w:ascii="Arial" w:cs="Arial" w:eastAsia="Arial" w:hAnsi="Arial"/>
                  <w:sz w:val="18"/>
                  <w:szCs w:val="18"/>
                  <w:color w:val="0000EE"/>
                </w:rPr>
                <w:t>Agreement</w:t>
              </w:r>
            </w:hyperlink>
          </w:p>
        </w:tc>
        <w:tc>
          <w:tcPr>
            <w:tcW w:w="860" w:type="dxa"/>
            <w:vAlign w:val="bottom"/>
            <w:tcBorders>
              <w:bottom w:val="single" w:sz="8" w:color="0000EE"/>
            </w:tcBorders>
            <w:gridSpan w:val="4"/>
          </w:tcPr>
          <w:p>
            <w:pPr>
              <w:ind w:left="160"/>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between</w:t>
              </w:r>
            </w:hyperlink>
          </w:p>
        </w:tc>
        <w:tc>
          <w:tcPr>
            <w:tcW w:w="760" w:type="dxa"/>
            <w:vAlign w:val="bottom"/>
            <w:tcBorders>
              <w:bottom w:val="single" w:sz="8" w:color="0000EE"/>
            </w:tcBorders>
            <w:gridSpan w:val="3"/>
          </w:tcPr>
          <w:p>
            <w:pPr>
              <w:ind w:left="220"/>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Marker</w:t>
              </w:r>
            </w:hyperlink>
          </w:p>
        </w:tc>
        <w:tc>
          <w:tcPr>
            <w:tcW w:w="200" w:type="dxa"/>
            <w:vAlign w:val="bottom"/>
            <w:gridSpan w:val="2"/>
          </w:tcPr>
          <w:p>
            <w:pPr>
              <w:spacing w:after="0"/>
              <w:rPr>
                <w:sz w:val="24"/>
                <w:szCs w:val="24"/>
                <w:color w:val="auto"/>
              </w:rPr>
            </w:pPr>
          </w:p>
        </w:tc>
        <w:tc>
          <w:tcPr>
            <w:tcW w:w="640" w:type="dxa"/>
            <w:vAlign w:val="bottom"/>
          </w:tcPr>
          <w:p>
            <w:pPr>
              <w:jc w:val="center"/>
              <w:ind w:left="93"/>
              <w:spacing w:after="0"/>
              <w:rPr>
                <w:sz w:val="20"/>
                <w:szCs w:val="20"/>
                <w:color w:val="auto"/>
              </w:rPr>
            </w:pPr>
            <w:r>
              <w:rPr>
                <w:rFonts w:ascii="Arial" w:cs="Arial" w:eastAsia="Arial" w:hAnsi="Arial"/>
                <w:sz w:val="18"/>
                <w:szCs w:val="18"/>
                <w:color w:val="auto"/>
                <w:w w:val="94"/>
              </w:rPr>
              <w:t>10-Q</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Therapeutics, Inc. and Peter Hoang dated as of</w:t>
              </w:r>
            </w:hyperlink>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April 27, 2023.</w:t>
              </w:r>
            </w:hyperlink>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96"/>
              </w:rPr>
            </w:pPr>
            <w:hyperlink r:id="rId59">
              <w:r>
                <w:rPr>
                  <w:rFonts w:ascii="Arial" w:cs="Arial" w:eastAsia="Arial" w:hAnsi="Arial"/>
                  <w:sz w:val="18"/>
                  <w:szCs w:val="18"/>
                  <w:color w:val="0000EE"/>
                  <w:w w:val="96"/>
                </w:rPr>
                <w:t>Purchase Agreement between Cell Ready, LLC</w:t>
              </w:r>
            </w:hyperlink>
          </w:p>
        </w:tc>
        <w:tc>
          <w:tcPr>
            <w:tcW w:w="200" w:type="dxa"/>
            <w:vAlign w:val="bottom"/>
            <w:gridSpan w:val="2"/>
          </w:tcPr>
          <w:p>
            <w:pPr>
              <w:spacing w:after="0"/>
              <w:rPr>
                <w:sz w:val="24"/>
                <w:szCs w:val="24"/>
                <w:color w:val="auto"/>
              </w:rPr>
            </w:pPr>
          </w:p>
        </w:tc>
        <w:tc>
          <w:tcPr>
            <w:tcW w:w="640" w:type="dxa"/>
            <w:vAlign w:val="bottom"/>
          </w:tcPr>
          <w:p>
            <w:pPr>
              <w:jc w:val="center"/>
              <w:ind w:left="93"/>
              <w:spacing w:after="0"/>
              <w:rPr>
                <w:sz w:val="20"/>
                <w:szCs w:val="20"/>
                <w:color w:val="auto"/>
              </w:rPr>
            </w:pPr>
            <w:r>
              <w:rPr>
                <w:rFonts w:ascii="Arial" w:cs="Arial" w:eastAsia="Arial" w:hAnsi="Arial"/>
                <w:sz w:val="18"/>
                <w:szCs w:val="18"/>
                <w:color w:val="auto"/>
                <w:w w:val="94"/>
              </w:rPr>
              <w:t>10-Q</w:t>
            </w:r>
          </w:p>
        </w:tc>
        <w:tc>
          <w:tcPr>
            <w:tcW w:w="1360" w:type="dxa"/>
            <w:vAlign w:val="bottom"/>
            <w:gridSpan w:val="3"/>
          </w:tcPr>
          <w:p>
            <w:pPr>
              <w:jc w:val="center"/>
              <w:ind w:left="293"/>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3"/>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and Marker Therapeutics, Inc., dated May 1, 2023</w:t>
              </w:r>
            </w:hyperlink>
          </w:p>
        </w:tc>
        <w:tc>
          <w:tcPr>
            <w:tcW w:w="2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Certification of Chief Executive Officer Pursuant</w:t>
            </w:r>
          </w:p>
        </w:tc>
        <w:tc>
          <w:tcPr>
            <w:tcW w:w="2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sz w:val="20"/>
                <w:szCs w:val="20"/>
                <w:color w:val="auto"/>
              </w:rPr>
            </w:pPr>
            <w:r>
              <w:rPr>
                <w:rFonts w:ascii="Arial" w:cs="Arial" w:eastAsia="Arial" w:hAnsi="Arial"/>
                <w:sz w:val="18"/>
                <w:szCs w:val="18"/>
                <w:color w:val="0000EE"/>
              </w:rPr>
              <w:t>to Rule 13a-14(a) or 15d-14(a) of the Securities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Exchange Act of 1933, as amended.</w:t>
            </w:r>
          </w:p>
        </w:tc>
        <w:tc>
          <w:tcPr>
            <w:tcW w:w="260" w:type="dxa"/>
            <w:vAlign w:val="bottom"/>
            <w:tcBorders>
              <w:top w:val="single" w:sz="8" w:color="0000EE"/>
            </w:tcBorders>
            <w:gridSpan w:val="3"/>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7"/>
              </w:rPr>
              <w:t>Certification of Chief Financial Officer Pursuant</w:t>
            </w:r>
          </w:p>
        </w:tc>
        <w:tc>
          <w:tcPr>
            <w:tcW w:w="2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sz w:val="20"/>
                <w:szCs w:val="20"/>
                <w:color w:val="auto"/>
              </w:rPr>
            </w:pPr>
            <w:r>
              <w:rPr>
                <w:rFonts w:ascii="Arial" w:cs="Arial" w:eastAsia="Arial" w:hAnsi="Arial"/>
                <w:sz w:val="18"/>
                <w:szCs w:val="18"/>
                <w:color w:val="0000EE"/>
              </w:rPr>
              <w:t>to Rule 13a-14(a) or 15d-14(a) of the Securities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Exchange Act of 1933, as amended.</w:t>
            </w:r>
          </w:p>
        </w:tc>
        <w:tc>
          <w:tcPr>
            <w:tcW w:w="260" w:type="dxa"/>
            <w:vAlign w:val="bottom"/>
            <w:tcBorders>
              <w:top w:val="single" w:sz="8" w:color="0000EE"/>
            </w:tcBorders>
            <w:gridSpan w:val="3"/>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5"/>
              </w:rPr>
              <w:t>Certification of Chief Executive Officer Pursuant</w:t>
            </w:r>
          </w:p>
        </w:tc>
        <w:tc>
          <w:tcPr>
            <w:tcW w:w="20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12"/>
          </w:tcPr>
          <w:p>
            <w:pPr>
              <w:spacing w:after="0" w:line="196" w:lineRule="exact"/>
              <w:rPr>
                <w:sz w:val="20"/>
                <w:szCs w:val="20"/>
                <w:color w:val="auto"/>
              </w:rPr>
            </w:pPr>
            <w:r>
              <w:rPr>
                <w:rFonts w:ascii="Arial" w:cs="Arial" w:eastAsia="Arial" w:hAnsi="Arial"/>
                <w:sz w:val="18"/>
                <w:szCs w:val="18"/>
                <w:color w:val="0000EE"/>
                <w:w w:val="96"/>
              </w:rPr>
              <w:t>to 18 U.S.C. 1350 as adopted pursuant to Section</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3860" w:type="dxa"/>
            <w:vAlign w:val="bottom"/>
            <w:gridSpan w:val="12"/>
          </w:tcPr>
          <w:p>
            <w:pPr>
              <w:spacing w:after="0"/>
              <w:rPr>
                <w:sz w:val="20"/>
                <w:szCs w:val="20"/>
                <w:color w:val="auto"/>
              </w:rPr>
            </w:pPr>
            <w:r>
              <w:rPr>
                <w:rFonts w:ascii="Arial" w:cs="Arial" w:eastAsia="Arial" w:hAnsi="Arial"/>
                <w:sz w:val="18"/>
                <w:szCs w:val="18"/>
                <w:color w:val="0000EE"/>
              </w:rPr>
              <w:t>Certification  of  Chief  Financial  Officer  and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5"/>
              </w:rPr>
              <w:t>Principal Financial Officer pursuant to 18 U.S.C.</w:t>
            </w:r>
          </w:p>
        </w:tc>
        <w:tc>
          <w:tcPr>
            <w:tcW w:w="2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1350 as adopted pursuant to Section 906 of the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91" w:lineRule="exact"/>
        <w:rPr>
          <w:sz w:val="20"/>
          <w:szCs w:val="20"/>
          <w:color w:val="auto"/>
        </w:rPr>
      </w:pPr>
    </w:p>
    <w:p>
      <w:pPr>
        <w:jc w:val="both"/>
        <w:ind w:left="3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87"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Juan Vera</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Chief Executive Officer and Principal Executive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Eliot M. Lurier</w:t>
      </w:r>
    </w:p>
    <w:p>
      <w:pPr>
        <w:spacing w:after="0" w:line="23" w:lineRule="exact"/>
        <w:rPr>
          <w:sz w:val="20"/>
          <w:szCs w:val="20"/>
          <w:color w:val="auto"/>
        </w:rPr>
      </w:pPr>
    </w:p>
    <w:p>
      <w:pPr>
        <w:ind w:left="420"/>
        <w:spacing w:after="0"/>
        <w:tabs>
          <w:tab w:leader="none" w:pos="1100" w:val="left"/>
          <w:tab w:leader="none" w:pos="1660" w:val="left"/>
          <w:tab w:leader="none" w:pos="2500" w:val="left"/>
          <w:tab w:leader="none" w:pos="3180" w:val="left"/>
          <w:tab w:leader="none" w:pos="3600" w:val="left"/>
          <w:tab w:leader="none" w:pos="4280" w:val="left"/>
        </w:tabs>
        <w:rPr>
          <w:sz w:val="20"/>
          <w:szCs w:val="20"/>
          <w:color w:val="auto"/>
        </w:rPr>
      </w:pPr>
      <w:r>
        <w:rPr>
          <w:rFonts w:ascii="Arial" w:cs="Arial" w:eastAsia="Arial" w:hAnsi="Arial"/>
          <w:sz w:val="18"/>
          <w:szCs w:val="18"/>
          <w:color w:val="auto"/>
        </w:rPr>
        <w:t>Interim</w:t>
        <w:tab/>
        <w:t>Chief</w:t>
        <w:tab/>
        <w:t>Financial</w:t>
        <w:tab/>
        <w:t>Officer</w:t>
        <w:tab/>
        <w:t>and</w:t>
        <w:tab/>
        <w:t>Interim</w:t>
      </w:r>
      <w:r>
        <w:rPr>
          <w:sz w:val="20"/>
          <w:szCs w:val="20"/>
          <w:color w:val="auto"/>
        </w:rPr>
        <w:tab/>
      </w:r>
      <w:r>
        <w:rPr>
          <w:rFonts w:ascii="Arial" w:cs="Arial" w:eastAsia="Arial" w:hAnsi="Arial"/>
          <w:sz w:val="17"/>
          <w:szCs w:val="17"/>
          <w:color w:val="auto"/>
        </w:rPr>
        <w:t>Principal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Juan Vera,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Juan Vera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444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b w:val="1"/>
                <w:bCs w:val="1"/>
                <w:color w:val="auto"/>
              </w:rPr>
              <w:t>Juan Vera</w:t>
            </w:r>
          </w:p>
        </w:tc>
        <w:tc>
          <w:tcPr>
            <w:tcW w:w="496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940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(Principal Executive Officer)</w:t>
            </w:r>
          </w:p>
        </w:tc>
      </w:tr>
      <w:tr>
        <w:trPr>
          <w:trHeight w:val="776"/>
        </w:trPr>
        <w:tc>
          <w:tcPr>
            <w:tcW w:w="5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Eliot M. Lurier, certify that:</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Eliot M. Lurier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Interim Chief Financial Officer (Interim Principal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September 30,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Juan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Juan Vera</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Eliot M. Lurier, the Interim Chief Financial Officer of Marker Therapeutics, Inc. (the “Company”) hereby certifies, pursuant to 18 U.S.C. Section 1350, as adopted pursuant to Section 906 of the Sarbanes-Oxley Act of 2002, that, to the best of his knowledge, the Quarterly Report on Form 10-Q for the period ended September 30,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Eliot M. Lurier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Interim Chief Financial Officer (Interim Principal Financial</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amp;"/>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4" Type="http://schemas.openxmlformats.org/officeDocument/2006/relationships/hyperlink" Target="https://www.sec.gov/Archives/edgar/data/1094038/000114420418054209/tv504951_ex3-4.htm" TargetMode="External"/><Relationship Id="rId55" Type="http://schemas.openxmlformats.org/officeDocument/2006/relationships/hyperlink" Target="https://www.sec.gov/Archives/edgar/data/1094038/000119312522162322/d480537dex31.htm" TargetMode="External"/><Relationship Id="rId56" Type="http://schemas.openxmlformats.org/officeDocument/2006/relationships/hyperlink" Target="https://www.sec.gov/Archives/edgar/data/1094038/000110465923007019/tm234466d1_ex3-1.htm" TargetMode="External"/><Relationship Id="rId57" Type="http://schemas.openxmlformats.org/officeDocument/2006/relationships/hyperlink" Target="https://www.sec.gov/Archives/edgar/data/1094038/000114420418054209/tv504951_ex3-6.htm" TargetMode="External"/><Relationship Id="rId58" Type="http://schemas.openxmlformats.org/officeDocument/2006/relationships/hyperlink" Target="https://www.sec.gov/Archives/edgar/data/1094038/000141057823001217/mrkr-20230331xex10d1.htm" TargetMode="External"/><Relationship Id="rId59" Type="http://schemas.openxmlformats.org/officeDocument/2006/relationships/hyperlink" Target="https://www.sec.gov/Archives/edgar/data/1094038/000141057823001217/mrkr-2023033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2023-11-09T15:44:31Z</dcterms:created>
  <dcterms:modified xsi:type="dcterms:W3CDTF">2023-11-09T15:44:31Z</dcterms:modified>
</cp:coreProperties>
</file>