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both"/>
        <w:rPr/>
      </w:pPr>
      <w:hyperlink w:anchor="TOC">
        <w:bookmarkStart w:id="0" w:name="mrkr-20230331x10q.htm"/>
        <w:bookmarkStart w:id="1" w:name="ksmrkr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bookmarkStart w:id="2" w:name="_424154ee_48c1_4f9a_9eb3_05f91fccb70a"/>
      <w:bookmarkEnd w:id="2"/>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UNITED STATES 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Quarterly Report Under Section 13 or 15(d) of the Securities Exchange Act of 1934 for the quarterly period ended March 31, 2023</w:t>
      </w:r>
    </w:p>
    <w:p>
      <w:pPr>
        <w:pStyle w:val="TextBody"/>
        <w:pBdr/>
        <w:bidi w:val="0"/>
        <w:spacing w:before="0" w:after="240"/>
        <w:ind w:left="0" w:right="0" w:hanging="36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Transition Report Under Section 13 or 15(d) of the Securities Exchange Act of 1934 for the transition period from _____ to _____.</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Commission File Number: </w:t>
      </w:r>
      <w:r>
        <w:rPr>
          <w:rFonts w:ascii="Times New Roman;Times;serif" w:hAnsi="Times New Roman;Times;serif"/>
          <w:b/>
          <w:sz w:val="18"/>
        </w:rPr>
        <w:t>001-37939</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drawing>
          <wp:inline distT="0" distB="0" distL="0" distR="0">
            <wp:extent cx="266636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6365" cy="762000"/>
                    </a:xfrm>
                    <a:prstGeom prst="rect">
                      <a:avLst/>
                    </a:prstGeom>
                  </pic:spPr>
                </pic:pic>
              </a:graphicData>
            </a:graphic>
          </wp:inline>
        </w:drawing>
      </w:r>
    </w:p>
    <w:p>
      <w:pPr>
        <w:pStyle w:val="TextBody"/>
        <w:bidi w:val="0"/>
        <w:spacing w:before="0" w:after="240"/>
        <w:ind w:left="0" w:right="0" w:hanging="0"/>
        <w:jc w:val="center"/>
        <w:rPr/>
      </w:pPr>
      <w:r>
        <w:rPr/>
        <w:t>​</w:t>
      </w:r>
    </w:p>
    <w:p>
      <w:pPr>
        <w:pStyle w:val="TextBody"/>
        <w:pBdr>
          <w:bottom w:val="single" w:sz="2" w:space="1" w:color="000000"/>
        </w:pBdr>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MARKER THERAPEUTICS,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registrant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nwnIuFFprUmFIfEfXuerNA_2_2"/>
      <w:bookmarkStart w:id="4" w:name="Tc_VTQzDextOEWk0qQNmWxUWw_2_0"/>
      <w:bookmarkStart w:id="5" w:name="_2fed320d_a464_4cfb_b33a_687b73d895bc"/>
      <w:bookmarkStart w:id="6" w:name="Tc_nwnIuFFprUmFIfEfXuerNA_2_2"/>
      <w:bookmarkStart w:id="7" w:name="Tc_VTQzDextOEWk0qQNmWxUWw_2_0"/>
      <w:bookmarkStart w:id="8" w:name="_2fed320d_a464_4cfb_b33a_687b73d895bc"/>
      <w:bookmarkEnd w:id="6"/>
      <w:bookmarkEnd w:id="7"/>
      <w:bookmarkEnd w:id="8"/>
    </w:p>
    <w:tbl>
      <w:tblPr>
        <w:tblW w:w="7363" w:type="dxa"/>
        <w:jc w:val="left"/>
        <w:tblInd w:w="0" w:type="dxa"/>
        <w:tblLayout w:type="fixed"/>
        <w:tblCellMar>
          <w:top w:w="0" w:type="dxa"/>
          <w:left w:w="0" w:type="dxa"/>
          <w:bottom w:w="0" w:type="dxa"/>
          <w:right w:w="0" w:type="dxa"/>
        </w:tblCellMar>
      </w:tblPr>
      <w:tblGrid>
        <w:gridCol w:w="4321"/>
        <w:gridCol w:w="326"/>
        <w:gridCol w:w="271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vAlign w:val="center"/>
          </w:tcPr>
          <w:p>
            <w:pPr>
              <w:pStyle w:val="TableContents"/>
              <w:bidi w:val="0"/>
              <w:spacing w:before="0" w:after="283"/>
              <w:ind w:left="0" w:right="0" w:hanging="0"/>
              <w:jc w:val="left"/>
              <w:rPr>
                <w:sz w:val="4"/>
                <w:szCs w:val="4"/>
              </w:rPr>
            </w:pPr>
            <w:r>
              <w:rPr>
                <w:sz w:val="4"/>
                <w:szCs w:val="4"/>
              </w:rPr>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DELAWARE</w:t>
            </w:r>
          </w:p>
        </w:tc>
        <w:tc>
          <w:tcPr>
            <w:tcW w:w="326" w:type="dxa"/>
            <w:tcBorders/>
            <w:vAlign w:val="center"/>
          </w:tcPr>
          <w:p>
            <w:pPr>
              <w:pStyle w:val="TableContents"/>
              <w:bidi w:val="0"/>
              <w:spacing w:before="0" w:after="0"/>
              <w:ind w:left="0" w:right="0" w:hanging="0"/>
              <w:jc w:val="both"/>
              <w:rPr/>
            </w:pPr>
            <w:r>
              <w:rPr/>
              <w:t>    </w:t>
            </w:r>
          </w:p>
        </w:tc>
        <w:tc>
          <w:tcPr>
            <w:tcW w:w="27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45-4497941</w:t>
            </w:r>
          </w:p>
        </w:tc>
      </w:tr>
      <w:tr>
        <w:trPr/>
        <w:tc>
          <w:tcPr>
            <w:tcW w:w="43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9" w:name="Tc_kl9tzBUs3EeeFe_5oPJUkQ_3_2"/>
      <w:bookmarkStart w:id="10" w:name="Tc_40WYjjn9jkydNrFC1ORTSQ_3_0"/>
      <w:bookmarkStart w:id="11" w:name="Tc_fqPWvDgfXEaffjjwBB0aWA_2_0"/>
      <w:bookmarkStart w:id="12" w:name="_b494b851_bca4_40ad_954f_bf49924fdd67"/>
      <w:bookmarkStart w:id="13" w:name="Tc_kl9tzBUs3EeeFe_5oPJUkQ_3_2"/>
      <w:bookmarkStart w:id="14" w:name="Tc_40WYjjn9jkydNrFC1ORTSQ_3_0"/>
      <w:bookmarkStart w:id="15" w:name="Tc_fqPWvDgfXEaffjjwBB0aWA_2_0"/>
      <w:bookmarkStart w:id="16" w:name="_b494b851_bca4_40ad_954f_bf49924fdd67"/>
      <w:bookmarkEnd w:id="13"/>
      <w:bookmarkEnd w:id="14"/>
      <w:bookmarkEnd w:id="15"/>
      <w:bookmarkEnd w:id="16"/>
    </w:p>
    <w:tbl>
      <w:tblPr>
        <w:tblW w:w="4183" w:type="dxa"/>
        <w:jc w:val="left"/>
        <w:tblInd w:w="0" w:type="dxa"/>
        <w:tblLayout w:type="fixed"/>
        <w:tblCellMar>
          <w:top w:w="0" w:type="dxa"/>
          <w:left w:w="0" w:type="dxa"/>
          <w:bottom w:w="0" w:type="dxa"/>
          <w:right w:w="0" w:type="dxa"/>
        </w:tblCellMar>
      </w:tblPr>
      <w:tblGrid>
        <w:gridCol w:w="2926"/>
        <w:gridCol w:w="326"/>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4551 Kennedy Commerce Drive</w:t>
            </w:r>
            <w:r>
              <w:rPr>
                <w:rFonts w:ascii="Times New Roman;Times;serif" w:hAnsi="Times New Roman;Times;serif"/>
                <w:sz w:val="18"/>
              </w:rPr>
              <w:br/>
            </w:r>
            <w:r>
              <w:rPr>
                <w:rFonts w:ascii="Times New Roman;Times;serif" w:hAnsi="Times New Roman;Times;serif"/>
                <w:b/>
                <w:sz w:val="18"/>
              </w:rPr>
              <w:t>Houston, Texas</w:t>
            </w:r>
          </w:p>
        </w:tc>
        <w:tc>
          <w:tcPr>
            <w:tcW w:w="326" w:type="dxa"/>
            <w:tcBorders/>
            <w:vAlign w:val="center"/>
          </w:tcPr>
          <w:p>
            <w:pPr>
              <w:pStyle w:val="TableContents"/>
              <w:bidi w:val="0"/>
              <w:spacing w:before="0" w:after="0"/>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77032</w:t>
            </w:r>
          </w:p>
        </w:tc>
      </w:tr>
      <w:tr>
        <w:trPr/>
        <w:tc>
          <w:tcPr>
            <w:tcW w:w="29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2596" w:type="dxa"/>
        <w:jc w:val="left"/>
        <w:tblInd w:w="0" w:type="dxa"/>
        <w:tblLayout w:type="fixed"/>
        <w:tblCellMar>
          <w:top w:w="0" w:type="dxa"/>
          <w:left w:w="0" w:type="dxa"/>
          <w:bottom w:w="28" w:type="dxa"/>
          <w:right w:w="0" w:type="dxa"/>
        </w:tblCellMar>
      </w:tblPr>
      <w:tblGrid>
        <w:gridCol w:w="2116"/>
        <w:gridCol w:w="326"/>
        <w:gridCol w:w="154"/>
      </w:tblGrid>
      <w:tr>
        <w:trPr/>
        <w:tc>
          <w:tcPr>
            <w:tcW w:w="21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(713) 400-6400</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(Issuer’s telephone number)</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o2DXC0oOLUOPmfOu2QaYMA_2_4"/>
      <w:bookmarkStart w:id="18" w:name="Tc_mNYNS1GCUUqDVsZn8prWsg_1_4"/>
      <w:bookmarkStart w:id="19" w:name="Tc_plPoeX5QPk6NoLrWTtACKQ_1_2"/>
      <w:bookmarkStart w:id="20" w:name="Tc_3UWa13XGykyyHLNtg2V7pQ_1_0"/>
      <w:bookmarkStart w:id="21" w:name="_48eb8589_7c2b_4e5e_aafa_5d79a6048cfb"/>
      <w:bookmarkStart w:id="22" w:name="Tc_o2DXC0oOLUOPmfOu2QaYMA_2_4"/>
      <w:bookmarkStart w:id="23" w:name="Tc_mNYNS1GCUUqDVsZn8prWsg_1_4"/>
      <w:bookmarkStart w:id="24" w:name="Tc_plPoeX5QPk6NoLrWTtACKQ_1_2"/>
      <w:bookmarkStart w:id="25" w:name="Tc_3UWa13XGykyyHLNtg2V7pQ_1_0"/>
      <w:bookmarkStart w:id="26" w:name="_48eb8589_7c2b_4e5e_aafa_5d79a6048cfb"/>
      <w:bookmarkEnd w:id="22"/>
      <w:bookmarkEnd w:id="23"/>
      <w:bookmarkEnd w:id="24"/>
      <w:bookmarkEnd w:id="25"/>
      <w:bookmarkEnd w:id="26"/>
    </w:p>
    <w:tbl>
      <w:tblPr>
        <w:tblW w:w="9295" w:type="dxa"/>
        <w:jc w:val="left"/>
        <w:tblInd w:w="0" w:type="dxa"/>
        <w:tblLayout w:type="fixed"/>
        <w:tblCellMar>
          <w:top w:w="0" w:type="dxa"/>
          <w:left w:w="0" w:type="dxa"/>
          <w:bottom w:w="0" w:type="dxa"/>
          <w:right w:w="0" w:type="dxa"/>
        </w:tblCellMar>
      </w:tblPr>
      <w:tblGrid>
        <w:gridCol w:w="3601"/>
        <w:gridCol w:w="326"/>
        <w:gridCol w:w="1561"/>
        <w:gridCol w:w="326"/>
        <w:gridCol w:w="348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$0.001 per share</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MRKR</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7" w:name="Tc_r2TG-MmnN0yvvzIubMlllQ_2_3"/>
      <w:bookmarkStart w:id="28" w:name="Tc_bWTQ2DOWME2McR72sZ9txQ_1_3"/>
      <w:bookmarkStart w:id="29" w:name="Tc_8DtbB_-Z6Eah8gHLFNmeow_1_2"/>
      <w:bookmarkStart w:id="30" w:name="Tc_8RjvcCKrJEWTdRhKbaZiRw_1_1"/>
      <w:bookmarkStart w:id="31" w:name="Tc_vRMfVXM5A0mKgubTKhD9xg_0_4"/>
      <w:bookmarkStart w:id="32" w:name="Tc_snEdfTZs2kOvDbaYb1e63A_0_3"/>
      <w:bookmarkStart w:id="33" w:name="Tc_aj8cuSvLfkq5YkYRWku60A_0_2"/>
      <w:bookmarkStart w:id="34" w:name="Tc_ttA6hhTfqkCeZxtpmkxY-w_0_1"/>
      <w:bookmarkStart w:id="35" w:name="_1d0d9bca_95cb_4073_ba44_28e2ad6da1a8"/>
      <w:bookmarkStart w:id="36" w:name="Tc_r2TG-MmnN0yvvzIubMlllQ_2_3"/>
      <w:bookmarkStart w:id="37" w:name="Tc_bWTQ2DOWME2McR72sZ9txQ_1_3"/>
      <w:bookmarkStart w:id="38" w:name="Tc_8DtbB_-Z6Eah8gHLFNmeow_1_2"/>
      <w:bookmarkStart w:id="39" w:name="Tc_8RjvcCKrJEWTdRhKbaZiRw_1_1"/>
      <w:bookmarkStart w:id="40" w:name="Tc_vRMfVXM5A0mKgubTKhD9xg_0_4"/>
      <w:bookmarkStart w:id="41" w:name="Tc_snEdfTZs2kOvDbaYb1e63A_0_3"/>
      <w:bookmarkStart w:id="42" w:name="Tc_aj8cuSvLfkq5YkYRWku60A_0_2"/>
      <w:bookmarkStart w:id="43" w:name="Tc_ttA6hhTfqkCeZxtpmkxY-w_0_1"/>
      <w:bookmarkStart w:id="44" w:name="_1d0d9bca_95cb_4073_ba44_28e2ad6da1a8"/>
      <w:bookmarkEnd w:id="36"/>
      <w:bookmarkEnd w:id="37"/>
      <w:bookmarkEnd w:id="38"/>
      <w:bookmarkEnd w:id="39"/>
      <w:bookmarkEnd w:id="40"/>
      <w:bookmarkEnd w:id="41"/>
      <w:bookmarkEnd w:id="42"/>
      <w:bookmarkEnd w:id="43"/>
      <w:bookmarkEnd w:id="44"/>
    </w:p>
    <w:tbl>
      <w:tblPr>
        <w:tblW w:w="4493" w:type="dxa"/>
        <w:jc w:val="left"/>
        <w:tblInd w:w="0" w:type="dxa"/>
        <w:tblLayout w:type="fixed"/>
        <w:tblCellMar>
          <w:top w:w="0" w:type="dxa"/>
          <w:left w:w="0" w:type="dxa"/>
          <w:bottom w:w="0" w:type="dxa"/>
          <w:right w:w="0" w:type="dxa"/>
        </w:tblCellMar>
      </w:tblPr>
      <w:tblGrid>
        <w:gridCol w:w="124"/>
        <w:gridCol w:w="1651"/>
        <w:gridCol w:w="316"/>
        <w:gridCol w:w="2041"/>
        <w:gridCol w:w="3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1775" w:type="dxa"/>
            <w:gridSpan w:val="2"/>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As of May 8, 2023, the Company had 8,798,829 shares of common stock issued and outstanding.</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pPr>
      <w:bookmarkStart w:id="45" w:name="TOC"/>
      <w:bookmarkStart w:id="46" w:name="_7864175d_e731_4af3_b05a_432b628a1f5c"/>
      <w:bookmarkEnd w:id="45"/>
      <w:bookmarkEnd w:id="46"/>
      <w:r>
        <w:rPr/>
        <w:t>​</w:t>
      </w:r>
    </w:p>
    <w:tbl>
      <w:tblPr>
        <w:tblW w:w="10205" w:type="dxa"/>
        <w:jc w:val="left"/>
        <w:tblInd w:w="0" w:type="dxa"/>
        <w:tblLayout w:type="fixed"/>
        <w:tblCellMar>
          <w:top w:w="0" w:type="dxa"/>
          <w:left w:w="0" w:type="dxa"/>
          <w:bottom w:w="0" w:type="dxa"/>
          <w:right w:w="0" w:type="dxa"/>
        </w:tblCellMar>
      </w:tblPr>
      <w:tblGrid>
        <w:gridCol w:w="811"/>
        <w:gridCol w:w="8823"/>
        <w:gridCol w:w="57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2"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602605" cy="175260"/>
                      <wp:effectExtent l="0" t="0" r="0" b="0"/>
                      <wp:wrapNone/>
                      <wp:docPr id="3" name="Frame2"/>
                      <a:graphic xmlns:a="http://schemas.openxmlformats.org/drawingml/2006/main">
                        <a:graphicData uri="http://schemas.microsoft.com/office/word/2010/wordprocessingShape">
                          <wps:wsp>
                            <wps:cNvSpPr txBox="1"/>
                            <wps:spPr>
                              <a:xfrm>
                                <a:off x="0" y="0"/>
                                <a:ext cx="56026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62585" cy="175260"/>
                      <wp:effectExtent l="0" t="0" r="0" b="0"/>
                      <wp:wrapNone/>
                      <wp:docPr id="4" name="Frame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bidi w:val="0"/>
              <w:spacing w:before="0" w:after="0"/>
              <w:ind w:left="0" w:right="0" w:hanging="0"/>
              <w:jc w:val="both"/>
              <w:rPr/>
            </w:pPr>
            <w:hyperlink w:anchor="PARTIFINANCIALINFORMATION_341259">
              <w:r>
                <w:rPr>
                  <w:rStyle w:val="InternetLink"/>
                  <w:rFonts w:ascii="Times New Roman;Times;serif" w:hAnsi="Times New Roman;Times;serif"/>
                  <w:b/>
                  <w:i w:val="false"/>
                  <w:caps w:val="false"/>
                  <w:smallCaps w:val="false"/>
                  <w:sz w:val="20"/>
                </w:rPr>
                <w:t>PART I – FINANCIAL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BALANCESHEETS_74901">
              <w:r>
                <w:rPr>
                  <w:rStyle w:val="InternetLink"/>
                  <w:rFonts w:ascii="Times New Roman;Times;serif" w:hAnsi="Times New Roman;Times;serif"/>
                  <w:b w:val="false"/>
                  <w:i w:val="false"/>
                  <w:caps w:val="false"/>
                  <w:smallCaps w:val="false"/>
                  <w:sz w:val="20"/>
                </w:rPr>
                <w:t>Condensed Consolidated Balance Sheets as of March 31, 2023 and December 31, 2022</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OPERATI">
              <w:r>
                <w:rPr>
                  <w:rStyle w:val="InternetLink"/>
                  <w:rFonts w:ascii="Times New Roman;Times;serif" w:hAnsi="Times New Roman;Times;serif"/>
                  <w:b w:val="false"/>
                  <w:i w:val="false"/>
                  <w:caps w:val="false"/>
                  <w:smallCaps w:val="false"/>
                  <w:sz w:val="20"/>
                </w:rPr>
                <w:t xml:space="preserve">Condensed Consolidated Statements of Operations for the three months ended March 31, 2023 and 2022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for the three months ended March 31, 2023 and 2022</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three months ended March 31, 2023 and 2022</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bidi w:val="0"/>
              <w:spacing w:before="0" w:after="0"/>
              <w:ind w:left="0" w:right="0" w:hanging="0"/>
              <w:jc w:val="both"/>
              <w:rPr/>
            </w:pPr>
            <w:hyperlink w:anchor="PARTIIOTHERINFORMATION_786639">
              <w:r>
                <w:rPr>
                  <w:rStyle w:val="InternetLink"/>
                  <w:rFonts w:ascii="Times New Roman;Times;serif" w:hAnsi="Times New Roman;Times;serif"/>
                  <w:b/>
                  <w:i w:val="false"/>
                  <w:caps w:val="false"/>
                  <w:smallCaps w:val="false"/>
                  <w:sz w:val="20"/>
                </w:rPr>
                <w:t xml:space="preserve">PART II – OTHER INFORMATION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Legal Proceedings.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Item 1A.</w:t>
              </w:r>
            </w:hyperlink>
          </w:p>
        </w:tc>
        <w:tc>
          <w:tcPr>
            <w:tcW w:w="8823" w:type="dxa"/>
            <w:tcBorders/>
            <w:shd w:fill="CCEEFF" w:val="clear"/>
            <w:vAlign w:val="center"/>
          </w:tcPr>
          <w:p>
            <w:pPr>
              <w:pStyle w:val="TableContents"/>
              <w:bidi w:val="0"/>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Risk Factors.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Mine Safety Disclosure.</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Item 5.</w:t>
              </w:r>
            </w:hyperlink>
          </w:p>
        </w:tc>
        <w:tc>
          <w:tcPr>
            <w:tcW w:w="8823" w:type="dxa"/>
            <w:tcBorders/>
            <w:shd w:fill="CCEEFF" w:val="clear"/>
            <w:vAlign w:val="center"/>
          </w:tcPr>
          <w:p>
            <w:pPr>
              <w:pStyle w:val="TableContents"/>
              <w:bidi w:val="0"/>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Other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Item 6.</w:t>
              </w:r>
            </w:hyperlink>
          </w:p>
        </w:tc>
        <w:tc>
          <w:tcPr>
            <w:tcW w:w="8823" w:type="dxa"/>
            <w:tcBorders/>
            <w:shd w:fill="CCEEFF" w:val="clear"/>
            <w:vAlign w:val="center"/>
          </w:tcPr>
          <w:p>
            <w:pPr>
              <w:pStyle w:val="TableContents"/>
              <w:bidi w:val="0"/>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Exhibits.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bidi w:val="0"/>
              <w:spacing w:before="0" w:after="0"/>
              <w:ind w:left="0" w:right="0" w:hanging="0"/>
              <w:jc w:val="both"/>
              <w:rPr/>
            </w:pPr>
            <w:hyperlink w:anchor="SIGNATURES_208803">
              <w:r>
                <w:rPr>
                  <w:rStyle w:val="InternetLink"/>
                  <w:rFonts w:ascii="Times New Roman;Times;serif" w:hAnsi="Times New Roman;Times;serif"/>
                  <w:b w:val="false"/>
                  <w:i w:val="false"/>
                  <w:caps w:val="false"/>
                  <w:smallCaps w:val="false"/>
                  <w:sz w:val="20"/>
                </w:rPr>
                <w:t>Signatures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idi w:val="0"/>
        <w:spacing w:before="0" w:after="240"/>
        <w:ind w:left="0" w:right="0" w:hanging="979"/>
        <w:jc w:val="both"/>
        <w:rPr>
          <w:rFonts w:ascii="Times New Roman;Times;serif" w:hAnsi="Times New Roman;Times;serif"/>
          <w:b/>
          <w:sz w:val="20"/>
        </w:rPr>
      </w:pPr>
      <w:bookmarkStart w:id="47" w:name="PARTIFINANCIALINFORMATION_341259"/>
      <w:bookmarkStart w:id="48" w:name="_ca0898e5_6e6a_4cca_b204_5f180c0fa679"/>
      <w:bookmarkEnd w:id="47"/>
      <w:bookmarkEnd w:id="48"/>
      <w:r>
        <w:rPr>
          <w:rFonts w:ascii="Times New Roman;Times;serif" w:hAnsi="Times New Roman;Times;serif"/>
          <w:b/>
          <w:sz w:val="20"/>
        </w:rPr>
        <w:t>PART I.      FINANCIAL INFORMATION</w:t>
      </w:r>
    </w:p>
    <w:p>
      <w:pPr>
        <w:pStyle w:val="TextBody"/>
        <w:pBdr/>
        <w:bidi w:val="0"/>
        <w:spacing w:before="0" w:after="240"/>
        <w:ind w:left="0" w:right="0" w:hanging="979"/>
        <w:jc w:val="both"/>
        <w:rPr>
          <w:rFonts w:ascii="Times New Roman;Times;serif" w:hAnsi="Times New Roman;Times;serif"/>
          <w:b/>
          <w:sz w:val="20"/>
        </w:rPr>
      </w:pPr>
      <w:bookmarkStart w:id="49" w:name="Item1FinancialStatements_6919"/>
      <w:bookmarkEnd w:id="49"/>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50" w:name="CONDENSEDCONSOLIDATEDBALANCESHEETS_74901"/>
      <w:bookmarkEnd w:id="50"/>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1" w:name="Tc_nKAHf8Y6N063gw9wjPP4TQ_36_5"/>
      <w:bookmarkStart w:id="52" w:name="Tc_SyXzvuA5Skm8he7xhHw4kg_36_2"/>
      <w:bookmarkStart w:id="53" w:name="Tc_P5VnaHdMv0SK0x9jtW-08w_36_0"/>
      <w:bookmarkStart w:id="54" w:name="Tc_4-G-k3C9cU-fsG8BfZ5WNA_34_0"/>
      <w:bookmarkStart w:id="55" w:name="Tc_Ez3LktJthkyX7CtWvCZ8HA_33_0"/>
      <w:bookmarkStart w:id="56" w:name="Tc_ep1Y0hj_TkW-CeerpL2IcA_32_0"/>
      <w:bookmarkStart w:id="57" w:name="Tc_TZZYytO-3UaVbDkp_RVCnA_31_0"/>
      <w:bookmarkStart w:id="58" w:name="Tc_q9tDHV0Dl0WtsaqpO5-ccw_30_0"/>
      <w:bookmarkStart w:id="59" w:name="Tc_-YHZlouUSUuGRNQFN_KQjA_29_0"/>
      <w:bookmarkStart w:id="60" w:name="Tc_WErCsFD9v0CPHcjyRdoVbA_27_0"/>
      <w:bookmarkStart w:id="61" w:name="Tc_WZ8dG8SXs0Kzogu8R1zP6Q_25_0"/>
      <w:bookmarkStart w:id="62" w:name="Tc_lCUz2sj06EyDyEeojW6dZQ_24_0"/>
      <w:bookmarkStart w:id="63" w:name="Tc_h3zj2eHu0EilLb_Vt24gig_23_0"/>
      <w:bookmarkStart w:id="64" w:name="Tc_ukSXYaJq3EuCIEAWZrmO2A_22_0"/>
      <w:bookmarkStart w:id="65" w:name="Tc_m4fM2eW6c0iVV13N6yQ5vQ_21_0"/>
      <w:bookmarkStart w:id="66" w:name="Tc_WHIcBVVWSEy-ZmBVnVyyHw_20_3"/>
      <w:bookmarkStart w:id="67" w:name="Tc_fdy4UNI39k-kA7TpNOvcKQ_20_0"/>
      <w:bookmarkStart w:id="68" w:name="Tc_rZF2_HertE-Ew8-5ssHoCg_19_5"/>
      <w:bookmarkStart w:id="69" w:name="Tc_8jzXd2cv-0m4G048EY7RBA_19_2"/>
      <w:bookmarkStart w:id="70" w:name="Tc_yk4osib8ek-93gS3gmbv7w_19_0"/>
      <w:bookmarkStart w:id="71" w:name="Tc_s4wcLWrZ5UKfDmuTwABtRA_18_0"/>
      <w:bookmarkStart w:id="72" w:name="Tc_Dq0w1VxTbUaVokakGqLP5Q_17_0"/>
      <w:bookmarkStart w:id="73" w:name="Tc_nzjLnwSh2U6wa605xN5S0Q_15_5"/>
      <w:bookmarkStart w:id="74" w:name="Tc_5iDbvzylQk2Q8Ub5njwWtA_15_2"/>
      <w:bookmarkStart w:id="75" w:name="Tc_3Hr25nV74USSFf33wuTPVA_15_0"/>
      <w:bookmarkStart w:id="76" w:name="Tc_PZZ4SA9pskmyvSnD7iw9Jw_13_0"/>
      <w:bookmarkStart w:id="77" w:name="Tc_1nz3UHvmik-_ktrapAxtnQ_12_0"/>
      <w:bookmarkStart w:id="78" w:name="Tc_rA4nRSaQH0y1r8PfmfSdbg_11_0"/>
      <w:bookmarkStart w:id="79" w:name="Tc_kgxKJkOhW0acujzTuoGXyQ_10_0"/>
      <w:bookmarkStart w:id="80" w:name="Tc_gN2ML4eCcUm_Qlp6o1C__A_9_0"/>
      <w:bookmarkStart w:id="81" w:name="Tc_eyT8_h0hE0yVVXQCIBdPKw_8_0"/>
      <w:bookmarkStart w:id="82" w:name="Tc_renMnlI8M0ykJeJa24qdsQ_7_6"/>
      <w:bookmarkStart w:id="83" w:name="Tc_kGM_S9fm2kqt6kOJYaIOcg_7_0"/>
      <w:bookmarkStart w:id="84" w:name="Tc_JKsoIU8lYkORhZmWB8_cGg_6_0"/>
      <w:bookmarkStart w:id="85" w:name="Tc_Hd3vweTJXU21_wMO3ct1Aw_5_5"/>
      <w:bookmarkStart w:id="86" w:name="Tc_QDH58pDbXEeJ0GWYnQIOvQ_5_2"/>
      <w:bookmarkStart w:id="87" w:name="Tc_Dm9VdhxlzkGhkOXX1DVv1A_5_0"/>
      <w:bookmarkStart w:id="88" w:name="Tc_bhliotoUTEKG1iRhDupnqQ_4_0"/>
      <w:bookmarkStart w:id="89" w:name="Tc_UaNLLGkPr0iREGUIW0fpAA_3_0"/>
      <w:bookmarkStart w:id="90" w:name="Tc_RDiCN-myLU-MQqwP3iGWGg_2_5"/>
      <w:bookmarkStart w:id="91" w:name="Tc_fGtE0cQquUSwrLUQeEwTJw_2_2"/>
      <w:bookmarkStart w:id="92" w:name="Tc_R8ciYhE050aXW-qpUffccQ_1_5"/>
      <w:bookmarkStart w:id="93" w:name="Tc_dctTzBbY9Uej5hkPTxKSJQ_1_2"/>
      <w:bookmarkStart w:id="94" w:name="_26afe0e9_21d1_4a66_8191_7bdba9228693"/>
      <w:bookmarkStart w:id="95" w:name="Tc_nKAHf8Y6N063gw9wjPP4TQ_36_5"/>
      <w:bookmarkStart w:id="96" w:name="Tc_SyXzvuA5Skm8he7xhHw4kg_36_2"/>
      <w:bookmarkStart w:id="97" w:name="Tc_P5VnaHdMv0SK0x9jtW-08w_36_0"/>
      <w:bookmarkStart w:id="98" w:name="Tc_4-G-k3C9cU-fsG8BfZ5WNA_34_0"/>
      <w:bookmarkStart w:id="99" w:name="Tc_Ez3LktJthkyX7CtWvCZ8HA_33_0"/>
      <w:bookmarkStart w:id="100" w:name="Tc_ep1Y0hj_TkW-CeerpL2IcA_32_0"/>
      <w:bookmarkStart w:id="101" w:name="Tc_TZZYytO-3UaVbDkp_RVCnA_31_0"/>
      <w:bookmarkStart w:id="102" w:name="Tc_q9tDHV0Dl0WtsaqpO5-ccw_30_0"/>
      <w:bookmarkStart w:id="103" w:name="Tc_-YHZlouUSUuGRNQFN_KQjA_29_0"/>
      <w:bookmarkStart w:id="104" w:name="Tc_WErCsFD9v0CPHcjyRdoVbA_27_0"/>
      <w:bookmarkStart w:id="105" w:name="Tc_WZ8dG8SXs0Kzogu8R1zP6Q_25_0"/>
      <w:bookmarkStart w:id="106" w:name="Tc_lCUz2sj06EyDyEeojW6dZQ_24_0"/>
      <w:bookmarkStart w:id="107" w:name="Tc_h3zj2eHu0EilLb_Vt24gig_23_0"/>
      <w:bookmarkStart w:id="108" w:name="Tc_ukSXYaJq3EuCIEAWZrmO2A_22_0"/>
      <w:bookmarkStart w:id="109" w:name="Tc_m4fM2eW6c0iVV13N6yQ5vQ_21_0"/>
      <w:bookmarkStart w:id="110" w:name="Tc_WHIcBVVWSEy-ZmBVnVyyHw_20_3"/>
      <w:bookmarkStart w:id="111" w:name="Tc_fdy4UNI39k-kA7TpNOvcKQ_20_0"/>
      <w:bookmarkStart w:id="112" w:name="Tc_rZF2_HertE-Ew8-5ssHoCg_19_5"/>
      <w:bookmarkStart w:id="113" w:name="Tc_8jzXd2cv-0m4G048EY7RBA_19_2"/>
      <w:bookmarkStart w:id="114" w:name="Tc_yk4osib8ek-93gS3gmbv7w_19_0"/>
      <w:bookmarkStart w:id="115" w:name="Tc_s4wcLWrZ5UKfDmuTwABtRA_18_0"/>
      <w:bookmarkStart w:id="116" w:name="Tc_Dq0w1VxTbUaVokakGqLP5Q_17_0"/>
      <w:bookmarkStart w:id="117" w:name="Tc_nzjLnwSh2U6wa605xN5S0Q_15_5"/>
      <w:bookmarkStart w:id="118" w:name="Tc_5iDbvzylQk2Q8Ub5njwWtA_15_2"/>
      <w:bookmarkStart w:id="119" w:name="Tc_3Hr25nV74USSFf33wuTPVA_15_0"/>
      <w:bookmarkStart w:id="120" w:name="Tc_PZZ4SA9pskmyvSnD7iw9Jw_13_0"/>
      <w:bookmarkStart w:id="121" w:name="Tc_1nz3UHvmik-_ktrapAxtnQ_12_0"/>
      <w:bookmarkStart w:id="122" w:name="Tc_rA4nRSaQH0y1r8PfmfSdbg_11_0"/>
      <w:bookmarkStart w:id="123" w:name="Tc_kgxKJkOhW0acujzTuoGXyQ_10_0"/>
      <w:bookmarkStart w:id="124" w:name="Tc_gN2ML4eCcUm_Qlp6o1C__A_9_0"/>
      <w:bookmarkStart w:id="125" w:name="Tc_eyT8_h0hE0yVVXQCIBdPKw_8_0"/>
      <w:bookmarkStart w:id="126" w:name="Tc_renMnlI8M0ykJeJa24qdsQ_7_6"/>
      <w:bookmarkStart w:id="127" w:name="Tc_kGM_S9fm2kqt6kOJYaIOcg_7_0"/>
      <w:bookmarkStart w:id="128" w:name="Tc_JKsoIU8lYkORhZmWB8_cGg_6_0"/>
      <w:bookmarkStart w:id="129" w:name="Tc_Hd3vweTJXU21_wMO3ct1Aw_5_5"/>
      <w:bookmarkStart w:id="130" w:name="Tc_QDH58pDbXEeJ0GWYnQIOvQ_5_2"/>
      <w:bookmarkStart w:id="131" w:name="Tc_Dm9VdhxlzkGhkOXX1DVv1A_5_0"/>
      <w:bookmarkStart w:id="132" w:name="Tc_bhliotoUTEKG1iRhDupnqQ_4_0"/>
      <w:bookmarkStart w:id="133" w:name="Tc_UaNLLGkPr0iREGUIW0fpAA_3_0"/>
      <w:bookmarkStart w:id="134" w:name="Tc_RDiCN-myLU-MQqwP3iGWGg_2_5"/>
      <w:bookmarkStart w:id="135" w:name="Tc_fGtE0cQquUSwrLUQeEwTJw_2_2"/>
      <w:bookmarkStart w:id="136" w:name="Tc_R8ciYhE050aXW-qpUffccQ_1_5"/>
      <w:bookmarkStart w:id="137" w:name="Tc_dctTzBbY9Uej5hkPTxKSJQ_1_2"/>
      <w:bookmarkStart w:id="138" w:name="_26afe0e9_21d1_4a66_8191_7bdba9228693"/>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W w:w="10205" w:type="dxa"/>
        <w:jc w:val="left"/>
        <w:tblInd w:w="0" w:type="dxa"/>
        <w:tblLayout w:type="fixed"/>
        <w:tblCellMar>
          <w:top w:w="0" w:type="dxa"/>
          <w:left w:w="0" w:type="dxa"/>
          <w:bottom w:w="0" w:type="dxa"/>
          <w:right w:w="0" w:type="dxa"/>
        </w:tblCellMar>
      </w:tblPr>
      <w:tblGrid>
        <w:gridCol w:w="6639"/>
        <w:gridCol w:w="326"/>
        <w:gridCol w:w="211"/>
        <w:gridCol w:w="1223"/>
        <w:gridCol w:w="326"/>
        <w:gridCol w:w="211"/>
        <w:gridCol w:w="1269"/>
      </w:tblGrid>
      <w:tr>
        <w:trPr/>
        <w:tc>
          <w:tcPr>
            <w:tcW w:w="6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215765" cy="175260"/>
                      <wp:effectExtent l="0" t="0" r="0" b="0"/>
                      <wp:wrapNone/>
                      <wp:docPr id="5" name="Frame4"/>
                      <a:graphic xmlns:a="http://schemas.openxmlformats.org/drawingml/2006/main">
                        <a:graphicData uri="http://schemas.microsoft.com/office/word/2010/wordprocessingShape">
                          <wps:wsp>
                            <wps:cNvSpPr txBox="1"/>
                            <wps:spPr>
                              <a:xfrm>
                                <a:off x="0" y="0"/>
                                <a:ext cx="42157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76605" cy="175260"/>
                      <wp:effectExtent l="0" t="0" r="0" b="0"/>
                      <wp:wrapNone/>
                      <wp:docPr id="8" name="Frame7"/>
                      <a:graphic xmlns:a="http://schemas.openxmlformats.org/drawingml/2006/main">
                        <a:graphicData uri="http://schemas.microsoft.com/office/word/2010/wordprocessingShape">
                          <wps:wsp>
                            <wps:cNvSpPr txBox="1"/>
                            <wps:spPr>
                              <a:xfrm>
                                <a:off x="0" y="0"/>
                                <a:ext cx="7766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805815" cy="175260"/>
                      <wp:effectExtent l="0" t="0" r="0" b="0"/>
                      <wp:wrapNone/>
                      <wp:docPr id="11" name="Frame10"/>
                      <a:graphic xmlns:a="http://schemas.openxmlformats.org/drawingml/2006/main">
                        <a:graphicData uri="http://schemas.microsoft.com/office/word/2010/wordprocessingShape">
                          <wps:wsp>
                            <wps:cNvSpPr txBox="1"/>
                            <wps:spPr>
                              <a:xfrm>
                                <a:off x="0" y="0"/>
                                <a:ext cx="80581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663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3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both"/>
              <w:rPr/>
            </w:pPr>
            <w:r>
              <w:rPr/>
              <w:t>    </w:t>
            </w:r>
          </w:p>
        </w:tc>
        <w:tc>
          <w:tcPr>
            <w:tcW w:w="14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63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w:t>
            </w:r>
          </w:p>
        </w:tc>
        <w:tc>
          <w:tcPr>
            <w:tcW w:w="14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9" w:type="dxa"/>
            <w:tcBorders/>
            <w:shd w:fill="CCEEFF" w:val="clear"/>
            <w:vAlign w:val="center"/>
          </w:tcPr>
          <w:p>
            <w:pPr>
              <w:pStyle w:val="TableContents"/>
              <w:bidi w:val="0"/>
              <w:spacing w:before="0" w:after="1"/>
              <w:ind w:left="0" w:right="0" w:hanging="0"/>
              <w:jc w:val="both"/>
              <w:rPr/>
            </w:pPr>
            <w:r>
              <w:rPr/>
              <w:t>​</w:t>
            </w:r>
          </w:p>
        </w:tc>
      </w:tr>
      <w:tr>
        <w:trPr/>
        <w:tc>
          <w:tcPr>
            <w:tcW w:w="663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9" w:type="dxa"/>
            <w:tcBorders/>
            <w:vAlign w:val="center"/>
          </w:tcPr>
          <w:p>
            <w:pPr>
              <w:pStyle w:val="TableContents"/>
              <w:bidi w:val="0"/>
              <w:spacing w:before="0" w:after="1"/>
              <w:ind w:left="0" w:right="0" w:hanging="0"/>
              <w:jc w:val="both"/>
              <w:rPr/>
            </w:pPr>
            <w:r>
              <w:rPr/>
              <w:t>​</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6,401,243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11,782,172</w:t>
            </w:r>
          </w:p>
        </w:tc>
      </w:tr>
      <w:tr>
        <w:trPr/>
        <w:tc>
          <w:tcPr>
            <w:tcW w:w="663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2,428,743</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2,435,079</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receivable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9" w:type="dxa"/>
            <w:tcBorders/>
            <w:shd w:fill="CCEEFF" w:val="clear"/>
            <w:vAlign w:val="center"/>
          </w:tcPr>
          <w:p>
            <w:pPr>
              <w:pStyle w:val="TableContents"/>
              <w:bidi w:val="0"/>
              <w:spacing w:before="0" w:after="1"/>
              <w:ind w:left="0" w:right="0" w:hanging="0"/>
              <w:jc w:val="right"/>
              <w:rPr/>
            </w:pPr>
            <w:r>
              <w:rPr/>
              <w:t>—</w:t>
            </w:r>
          </w:p>
        </w:tc>
      </w:tr>
      <w:tr>
        <w:trPr/>
        <w:tc>
          <w:tcPr>
            <w:tcW w:w="663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1,082,886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2,402,004</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10,912,872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16,619,255</w:t>
            </w:r>
          </w:p>
        </w:tc>
      </w:tr>
      <w:tr>
        <w:trPr/>
        <w:tc>
          <w:tcPr>
            <w:tcW w:w="663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Non-current assets: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9" w:type="dxa"/>
            <w:tcBorders/>
            <w:vAlign w:val="center"/>
          </w:tcPr>
          <w:p>
            <w:pPr>
              <w:pStyle w:val="TableContents"/>
              <w:bidi w:val="0"/>
              <w:spacing w:before="0" w:after="1"/>
              <w:ind w:left="0" w:right="0" w:hanging="0"/>
              <w:jc w:val="right"/>
              <w:rPr/>
            </w:pPr>
            <w:r>
              <w:rPr/>
              <w:t>​</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11,701,907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12,323,143</w:t>
            </w:r>
          </w:p>
        </w:tc>
      </w:tr>
      <w:tr>
        <w:trPr/>
        <w:tc>
          <w:tcPr>
            <w:tcW w:w="663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Right-of-use assets, net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5,326,268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5,479,786</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non-current 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17,028,175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17,802,929</w:t>
            </w:r>
          </w:p>
        </w:tc>
      </w:tr>
      <w:tr>
        <w:trPr/>
        <w:tc>
          <w:tcPr>
            <w:tcW w:w="663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9" w:type="dxa"/>
            <w:tcBorders/>
            <w:vAlign w:val="center"/>
          </w:tcPr>
          <w:p>
            <w:pPr>
              <w:pStyle w:val="TableContents"/>
              <w:bidi w:val="0"/>
              <w:spacing w:before="0" w:after="1"/>
              <w:ind w:left="0" w:right="0" w:hanging="0"/>
              <w:jc w:val="right"/>
              <w:rPr/>
            </w:pPr>
            <w:r>
              <w:rPr/>
              <w:t>​</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27,941,047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34,422,184</w:t>
            </w:r>
          </w:p>
        </w:tc>
      </w:tr>
      <w:tr>
        <w:trPr/>
        <w:tc>
          <w:tcPr>
            <w:tcW w:w="663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9" w:type="dxa"/>
            <w:tcBorders/>
            <w:vAlign w:val="center"/>
          </w:tcPr>
          <w:p>
            <w:pPr>
              <w:pStyle w:val="TableContents"/>
              <w:bidi w:val="0"/>
              <w:spacing w:before="0" w:after="1"/>
              <w:ind w:left="0" w:right="0" w:hanging="0"/>
              <w:jc w:val="right"/>
              <w:rPr/>
            </w:pPr>
            <w:r>
              <w:rPr/>
              <w:t>​</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69" w:type="dxa"/>
            <w:tcBorders/>
            <w:shd w:fill="CCEEFF" w:val="clear"/>
            <w:vAlign w:val="center"/>
          </w:tcPr>
          <w:p>
            <w:pPr>
              <w:pStyle w:val="TableContents"/>
              <w:bidi w:val="0"/>
              <w:spacing w:before="0" w:after="1"/>
              <w:ind w:left="0" w:right="0" w:hanging="0"/>
              <w:jc w:val="right"/>
              <w:rPr/>
            </w:pPr>
            <w:r>
              <w:rPr/>
              <w:t>  </w:t>
            </w:r>
          </w:p>
        </w:tc>
      </w:tr>
      <w:tr>
        <w:trPr/>
        <w:tc>
          <w:tcPr>
            <w:tcW w:w="663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69" w:type="dxa"/>
            <w:tcBorders/>
            <w:vAlign w:val="center"/>
          </w:tcPr>
          <w:p>
            <w:pPr>
              <w:pStyle w:val="TableContents"/>
              <w:bidi w:val="0"/>
              <w:spacing w:before="0" w:after="1"/>
              <w:ind w:left="0" w:right="0" w:hanging="0"/>
              <w:jc w:val="right"/>
              <w:rPr/>
            </w:pPr>
            <w:r>
              <w:rPr/>
              <w:t>  </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4,538,966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4,704,611</w:t>
            </w:r>
          </w:p>
        </w:tc>
      </w:tr>
      <w:tr>
        <w:trPr/>
        <w:tc>
          <w:tcPr>
            <w:tcW w:w="663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deferred revenue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2,500,000</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Lease liability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665,082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577,198</w:t>
            </w:r>
          </w:p>
        </w:tc>
      </w:tr>
      <w:tr>
        <w:trPr/>
        <w:tc>
          <w:tcPr>
            <w:tcW w:w="663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5,204,048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7,781,809</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Non-current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9" w:type="dxa"/>
            <w:tcBorders/>
            <w:shd w:fill="CCEEFF" w:val="clear"/>
            <w:vAlign w:val="center"/>
          </w:tcPr>
          <w:p>
            <w:pPr>
              <w:pStyle w:val="TableContents"/>
              <w:bidi w:val="0"/>
              <w:spacing w:before="0" w:after="1"/>
              <w:ind w:left="0" w:right="0" w:hanging="0"/>
              <w:jc w:val="right"/>
              <w:rPr/>
            </w:pPr>
            <w:r>
              <w:rPr/>
              <w:t>​</w:t>
            </w:r>
          </w:p>
        </w:tc>
      </w:tr>
      <w:tr>
        <w:trPr/>
        <w:tc>
          <w:tcPr>
            <w:tcW w:w="663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Lease liability, net of current portion</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6,823,651</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7,039,338</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non-current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6,823,651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7,039,338</w:t>
            </w:r>
          </w:p>
        </w:tc>
      </w:tr>
      <w:tr>
        <w:trPr/>
        <w:tc>
          <w:tcPr>
            <w:tcW w:w="663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9" w:type="dxa"/>
            <w:tcBorders/>
            <w:vAlign w:val="center"/>
          </w:tcPr>
          <w:p>
            <w:pPr>
              <w:pStyle w:val="TableContents"/>
              <w:bidi w:val="0"/>
              <w:spacing w:before="0" w:after="1"/>
              <w:ind w:left="0" w:right="0" w:hanging="0"/>
              <w:jc w:val="right"/>
              <w:rPr/>
            </w:pPr>
            <w:r>
              <w:rPr/>
              <w:t>​</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12,027,699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14,821,147</w:t>
            </w:r>
          </w:p>
        </w:tc>
      </w:tr>
      <w:tr>
        <w:trPr/>
        <w:tc>
          <w:tcPr>
            <w:tcW w:w="663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9" w:type="dxa"/>
            <w:tcBorders/>
            <w:vAlign w:val="center"/>
          </w:tcPr>
          <w:p>
            <w:pPr>
              <w:pStyle w:val="TableContents"/>
              <w:bidi w:val="0"/>
              <w:spacing w:before="0" w:after="1"/>
              <w:ind w:left="0" w:right="0" w:hanging="0"/>
              <w:jc w:val="right"/>
              <w:rPr/>
            </w:pPr>
            <w:r>
              <w:rPr/>
              <w:t>​</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69" w:type="dxa"/>
            <w:tcBorders/>
            <w:shd w:fill="CCEEFF" w:val="clear"/>
            <w:vAlign w:val="center"/>
          </w:tcPr>
          <w:p>
            <w:pPr>
              <w:pStyle w:val="TableContents"/>
              <w:bidi w:val="0"/>
              <w:spacing w:before="0" w:after="1"/>
              <w:ind w:left="0" w:right="0" w:hanging="0"/>
              <w:jc w:val="right"/>
              <w:rPr/>
            </w:pPr>
            <w:r>
              <w:rPr/>
              <w:t>​</w:t>
            </w:r>
          </w:p>
        </w:tc>
      </w:tr>
      <w:tr>
        <w:trPr/>
        <w:tc>
          <w:tcPr>
            <w:tcW w:w="663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Preferred stock - $0.001 par value, 5 million shares authorized and 0 shares issued and outstanding at March 31, 2023 and December 31, 2022, respectively</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9"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$0.001 par value, 30 million shares authorized, 8.8 million and 8.4 million shares issued and outstanding as of March 31, 2023 and December 31, 2022, respectively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8,406</w:t>
            </w:r>
          </w:p>
        </w:tc>
      </w:tr>
      <w:tr>
        <w:trPr/>
        <w:tc>
          <w:tcPr>
            <w:tcW w:w="663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448,921,174</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447,641,680</w:t>
            </w:r>
          </w:p>
        </w:tc>
      </w:tr>
      <w:tr>
        <w:trPr/>
        <w:tc>
          <w:tcPr>
            <w:tcW w:w="6639"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(433,016,625)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(428,049,049)</w:t>
            </w:r>
          </w:p>
        </w:tc>
      </w:tr>
      <w:tr>
        <w:trPr/>
        <w:tc>
          <w:tcPr>
            <w:tcW w:w="6639"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15,913,348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19,601,037</w:t>
            </w:r>
          </w:p>
        </w:tc>
      </w:tr>
      <w:tr>
        <w:trPr/>
        <w:tc>
          <w:tcPr>
            <w:tcW w:w="6639"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9" w:type="dxa"/>
            <w:tcBorders/>
            <w:shd w:fill="CCEEFF" w:val="clear"/>
            <w:vAlign w:val="center"/>
          </w:tcPr>
          <w:p>
            <w:pPr>
              <w:pStyle w:val="TableContents"/>
              <w:bidi w:val="0"/>
              <w:spacing w:before="0" w:after="1"/>
              <w:ind w:left="0" w:right="0" w:hanging="0"/>
              <w:jc w:val="right"/>
              <w:rPr/>
            </w:pPr>
            <w:r>
              <w:rPr/>
              <w:t>​</w:t>
            </w:r>
          </w:p>
        </w:tc>
      </w:tr>
      <w:tr>
        <w:trPr/>
        <w:tc>
          <w:tcPr>
            <w:tcW w:w="6639"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liabilities and stockholders’ equity</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27,941,047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6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34,422,184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a one-for-ten (1-for-10) reverse stock split of its common stock and a corresponding reduction in the total number of authorized shares of its common stock from 300,000,000 to 30,000,000. All historical share and per share amounts reflected in this report have been adjusted to reflect the reverse stock split.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139" w:name="_95cf9fe0_1ca8_4cfc_aac4_7d9d75bbc7a5"/>
      <w:bookmarkEnd w:id="139"/>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140" w:name="CONDENSEDCONSOLIDATEDSTATEMENTSOFOPERATI"/>
      <w:bookmarkEnd w:id="140"/>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41" w:name="Tc_cH79iZMd8kq4s9S-Bq8zqw_19_0"/>
      <w:bookmarkStart w:id="142" w:name="Tc_3KEEYZb9jUKgxfjSTX7hag_18_5"/>
      <w:bookmarkStart w:id="143" w:name="Tc_otTbhXh2m06nsVnMjiMrUg_18_2"/>
      <w:bookmarkStart w:id="144" w:name="Tc_9JHTT6_hs0m56inX8K1wQQ_18_0"/>
      <w:bookmarkStart w:id="145" w:name="Tc_j1XNhO8nEUOy2HcbufXlwA_16_5"/>
      <w:bookmarkStart w:id="146" w:name="Tc_ungpOqFc9UyCGTl1IkI_Fw_16_2"/>
      <w:bookmarkStart w:id="147" w:name="Tc_uWOQY-o5y0-i90ONZ5dEAg_16_0"/>
      <w:bookmarkStart w:id="148" w:name="Tc_j4TuQa3GW0m7W77xGjFOJA_15_0"/>
      <w:bookmarkStart w:id="149" w:name="Tc_ybiXuSOVUEqOl97-s-pnZA_14_3"/>
      <w:bookmarkStart w:id="150" w:name="Tc_ZcECqKFxRUa2cWB3fDjiYQ_14_0"/>
      <w:bookmarkStart w:id="151" w:name="Tc_7upNSb4t1Uqf9il69qfxvA_13_0"/>
      <w:bookmarkStart w:id="152" w:name="Tc_JDfsWm_uJE6m43xLHmPRPg_12_0"/>
      <w:bookmarkStart w:id="153" w:name="Tc_1Wo-Ec8GsEub309854miSA_11_0"/>
      <w:bookmarkStart w:id="154" w:name="Tc_sQJL4ZNcW0ySCk9BwokBHQ_10_0"/>
      <w:bookmarkStart w:id="155" w:name="Tc_ungAcMBsPUWRdlGkTqVhxw_9_0"/>
      <w:bookmarkStart w:id="156" w:name="Tc_4HnLVjoBNUyKfZ3zuxa94g_8_0"/>
      <w:bookmarkStart w:id="157" w:name="Tc_Xu8IT8BYq0iArU1glC9BtQ_7_0"/>
      <w:bookmarkStart w:id="158" w:name="Tc_dZgJj_6LvE-AxUg-A8SOkw_6_6"/>
      <w:bookmarkStart w:id="159" w:name="Tc_OZb6pIjN_k2hUGu7tb6snA_6_0"/>
      <w:bookmarkStart w:id="160" w:name="Tc_DQn3UF2aY0q6H8mWZW_fQA_5_5"/>
      <w:bookmarkStart w:id="161" w:name="Tc_wzvgZjXVIEKLx3IcYRrHqg_5_2"/>
      <w:bookmarkStart w:id="162" w:name="Tc_Y08eq0JoK02zSYRsAcLGfg_5_0"/>
      <w:bookmarkStart w:id="163" w:name="Tc_NI9r0GfeCUGd1zWRtuHmQQ_4_0"/>
      <w:bookmarkStart w:id="164" w:name="Tc_hIciDB0jTkyKqGCV5gtgDw_3_5"/>
      <w:bookmarkStart w:id="165" w:name="Tc_f1eqmyYF0kG1iH-Vt593Wg_3_2"/>
      <w:bookmarkStart w:id="166" w:name="Tc_sdQekFTpYkqi3Oc8jTYwMA_2_2"/>
      <w:bookmarkStart w:id="167" w:name="Tc_5DbOKUgOaE2erdtvb61jSw_1_2"/>
      <w:bookmarkStart w:id="168" w:name="_27f4abe9_6cf8_486a_b066_c8b756ce667b"/>
      <w:bookmarkStart w:id="169" w:name="_2588ab24_cc7a_4032_b34b_4756242da2f0"/>
      <w:bookmarkStart w:id="170" w:name="Tc_cH79iZMd8kq4s9S-Bq8zqw_19_0"/>
      <w:bookmarkStart w:id="171" w:name="Tc_3KEEYZb9jUKgxfjSTX7hag_18_5"/>
      <w:bookmarkStart w:id="172" w:name="Tc_otTbhXh2m06nsVnMjiMrUg_18_2"/>
      <w:bookmarkStart w:id="173" w:name="Tc_9JHTT6_hs0m56inX8K1wQQ_18_0"/>
      <w:bookmarkStart w:id="174" w:name="Tc_j1XNhO8nEUOy2HcbufXlwA_16_5"/>
      <w:bookmarkStart w:id="175" w:name="Tc_ungpOqFc9UyCGTl1IkI_Fw_16_2"/>
      <w:bookmarkStart w:id="176" w:name="Tc_uWOQY-o5y0-i90ONZ5dEAg_16_0"/>
      <w:bookmarkStart w:id="177" w:name="Tc_j4TuQa3GW0m7W77xGjFOJA_15_0"/>
      <w:bookmarkStart w:id="178" w:name="Tc_ybiXuSOVUEqOl97-s-pnZA_14_3"/>
      <w:bookmarkStart w:id="179" w:name="Tc_ZcECqKFxRUa2cWB3fDjiYQ_14_0"/>
      <w:bookmarkStart w:id="180" w:name="Tc_7upNSb4t1Uqf9il69qfxvA_13_0"/>
      <w:bookmarkStart w:id="181" w:name="Tc_JDfsWm_uJE6m43xLHmPRPg_12_0"/>
      <w:bookmarkStart w:id="182" w:name="Tc_1Wo-Ec8GsEub309854miSA_11_0"/>
      <w:bookmarkStart w:id="183" w:name="Tc_sQJL4ZNcW0ySCk9BwokBHQ_10_0"/>
      <w:bookmarkStart w:id="184" w:name="Tc_ungAcMBsPUWRdlGkTqVhxw_9_0"/>
      <w:bookmarkStart w:id="185" w:name="Tc_4HnLVjoBNUyKfZ3zuxa94g_8_0"/>
      <w:bookmarkStart w:id="186" w:name="Tc_Xu8IT8BYq0iArU1glC9BtQ_7_0"/>
      <w:bookmarkStart w:id="187" w:name="Tc_dZgJj_6LvE-AxUg-A8SOkw_6_6"/>
      <w:bookmarkStart w:id="188" w:name="Tc_OZb6pIjN_k2hUGu7tb6snA_6_0"/>
      <w:bookmarkStart w:id="189" w:name="Tc_DQn3UF2aY0q6H8mWZW_fQA_5_5"/>
      <w:bookmarkStart w:id="190" w:name="Tc_wzvgZjXVIEKLx3IcYRrHqg_5_2"/>
      <w:bookmarkStart w:id="191" w:name="Tc_Y08eq0JoK02zSYRsAcLGfg_5_0"/>
      <w:bookmarkStart w:id="192" w:name="Tc_NI9r0GfeCUGd1zWRtuHmQQ_4_0"/>
      <w:bookmarkStart w:id="193" w:name="Tc_hIciDB0jTkyKqGCV5gtgDw_3_5"/>
      <w:bookmarkStart w:id="194" w:name="Tc_f1eqmyYF0kG1iH-Vt593Wg_3_2"/>
      <w:bookmarkStart w:id="195" w:name="Tc_sdQekFTpYkqi3Oc8jTYwMA_2_2"/>
      <w:bookmarkStart w:id="196" w:name="Tc_5DbOKUgOaE2erdtvb61jSw_1_2"/>
      <w:bookmarkStart w:id="197" w:name="_27f4abe9_6cf8_486a_b066_c8b756ce667b"/>
      <w:bookmarkStart w:id="198" w:name="_2588ab24_cc7a_4032_b34b_4756242da2f0"/>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tbl>
      <w:tblPr>
        <w:tblW w:w="9477" w:type="dxa"/>
        <w:jc w:val="left"/>
        <w:tblInd w:w="0" w:type="dxa"/>
        <w:tblLayout w:type="fixed"/>
        <w:tblCellMar>
          <w:top w:w="0" w:type="dxa"/>
          <w:left w:w="0" w:type="dxa"/>
          <w:bottom w:w="0" w:type="dxa"/>
          <w:right w:w="0" w:type="dxa"/>
        </w:tblCellMar>
      </w:tblPr>
      <w:tblGrid>
        <w:gridCol w:w="6256"/>
        <w:gridCol w:w="326"/>
        <w:gridCol w:w="211"/>
        <w:gridCol w:w="1051"/>
        <w:gridCol w:w="326"/>
        <w:gridCol w:w="211"/>
        <w:gridCol w:w="1096"/>
      </w:tblGrid>
      <w:tr>
        <w:trPr/>
        <w:tc>
          <w:tcPr>
            <w:tcW w:w="6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972560" cy="175260"/>
                      <wp:effectExtent l="0" t="0" r="0" b="0"/>
                      <wp:wrapNone/>
                      <wp:docPr id="12" name="Frame11"/>
                      <a:graphic xmlns:a="http://schemas.openxmlformats.org/drawingml/2006/main">
                        <a:graphicData uri="http://schemas.microsoft.com/office/word/2010/wordprocessingShape">
                          <wps:wsp>
                            <wps:cNvSpPr txBox="1"/>
                            <wps:spPr>
                              <a:xfrm>
                                <a:off x="0" y="0"/>
                                <a:ext cx="39725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7385" cy="175260"/>
                      <wp:effectExtent l="0" t="0" r="0" b="0"/>
                      <wp:wrapNone/>
                      <wp:docPr id="15" name="Frame1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5960" cy="175260"/>
                      <wp:effectExtent l="0" t="0" r="0" b="0"/>
                      <wp:wrapNone/>
                      <wp:docPr id="18" name="Frame1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62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8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62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2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25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both"/>
              <w:rPr/>
            </w:pPr>
            <w:r>
              <w:rPr/>
              <w:t>​</w:t>
            </w:r>
          </w:p>
        </w:tc>
      </w:tr>
      <w:tr>
        <w:trPr/>
        <w:tc>
          <w:tcPr>
            <w:tcW w:w="62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1,234,336</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964,322</w:t>
            </w:r>
          </w:p>
        </w:tc>
      </w:tr>
      <w:tr>
        <w:trPr/>
        <w:tc>
          <w:tcPr>
            <w:tcW w:w="62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partry service revenue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2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4,734,336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964,322</w:t>
            </w:r>
          </w:p>
        </w:tc>
      </w:tr>
      <w:tr>
        <w:trPr/>
        <w:tc>
          <w:tcPr>
            <w:tcW w:w="625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both"/>
              <w:rPr/>
            </w:pPr>
            <w:r>
              <w:rPr/>
              <w:t>​</w:t>
            </w:r>
          </w:p>
        </w:tc>
      </w:tr>
      <w:tr>
        <w:trPr/>
        <w:tc>
          <w:tcPr>
            <w:tcW w:w="62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7,270,742</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7,026,066</w:t>
            </w:r>
          </w:p>
        </w:tc>
      </w:tr>
      <w:tr>
        <w:trPr/>
        <w:tc>
          <w:tcPr>
            <w:tcW w:w="62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2,515,824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3,733,001</w:t>
            </w:r>
          </w:p>
        </w:tc>
      </w:tr>
      <w:tr>
        <w:trPr/>
        <w:tc>
          <w:tcPr>
            <w:tcW w:w="62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9,786,566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10,759,067</w:t>
            </w:r>
          </w:p>
        </w:tc>
      </w:tr>
      <w:tr>
        <w:trPr/>
        <w:tc>
          <w:tcPr>
            <w:tcW w:w="62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(5,052,230)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(9,794,745)</w:t>
            </w:r>
          </w:p>
        </w:tc>
      </w:tr>
      <w:tr>
        <w:trPr/>
        <w:tc>
          <w:tcPr>
            <w:tcW w:w="625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62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Arbitration settlement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(118,880)</w:t>
            </w:r>
          </w:p>
        </w:tc>
      </w:tr>
      <w:tr>
        <w:trPr/>
        <w:tc>
          <w:tcPr>
            <w:tcW w:w="62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84,654</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3,117</w:t>
            </w:r>
          </w:p>
        </w:tc>
      </w:tr>
      <w:tr>
        <w:trPr/>
        <w:tc>
          <w:tcPr>
            <w:tcW w:w="625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(4,967,576)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(9,910,508)</w:t>
            </w:r>
          </w:p>
        </w:tc>
      </w:tr>
      <w:tr>
        <w:trPr/>
        <w:tc>
          <w:tcPr>
            <w:tcW w:w="62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both"/>
              <w:rPr/>
            </w:pPr>
            <w:r>
              <w:rPr/>
              <w:t>​</w:t>
            </w:r>
          </w:p>
        </w:tc>
      </w:tr>
      <w:tr>
        <w:trPr/>
        <w:tc>
          <w:tcPr>
            <w:tcW w:w="62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per share, basic and diluted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62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number of common shares outstanding, basic and diluted</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8,721,031</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8,310,765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a one-for-ten (1-for-10) reverse stock split of its common stock. All historical share and per share amounts reflected in this report have been adjusted to reflect the reverse stock split.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199" w:name="_7826fea6_603d_462d_85f0_174c8b5d6380"/>
      <w:bookmarkEnd w:id="199"/>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200" w:name="CONDENSEDCONSOLIDATEDSTATEMENTSOFSTOCKHO"/>
      <w:bookmarkEnd w:id="200"/>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01" w:name="Tc_TeKZSkmjQ06PV1F8iMj9bw_11_0"/>
      <w:bookmarkStart w:id="202" w:name="Tc_GKyVGFqmgES-eM25VTRBsw_10_14"/>
      <w:bookmarkStart w:id="203" w:name="Tc_CS6P40pkiE6LJvKhFHV_-Q_10_11"/>
      <w:bookmarkStart w:id="204" w:name="Tc_QH_uxHypgk6fnITTm5jJow_10_8"/>
      <w:bookmarkStart w:id="205" w:name="Tc_1v3ZEyyr5EGMtLGnO8REhA_10_5"/>
      <w:bookmarkStart w:id="206" w:name="Tc_fgKaE4mOxUqACFGV57a94g_10_0"/>
      <w:bookmarkStart w:id="207" w:name="Tc_kYT7_nsVjUe1wAHeG4z6Rg_9_8"/>
      <w:bookmarkStart w:id="208" w:name="Tc_qSmzW89Fv0eEbpo5BmK4kQ_9_5"/>
      <w:bookmarkStart w:id="209" w:name="Tc_NrQ9grAm1UCAN36VpgmkXA_9_2"/>
      <w:bookmarkStart w:id="210" w:name="Tc_fNaZqMC9VU6dLPJizkkdwQ_9_0"/>
      <w:bookmarkStart w:id="211" w:name="Tc_JqfF6ujxqEya9QImEkRT_Q_8_0"/>
      <w:bookmarkStart w:id="212" w:name="Tc_MI8ITXBANEq1U3OKheSZwA_7_14"/>
      <w:bookmarkStart w:id="213" w:name="Tc_QaapAnqeg0O-kk0tUEjvNA_7_11"/>
      <w:bookmarkStart w:id="214" w:name="Tc_EsLDclMr2U2by1WBBqF1EQ_7_0"/>
      <w:bookmarkStart w:id="215" w:name="Tc_46Irn9JXVUikd0Vgzs80Dg_6_11"/>
      <w:bookmarkStart w:id="216" w:name="Tc_Kt8N0jbb-kO0YJT8eHsqvA_6_0"/>
      <w:bookmarkStart w:id="217" w:name="Tc_gyqr4ezjY02TNq1sPC_b8g_5_13"/>
      <w:bookmarkStart w:id="218" w:name="Tc_udrjlnTuh0aiu4rrlYdC_Q_5_10"/>
      <w:bookmarkStart w:id="219" w:name="Tc_kEvx8NS1oEWgIKmOCEq0bQ_5_7"/>
      <w:bookmarkStart w:id="220" w:name="Tc_8Few9aoIOEyWmwm17eq9Mg_5_4"/>
      <w:bookmarkStart w:id="221" w:name="Tc_5zxq3hGLS0C6pfxBL_R4DQ_5_0"/>
      <w:bookmarkStart w:id="222" w:name="Tc_G5qfb-2wWkWZoXT0BMCutw_4_13"/>
      <w:bookmarkStart w:id="223" w:name="Tc_VIvrcirIukK2vxuTmpZZng_4_10"/>
      <w:bookmarkStart w:id="224" w:name="Tc_oab3gcfWj02IO0iTu5dSmg_4_7"/>
      <w:bookmarkStart w:id="225" w:name="Tc_SL2IGxh7kESzK64TUu3gPQ_4_4"/>
      <w:bookmarkStart w:id="226" w:name="Tc_HwCycw8vKUy_rHQO7w9WVw_4_2"/>
      <w:bookmarkStart w:id="227" w:name="Tc_xgHSxqts-UCki8vHH4aC7g_3_13"/>
      <w:bookmarkStart w:id="228" w:name="Tc_3iSAlINA4E-nW4Bi-lEaZQ_3_10"/>
      <w:bookmarkStart w:id="229" w:name="Tc_z-tvH3r1D0yx4LracMPmHg_3_7"/>
      <w:bookmarkStart w:id="230" w:name="Tc_n5IIqEGaX06lhdGnp1lBkQ_3_2"/>
      <w:bookmarkStart w:id="231" w:name="Tc_UeaNe_8Ho0-Z01xLnWkrtw_2_13"/>
      <w:bookmarkStart w:id="232" w:name="Tc_ddM19RrIvUW1n4jvIXq3nw_1_2"/>
      <w:bookmarkStart w:id="233" w:name="_1b3ec23e_d425_4652_ba59_9304c2a44292"/>
      <w:bookmarkStart w:id="234" w:name="Tc_TeKZSkmjQ06PV1F8iMj9bw_11_0"/>
      <w:bookmarkStart w:id="235" w:name="Tc_GKyVGFqmgES-eM25VTRBsw_10_14"/>
      <w:bookmarkStart w:id="236" w:name="Tc_CS6P40pkiE6LJvKhFHV_-Q_10_11"/>
      <w:bookmarkStart w:id="237" w:name="Tc_QH_uxHypgk6fnITTm5jJow_10_8"/>
      <w:bookmarkStart w:id="238" w:name="Tc_1v3ZEyyr5EGMtLGnO8REhA_10_5"/>
      <w:bookmarkStart w:id="239" w:name="Tc_fgKaE4mOxUqACFGV57a94g_10_0"/>
      <w:bookmarkStart w:id="240" w:name="Tc_kYT7_nsVjUe1wAHeG4z6Rg_9_8"/>
      <w:bookmarkStart w:id="241" w:name="Tc_qSmzW89Fv0eEbpo5BmK4kQ_9_5"/>
      <w:bookmarkStart w:id="242" w:name="Tc_NrQ9grAm1UCAN36VpgmkXA_9_2"/>
      <w:bookmarkStart w:id="243" w:name="Tc_fNaZqMC9VU6dLPJizkkdwQ_9_0"/>
      <w:bookmarkStart w:id="244" w:name="Tc_JqfF6ujxqEya9QImEkRT_Q_8_0"/>
      <w:bookmarkStart w:id="245" w:name="Tc_MI8ITXBANEq1U3OKheSZwA_7_14"/>
      <w:bookmarkStart w:id="246" w:name="Tc_QaapAnqeg0O-kk0tUEjvNA_7_11"/>
      <w:bookmarkStart w:id="247" w:name="Tc_EsLDclMr2U2by1WBBqF1EQ_7_0"/>
      <w:bookmarkStart w:id="248" w:name="Tc_46Irn9JXVUikd0Vgzs80Dg_6_11"/>
      <w:bookmarkStart w:id="249" w:name="Tc_Kt8N0jbb-kO0YJT8eHsqvA_6_0"/>
      <w:bookmarkStart w:id="250" w:name="Tc_gyqr4ezjY02TNq1sPC_b8g_5_13"/>
      <w:bookmarkStart w:id="251" w:name="Tc_udrjlnTuh0aiu4rrlYdC_Q_5_10"/>
      <w:bookmarkStart w:id="252" w:name="Tc_kEvx8NS1oEWgIKmOCEq0bQ_5_7"/>
      <w:bookmarkStart w:id="253" w:name="Tc_8Few9aoIOEyWmwm17eq9Mg_5_4"/>
      <w:bookmarkStart w:id="254" w:name="Tc_5zxq3hGLS0C6pfxBL_R4DQ_5_0"/>
      <w:bookmarkStart w:id="255" w:name="Tc_G5qfb-2wWkWZoXT0BMCutw_4_13"/>
      <w:bookmarkStart w:id="256" w:name="Tc_VIvrcirIukK2vxuTmpZZng_4_10"/>
      <w:bookmarkStart w:id="257" w:name="Tc_oab3gcfWj02IO0iTu5dSmg_4_7"/>
      <w:bookmarkStart w:id="258" w:name="Tc_SL2IGxh7kESzK64TUu3gPQ_4_4"/>
      <w:bookmarkStart w:id="259" w:name="Tc_HwCycw8vKUy_rHQO7w9WVw_4_2"/>
      <w:bookmarkStart w:id="260" w:name="Tc_xgHSxqts-UCki8vHH4aC7g_3_13"/>
      <w:bookmarkStart w:id="261" w:name="Tc_3iSAlINA4E-nW4Bi-lEaZQ_3_10"/>
      <w:bookmarkStart w:id="262" w:name="Tc_z-tvH3r1D0yx4LracMPmHg_3_7"/>
      <w:bookmarkStart w:id="263" w:name="Tc_n5IIqEGaX06lhdGnp1lBkQ_3_2"/>
      <w:bookmarkStart w:id="264" w:name="Tc_UeaNe_8Ho0-Z01xLnWkrtw_2_13"/>
      <w:bookmarkStart w:id="265" w:name="Tc_ddM19RrIvUW1n4jvIXq3nw_1_2"/>
      <w:bookmarkStart w:id="266" w:name="_1b3ec23e_d425_4652_ba59_9304c2a44292"/>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tbl>
      <w:tblPr>
        <w:tblW w:w="10205" w:type="dxa"/>
        <w:jc w:val="left"/>
        <w:tblInd w:w="0" w:type="dxa"/>
        <w:tblLayout w:type="fixed"/>
        <w:tblCellMar>
          <w:top w:w="0" w:type="dxa"/>
          <w:left w:w="0" w:type="dxa"/>
          <w:bottom w:w="0" w:type="dxa"/>
          <w:right w:w="0" w:type="dxa"/>
        </w:tblCellMar>
      </w:tblPr>
      <w:tblGrid>
        <w:gridCol w:w="2698"/>
        <w:gridCol w:w="326"/>
        <w:gridCol w:w="931"/>
        <w:gridCol w:w="326"/>
        <w:gridCol w:w="218"/>
        <w:gridCol w:w="593"/>
        <w:gridCol w:w="326"/>
        <w:gridCol w:w="211"/>
        <w:gridCol w:w="1141"/>
        <w:gridCol w:w="326"/>
        <w:gridCol w:w="211"/>
        <w:gridCol w:w="1219"/>
        <w:gridCol w:w="326"/>
        <w:gridCol w:w="211"/>
        <w:gridCol w:w="1142"/>
      </w:tblGrid>
      <w:tr>
        <w:trPr/>
        <w:tc>
          <w:tcPr>
            <w:tcW w:w="269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1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2" w:type="dxa"/>
            <w:tcBorders/>
            <w:vAlign w:val="center"/>
          </w:tcPr>
          <w:p>
            <w:pPr>
              <w:pStyle w:val="TableContents"/>
              <w:bidi w:val="0"/>
              <w:spacing w:before="0" w:after="1"/>
              <w:ind w:left="0" w:right="0" w:hanging="0"/>
              <w:jc w:val="both"/>
              <w:rPr/>
            </w:pPr>
            <w:r>
              <w:rPr/>
              <w:t>​</w:t>
            </w:r>
          </w:p>
        </w:tc>
      </w:tr>
      <w:tr>
        <w:trPr/>
        <w:tc>
          <w:tcPr>
            <w:tcW w:w="269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7181"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2023</w:t>
            </w:r>
          </w:p>
        </w:tc>
      </w:tr>
      <w:tr>
        <w:trPr/>
        <w:tc>
          <w:tcPr>
            <w:tcW w:w="269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1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35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9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0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both"/>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1"/>
              <w:ind w:left="0" w:right="0" w:hanging="0"/>
              <w:jc w:val="both"/>
              <w:rPr/>
            </w:pPr>
            <w:r>
              <w:rPr/>
              <w:t>​</w:t>
            </w:r>
          </w:p>
        </w:tc>
        <w:tc>
          <w:tcPr>
            <w:tcW w:w="14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both"/>
              <w:rPr/>
            </w:pPr>
            <w:r>
              <w:rPr/>
              <w:t>​</w:t>
            </w:r>
          </w:p>
        </w:tc>
        <w:tc>
          <w:tcPr>
            <w:tcW w:w="135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69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both"/>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1"/>
              <w:ind w:left="0" w:right="0" w:hanging="0"/>
              <w:jc w:val="both"/>
              <w:rPr/>
            </w:pPr>
            <w:r>
              <w:rPr/>
              <w:t>    </w:t>
            </w:r>
          </w:p>
        </w:tc>
        <w:tc>
          <w:tcPr>
            <w:tcW w:w="14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both"/>
              <w:rPr/>
            </w:pPr>
            <w:r>
              <w:rPr/>
              <w:t>    </w:t>
            </w:r>
          </w:p>
        </w:tc>
        <w:tc>
          <w:tcPr>
            <w:tcW w:w="13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698"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January 1, 2023</w:t>
            </w:r>
          </w:p>
        </w:tc>
        <w:tc>
          <w:tcPr>
            <w:tcW w:w="326"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8,405,771</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8,406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447,641,680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1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(428,049,049)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19,601,037</w:t>
            </w:r>
          </w:p>
        </w:tc>
      </w:tr>
      <w:tr>
        <w:trPr/>
        <w:tc>
          <w:tcPr>
            <w:tcW w:w="26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Issuance of common stock for cash </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212,761</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619,761</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619,974</w:t>
            </w:r>
          </w:p>
        </w:tc>
      </w:tr>
      <w:tr>
        <w:trPr/>
        <w:tc>
          <w:tcPr>
            <w:tcW w:w="269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Issuance of common stock as commitment fee for future financing</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180,410</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pPr>
            <w:r>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2" w:type="dxa"/>
            <w:tcBorders/>
            <w:shd w:fill="CCEEFF" w:val="clear"/>
            <w:vAlign w:val="center"/>
          </w:tcPr>
          <w:p>
            <w:pPr>
              <w:pStyle w:val="TableContents"/>
              <w:bidi w:val="0"/>
              <w:spacing w:before="0" w:after="1"/>
              <w:ind w:left="0" w:right="0" w:hanging="0"/>
              <w:jc w:val="right"/>
              <w:rPr/>
            </w:pPr>
            <w:r>
              <w:rPr/>
              <w:t>—</w:t>
            </w:r>
          </w:p>
        </w:tc>
      </w:tr>
      <w:tr>
        <w:trPr/>
        <w:tc>
          <w:tcPr>
            <w:tcW w:w="26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 </w:t>
            </w:r>
          </w:p>
        </w:tc>
        <w:tc>
          <w:tcPr>
            <w:tcW w:w="59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659,913</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659,913</w:t>
            </w:r>
          </w:p>
        </w:tc>
      </w:tr>
      <w:tr>
        <w:trPr/>
        <w:tc>
          <w:tcPr>
            <w:tcW w:w="269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pPr>
            <w:r>
              <w:rPr/>
              <w:t> </w:t>
            </w:r>
          </w:p>
        </w:tc>
        <w:tc>
          <w:tcPr>
            <w:tcW w:w="59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(4,967,576)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(4,967,576)</w:t>
            </w:r>
          </w:p>
        </w:tc>
      </w:tr>
      <w:tr>
        <w:trPr/>
        <w:tc>
          <w:tcPr>
            <w:tcW w:w="269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Fractional shares adjustment due to reverse split </w:t>
            </w:r>
          </w:p>
        </w:tc>
        <w:tc>
          <w:tcPr>
            <w:tcW w:w="326" w:type="dxa"/>
            <w:tcBorders/>
            <w:vAlign w:val="center"/>
          </w:tcPr>
          <w:p>
            <w:pPr>
              <w:pStyle w:val="TableContents"/>
              <w:bidi w:val="0"/>
              <w:spacing w:before="0" w:after="1"/>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vAlign w:val="center"/>
          </w:tcPr>
          <w:p>
            <w:pPr>
              <w:pStyle w:val="TableContents"/>
              <w:bidi w:val="0"/>
              <w:spacing w:before="0" w:after="1"/>
              <w:ind w:left="0" w:right="0" w:hanging="0"/>
              <w:jc w:val="both"/>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5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98"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March 31, 2023</w:t>
            </w:r>
          </w:p>
        </w:tc>
        <w:tc>
          <w:tcPr>
            <w:tcW w:w="326" w:type="dxa"/>
            <w:tcBorders/>
            <w:shd w:fill="CCEEFF" w:val="clear"/>
            <w:vAlign w:val="center"/>
          </w:tcPr>
          <w:p>
            <w:pPr>
              <w:pStyle w:val="TableContents"/>
              <w:bidi w:val="0"/>
              <w:spacing w:before="0" w:after="1"/>
              <w:ind w:left="0" w:right="0" w:hanging="0"/>
              <w:jc w:val="both"/>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8,798,829</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5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448,921,174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(433,016,625)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4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15,913,348</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67" w:name="Tc_xR2SJ1ZGy0a5e-1Gc1Q9OQ_8_13"/>
      <w:bookmarkStart w:id="268" w:name="Tc_1nG0CbBZnEWqwlHKPrVBtg_8_10"/>
      <w:bookmarkStart w:id="269" w:name="Tc_WOsxS3Q0w0a-pcN_01bN4w_8_7"/>
      <w:bookmarkStart w:id="270" w:name="Tc_RHkbFS6j9kOo_QWOZZAXUQ_8_4"/>
      <w:bookmarkStart w:id="271" w:name="Tc_M3ZE7RqHWE2N53b0a4f8-g_8_0"/>
      <w:bookmarkStart w:id="272" w:name="Tc_au4yu2ejOU2EPDOjDnSgAg_7_8"/>
      <w:bookmarkStart w:id="273" w:name="Tc_vorbhh9pVUeksx023kHz4g_7_5"/>
      <w:bookmarkStart w:id="274" w:name="Tc_29iWvJMcE0KCuPRzJHwdFA_7_2"/>
      <w:bookmarkStart w:id="275" w:name="Tc_lALsqEnadU-3II6o-YxnzA_7_0"/>
      <w:bookmarkStart w:id="276" w:name="Tc_znzpvs4GukqYAZXOvPSkog_6_11"/>
      <w:bookmarkStart w:id="277" w:name="Tc_nV5Vzyk6skesyTHqlJz2rw_6_0"/>
      <w:bookmarkStart w:id="278" w:name="Tc_MkFGNlvycEKBljGt1qDgYw_5_13"/>
      <w:bookmarkStart w:id="279" w:name="Tc_SK_3gnI4DUCUOwnDnrvHXQ_5_10"/>
      <w:bookmarkStart w:id="280" w:name="Tc_cyv78KRsZkOdAB3IGe7VuA_5_7"/>
      <w:bookmarkStart w:id="281" w:name="Tc_8wt5seERZEiW4XHdFK3Uvg_5_4"/>
      <w:bookmarkStart w:id="282" w:name="Tc_vnd5kh3cm0SOSKWpWAiiqw_5_0"/>
      <w:bookmarkStart w:id="283" w:name="Tc_eiz54idrs0C03C8i-Tm7Jw_4_13"/>
      <w:bookmarkStart w:id="284" w:name="Tc_7z6lHzclS0G6JNgJDCmX5Q_4_10"/>
      <w:bookmarkStart w:id="285" w:name="Tc_NC3Bw92_Z0K71vzIQZlMQg_4_7"/>
      <w:bookmarkStart w:id="286" w:name="Tc_ALO_YMciYkeE3C1L_VO27A_4_4"/>
      <w:bookmarkStart w:id="287" w:name="Tc_Nqd9tf4YeEawYYAQSvfnqA_4_2"/>
      <w:bookmarkStart w:id="288" w:name="Tc_sGCWsrPr7kmN-dA8oy2hAQ_3_13"/>
      <w:bookmarkStart w:id="289" w:name="Tc_3Nb0_3cnUkayh4ivv25i3w_3_10"/>
      <w:bookmarkStart w:id="290" w:name="Tc_Ov1mw7GznEiAJ-tdGBTtNw_3_7"/>
      <w:bookmarkStart w:id="291" w:name="Tc_GRIcDUxMWkK3GHGuuswKaA_3_2"/>
      <w:bookmarkStart w:id="292" w:name="Tc_351EpivXYkeOc-7C27mDFQ_2_13"/>
      <w:bookmarkStart w:id="293" w:name="Tc_wodHppOwhEuF-xbMohLCPg_1_2"/>
      <w:bookmarkStart w:id="294" w:name="_3988d77f_a6c6_4186_8fd7_1b8256652b54"/>
      <w:bookmarkStart w:id="295" w:name="Tc_xR2SJ1ZGy0a5e-1Gc1Q9OQ_8_13"/>
      <w:bookmarkStart w:id="296" w:name="Tc_1nG0CbBZnEWqwlHKPrVBtg_8_10"/>
      <w:bookmarkStart w:id="297" w:name="Tc_WOsxS3Q0w0a-pcN_01bN4w_8_7"/>
      <w:bookmarkStart w:id="298" w:name="Tc_RHkbFS6j9kOo_QWOZZAXUQ_8_4"/>
      <w:bookmarkStart w:id="299" w:name="Tc_M3ZE7RqHWE2N53b0a4f8-g_8_0"/>
      <w:bookmarkStart w:id="300" w:name="Tc_au4yu2ejOU2EPDOjDnSgAg_7_8"/>
      <w:bookmarkStart w:id="301" w:name="Tc_vorbhh9pVUeksx023kHz4g_7_5"/>
      <w:bookmarkStart w:id="302" w:name="Tc_29iWvJMcE0KCuPRzJHwdFA_7_2"/>
      <w:bookmarkStart w:id="303" w:name="Tc_lALsqEnadU-3II6o-YxnzA_7_0"/>
      <w:bookmarkStart w:id="304" w:name="Tc_znzpvs4GukqYAZXOvPSkog_6_11"/>
      <w:bookmarkStart w:id="305" w:name="Tc_nV5Vzyk6skesyTHqlJz2rw_6_0"/>
      <w:bookmarkStart w:id="306" w:name="Tc_MkFGNlvycEKBljGt1qDgYw_5_13"/>
      <w:bookmarkStart w:id="307" w:name="Tc_SK_3gnI4DUCUOwnDnrvHXQ_5_10"/>
      <w:bookmarkStart w:id="308" w:name="Tc_cyv78KRsZkOdAB3IGe7VuA_5_7"/>
      <w:bookmarkStart w:id="309" w:name="Tc_8wt5seERZEiW4XHdFK3Uvg_5_4"/>
      <w:bookmarkStart w:id="310" w:name="Tc_vnd5kh3cm0SOSKWpWAiiqw_5_0"/>
      <w:bookmarkStart w:id="311" w:name="Tc_eiz54idrs0C03C8i-Tm7Jw_4_13"/>
      <w:bookmarkStart w:id="312" w:name="Tc_7z6lHzclS0G6JNgJDCmX5Q_4_10"/>
      <w:bookmarkStart w:id="313" w:name="Tc_NC3Bw92_Z0K71vzIQZlMQg_4_7"/>
      <w:bookmarkStart w:id="314" w:name="Tc_ALO_YMciYkeE3C1L_VO27A_4_4"/>
      <w:bookmarkStart w:id="315" w:name="Tc_Nqd9tf4YeEawYYAQSvfnqA_4_2"/>
      <w:bookmarkStart w:id="316" w:name="Tc_sGCWsrPr7kmN-dA8oy2hAQ_3_13"/>
      <w:bookmarkStart w:id="317" w:name="Tc_3Nb0_3cnUkayh4ivv25i3w_3_10"/>
      <w:bookmarkStart w:id="318" w:name="Tc_Ov1mw7GznEiAJ-tdGBTtNw_3_7"/>
      <w:bookmarkStart w:id="319" w:name="Tc_GRIcDUxMWkK3GHGuuswKaA_3_2"/>
      <w:bookmarkStart w:id="320" w:name="Tc_351EpivXYkeOc-7C27mDFQ_2_13"/>
      <w:bookmarkStart w:id="321" w:name="Tc_wodHppOwhEuF-xbMohLCPg_1_2"/>
      <w:bookmarkStart w:id="322" w:name="_3988d77f_a6c6_4186_8fd7_1b8256652b5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tbl>
      <w:tblPr>
        <w:tblW w:w="9994" w:type="dxa"/>
        <w:jc w:val="left"/>
        <w:tblInd w:w="0" w:type="dxa"/>
        <w:tblLayout w:type="fixed"/>
        <w:tblCellMar>
          <w:top w:w="0" w:type="dxa"/>
          <w:left w:w="0" w:type="dxa"/>
          <w:bottom w:w="0" w:type="dxa"/>
          <w:right w:w="0" w:type="dxa"/>
        </w:tblCellMar>
      </w:tblPr>
      <w:tblGrid>
        <w:gridCol w:w="2446"/>
        <w:gridCol w:w="326"/>
        <w:gridCol w:w="931"/>
        <w:gridCol w:w="326"/>
        <w:gridCol w:w="218"/>
        <w:gridCol w:w="593"/>
        <w:gridCol w:w="326"/>
        <w:gridCol w:w="211"/>
        <w:gridCol w:w="1141"/>
        <w:gridCol w:w="326"/>
        <w:gridCol w:w="211"/>
        <w:gridCol w:w="1261"/>
        <w:gridCol w:w="326"/>
        <w:gridCol w:w="211"/>
        <w:gridCol w:w="1141"/>
      </w:tblGrid>
      <w:tr>
        <w:trPr/>
        <w:tc>
          <w:tcPr>
            <w:tcW w:w="24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both"/>
              <w:rPr/>
            </w:pPr>
            <w:r>
              <w:rPr/>
              <w:t>​</w:t>
            </w:r>
          </w:p>
        </w:tc>
      </w:tr>
      <w:tr>
        <w:trPr/>
        <w:tc>
          <w:tcPr>
            <w:tcW w:w="24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7222"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2022</w:t>
            </w:r>
          </w:p>
        </w:tc>
      </w:tr>
      <w:tr>
        <w:trPr/>
        <w:tc>
          <w:tcPr>
            <w:tcW w:w="24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0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both"/>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1"/>
              <w:ind w:left="0" w:right="0" w:hanging="0"/>
              <w:jc w:val="both"/>
              <w:rPr/>
            </w:pPr>
            <w:r>
              <w:rPr/>
              <w:t>​</w:t>
            </w:r>
          </w:p>
        </w:tc>
        <w:tc>
          <w:tcPr>
            <w:tcW w:w="14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both"/>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4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both"/>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1"/>
              <w:ind w:left="0" w:right="0" w:hanging="0"/>
              <w:jc w:val="both"/>
              <w:rPr/>
            </w:pPr>
            <w:r>
              <w:rPr/>
              <w:t>    </w:t>
            </w:r>
          </w:p>
        </w:tc>
        <w:tc>
          <w:tcPr>
            <w:tcW w:w="14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both"/>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44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January 1, 2022</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8,307,868</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8,308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442,095,642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(398,118,355)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43,985,595</w:t>
            </w:r>
          </w:p>
        </w:tc>
      </w:tr>
      <w:tr>
        <w:trPr/>
        <w:tc>
          <w:tcPr>
            <w:tcW w:w="24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37,251</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1,630,640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1,630,677</w:t>
            </w:r>
          </w:p>
        </w:tc>
      </w:tr>
      <w:tr>
        <w:trPr/>
        <w:tc>
          <w:tcPr>
            <w:tcW w:w="244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5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(9,910,508)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(9,910,508)</w:t>
            </w:r>
          </w:p>
        </w:tc>
      </w:tr>
      <w:tr>
        <w:trPr/>
        <w:tc>
          <w:tcPr>
            <w:tcW w:w="244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March 31, 2022</w:t>
            </w:r>
          </w:p>
        </w:tc>
        <w:tc>
          <w:tcPr>
            <w:tcW w:w="326" w:type="dxa"/>
            <w:tcBorders/>
            <w:vAlign w:val="center"/>
          </w:tcPr>
          <w:p>
            <w:pPr>
              <w:pStyle w:val="TableContents"/>
              <w:bidi w:val="0"/>
              <w:spacing w:before="0" w:after="1"/>
              <w:ind w:left="0" w:right="0" w:hanging="0"/>
              <w:jc w:val="both"/>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8,345,119</w:t>
            </w:r>
          </w:p>
        </w:tc>
        <w:tc>
          <w:tcPr>
            <w:tcW w:w="326" w:type="dxa"/>
            <w:tcBorders/>
            <w:vAlign w:val="center"/>
          </w:tcPr>
          <w:p>
            <w:pPr>
              <w:pStyle w:val="TableContents"/>
              <w:bidi w:val="0"/>
              <w:spacing w:before="0" w:after="1"/>
              <w:ind w:left="0" w:right="0" w:hanging="0"/>
              <w:jc w:val="both"/>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8,345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443,726,282</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(408,028,863)</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35,705,764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a one-for-ten (1-for-10) reverse stock split of its common stock. All historical share and per share amounts reflected in this report have been adjusted to reflect the reverse stock split.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323" w:name="_76604f52_e327_4695_92ad_f125610d42c8"/>
      <w:bookmarkEnd w:id="323"/>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324" w:name="CONDENSEDCONSOLIDATEDSTATEMENTSOFCASHFLO"/>
      <w:bookmarkEnd w:id="32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25" w:name="Tc_R4kvPus9pka-CQ2r2Xy9dA_29_5"/>
      <w:bookmarkStart w:id="326" w:name="Tc_JEStElQgNkedVWwTNgIoXw_29_2"/>
      <w:bookmarkStart w:id="327" w:name="Tc_o2QSqnACY0KkQ5yOFMiFtg_29_0"/>
      <w:bookmarkStart w:id="328" w:name="Tc_HFDWOL8VNUSuBtppcImltQ_28_0"/>
      <w:bookmarkStart w:id="329" w:name="Tc_elWW5mISpECCu_eBHeWY3g_26_0"/>
      <w:bookmarkStart w:id="330" w:name="Tc_Q4AxIyBV4kWtEGM8G3Ay0w_25_6"/>
      <w:bookmarkStart w:id="331" w:name="Tc_CVmn1-BVKUS4uyFM7JrTyQ_25_0"/>
      <w:bookmarkStart w:id="332" w:name="Tc_LYI6DazoC0mO2h3qCqFp8g_24_6"/>
      <w:bookmarkStart w:id="333" w:name="Tc_Q9zqshCB7UaGVBzbWNqJtQ_24_0"/>
      <w:bookmarkStart w:id="334" w:name="Tc_btpVRN1CQ0-z-oGTNDXfeQ_23_0"/>
      <w:bookmarkStart w:id="335" w:name="Tc_Bug-RYxTm06LDNm7Z878SQ_22_0"/>
      <w:bookmarkStart w:id="336" w:name="Tc_6Idy3jeaVEiNllRl_7lhYA_21_3"/>
      <w:bookmarkStart w:id="337" w:name="Tc_o6ZcbKfnpka8B6KavTgJtA_21_0"/>
      <w:bookmarkStart w:id="338" w:name="Tc_jBKXEpOXx0CruCVwGTXCaQ_20_0"/>
      <w:bookmarkStart w:id="339" w:name="Tc_gHkC6iS5O0S7V7_hf4Lc5g_19_0"/>
      <w:bookmarkStart w:id="340" w:name="Tc_-5_wu8mCQU-SgsS8TFtvqQ_18_0"/>
      <w:bookmarkStart w:id="341" w:name="Tc_s4s1Zayyo0WNNnxpqsagXg_17_0"/>
      <w:bookmarkStart w:id="342" w:name="Tc_IuhL-gBfVkWfrviNE0OmOg_16_3"/>
      <w:bookmarkStart w:id="343" w:name="Tc_Waq5UYxvGE6adZPKsKwUJQ_16_0"/>
      <w:bookmarkStart w:id="344" w:name="Tc_LJnVehrDv0S1YSTyrJl6mA_15_6"/>
      <w:bookmarkStart w:id="345" w:name="Tc_O6NqM3Dmx0ObtlqP3HoVSQ_15_0"/>
      <w:bookmarkStart w:id="346" w:name="Tc_AXLH8NmJlUuBLeCfYCHfYA_14_0"/>
      <w:bookmarkStart w:id="347" w:name="Tc_13ojmEZ1A0GfnnBPYMKGxQ_13_0"/>
      <w:bookmarkStart w:id="348" w:name="Tc_bsBVAqv1PUiK02DthXn90g_12_6"/>
      <w:bookmarkStart w:id="349" w:name="Tc_cfx_BkI5tk676SYaHhl5RQ_12_0"/>
      <w:bookmarkStart w:id="350" w:name="Tc_opS90N77-kCZ0YJjbzJwRQ_11_0"/>
      <w:bookmarkStart w:id="351" w:name="Tc_poWoL948eUWKeymB0BMs_A_10_0"/>
      <w:bookmarkStart w:id="352" w:name="Tc_Du1cbowkuE6IMygqVRcvZw_9_0"/>
      <w:bookmarkStart w:id="353" w:name="Tc_dSVoZRXq7EW9n0D6_VWCPw_8_0"/>
      <w:bookmarkStart w:id="354" w:name="Tc_STMjaaefSES1wGnDPevTGQ_7_0"/>
      <w:bookmarkStart w:id="355" w:name="Tc_Omi9gYqToEyZI6WZS0s0Hg_6_0"/>
      <w:bookmarkStart w:id="356" w:name="Tc_Bm_cMLFD_0WD5Y_o-lsWqw_5_5"/>
      <w:bookmarkStart w:id="357" w:name="Tc_r-5L-pWmu0GO5isGEHmCEQ_5_2"/>
      <w:bookmarkStart w:id="358" w:name="Tc_irqLrIqEDUK20FsFfCOwjQ_5_0"/>
      <w:bookmarkStart w:id="359" w:name="Tc_Pp-oZoFbH0mGXWizq1prag_4_0"/>
      <w:bookmarkStart w:id="360" w:name="Tc_3MBO4JK3AEe4q6ppmYy34Q_3_5"/>
      <w:bookmarkStart w:id="361" w:name="Tc_Cj2GvC2KUkO3u_am7vxtFQ_3_2"/>
      <w:bookmarkStart w:id="362" w:name="Tc_V9b6wD1PBUyG6CI_fyaCPg_2_2"/>
      <w:bookmarkStart w:id="363" w:name="Tc_h90EbK7Ro0KwGEi-tN93TQ_1_2"/>
      <w:bookmarkStart w:id="364" w:name="_2754bc31_9829_47cf_b327_8a54e3fb6fa6"/>
      <w:bookmarkStart w:id="365" w:name="Tc_R4kvPus9pka-CQ2r2Xy9dA_29_5"/>
      <w:bookmarkStart w:id="366" w:name="Tc_JEStElQgNkedVWwTNgIoXw_29_2"/>
      <w:bookmarkStart w:id="367" w:name="Tc_o2QSqnACY0KkQ5yOFMiFtg_29_0"/>
      <w:bookmarkStart w:id="368" w:name="Tc_HFDWOL8VNUSuBtppcImltQ_28_0"/>
      <w:bookmarkStart w:id="369" w:name="Tc_elWW5mISpECCu_eBHeWY3g_26_0"/>
      <w:bookmarkStart w:id="370" w:name="Tc_Q4AxIyBV4kWtEGM8G3Ay0w_25_6"/>
      <w:bookmarkStart w:id="371" w:name="Tc_CVmn1-BVKUS4uyFM7JrTyQ_25_0"/>
      <w:bookmarkStart w:id="372" w:name="Tc_LYI6DazoC0mO2h3qCqFp8g_24_6"/>
      <w:bookmarkStart w:id="373" w:name="Tc_Q9zqshCB7UaGVBzbWNqJtQ_24_0"/>
      <w:bookmarkStart w:id="374" w:name="Tc_btpVRN1CQ0-z-oGTNDXfeQ_23_0"/>
      <w:bookmarkStart w:id="375" w:name="Tc_Bug-RYxTm06LDNm7Z878SQ_22_0"/>
      <w:bookmarkStart w:id="376" w:name="Tc_6Idy3jeaVEiNllRl_7lhYA_21_3"/>
      <w:bookmarkStart w:id="377" w:name="Tc_o6ZcbKfnpka8B6KavTgJtA_21_0"/>
      <w:bookmarkStart w:id="378" w:name="Tc_jBKXEpOXx0CruCVwGTXCaQ_20_0"/>
      <w:bookmarkStart w:id="379" w:name="Tc_gHkC6iS5O0S7V7_hf4Lc5g_19_0"/>
      <w:bookmarkStart w:id="380" w:name="Tc_-5_wu8mCQU-SgsS8TFtvqQ_18_0"/>
      <w:bookmarkStart w:id="381" w:name="Tc_s4s1Zayyo0WNNnxpqsagXg_17_0"/>
      <w:bookmarkStart w:id="382" w:name="Tc_IuhL-gBfVkWfrviNE0OmOg_16_3"/>
      <w:bookmarkStart w:id="383" w:name="Tc_Waq5UYxvGE6adZPKsKwUJQ_16_0"/>
      <w:bookmarkStart w:id="384" w:name="Tc_LJnVehrDv0S1YSTyrJl6mA_15_6"/>
      <w:bookmarkStart w:id="385" w:name="Tc_O6NqM3Dmx0ObtlqP3HoVSQ_15_0"/>
      <w:bookmarkStart w:id="386" w:name="Tc_AXLH8NmJlUuBLeCfYCHfYA_14_0"/>
      <w:bookmarkStart w:id="387" w:name="Tc_13ojmEZ1A0GfnnBPYMKGxQ_13_0"/>
      <w:bookmarkStart w:id="388" w:name="Tc_bsBVAqv1PUiK02DthXn90g_12_6"/>
      <w:bookmarkStart w:id="389" w:name="Tc_cfx_BkI5tk676SYaHhl5RQ_12_0"/>
      <w:bookmarkStart w:id="390" w:name="Tc_opS90N77-kCZ0YJjbzJwRQ_11_0"/>
      <w:bookmarkStart w:id="391" w:name="Tc_poWoL948eUWKeymB0BMs_A_10_0"/>
      <w:bookmarkStart w:id="392" w:name="Tc_Du1cbowkuE6IMygqVRcvZw_9_0"/>
      <w:bookmarkStart w:id="393" w:name="Tc_dSVoZRXq7EW9n0D6_VWCPw_8_0"/>
      <w:bookmarkStart w:id="394" w:name="Tc_STMjaaefSES1wGnDPevTGQ_7_0"/>
      <w:bookmarkStart w:id="395" w:name="Tc_Omi9gYqToEyZI6WZS0s0Hg_6_0"/>
      <w:bookmarkStart w:id="396" w:name="Tc_Bm_cMLFD_0WD5Y_o-lsWqw_5_5"/>
      <w:bookmarkStart w:id="397" w:name="Tc_r-5L-pWmu0GO5isGEHmCEQ_5_2"/>
      <w:bookmarkStart w:id="398" w:name="Tc_irqLrIqEDUK20FsFfCOwjQ_5_0"/>
      <w:bookmarkStart w:id="399" w:name="Tc_Pp-oZoFbH0mGXWizq1prag_4_0"/>
      <w:bookmarkStart w:id="400" w:name="Tc_3MBO4JK3AEe4q6ppmYy34Q_3_5"/>
      <w:bookmarkStart w:id="401" w:name="Tc_Cj2GvC2KUkO3u_am7vxtFQ_3_2"/>
      <w:bookmarkStart w:id="402" w:name="Tc_V9b6wD1PBUyG6CI_fyaCPg_2_2"/>
      <w:bookmarkStart w:id="403" w:name="Tc_h90EbK7Ro0KwGEi-tN93TQ_1_2"/>
      <w:bookmarkStart w:id="404" w:name="_2754bc31_9829_47cf_b327_8a54e3fb6fa6"/>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tbl>
      <w:tblPr>
        <w:tblW w:w="8847" w:type="dxa"/>
        <w:jc w:val="left"/>
        <w:tblInd w:w="0" w:type="dxa"/>
        <w:tblLayout w:type="fixed"/>
        <w:tblCellMar>
          <w:top w:w="0" w:type="dxa"/>
          <w:left w:w="0" w:type="dxa"/>
          <w:bottom w:w="0" w:type="dxa"/>
          <w:right w:w="0" w:type="dxa"/>
        </w:tblCellMar>
      </w:tblPr>
      <w:tblGrid>
        <w:gridCol w:w="5521"/>
        <w:gridCol w:w="326"/>
        <w:gridCol w:w="211"/>
        <w:gridCol w:w="1051"/>
        <w:gridCol w:w="326"/>
        <w:gridCol w:w="211"/>
        <w:gridCol w:w="1201"/>
      </w:tblGrid>
      <w:tr>
        <w:trPr/>
        <w:tc>
          <w:tcPr>
            <w:tcW w:w="55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01" w:type="dxa"/>
            <w:tcBorders/>
            <w:vAlign w:val="center"/>
          </w:tcPr>
          <w:p>
            <w:pPr>
              <w:pStyle w:val="TableContents"/>
              <w:bidi w:val="0"/>
              <w:spacing w:before="0" w:after="1"/>
              <w:ind w:left="0" w:right="0" w:hanging="0"/>
              <w:jc w:val="both"/>
              <w:rPr/>
            </w:pPr>
            <w:r>
              <w:rPr/>
              <w:t>​</w:t>
            </w:r>
          </w:p>
        </w:tc>
      </w:tr>
      <w:tr>
        <w:trPr/>
        <w:tc>
          <w:tcPr>
            <w:tcW w:w="55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30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55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30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55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52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01" w:type="dxa"/>
            <w:tcBorders/>
            <w:shd w:fill="CCEEFF" w:val="clear"/>
            <w:vAlign w:val="center"/>
          </w:tcPr>
          <w:p>
            <w:pPr>
              <w:pStyle w:val="TableContents"/>
              <w:bidi w:val="0"/>
              <w:spacing w:before="0" w:after="1"/>
              <w:ind w:left="0" w:right="0" w:hanging="0"/>
              <w:jc w:val="both"/>
              <w:rPr/>
            </w:pPr>
            <w:r>
              <w:rPr/>
              <w:t>​</w:t>
            </w:r>
          </w:p>
        </w:tc>
      </w:tr>
      <w:tr>
        <w:trPr/>
        <w:tc>
          <w:tcPr>
            <w:tcW w:w="5521"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(4,967,576)</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(9,910,508)</w:t>
            </w:r>
          </w:p>
        </w:tc>
      </w:tr>
      <w:tr>
        <w:trPr/>
        <w:tc>
          <w:tcPr>
            <w:tcW w:w="552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Reconciliation of net loss to net cash used in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55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818,216</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576,331</w:t>
            </w:r>
          </w:p>
        </w:tc>
      </w:tr>
      <w:tr>
        <w:trPr/>
        <w:tc>
          <w:tcPr>
            <w:tcW w:w="55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659,913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1,630,677</w:t>
            </w:r>
          </w:p>
        </w:tc>
      </w:tr>
      <w:tr>
        <w:trPr/>
        <w:tc>
          <w:tcPr>
            <w:tcW w:w="55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Amortization on right-of-use assets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153,518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257,889</w:t>
            </w:r>
          </w:p>
        </w:tc>
      </w:tr>
      <w:tr>
        <w:trPr/>
        <w:tc>
          <w:tcPr>
            <w:tcW w:w="552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Changes in operating assets and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55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6,336</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288,409</w:t>
            </w:r>
          </w:p>
        </w:tc>
      </w:tr>
      <w:tr>
        <w:trPr/>
        <w:tc>
          <w:tcPr>
            <w:tcW w:w="55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receivable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55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1,319,118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(1,948)</w:t>
            </w:r>
          </w:p>
        </w:tc>
      </w:tr>
      <w:tr>
        <w:trPr/>
        <w:tc>
          <w:tcPr>
            <w:tcW w:w="55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(250,017)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(3,953,976)</w:t>
            </w:r>
          </w:p>
        </w:tc>
      </w:tr>
      <w:tr>
        <w:trPr/>
        <w:tc>
          <w:tcPr>
            <w:tcW w:w="55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deferred revenue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01" w:type="dxa"/>
            <w:tcBorders/>
            <w:vAlign w:val="center"/>
          </w:tcPr>
          <w:p>
            <w:pPr>
              <w:pStyle w:val="TableContents"/>
              <w:bidi w:val="0"/>
              <w:spacing w:before="0" w:after="1"/>
              <w:ind w:left="0" w:right="0" w:hanging="0"/>
              <w:jc w:val="right"/>
              <w:rPr/>
            </w:pPr>
            <w:r>
              <w:rPr/>
              <w:t>—</w:t>
            </w:r>
          </w:p>
        </w:tc>
      </w:tr>
      <w:tr>
        <w:trPr/>
        <w:tc>
          <w:tcPr>
            <w:tcW w:w="55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(964,322)</w:t>
            </w:r>
          </w:p>
        </w:tc>
      </w:tr>
      <w:tr>
        <w:trPr/>
        <w:tc>
          <w:tcPr>
            <w:tcW w:w="55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Lease liability</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(127,803)</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(148,614)</w:t>
            </w:r>
          </w:p>
        </w:tc>
      </w:tr>
      <w:tr>
        <w:trPr/>
        <w:tc>
          <w:tcPr>
            <w:tcW w:w="55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(5,888,295)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(12,226,062)</w:t>
            </w:r>
          </w:p>
        </w:tc>
      </w:tr>
      <w:tr>
        <w:trPr/>
        <w:tc>
          <w:tcPr>
            <w:tcW w:w="5521"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pPr>
            <w:r>
              <w:rPr/>
              <w:t>​</w:t>
            </w:r>
          </w:p>
        </w:tc>
      </w:tr>
      <w:tr>
        <w:trPr/>
        <w:tc>
          <w:tcPr>
            <w:tcW w:w="55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Purchase of property and equipment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(112,608)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(826,583)</w:t>
            </w:r>
          </w:p>
        </w:tc>
      </w:tr>
      <w:tr>
        <w:trPr/>
        <w:tc>
          <w:tcPr>
            <w:tcW w:w="55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Purchase of construction in progress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(1,625,605)</w:t>
            </w:r>
          </w:p>
        </w:tc>
      </w:tr>
      <w:tr>
        <w:trPr/>
        <w:tc>
          <w:tcPr>
            <w:tcW w:w="55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(112,608)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(2,452,188)</w:t>
            </w:r>
          </w:p>
        </w:tc>
      </w:tr>
      <w:tr>
        <w:trPr/>
        <w:tc>
          <w:tcPr>
            <w:tcW w:w="5521"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pPr>
            <w:r>
              <w:rPr/>
              <w:t>​</w:t>
            </w:r>
          </w:p>
        </w:tc>
      </w:tr>
      <w:tr>
        <w:trPr/>
        <w:tc>
          <w:tcPr>
            <w:tcW w:w="55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issuance of common stock, net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619,974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5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619,974</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5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decrease in cash and cash equivalents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(5,380,929)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(14,678,250)</w:t>
            </w:r>
          </w:p>
        </w:tc>
      </w:tr>
      <w:tr>
        <w:trPr/>
        <w:tc>
          <w:tcPr>
            <w:tcW w:w="55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01" w:type="dxa"/>
            <w:tcBorders/>
            <w:vAlign w:val="center"/>
          </w:tcPr>
          <w:p>
            <w:pPr>
              <w:pStyle w:val="TableContents"/>
              <w:bidi w:val="0"/>
              <w:spacing w:before="0" w:after="1"/>
              <w:ind w:left="0" w:right="0" w:hanging="0"/>
              <w:jc w:val="both"/>
              <w:rPr/>
            </w:pPr>
            <w:r>
              <w:rPr/>
              <w:t>​</w:t>
            </w:r>
          </w:p>
        </w:tc>
      </w:tr>
      <w:tr>
        <w:trPr/>
        <w:tc>
          <w:tcPr>
            <w:tcW w:w="55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 at beginning of the period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11,782,172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43,497,331</w:t>
            </w:r>
          </w:p>
        </w:tc>
      </w:tr>
      <w:tr>
        <w:trPr/>
        <w:tc>
          <w:tcPr>
            <w:tcW w:w="5521"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and cash equivalents at end of the period</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6,401,243</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28,819,081</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05" w:name="Tc_omnxPRHCGUKoKViIbiZTrA_6_6"/>
      <w:bookmarkStart w:id="406" w:name="Tc_pVBqUCFW7ECYPf0DVlvqCg_6_5"/>
      <w:bookmarkStart w:id="407" w:name="Tc_8U60lBcKuUyFaNqWCVgJpQ_6_2"/>
      <w:bookmarkStart w:id="408" w:name="Tc_FJdRmdtkl0SqOoa8UKE3Ew_6_0"/>
      <w:bookmarkStart w:id="409" w:name="Tc_I4TiklorhUWo9Ps_xucrqw_5_5"/>
      <w:bookmarkStart w:id="410" w:name="Tc_A6FawGU_rUi5E0p8YsFc8g_5_2"/>
      <w:bookmarkStart w:id="411" w:name="Tc_Ojr9a5S2ekWRKYtSPMRF5w_5_0"/>
      <w:bookmarkStart w:id="412" w:name="Tc_XBdyijHdbECv7CpE9MYyEA_4_0"/>
      <w:bookmarkStart w:id="413" w:name="Tc_-nCs-7qQVEudlZrowXJ5Hw_3_5"/>
      <w:bookmarkStart w:id="414" w:name="Tc_l-9NHcLYckOe8-n57oKLEQ_3_2"/>
      <w:bookmarkStart w:id="415" w:name="Tc_K-0zIS4W706LbiXcQLOCtw_2_2"/>
      <w:bookmarkStart w:id="416" w:name="Tc_B-9HKlpxm0i1ulWvp2ZxCw_1_2"/>
      <w:bookmarkStart w:id="417" w:name="_0b4a7dcc_626d_4cd2_bf71_c0681bbe3d2a"/>
      <w:bookmarkStart w:id="418" w:name="Tc_omnxPRHCGUKoKViIbiZTrA_6_6"/>
      <w:bookmarkStart w:id="419" w:name="Tc_pVBqUCFW7ECYPf0DVlvqCg_6_5"/>
      <w:bookmarkStart w:id="420" w:name="Tc_8U60lBcKuUyFaNqWCVgJpQ_6_2"/>
      <w:bookmarkStart w:id="421" w:name="Tc_FJdRmdtkl0SqOoa8UKE3Ew_6_0"/>
      <w:bookmarkStart w:id="422" w:name="Tc_I4TiklorhUWo9Ps_xucrqw_5_5"/>
      <w:bookmarkStart w:id="423" w:name="Tc_A6FawGU_rUi5E0p8YsFc8g_5_2"/>
      <w:bookmarkStart w:id="424" w:name="Tc_Ojr9a5S2ekWRKYtSPMRF5w_5_0"/>
      <w:bookmarkStart w:id="425" w:name="Tc_XBdyijHdbECv7CpE9MYyEA_4_0"/>
      <w:bookmarkStart w:id="426" w:name="Tc_-nCs-7qQVEudlZrowXJ5Hw_3_5"/>
      <w:bookmarkStart w:id="427" w:name="Tc_l-9NHcLYckOe8-n57oKLEQ_3_2"/>
      <w:bookmarkStart w:id="428" w:name="Tc_K-0zIS4W706LbiXcQLOCtw_2_2"/>
      <w:bookmarkStart w:id="429" w:name="Tc_B-9HKlpxm0i1ulWvp2ZxCw_1_2"/>
      <w:bookmarkStart w:id="430" w:name="_0b4a7dcc_626d_4cd2_bf71_c0681bbe3d2a"/>
      <w:bookmarkEnd w:id="418"/>
      <w:bookmarkEnd w:id="419"/>
      <w:bookmarkEnd w:id="420"/>
      <w:bookmarkEnd w:id="421"/>
      <w:bookmarkEnd w:id="422"/>
      <w:bookmarkEnd w:id="423"/>
      <w:bookmarkEnd w:id="424"/>
      <w:bookmarkEnd w:id="425"/>
      <w:bookmarkEnd w:id="426"/>
      <w:bookmarkEnd w:id="427"/>
      <w:bookmarkEnd w:id="428"/>
      <w:bookmarkEnd w:id="429"/>
      <w:bookmarkEnd w:id="430"/>
    </w:p>
    <w:tbl>
      <w:tblPr>
        <w:tblW w:w="8757" w:type="dxa"/>
        <w:jc w:val="left"/>
        <w:tblInd w:w="0" w:type="dxa"/>
        <w:tblLayout w:type="fixed"/>
        <w:tblCellMar>
          <w:top w:w="0" w:type="dxa"/>
          <w:left w:w="0" w:type="dxa"/>
          <w:bottom w:w="0" w:type="dxa"/>
          <w:right w:w="0" w:type="dxa"/>
        </w:tblCellMar>
      </w:tblPr>
      <w:tblGrid>
        <w:gridCol w:w="5926"/>
        <w:gridCol w:w="326"/>
        <w:gridCol w:w="211"/>
        <w:gridCol w:w="781"/>
        <w:gridCol w:w="326"/>
        <w:gridCol w:w="211"/>
        <w:gridCol w:w="976"/>
      </w:tblGrid>
      <w:tr>
        <w:trPr/>
        <w:tc>
          <w:tcPr>
            <w:tcW w:w="5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7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76" w:type="dxa"/>
            <w:tcBorders/>
            <w:vAlign w:val="center"/>
          </w:tcPr>
          <w:p>
            <w:pPr>
              <w:pStyle w:val="TableContents"/>
              <w:bidi w:val="0"/>
              <w:spacing w:before="0" w:after="1"/>
              <w:ind w:left="0" w:right="0" w:hanging="0"/>
              <w:jc w:val="both"/>
              <w:rPr/>
            </w:pPr>
            <w:r>
              <w:rPr/>
              <w:t>​</w:t>
            </w:r>
          </w:p>
        </w:tc>
      </w:tr>
      <w:tr>
        <w:trPr/>
        <w:tc>
          <w:tcPr>
            <w:tcW w:w="59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25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5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5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5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Supplemental schedule of non-cash financing and investing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76" w:type="dxa"/>
            <w:tcBorders/>
            <w:shd w:fill="CCEEFF" w:val="clear"/>
            <w:vAlign w:val="center"/>
          </w:tcPr>
          <w:p>
            <w:pPr>
              <w:pStyle w:val="TableContents"/>
              <w:bidi w:val="0"/>
              <w:spacing w:before="0" w:after="1"/>
              <w:ind w:left="0" w:right="0" w:hanging="0"/>
              <w:jc w:val="center"/>
              <w:rPr/>
            </w:pPr>
            <w:r>
              <w:rPr/>
              <w:t>​</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Capital expenditures included in accounts payable </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141,979</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2,328,499</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Issuance of common stock as commitment fee for future financing</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431" w:name="_85c208d8_91c0_4579_a631_4110bddfd8b2"/>
      <w:bookmarkEnd w:id="431"/>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432" w:name="NOTESTOCONDENSEDCONSOLIDATEDFINANCIALSTA"/>
      <w:bookmarkEnd w:id="432"/>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 NATURE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multiTAA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a one-for-ten (1-for-10) reverse stock split of its common stock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references to common stock, warrants to purchase common stock, options to purchase common stock, share data, per share data and related information contained in the condensed consolidated financial statements have been retrospectively adjusted to reflect the effect of the Reverse Stock Split for all periods presented. Payment for fractional shares resulting from the reverse stock split amounted to $394.80.</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 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results for the condensed consolidated statement of operations are not necessarily indicative of results to be expected for the year ending December 31, 2023 or for any future interim period. The condensed consolidated balance sheet at March 31, 2023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2022 and notes thereto included in the Company’s annual report on Form 10-K filed on March 22, 2023.</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NOTE 3: LIQUIDITY, GOING CONCERN AND FINANCIAL CONDITION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2023, the Company had cash and cash equivalents of approximately $6.4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August 2021, the Company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shares of its common stock sold will be issued pursuant to the Company’s shelf registration statement on Form S-3 (File No. 333-258687), which the SEC declared effective on August 19, 2021. The shelf registration statement on Form S-3 includes a prospectus supplement covering the offering up to $9.87 million of shares of common stock over the 12 months ending March 22, 2024 pursuant to General Instruction I.B.6 of Form S-3, which limits the amounts that the Company may sell under the registration statement, and in accordance with the ATM agreement. The Sales Agents will be entitled to compensation under the Sales Agreement at a commission rate equal to 3.0% of the gross sales price per share sold under the ATM Agreement, and the Company has provided each of the Sales Agents with indemnification and contribution rights. During the three months ended March 31, 2023, the Company sold 200,261 shares of its common stock under the ATM Agreement for proceeds of $0.6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the Cancer Prevention and Research Institute of Texas (“CPRIT”) to support the Company’s Phase 2 clinical trial of its lead multiTAA-specific T cell product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To date, the Company has received $4.8 million of funds from the CPRIT grant. The Company recorded $1.1 million of grant income related to the CPRIT grant as revenue for the three months ended March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2022, the Company entered into a binding services agreement (the “Agreement”), effective April 12, 2022 (see Note 9), with Wilson Wolf Manufacturing Corporation (“Wilson Wolf”). Mr. John Wilson is a member of the Company’s board of directors and is serving as the CEO of Wilson Wolf, therefore Wilson Wolf is a related party. Wilson Wolf is in the business of creating products and services intended to simplify and expedite the transition of cell therapies and gene-modified cell therapies to mainstream society (the “Wilson Wolf Mission”). Pursuant to the Agreement, Wilson Wolf made a cash payment to the Company in the amount of $8.0 million. For the three-month period ending March 31, 2023, the Company recognized the final $2.5 million of revenue pursuant to this Agreement. Additionally, pursuant to the Agreement, Wilson Wolf agreed to pay the Company an additional $1.0 million because the Company achieved the agreed milestone of completing the services within one year from the onset of the Agreement. As such, the Company recorded an additional $1.0 million of service fee revenue during the three months ended March 31, 2023, with a corresponding $1.0 million related party receivable on its condensed consolidated balance sheet as of March 31, 2023. The Company received the $1.0 million payment in May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the Company received notice from the U.S. Food and Drug Administration (the “FDA”) that it had awarded the Company a $2.0 million grant from the FDA’s Orphan Products Grant program to support the Company’s Phase 2 clinical trial of MT-401 for the treatment of post-transplant AML. The Company recorded $0.1 million of grant income related to the FDA grant as revenue for the three months ended March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2022, the Company entered into a purchase agreement (the “Purchase Agreement”) with Lincoln Park Capital Fund, LLC (“Lincoln Park”), which provides that, upon the terms and subject to the conditions of the agreement, the Company has the right, but not the obligation, to sell to Lincoln Park up to $25,000,000 of shares of its common stock (“the Purchase Shares”) from time to time over a 24-month term, at a variable price with certain market-based terms as defined in the Purchase Agreement. The Purchase Agreement does not exhibit any of the characteristics for liability classification under ASC Topic 480, Distinguishing Liabilities from Equity. Instead, the purchase agreement is indexed to the Company’s own stock under ASC Subtopic 815-40, Contracts in Entity’s Own Equity, and classified as equity. In January 2023, Lincoln Park was issued 180,410 shares of stock as a commitment fee at a value of $0.5 million. During the three months ended March 31, 2023, the Company sold 12,500 shares of its common stock under the Purchase Agreement for proceeds of approximately $33,000.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2023, the Company signed an agreement with AlloVir, Inc. in which Marker will provide services for AlloVir’s long range process development and scale optimization. Under the terms of this agreement, Marker will receive total compensation in the amount of $0.4 million, estimated to be fully earned by the end of quarter ended September 30, 2023. As of March 31, 2023, the Company did not receive any funds from the Allovir agreement. The Company anticipates that the Allovir agreement will be a Purchased Asset under the Cell Ready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May 2023, the Company entered into a purchase agreement (the “Cell Ready Agreement”) with Cell Ready, LLC (“Cell Ready”), pursuant to which the Company will (i) assign to Cell Ready the leases for the Company’s two manufacturing facilities in Houston, Texas (the “Manufacturing Facilities”), (ii) sell to Cell Ready all of the equipment and leasehold improvements at the Manufacturing Facilities and (iii) assign to Cell Ready its rights, title and interest in the Company’s Master Services Agreement for Product Supply,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dated April 7, 2023, by and between the Company, Cell Ready and Indapta Therapeutics, Inc., as well as its rights, title and interest in any contracts related to the equipment and Manufacturing Facilities (collectively, the “Purchased Assets”). Mr. John Wilson is a member of the Company’s board of directors and is serving as the CEO of Cell Ready, therefore Cell Ready is a related party. Pursuant to the Cell Ready Agreement, Cell Ready will acquire the Purchased Assets for total consideration of approximately $19.0 million. In connection with the purchase of the Manufacturing Facilities, Cell Ready also intends to extend offers of employment to approximately 50 of the Company’s employees currently employed in its manufacturing, development, quality and regulatory affairs functions. The Cell Ready Agreement contains representations, warranties and covenants of the Company and Cell Ready that are customary for a transaction of this nature. The transaction is expected to close on June 26, 2023, subject to the satisfaction of customary closing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Company’s clinical and research and development plans and its timing expectations related to the progress of its programs, the Company expects that its cash and cash equivalents as of March 31, 2023 will enable the Company to fund its operating expenses and capital expenditure requirements into the third quarter of 2023. Such estimate does not include receipt of the approximately $19.0 million in connection with the closing of the Cell Ready Agreement, which is expected on June 26, 2023, subject to the satisfaction of customary closing conditions, and related anticipated cost savings. In an effort to further preserve the Company’s working capital, the Company’s employees took a portion of their 2022 earned bonus in the form of equity in lieu of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 </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initiates or continues clinical trials of its product candidates;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continues the research and development of its product candidates and seeks to discover additional product candidates;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seeks regulatory approvals for any product candidates that successfully complete clinical trials;</w:t>
            </w:r>
          </w:p>
        </w:tc>
      </w:tr>
    </w:tbl>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maintains and enforces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establishes sales, marketing and distribution infrastructure and establishes third-party manufacturing capabilities to commercialize any product candidates that may receive regulatory approval;</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strategic transactions the Company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enhances operational, financial and information management systems and hires additional personnel, including personnel to support development of product candidates and, if a product candidate is approved, commercialization efforts.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no sources of revenue to provide incoming cash flows to sustain its future operations. As outlined above, its ability to pursue its planned business activities is dependent upon its successful efforts to raise additional capital.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factors raise substantial doubt regarding its ability to continue as a going concern. The Company’s condensed consolidated financial statements have been prepared on a going concern basis, which implies that it will continue to realize its assets and discharge its liabilities in the normal course of business. The Company’s financial statements do not include any adjustments to the recoverability and classification of recorded asset amounts and classification of liabilities that might be necessary should it be unable to continue as a going concern.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COVID-19 pandemic, decades-high inflation and concerns about an economic recession in the United States or other major markets has resulted in, among other things, volatility in the capital markets that may have the effect of reducing the Company’s ability to access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capital, which could in the future negatively affect the Company’s liquidity. In addition, a recession or market correction due to these factors could materially affect the Company’s business and the value of its common stock.</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4: SIGNIFICANT ACCOUNTING POLICIES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Accounting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new accounting pronouncements are issued by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consolidated financial position or results of operations upon adoption.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material changes in the Company’s significant accounting policies to those previously disclosed in the Annual Report on Form 10-K for the year ended December 31, 2022 filed on March 22, 2023.</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433" w:name="Tc_g_yLdQvm6kS-2czF1rapYQ_6_0"/>
      <w:bookmarkStart w:id="434" w:name="Tc_noinkwxDyEGerff4ljeXJg_5_0"/>
      <w:bookmarkStart w:id="435" w:name="Tc_RV1B_rRu2UW84skB8hSU1A_4_0"/>
      <w:bookmarkStart w:id="436" w:name="Tc_XXg4dSFQhUyw_tlB5JCYIw_3_4"/>
      <w:bookmarkStart w:id="437" w:name="Tc_lwELzYLgEUiRjD6joDWlXw_3_2"/>
      <w:bookmarkStart w:id="438" w:name="Tc_GYv5w7spKUagKyIWso1OsQ_2_2"/>
      <w:bookmarkStart w:id="439" w:name="Tc_dBPr1KH9PkaDTkvuRWjVtw_1_2"/>
      <w:bookmarkStart w:id="440" w:name="Tc_1wBegwYngk-hdoUk0gJSfw_11_5"/>
      <w:bookmarkStart w:id="441" w:name="Tc_9RihvFgbbU2hXclr8upvvw_11_2"/>
      <w:bookmarkStart w:id="442" w:name="Tc_sozKXPKeVUaA3SXGConmJw_11_0"/>
      <w:bookmarkStart w:id="443" w:name="Tc_j0ntnP8Ir0mrbjvUSlSyOg_10_0"/>
      <w:bookmarkStart w:id="444" w:name="Tc_pJD_WUiOAU2jyoTLySzf_g_8_0"/>
      <w:bookmarkStart w:id="445" w:name="Tc_7aVdmALwUkiwKk8WyD_y2w_7_0"/>
      <w:bookmarkStart w:id="446" w:name="Tc_-nS3JKRSU06H8oT18kfO_Q_5_5"/>
      <w:bookmarkStart w:id="447" w:name="Tc_z_czZriUi0Onre0MGOhZ-A_5_2"/>
      <w:bookmarkStart w:id="448" w:name="Tc_e2NCeSG1tE6tNFONtmdu1Q_5_0"/>
      <w:bookmarkStart w:id="449" w:name="Tc_VgWrXyR-xk6qZfVI6YQ-3Q_4_0"/>
      <w:bookmarkStart w:id="450" w:name="Tc_kRbNus2ookObHtZkfdnkNw_3_5"/>
      <w:bookmarkStart w:id="451" w:name="Tc_GqsHhlYay06myI2nWl6S7Q_3_2"/>
      <w:bookmarkStart w:id="452" w:name="Tc_iJrCsX8y7kGErOn9jM_d0A_2_2"/>
      <w:bookmarkStart w:id="453" w:name="Tc_qjhdmMgigEWz2zGQpqgAzw_1_2"/>
      <w:bookmarkStart w:id="454" w:name="_dcd17db5_eaa8_4484_a536_453fc66b03e3"/>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Times;serif" w:hAnsi="Times New Roman;Times;serif"/>
          <w:b/>
          <w:sz w:val="20"/>
        </w:rPr>
        <w:t>NOTE 5: NET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net loss per share for the three months ended March 31, 2023 and 2022, respectively:</w:t>
      </w:r>
    </w:p>
    <w:p>
      <w:pPr>
        <w:pStyle w:val="TextBody"/>
        <w:bidi w:val="0"/>
        <w:spacing w:before="0" w:after="240"/>
        <w:ind w:left="0" w:right="0" w:hanging="0"/>
        <w:jc w:val="both"/>
        <w:rPr/>
      </w:pPr>
      <w:r>
        <w:rPr/>
        <w:t>​</w:t>
      </w:r>
    </w:p>
    <w:tbl>
      <w:tblPr>
        <w:tblW w:w="7167" w:type="dxa"/>
        <w:jc w:val="left"/>
        <w:tblInd w:w="0" w:type="dxa"/>
        <w:tblLayout w:type="fixed"/>
        <w:tblCellMar>
          <w:top w:w="0" w:type="dxa"/>
          <w:left w:w="0" w:type="dxa"/>
          <w:bottom w:w="0" w:type="dxa"/>
          <w:right w:w="0" w:type="dxa"/>
        </w:tblCellMar>
      </w:tblPr>
      <w:tblGrid>
        <w:gridCol w:w="3946"/>
        <w:gridCol w:w="326"/>
        <w:gridCol w:w="211"/>
        <w:gridCol w:w="1051"/>
        <w:gridCol w:w="326"/>
        <w:gridCol w:w="211"/>
        <w:gridCol w:w="109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505710" cy="175260"/>
                      <wp:effectExtent l="0" t="0" r="0" b="0"/>
                      <wp:wrapNone/>
                      <wp:docPr id="19" name="Frame18"/>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1"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7385" cy="175260"/>
                      <wp:effectExtent l="0" t="0" r="0" b="0"/>
                      <wp:wrapNone/>
                      <wp:docPr id="22" name="Frame2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3"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4"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5960" cy="175260"/>
                      <wp:effectExtent l="0" t="0" r="0" b="0"/>
                      <wp:wrapNone/>
                      <wp:docPr id="25" name="Frame2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8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9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9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4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both"/>
              <w:rPr/>
            </w:pPr>
            <w:r>
              <w:rPr/>
              <w:t>​</w:t>
            </w:r>
          </w:p>
        </w:tc>
      </w:tr>
      <w:tr>
        <w:trPr/>
        <w:tc>
          <w:tcPr>
            <w:tcW w:w="39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(4,967,576)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(9,910,508)</w:t>
            </w:r>
          </w:p>
        </w:tc>
      </w:tr>
      <w:tr>
        <w:trPr/>
        <w:tc>
          <w:tcPr>
            <w:tcW w:w="394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both"/>
              <w:rPr/>
            </w:pPr>
            <w:r>
              <w:rPr/>
              <w:t>​</w:t>
            </w:r>
          </w:p>
        </w:tc>
      </w:tr>
      <w:tr>
        <w:trPr/>
        <w:tc>
          <w:tcPr>
            <w:tcW w:w="394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394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Weighted average common shares outstanding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8,721,031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8,310,765</w:t>
            </w:r>
          </w:p>
        </w:tc>
      </w:tr>
      <w:tr>
        <w:trPr/>
        <w:tc>
          <w:tcPr>
            <w:tcW w:w="39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both"/>
              <w:rPr/>
            </w:pPr>
            <w:r>
              <w:rPr/>
              <w:t>​</w:t>
            </w:r>
          </w:p>
        </w:tc>
      </w:tr>
      <w:tr>
        <w:trPr/>
        <w:tc>
          <w:tcPr>
            <w:tcW w:w="394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 per share: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39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Basic and diluted</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securities, rounded to the nearest thousand, were not included in the diluted net loss per share calculation because their effect was anti-dilutive for the periods presented:</w:t>
      </w:r>
    </w:p>
    <w:p>
      <w:pPr>
        <w:pStyle w:val="TextBody"/>
        <w:bidi w:val="0"/>
        <w:spacing w:before="0" w:after="240"/>
        <w:ind w:left="0" w:right="0" w:hanging="0"/>
        <w:jc w:val="both"/>
        <w:rPr/>
      </w:pPr>
      <w:r>
        <w:rPr/>
        <w:t>​</w:t>
      </w:r>
    </w:p>
    <w:tbl>
      <w:tblPr>
        <w:tblW w:w="5455" w:type="dxa"/>
        <w:jc w:val="left"/>
        <w:tblInd w:w="0" w:type="dxa"/>
        <w:tblLayout w:type="fixed"/>
        <w:tblCellMar>
          <w:top w:w="0" w:type="dxa"/>
          <w:left w:w="0" w:type="dxa"/>
          <w:bottom w:w="0" w:type="dxa"/>
          <w:right w:w="0" w:type="dxa"/>
        </w:tblCellMar>
      </w:tblPr>
      <w:tblGrid>
        <w:gridCol w:w="2836"/>
        <w:gridCol w:w="326"/>
        <w:gridCol w:w="931"/>
        <w:gridCol w:w="326"/>
        <w:gridCol w:w="1036"/>
      </w:tblGrid>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036" w:type="dxa"/>
            <w:tcBorders/>
            <w:vAlign w:val="center"/>
          </w:tcPr>
          <w:p>
            <w:pPr>
              <w:pStyle w:val="TableContents"/>
              <w:bidi w:val="0"/>
              <w:spacing w:before="0" w:after="1"/>
              <w:ind w:left="0" w:right="0" w:hanging="0"/>
              <w:jc w:val="both"/>
              <w:rPr/>
            </w:pPr>
            <w:r>
              <w:rPr/>
              <w:t>​</w: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9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3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options</w:t>
            </w:r>
          </w:p>
        </w:tc>
        <w:tc>
          <w:tcPr>
            <w:tcW w:w="326"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1,297,000</w:t>
            </w:r>
          </w:p>
        </w:tc>
        <w:tc>
          <w:tcPr>
            <w:tcW w:w="326" w:type="dxa"/>
            <w:tcBorders/>
            <w:shd w:fill="CCEEFF" w:val="clear"/>
            <w:vAlign w:val="center"/>
          </w:tcPr>
          <w:p>
            <w:pPr>
              <w:pStyle w:val="TableContents"/>
              <w:bidi w:val="0"/>
              <w:spacing w:before="0" w:after="1"/>
              <w:ind w:left="0" w:right="0" w:hanging="0"/>
              <w:jc w:val="both"/>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938,900</w:t>
            </w:r>
          </w:p>
        </w:tc>
      </w:tr>
      <w:tr>
        <w:trPr/>
        <w:tc>
          <w:tcPr>
            <w:tcW w:w="283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purchase warrants</w:t>
            </w:r>
          </w:p>
        </w:tc>
        <w:tc>
          <w:tcPr>
            <w:tcW w:w="326" w:type="dxa"/>
            <w:tcBorders/>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1,848,000</w:t>
            </w:r>
          </w:p>
        </w:tc>
        <w:tc>
          <w:tcPr>
            <w:tcW w:w="326" w:type="dxa"/>
            <w:tcBorders/>
            <w:vAlign w:val="center"/>
          </w:tcPr>
          <w:p>
            <w:pPr>
              <w:pStyle w:val="TableContents"/>
              <w:bidi w:val="0"/>
              <w:spacing w:before="0" w:after="1"/>
              <w:ind w:left="0" w:right="0" w:hanging="0"/>
              <w:jc w:val="both"/>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1,983,000</w:t>
            </w:r>
          </w:p>
        </w:tc>
      </w:tr>
      <w:tr>
        <w:trPr/>
        <w:tc>
          <w:tcPr>
            <w:tcW w:w="283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Potentially dilutive securities</w:t>
            </w:r>
          </w:p>
        </w:tc>
        <w:tc>
          <w:tcPr>
            <w:tcW w:w="326" w:type="dxa"/>
            <w:tcBorders/>
            <w:shd w:fill="CCEEFF" w:val="clear"/>
            <w:vAlign w:val="center"/>
          </w:tcPr>
          <w:p>
            <w:pPr>
              <w:pStyle w:val="TableContents"/>
              <w:bidi w:val="0"/>
              <w:spacing w:before="0" w:after="1"/>
              <w:ind w:left="0" w:right="0" w:hanging="0"/>
              <w:jc w:val="both"/>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3,145,000</w:t>
            </w:r>
          </w:p>
        </w:tc>
        <w:tc>
          <w:tcPr>
            <w:tcW w:w="326" w:type="dxa"/>
            <w:tcBorders/>
            <w:shd w:fill="CCEEFF" w:val="clear"/>
            <w:vAlign w:val="center"/>
          </w:tcPr>
          <w:p>
            <w:pPr>
              <w:pStyle w:val="TableContents"/>
              <w:bidi w:val="0"/>
              <w:spacing w:before="0" w:after="1"/>
              <w:ind w:left="0" w:right="0" w:hanging="0"/>
              <w:jc w:val="both"/>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2,921,900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455" w:name="Tc_aKW_Ni2gp0y52FnQp4H1eQ_9_7"/>
      <w:bookmarkStart w:id="456" w:name="Tc_prji8o4wD0WwX8dbO_LlsA_9_4"/>
      <w:bookmarkStart w:id="457" w:name="Tc_DeRR1NmTakykniOJ-OwPWQ_9_0"/>
      <w:bookmarkStart w:id="458" w:name="Tc_0ZGrU8ARBEGxLMMFHJmIjA_8_0"/>
      <w:bookmarkStart w:id="459" w:name="Tc_2U25jEJx3UmC6nz5VXRrfg_7_0"/>
      <w:bookmarkStart w:id="460" w:name="Tc_g_z9XSChr0KFxG-HJpWPyw_6_2"/>
      <w:bookmarkStart w:id="461" w:name="Tc_z7zxWQegpkqCgpLNI4cFpw_6_0"/>
      <w:bookmarkStart w:id="462" w:name="Tc_efOpmHioXE6teP7Cf-qHPw_5_0"/>
      <w:bookmarkStart w:id="463" w:name="Tc_eM5DRLb91EarTiyClJzd5w_4_2"/>
      <w:bookmarkStart w:id="464" w:name="Tc_xga4CB1DZ0WDWFOFp4mVrQ_4_0"/>
      <w:bookmarkStart w:id="465" w:name="Tc_0lVID5h3v0qYyGHMOVlBbQ_3_7"/>
      <w:bookmarkStart w:id="466" w:name="Tc_IpkniCllRkSTbm9vsia_8Q_3_4"/>
      <w:bookmarkStart w:id="467" w:name="Tc_zrKeo2qxcUGMRmrNYqEPDg_3_0"/>
      <w:bookmarkStart w:id="468" w:name="Tc_9EUlnQrMX0GnKSZzVrPnnw_2_7"/>
      <w:bookmarkStart w:id="469" w:name="Tc_LIEiqbiD10mjV4sm4Og5pQ_2_4"/>
      <w:bookmarkStart w:id="470" w:name="Tc_HA4ba5YVA0e7tBWcHTz96Q_2_2"/>
      <w:bookmarkStart w:id="471" w:name="Tc_OFQ4dHjt0EmXju1GP_2ybQ_1_7"/>
      <w:bookmarkStart w:id="472" w:name="Tc_2qGqzP2akk6VHcmU_ODx0A_1_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Pr>
          <w:rFonts w:ascii="Times New Roman;Times;serif" w:hAnsi="Times New Roman;Times;serif"/>
          <w:b/>
          <w:sz w:val="20"/>
        </w:rPr>
        <w:t>NOTE 6: PROPERTY AND EQUIPMENT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consist of the following as of March 31, 2023 and December 31, 2022, respectively:</w:t>
      </w:r>
    </w:p>
    <w:p>
      <w:pPr>
        <w:pStyle w:val="TextBody"/>
        <w:bidi w:val="0"/>
        <w:spacing w:before="0" w:after="0"/>
        <w:ind w:left="0" w:right="0" w:hanging="0"/>
        <w:jc w:val="both"/>
        <w:rPr/>
      </w:pPr>
      <w:r>
        <w:rPr/>
        <w:t>​</w:t>
      </w:r>
    </w:p>
    <w:tbl>
      <w:tblPr>
        <w:tblW w:w="10194" w:type="dxa"/>
        <w:jc w:val="left"/>
        <w:tblInd w:w="0" w:type="dxa"/>
        <w:tblLayout w:type="fixed"/>
        <w:tblCellMar>
          <w:top w:w="0" w:type="dxa"/>
          <w:left w:w="0" w:type="dxa"/>
          <w:bottom w:w="0" w:type="dxa"/>
          <w:right w:w="0" w:type="dxa"/>
        </w:tblCellMar>
      </w:tblPr>
      <w:tblGrid>
        <w:gridCol w:w="3031"/>
        <w:gridCol w:w="326"/>
        <w:gridCol w:w="3571"/>
        <w:gridCol w:w="326"/>
        <w:gridCol w:w="211"/>
        <w:gridCol w:w="1051"/>
        <w:gridCol w:w="326"/>
        <w:gridCol w:w="211"/>
        <w:gridCol w:w="114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924685" cy="175260"/>
                      <wp:effectExtent l="0" t="0" r="0" b="0"/>
                      <wp:wrapNone/>
                      <wp:docPr id="26" name="Frame25"/>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7"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267585" cy="175260"/>
                      <wp:effectExtent l="0" t="0" r="0" b="0"/>
                      <wp:wrapNone/>
                      <wp:docPr id="28" name="Frame27"/>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9"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0"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7385" cy="175260"/>
                      <wp:effectExtent l="0" t="0" r="0" b="0"/>
                      <wp:wrapNone/>
                      <wp:docPr id="31" name="Frame3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2"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3"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24535" cy="175260"/>
                      <wp:effectExtent l="0" t="0" r="0" b="0"/>
                      <wp:wrapNone/>
                      <wp:docPr id="34" name="Frame3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3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both"/>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3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Useful Lives</w:t>
            </w:r>
          </w:p>
        </w:tc>
        <w:tc>
          <w:tcPr>
            <w:tcW w:w="326" w:type="dxa"/>
            <w:tcBorders/>
            <w:vAlign w:val="center"/>
          </w:tcPr>
          <w:p>
            <w:pPr>
              <w:pStyle w:val="TableContents"/>
              <w:bidi w:val="0"/>
              <w:spacing w:before="0" w:after="1"/>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3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Lab and manufacturing equipment</w:t>
            </w:r>
          </w:p>
        </w:tc>
        <w:tc>
          <w:tcPr>
            <w:tcW w:w="326" w:type="dxa"/>
            <w:tcBorders/>
            <w:shd w:fill="CCEEFF" w:val="clear"/>
            <w:vAlign w:val="center"/>
          </w:tcPr>
          <w:p>
            <w:pPr>
              <w:pStyle w:val="TableContents"/>
              <w:bidi w:val="0"/>
              <w:spacing w:before="0" w:after="1"/>
              <w:ind w:left="0" w:right="0" w:hanging="0"/>
              <w:jc w:val="both"/>
              <w:rPr/>
            </w:pPr>
            <w:r>
              <w:rPr/>
              <w:t>​</w:t>
            </w:r>
          </w:p>
        </w:tc>
        <w:tc>
          <w:tcPr>
            <w:tcW w:w="3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 Years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12,020,000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11,824,000</w:t>
            </w:r>
          </w:p>
        </w:tc>
      </w:tr>
      <w:tr>
        <w:trPr/>
        <w:tc>
          <w:tcPr>
            <w:tcW w:w="303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Computers, equipment and software</w:t>
            </w:r>
          </w:p>
        </w:tc>
        <w:tc>
          <w:tcPr>
            <w:tcW w:w="326" w:type="dxa"/>
            <w:tcBorders/>
            <w:vAlign w:val="center"/>
          </w:tcPr>
          <w:p>
            <w:pPr>
              <w:pStyle w:val="TableContents"/>
              <w:bidi w:val="0"/>
              <w:spacing w:before="0" w:after="1"/>
              <w:ind w:left="0" w:right="0" w:hanging="0"/>
              <w:jc w:val="both"/>
              <w:rPr/>
            </w:pPr>
            <w:r>
              <w:rPr/>
              <w:t> </w:t>
            </w:r>
          </w:p>
        </w:tc>
        <w:tc>
          <w:tcPr>
            <w:tcW w:w="3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Years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899,000</w:t>
            </w:r>
          </w:p>
        </w:tc>
      </w:tr>
      <w:tr>
        <w:trPr/>
        <w:tc>
          <w:tcPr>
            <w:tcW w:w="303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Office furniture</w:t>
            </w:r>
          </w:p>
        </w:tc>
        <w:tc>
          <w:tcPr>
            <w:tcW w:w="326" w:type="dxa"/>
            <w:tcBorders/>
            <w:shd w:fill="CCEEFF" w:val="clear"/>
            <w:vAlign w:val="center"/>
          </w:tcPr>
          <w:p>
            <w:pPr>
              <w:pStyle w:val="TableContents"/>
              <w:bidi w:val="0"/>
              <w:spacing w:before="0" w:after="1"/>
              <w:ind w:left="0" w:right="0" w:hanging="0"/>
              <w:jc w:val="both"/>
              <w:rPr/>
            </w:pPr>
            <w:r>
              <w:rPr/>
              <w:t> </w:t>
            </w:r>
          </w:p>
        </w:tc>
        <w:tc>
          <w:tcPr>
            <w:tcW w:w="3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 Years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924,000</w:t>
            </w:r>
          </w:p>
        </w:tc>
      </w:tr>
      <w:tr>
        <w:trPr/>
        <w:tc>
          <w:tcPr>
            <w:tcW w:w="303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1"/>
              <w:ind w:left="0" w:right="0" w:hanging="0"/>
              <w:jc w:val="both"/>
              <w:rPr/>
            </w:pPr>
            <w:r>
              <w:rPr/>
              <w:t>​</w:t>
            </w:r>
          </w:p>
        </w:tc>
        <w:tc>
          <w:tcPr>
            <w:tcW w:w="3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Lesser of lease term or estimated useful life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3,950,000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3,950,000</w:t>
            </w:r>
          </w:p>
        </w:tc>
      </w:tr>
      <w:tr>
        <w:trPr/>
        <w:tc>
          <w:tcPr>
            <w:tcW w:w="303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Total   </w:t>
            </w:r>
          </w:p>
        </w:tc>
        <w:tc>
          <w:tcPr>
            <w:tcW w:w="326" w:type="dxa"/>
            <w:tcBorders/>
            <w:shd w:fill="CCEEFF" w:val="clear"/>
            <w:vAlign w:val="center"/>
          </w:tcPr>
          <w:p>
            <w:pPr>
              <w:pStyle w:val="TableContents"/>
              <w:bidi w:val="0"/>
              <w:spacing w:before="0" w:after="1"/>
              <w:ind w:left="0" w:right="0" w:hanging="0"/>
              <w:jc w:val="both"/>
              <w:rPr/>
            </w:pPr>
            <w:r>
              <w:rPr/>
              <w:t> </w:t>
            </w:r>
          </w:p>
        </w:tc>
        <w:tc>
          <w:tcPr>
            <w:tcW w:w="3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17,794,000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17,597,000</w:t>
            </w:r>
          </w:p>
        </w:tc>
      </w:tr>
      <w:tr>
        <w:trPr/>
        <w:tc>
          <w:tcPr>
            <w:tcW w:w="303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1"/>
              <w:ind w:left="0" w:right="0" w:hanging="0"/>
              <w:jc w:val="both"/>
              <w:rPr/>
            </w:pPr>
            <w:r>
              <w:rPr/>
              <w:t> </w:t>
            </w:r>
          </w:p>
        </w:tc>
        <w:tc>
          <w:tcPr>
            <w:tcW w:w="35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(6,092,000)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(5,274,000)</w:t>
            </w:r>
          </w:p>
        </w:tc>
      </w:tr>
      <w:tr>
        <w:trPr/>
        <w:tc>
          <w:tcPr>
            <w:tcW w:w="303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fixed assets, net</w:t>
            </w:r>
          </w:p>
        </w:tc>
        <w:tc>
          <w:tcPr>
            <w:tcW w:w="326" w:type="dxa"/>
            <w:tcBorders/>
            <w:shd w:fill="CCEEFF" w:val="clear"/>
            <w:vAlign w:val="center"/>
          </w:tcPr>
          <w:p>
            <w:pPr>
              <w:pStyle w:val="TableContents"/>
              <w:bidi w:val="0"/>
              <w:spacing w:before="0" w:after="1"/>
              <w:ind w:left="0" w:right="0" w:hanging="0"/>
              <w:jc w:val="both"/>
              <w:rPr/>
            </w:pPr>
            <w:r>
              <w:rPr/>
              <w:t> </w:t>
            </w:r>
          </w:p>
        </w:tc>
        <w:tc>
          <w:tcPr>
            <w:tcW w:w="3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11,702,000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12,323,000</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expense for the three months ended March 31, 2023 and 2022 was approximately $0.8 million and $0.6 million,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$142,000 of property and equipment transactions are included in accounts payable and accrued liabilities as of March 31, 2023.</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7: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leases manufacturing, research and administrative facilities under operating leases. The Company evaluates its contracts to determine if an arrangement is a lease at inception and classify it as a finance or operating lease. Currently, all of the Company’s leases are classified as operating leases. Leased assets and corresponding liabilities are recognized based on the present value of the lease payments over the lease term. The lease terms may include options to extend when it is reasonably certain that the Company will exercise that option.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Topic ASC 842 requires the Company to recognize in the statement of financial position a liability to make lease payments (the lease liability) and a right-of-use asset representing its right to use the underlying asset for the lease term. Right-of-use assets are recorded in other assets on the Company’s condensed consolidated balance sheets. Current and non-current lease liabilities are recorded in other accruals within current liabilities and other non-current liabilities, respectively, on its condensed consolidated balance sheets. Costs associated with operating leases are recognized on a straight-line basis within operating expenses over the term of the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2023, the Company had total operating lease liabilities of approximately $7.5 million and right-of-use assets of approximately $5.3 million, which were included in the condensed consolidated balance sheet.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right-of-use assets as the Company is not reasonably certain to exercise the options. Variable expenses generally represent the Company’s share of the landlord’s operating expenses. The Company does not act as a lessor or have any leases classified as financing leases.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473" w:name="Tc_P82jzs5Dy0u9ThP1kJ4K3A_9_2"/>
      <w:bookmarkStart w:id="474" w:name="Tc_O1p7vPgh3UaTLe5S1-YVjg_9_0"/>
      <w:bookmarkStart w:id="475" w:name="Tc_cfV8D2FIAk6JZ5gHm04zvA_8_0"/>
      <w:bookmarkStart w:id="476" w:name="Tc_q5EsrqHBvEildLdG2EK9qw_7_0"/>
      <w:bookmarkStart w:id="477" w:name="Tc_dCJikCco2kW_8JSOoC065w_6_0"/>
      <w:bookmarkStart w:id="478" w:name="Tc_L4uZpfGWq0uUt0va2OQ_KQ_5_0"/>
      <w:bookmarkStart w:id="479" w:name="Tc_CjlDQQ9_20-gdwjO1S0i6Q_4_0"/>
      <w:bookmarkStart w:id="480" w:name="Tc_odVIzMw-Iky97GCkEIkX1w_3_0"/>
      <w:bookmarkStart w:id="481" w:name="Tc_2KKAuS6BaE2-F_C1hpNgUA_2_0"/>
      <w:bookmarkStart w:id="482" w:name="Tc_QyUJ8bQhak2E299Txy98eQ_1_0"/>
      <w:bookmarkStart w:id="483" w:name="Tc_P1t_3gwm2U2kgA3upxHhuA_5_5"/>
      <w:bookmarkStart w:id="484" w:name="Tc_wecIdLHwS0C8QmUH5FAZ-A_5_2"/>
      <w:bookmarkStart w:id="485" w:name="Tc_7pj6A0nJAEyuOJqhS4sKDw_5_0"/>
      <w:bookmarkStart w:id="486" w:name="Tc_J6eaY1WvW0i2p3mqT00Psw_4_0"/>
      <w:bookmarkStart w:id="487" w:name="Tc_UWWycQHzU02oLJfkC7Oc_A_3_5"/>
      <w:bookmarkStart w:id="488" w:name="Tc_emJRYcObrk2-wT3VDNgzLA_3_2"/>
      <w:bookmarkStart w:id="489" w:name="Tc_5oKDh8Obxkqu3Kdm-Kny7w_2_2"/>
      <w:bookmarkStart w:id="490" w:name="Tc_YBl7dKD0RESfyDfIN4Zgxg_1_2"/>
      <w:bookmarkStart w:id="491" w:name="_11507796_fd6d_4c73_bc4d_4fb1c58a8742"/>
      <w:bookmarkStart w:id="492" w:name="Tc_EwyyPZyQSkaYWvAeoMq7aQ_8_5"/>
      <w:bookmarkStart w:id="493" w:name="Tc_ZKRGUvUDqEW2sCETrZTgIA_8_2"/>
      <w:bookmarkStart w:id="494" w:name="Tc_a3_iWToXt0STPI_P-WLwzw_8_0"/>
      <w:bookmarkStart w:id="495" w:name="Tc_36kKaKb5MkqhdD0GmNjEew_7_0"/>
      <w:bookmarkStart w:id="496" w:name="Tc_078zdjxFjkeHAlQCECWzBQ_6_0"/>
      <w:bookmarkStart w:id="497" w:name="Tc_VzbUdKnPoEWS8SwioAdx6Q_5_0"/>
      <w:bookmarkStart w:id="498" w:name="Tc_Um3pmHN35UewoIeoDEwZ1Q_4_0"/>
      <w:bookmarkStart w:id="499" w:name="Tc_v_y-LoRT50G3s2XMM1pKGA_3_5"/>
      <w:bookmarkStart w:id="500" w:name="Tc_w0UBPc_i9EeZtKDfdFyMjg_3_2"/>
      <w:bookmarkStart w:id="501" w:name="Tc_QQwt-d9IP0a8NNjLxD_Jgg_2_2"/>
      <w:bookmarkStart w:id="502" w:name="Tc_EdUtB9LWwUGQZ_0SmVrOdw_1_2"/>
      <w:bookmarkStart w:id="503" w:name="_b2d95395_8431_4b7c_aeee_19813a1a0920"/>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rPr>
          <w:rFonts w:ascii="Times New Roman;Times;serif" w:hAnsi="Times New Roman;Times;serif"/>
          <w:sz w:val="20"/>
        </w:rPr>
        <w:t>The following summarizes quantitative information about the Company’s operating leases for the three months ended March 31, 2023 and 2022, respectively:</w:t>
      </w:r>
    </w:p>
    <w:p>
      <w:pPr>
        <w:pStyle w:val="TextBody"/>
        <w:bidi w:val="0"/>
        <w:spacing w:before="0" w:after="240"/>
        <w:ind w:left="0" w:right="0" w:hanging="0"/>
        <w:jc w:val="both"/>
        <w:rPr/>
      </w:pPr>
      <w:r>
        <w:rPr/>
        <w:t>​</w:t>
      </w:r>
    </w:p>
    <w:tbl>
      <w:tblPr>
        <w:tblW w:w="5667" w:type="dxa"/>
        <w:jc w:val="left"/>
        <w:tblInd w:w="0" w:type="dxa"/>
        <w:tblLayout w:type="fixed"/>
        <w:tblCellMar>
          <w:top w:w="0" w:type="dxa"/>
          <w:left w:w="0" w:type="dxa"/>
          <w:bottom w:w="0" w:type="dxa"/>
          <w:right w:w="0" w:type="dxa"/>
        </w:tblCellMar>
      </w:tblPr>
      <w:tblGrid>
        <w:gridCol w:w="2926"/>
        <w:gridCol w:w="326"/>
        <w:gridCol w:w="211"/>
        <w:gridCol w:w="781"/>
        <w:gridCol w:w="326"/>
        <w:gridCol w:w="211"/>
        <w:gridCol w:w="8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858010" cy="175260"/>
                      <wp:effectExtent l="0" t="0" r="0" b="0"/>
                      <wp:wrapNone/>
                      <wp:docPr id="35" name="Frame34"/>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7"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95935" cy="175260"/>
                      <wp:effectExtent l="0" t="0" r="0" b="0"/>
                      <wp:wrapNone/>
                      <wp:docPr id="38" name="Frame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0"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62610" cy="175260"/>
                      <wp:effectExtent l="0" t="0" r="0" b="0"/>
                      <wp:wrapNone/>
                      <wp:docPr id="41" name="Frame4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4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2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Operating lease expense summary:</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2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Operating lease expense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425,000</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Short-term lease expense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w:t>
            </w:r>
          </w:p>
        </w:tc>
      </w:tr>
      <w:tr>
        <w:trPr/>
        <w:tc>
          <w:tcPr>
            <w:tcW w:w="2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Variable lease expense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179,000</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607,000</w:t>
            </w:r>
          </w:p>
        </w:tc>
      </w:tr>
    </w:tbl>
    <w:p>
      <w:pPr>
        <w:pStyle w:val="TextBody"/>
        <w:bidi w:val="0"/>
        <w:spacing w:before="0" w:after="240"/>
        <w:ind w:left="0" w:right="0" w:hanging="0"/>
        <w:jc w:val="both"/>
        <w:rPr/>
      </w:pPr>
      <w:r>
        <w:rPr/>
        <w:t>​</w:t>
      </w:r>
    </w:p>
    <w:tbl>
      <w:tblPr>
        <w:tblW w:w="6012" w:type="dxa"/>
        <w:jc w:val="left"/>
        <w:tblInd w:w="0" w:type="dxa"/>
        <w:tblLayout w:type="fixed"/>
        <w:tblCellMar>
          <w:top w:w="0" w:type="dxa"/>
          <w:left w:w="0" w:type="dxa"/>
          <w:bottom w:w="0" w:type="dxa"/>
          <w:right w:w="0" w:type="dxa"/>
        </w:tblCellMar>
      </w:tblPr>
      <w:tblGrid>
        <w:gridCol w:w="3271"/>
        <w:gridCol w:w="326"/>
        <w:gridCol w:w="211"/>
        <w:gridCol w:w="781"/>
        <w:gridCol w:w="326"/>
        <w:gridCol w:w="211"/>
        <w:gridCol w:w="886"/>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7085" cy="175260"/>
                      <wp:effectExtent l="0" t="0" r="0" b="0"/>
                      <wp:wrapNone/>
                      <wp:docPr id="42" name="Frame41"/>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4"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95935" cy="175260"/>
                      <wp:effectExtent l="0" t="0" r="0" b="0"/>
                      <wp:wrapNone/>
                      <wp:docPr id="45" name="Frame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7"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62610" cy="175260"/>
                      <wp:effectExtent l="0" t="0" r="0" b="0"/>
                      <wp:wrapNone/>
                      <wp:docPr id="48" name="Frame4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w:t>
            </w:r>
          </w:p>
        </w:tc>
        <w:tc>
          <w:tcPr>
            <w:tcW w:w="24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27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27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7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information:</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327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Operating cash flows - operating leases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316,000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weighted-average remaining lease term as of March 31, 2023 and December 31, 2022 was approximately 7.3 years and 7.5 years, respectively. The weighted-average discount rate used to determine the operating lease liability as of March 31, 2023 and December 31, 2022 was approximately 5.5%,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Maturities of our operating leases, excluding short-term leases, are as follows:</w:t>
      </w:r>
    </w:p>
    <w:p>
      <w:pPr>
        <w:pStyle w:val="TextBody"/>
        <w:bidi w:val="0"/>
        <w:spacing w:before="0" w:after="0"/>
        <w:ind w:left="0" w:right="0" w:hanging="0"/>
        <w:jc w:val="both"/>
        <w:rPr/>
      </w:pPr>
      <w:r>
        <w:rPr/>
        <w:t>​</w:t>
      </w:r>
    </w:p>
    <w:tbl>
      <w:tblPr>
        <w:tblW w:w="9944" w:type="dxa"/>
        <w:jc w:val="left"/>
        <w:tblInd w:w="0" w:type="dxa"/>
        <w:tblLayout w:type="fixed"/>
        <w:tblCellMar>
          <w:top w:w="0" w:type="dxa"/>
          <w:left w:w="0" w:type="dxa"/>
          <w:bottom w:w="0" w:type="dxa"/>
          <w:right w:w="0" w:type="dxa"/>
        </w:tblCellMar>
      </w:tblPr>
      <w:tblGrid>
        <w:gridCol w:w="8311"/>
        <w:gridCol w:w="326"/>
        <w:gridCol w:w="211"/>
        <w:gridCol w:w="1096"/>
      </w:tblGrid>
      <w:tr>
        <w:trPr/>
        <w:tc>
          <w:tcPr>
            <w:tcW w:w="8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277485" cy="175260"/>
                      <wp:effectExtent l="0" t="0" r="0" b="0"/>
                      <wp:wrapNone/>
                      <wp:docPr id="49" name="Frame48"/>
                      <a:graphic xmlns:a="http://schemas.openxmlformats.org/drawingml/2006/main">
                        <a:graphicData uri="http://schemas.microsoft.com/office/word/2010/wordprocessingShape">
                          <wps:wsp>
                            <wps:cNvSpPr txBox="1"/>
                            <wps:spPr>
                              <a:xfrm>
                                <a:off x="0" y="0"/>
                                <a:ext cx="52774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1"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5960" cy="175260"/>
                      <wp:effectExtent l="0" t="0" r="0" b="0"/>
                      <wp:wrapNone/>
                      <wp:docPr id="52" name="Frame5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83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Nine months ending December 31, 2023</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751,000</w:t>
            </w:r>
          </w:p>
        </w:tc>
      </w:tr>
      <w:tr>
        <w:trPr/>
        <w:tc>
          <w:tcPr>
            <w:tcW w:w="83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Year ending December 31, 2024</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1,254,000</w:t>
            </w:r>
          </w:p>
        </w:tc>
      </w:tr>
      <w:tr>
        <w:trPr/>
        <w:tc>
          <w:tcPr>
            <w:tcW w:w="83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Year ending December 31, 2025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1,290,000</w:t>
            </w:r>
          </w:p>
        </w:tc>
      </w:tr>
      <w:tr>
        <w:trPr/>
        <w:tc>
          <w:tcPr>
            <w:tcW w:w="83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Year ending December 31, 2026</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1,177,000</w:t>
            </w:r>
          </w:p>
        </w:tc>
      </w:tr>
      <w:tr>
        <w:trPr/>
        <w:tc>
          <w:tcPr>
            <w:tcW w:w="83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Year ending December 31, 2027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1,163,000</w:t>
            </w:r>
          </w:p>
        </w:tc>
      </w:tr>
      <w:tr>
        <w:trPr/>
        <w:tc>
          <w:tcPr>
            <w:tcW w:w="83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3,590,000</w:t>
            </w:r>
          </w:p>
        </w:tc>
      </w:tr>
      <w:tr>
        <w:trPr/>
        <w:tc>
          <w:tcPr>
            <w:tcW w:w="83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9,225,000</w:t>
            </w:r>
          </w:p>
        </w:tc>
      </w:tr>
      <w:tr>
        <w:trPr/>
        <w:tc>
          <w:tcPr>
            <w:tcW w:w="83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Less present value discount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(1,736,000)</w:t>
            </w:r>
          </w:p>
        </w:tc>
      </w:tr>
      <w:tr>
        <w:trPr/>
        <w:tc>
          <w:tcPr>
            <w:tcW w:w="83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Operating lease liabilities included in the Condensed Consolidated Balance Sheet at March 31, 2023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7,489,000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504" w:name="Tc_Dta0l-z5006bb1GDlkhpSQ_9_5"/>
      <w:bookmarkStart w:id="505" w:name="Tc_b9CEameNdkSNCgldwKzVsQ_9_2"/>
      <w:bookmarkStart w:id="506" w:name="Tc_bkN7ImIoDUSXxApcPZjapA_9_0"/>
      <w:bookmarkStart w:id="507" w:name="Tc_H5-Y15OADkuDBecxDM1uPw_8_0"/>
      <w:bookmarkStart w:id="508" w:name="Tc_GPzuM-Bf_0mptFHW_LTs6Q_7_3"/>
      <w:bookmarkStart w:id="509" w:name="Tc_ypqGiPEGhUGna3R2oE-mdA_7_0"/>
      <w:bookmarkStart w:id="510" w:name="Tc_VDh3hFj5PkaHvFPjcMLMew_6_0"/>
      <w:bookmarkStart w:id="511" w:name="Tc_FMVGSUVdWUm4WPtqE6lF4A_5_0"/>
      <w:bookmarkStart w:id="512" w:name="Tc_fSMChKGPvUODsu3pQwiiow_4_0"/>
      <w:bookmarkStart w:id="513" w:name="Tc_aiK3Zr-o8EGPpoPEaxt4fw_3_5"/>
      <w:bookmarkStart w:id="514" w:name="Tc_JiM5intxz0iaWelbA2jUdA_3_2"/>
      <w:bookmarkStart w:id="515" w:name="Tc_7uIh85W6IkCM5ouQkCVn4Q_3_0"/>
      <w:bookmarkStart w:id="516" w:name="Tc_-WvjCLyvdUeJZl68Kxy73Q_2_5"/>
      <w:bookmarkStart w:id="517" w:name="Tc_QCtQB5VjsEC-gXSHSc6bcQ_2_2"/>
      <w:bookmarkStart w:id="518" w:name="Tc_e3tz6LxnEESoh88-No-pJA_1_5"/>
      <w:bookmarkStart w:id="519" w:name="Tc_RimMsz9Qi0uTQQWPUrtbYQ_1_2"/>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r>
        <w:rPr>
          <w:rFonts w:ascii="Times New Roman;Times;serif" w:hAnsi="Times New Roman;Times;serif"/>
          <w:b/>
          <w:sz w:val="20"/>
        </w:rPr>
        <w:t>NOTE 8: ACCOUNTS PAYABLE AND ACCRUED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payable and accrued liabilities consist of the following as of March 31, 2023 and December 31, 2022, respectively:</w:t>
      </w:r>
    </w:p>
    <w:p>
      <w:pPr>
        <w:pStyle w:val="TextBody"/>
        <w:bidi w:val="0"/>
        <w:spacing w:before="0" w:after="240"/>
        <w:ind w:left="0" w:right="0" w:hanging="0"/>
        <w:jc w:val="both"/>
        <w:rPr/>
      </w:pPr>
      <w:r>
        <w:rPr/>
        <w:t>​</w:t>
      </w:r>
    </w:p>
    <w:tbl>
      <w:tblPr>
        <w:tblW w:w="6897" w:type="dxa"/>
        <w:jc w:val="left"/>
        <w:tblInd w:w="0" w:type="dxa"/>
        <w:tblLayout w:type="fixed"/>
        <w:tblCellMar>
          <w:top w:w="0" w:type="dxa"/>
          <w:left w:w="0" w:type="dxa"/>
          <w:bottom w:w="0" w:type="dxa"/>
          <w:right w:w="0" w:type="dxa"/>
        </w:tblCellMar>
      </w:tblPr>
      <w:tblGrid>
        <w:gridCol w:w="3856"/>
        <w:gridCol w:w="326"/>
        <w:gridCol w:w="211"/>
        <w:gridCol w:w="931"/>
        <w:gridCol w:w="326"/>
        <w:gridCol w:w="211"/>
        <w:gridCol w:w="1036"/>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448560" cy="175260"/>
                      <wp:effectExtent l="0" t="0" r="0" b="0"/>
                      <wp:wrapNone/>
                      <wp:docPr id="53" name="Frame52"/>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4"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5"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91185" cy="175260"/>
                      <wp:effectExtent l="0" t="0" r="0" b="0"/>
                      <wp:wrapNone/>
                      <wp:docPr id="56" name="Frame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7"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8"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57860" cy="175260"/>
                      <wp:effectExtent l="0" t="0" r="0" b="0"/>
                      <wp:wrapNone/>
                      <wp:docPr id="59" name="Frame5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2,863,000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1,612,000</w:t>
            </w:r>
          </w:p>
        </w:tc>
      </w:tr>
      <w:tr>
        <w:trPr/>
        <w:tc>
          <w:tcPr>
            <w:tcW w:w="38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Compensation and benefits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1,779,000</w:t>
            </w:r>
          </w:p>
        </w:tc>
      </w:tr>
      <w:tr>
        <w:trPr/>
        <w:tc>
          <w:tcPr>
            <w:tcW w:w="38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Process development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342,000</w:t>
            </w:r>
          </w:p>
        </w:tc>
      </w:tr>
      <w:tr>
        <w:trPr/>
        <w:tc>
          <w:tcPr>
            <w:tcW w:w="38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Professional fees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558,000</w:t>
            </w:r>
          </w:p>
        </w:tc>
      </w:tr>
      <w:tr>
        <w:trPr/>
        <w:tc>
          <w:tcPr>
            <w:tcW w:w="38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Arbitration settlement fees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114,000</w:t>
            </w:r>
          </w:p>
        </w:tc>
      </w:tr>
      <w:tr>
        <w:trPr/>
        <w:tc>
          <w:tcPr>
            <w:tcW w:w="38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38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4,539,000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4,705,000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9: RELATED PARTY RECEIVABLE AND RELATED PARTY DEFERRED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2022, the Company entered into a binding services agreement, effective April 12, 2022, with Wilson Wolf Manufacturing Corporation (“Wilson Wolf”). Mr. John Wilson is a member of the Company’s board of directors and is serving as the CEO of Wilson Wolf. Wilson Wolf is in the business of creating products and services intended to simplify and expedite the transition of cell therapies and gene-modified cell therapies to mainstream society (the “Wilson Wolf Mission”). Pursuant to the Services Agreement, Wilson Wolf made a cash payment to the Company in the amount of $8.0 million, as consideration for certain training and research services allocated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$2.0</w:t>
            </w:r>
            <w:r>
              <w:rPr>
                <w:caps w:val="false"/>
                <w:smallCaps w:val="false"/>
              </w:rPr>
              <w:t xml:space="preserve"> </w:t>
            </w:r>
            <w:r>
              <w:rPr>
                <w:rFonts w:ascii="Times New Roman;Times;serif" w:hAnsi="Times New Roman;Times;serif"/>
                <w:b w:val="false"/>
                <w:i w:val="false"/>
                <w:caps w:val="false"/>
                <w:smallCaps w:val="false"/>
                <w:sz w:val="20"/>
              </w:rPr>
              <w:t>million for non-exclusive training of Wilson Wolf to make, use, and sell the Company’s cell culture non-proprietary media formulation that has been cleared in an FDA investigational new drug application;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$1.0</w:t>
            </w:r>
            <w:r>
              <w:rPr>
                <w:caps w:val="false"/>
                <w:smallCaps w:val="false"/>
              </w:rPr>
              <w:t xml:space="preserve"> </w:t>
            </w:r>
            <w:r>
              <w:rPr>
                <w:rFonts w:ascii="Times New Roman;Times;serif" w:hAnsi="Times New Roman;Times;serif"/>
                <w:b w:val="false"/>
                <w:i w:val="false"/>
                <w:caps w:val="false"/>
                <w:smallCaps w:val="false"/>
                <w:sz w:val="20"/>
              </w:rPr>
              <w:t>million for non-exclusive training of Wilson Wolf to replicate the Company’s quality management system inclusive of all underlying documents related thereto, none of which shall include unique information specific to the manufacture of the Company’s multiTAA product candidates such as direct peptide stimulation;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$2.0</w:t>
            </w:r>
            <w:r>
              <w:rPr>
                <w:caps w:val="false"/>
                <w:smallCaps w:val="false"/>
              </w:rPr>
              <w:t xml:space="preserve"> </w:t>
            </w:r>
            <w:r>
              <w:rPr>
                <w:rFonts w:ascii="Times New Roman;Times;serif" w:hAnsi="Times New Roman;Times;serif"/>
                <w:b w:val="false"/>
                <w:i w:val="false"/>
                <w:caps w:val="false"/>
                <w:smallCaps w:val="false"/>
                <w:sz w:val="20"/>
              </w:rPr>
              <w:t>million for non-exclusive training of Wilson Wolf to be able to replicate the Company’s cGMP-compliant, linearly scalable, G-Rex based T-cell manufacturing process which Wilson Wolf shall use as it sees fit in pursuit of the Wilson Wolf Mission;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$3.0</w:t>
            </w:r>
            <w:r>
              <w:rPr>
                <w:caps w:val="false"/>
                <w:smallCaps w:val="false"/>
              </w:rPr>
              <w:t xml:space="preserve"> </w:t>
            </w:r>
            <w:r>
              <w:rPr>
                <w:rFonts w:ascii="Times New Roman;Times;serif" w:hAnsi="Times New Roman;Times;serif"/>
                <w:b w:val="false"/>
                <w:i w:val="false"/>
                <w:caps w:val="false"/>
                <w:smallCaps w:val="false"/>
                <w:sz w:val="20"/>
              </w:rPr>
              <w:t>million for the Company to train Wilson Wolf on its expertise in the optimization of T-cell therapy manufacturing processes using G-Rex and to conduct CAR T and TCR G-Rex Optimization Work under the direction of Wilson Wolf (the “Work Direction”), whereunder all intellectual property provided by Wilson Wolf or created or derived by the Company will be solely owned by Wilson Wolf, and whereby the Company will make good faith efforts to complete the conduct of such work as soon as practicable within 18 months</w:t>
            </w:r>
            <w:r>
              <w:rPr>
                <w:caps w:val="false"/>
                <w:smallCaps w:val="false"/>
              </w:rPr>
              <w:t xml:space="preserve"> </w:t>
            </w:r>
            <w:r>
              <w:rPr>
                <w:rFonts w:ascii="Times New Roman;Times;serif" w:hAnsi="Times New Roman;Times;serif"/>
                <w:b w:val="false"/>
                <w:i w:val="false"/>
                <w:caps w:val="false"/>
                <w:smallCaps w:val="false"/>
                <w:sz w:val="20"/>
              </w:rPr>
              <w:t>from the date of the agreement. Wilson Wolf has agreed to pay the Company an additional $1.0</w:t>
            </w:r>
            <w:r>
              <w:rPr>
                <w:caps w:val="false"/>
                <w:smallCaps w:val="false"/>
              </w:rPr>
              <w:t xml:space="preserve"> </w:t>
            </w:r>
            <w:r>
              <w:rPr>
                <w:rFonts w:ascii="Times New Roman;Times;serif" w:hAnsi="Times New Roman;Times;serif"/>
                <w:b w:val="false"/>
                <w:i w:val="false"/>
                <w:caps w:val="false"/>
                <w:smallCaps w:val="false"/>
                <w:sz w:val="20"/>
              </w:rPr>
              <w:t>million if the Work Direction is completed within one year from the onset of the Agreement.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related party revenue over time in accordance with Accounting Standard Codification, or ASC, 606 Revenue from Contracts with Customers, as each of the training and/or research services are provided to Wilson Wolf. Revenue is recognized, using an output method based on progress toward satisfaction of the performance obligations. Additionally, in accordance with the spirit of the standard expressed in ASC 606-50-1, the timing of the revenue recognition is expected to be approximately 12 months.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three-month period ending March 31, 2023, the Company recognized the final $2.5 million of revenue pursuant to this $8.0 million agreement and at March 31, 2023, the Company had no related party deferred revenue on its condensed consolidated balance sheet.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pursuant to the Agreement, Wilson Wolf agreed to pay the Company an additional $1.0 million because the Work Direction was completed within one year from the onset of the Agreement, achieving the agreed milestone. As such, the Company recorded an additional $1.0 million of service fee revenue during the three months ended March 31, 2023, with a corresponding $1.0 million related party receivable on its condensed consolidated balance sheet as of March 31, 2023. The Company received the $1.0 million payment in May 2023.</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10: STOCKHOLDERS’ EQUITY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historical share and per share amounts reflected in this report have been adjusted to reflect the Reverse Stock Split.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520" w:name="Tc_TTCwPqsEZkGOkCl3BlHcgA_6_10"/>
      <w:bookmarkStart w:id="521" w:name="Tc_nF7Ez0kaGEeLHHtEKrcvkg_6_9"/>
      <w:bookmarkStart w:id="522" w:name="Tc_jvyt6CNKMUihdMTw271whw_6_4"/>
      <w:bookmarkStart w:id="523" w:name="Tc_D8CeFI56Ik6B3hZQkMm_sw_6_0"/>
      <w:bookmarkStart w:id="524" w:name="Tc_zFyZXWMuqUCywd51CsrV4Q_5_10"/>
      <w:bookmarkStart w:id="525" w:name="Tc_xiyYhhkoNEOVjPZyZfwOsA_5_7"/>
      <w:bookmarkStart w:id="526" w:name="Tc_NBXn55lAGUKGvmRxmty79Q_5_5"/>
      <w:bookmarkStart w:id="527" w:name="Tc_eSg8BpA470e3Xhk9lMD8Hw_5_2"/>
      <w:bookmarkStart w:id="528" w:name="Tc__P5YI_2320utw-44jzX8IQ_5_0"/>
      <w:bookmarkStart w:id="529" w:name="Tc_0NvT9H5DBk6PmmmaHdkvFw_4_10"/>
      <w:bookmarkStart w:id="530" w:name="Tc_sbkPxVneREebzKmpK3iHNw_4_9"/>
      <w:bookmarkStart w:id="531" w:name="Tc_vmW2OD1CRE66ajZOJxy-Ew_4_4"/>
      <w:bookmarkStart w:id="532" w:name="Tc_MB5DHIoaAkiBg7-ekXoBAA_4_0"/>
      <w:bookmarkStart w:id="533" w:name="Tc_Grx7FsSvVkSHjduKzz0_4Q_3_9"/>
      <w:bookmarkStart w:id="534" w:name="Tc_KG-i5-j7r0qLdsL8JEnxXQ_3_7"/>
      <w:bookmarkStart w:id="535" w:name="Tc_3dHKPQfO3Uqnq7N-WdfkZA_3_4"/>
      <w:bookmarkStart w:id="536" w:name="Tc_sYV2lY7THEawr6ISVZiuWw_3_2"/>
      <w:bookmarkStart w:id="537" w:name="Tc_0-wmg0fugkarRt1b1mqGVg_2_9"/>
      <w:bookmarkStart w:id="538" w:name="Tc_xh6izv_twkOEeTGNhMFPMg_2_7"/>
      <w:bookmarkStart w:id="539" w:name="Tc_ExHeoJbqsUSJGEYrVAeN8w_2_4"/>
      <w:bookmarkStart w:id="540" w:name="Tc_uSK-P8Zd7USFPCGbkRo7FQ_2_2"/>
      <w:bookmarkStart w:id="541" w:name="Tc_DRKAlmyYu0-E4ceXGmoXWQ_1_7"/>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r>
        <w:rPr>
          <w:rFonts w:ascii="Times New Roman;Times;serif" w:hAnsi="Times New Roman;Times;serif"/>
          <w:b/>
          <w:sz w:val="20"/>
        </w:rPr>
        <w:t>Common Stock Transactions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Issuance of Stock Pursuant to ATM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2023, the Company sold 200,261 shares of its common stock under the ATM Agreement for proceeds of $0.6 million.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2022, the Company entered into a purchase agreement (the “Purchase Agreement”) with Lincoln Park Capital Fund, LLC (“Lincoln Park”) which provides that, upon the terms and subject to the conditions of the agreement, the Company has the right, but not the obligation, to sell to Lincoln Park up to $25,000,000 of shares of its common stock (the “Purchase Shares”) from time to time over a 24-month term, at a variable price with certain market-based terms as defined in the Purchase Agreement. The Purchase Agreement does not exhibit any of the characteristics for liability classification under ASC Topic 480, Distinguishing Liabilities from Equity. Instead, the purchase agreement is indexed to the Company’s own stock under ASC Subtopic 815-40, Contracts in Entity’s Own Equity, and classified as equity. In January 2023, Lincoln Park was issued 180,410 shares of stock as a commitment fee at a value of $0.5 million. During the three months ended March 31, 2023, the Company sold 12,500 shares of its common stock under the Purchase Agreement for proceeds of approximately $33,000.</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 Purchase Warrants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Company’s share purchase warrants as of March 31, 2023 and changes during the period is presented below:</w:t>
      </w:r>
    </w:p>
    <w:p>
      <w:pPr>
        <w:pStyle w:val="TextBody"/>
        <w:bidi w:val="0"/>
        <w:spacing w:before="0" w:after="240"/>
        <w:ind w:left="0" w:right="0" w:hanging="0"/>
        <w:jc w:val="both"/>
        <w:rPr/>
      </w:pPr>
      <w:r>
        <w:rPr/>
        <w:t>​</w:t>
      </w:r>
    </w:p>
    <w:tbl>
      <w:tblPr>
        <w:tblW w:w="8913" w:type="dxa"/>
        <w:jc w:val="left"/>
        <w:tblInd w:w="0" w:type="dxa"/>
        <w:tblLayout w:type="fixed"/>
        <w:tblCellMar>
          <w:top w:w="0" w:type="dxa"/>
          <w:left w:w="0" w:type="dxa"/>
          <w:bottom w:w="0" w:type="dxa"/>
          <w:right w:w="0" w:type="dxa"/>
        </w:tblCellMar>
      </w:tblPr>
      <w:tblGrid>
        <w:gridCol w:w="2221"/>
        <w:gridCol w:w="326"/>
        <w:gridCol w:w="931"/>
        <w:gridCol w:w="326"/>
        <w:gridCol w:w="392"/>
        <w:gridCol w:w="1064"/>
        <w:gridCol w:w="326"/>
        <w:gridCol w:w="1816"/>
        <w:gridCol w:w="326"/>
        <w:gridCol w:w="377"/>
        <w:gridCol w:w="808"/>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10335" cy="175260"/>
                      <wp:effectExtent l="0" t="0" r="0" b="0"/>
                      <wp:wrapNone/>
                      <wp:docPr id="60" name="Frame59"/>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91185" cy="175260"/>
                      <wp:effectExtent l="0" t="0" r="0" b="0"/>
                      <wp:wrapNone/>
                      <wp:docPr id="62" name="Frame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3"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48920" cy="175260"/>
                      <wp:effectExtent l="0" t="0" r="0" b="0"/>
                      <wp:wrapNone/>
                      <wp:docPr id="64" name="Frame6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75640" cy="175260"/>
                      <wp:effectExtent l="0" t="0" r="0" b="0"/>
                      <wp:wrapNone/>
                      <wp:docPr id="65" name="Frame64"/>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6"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153160" cy="175260"/>
                      <wp:effectExtent l="0" t="0" r="0" b="0"/>
                      <wp:wrapNone/>
                      <wp:docPr id="67" name="Frame66"/>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39395" cy="175260"/>
                      <wp:effectExtent l="0" t="0" r="0" b="0"/>
                      <wp:wrapNone/>
                      <wp:docPr id="69" name="Frame68"/>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13080" cy="175260"/>
                      <wp:effectExtent l="0" t="0" r="0" b="0"/>
                      <wp:wrapNone/>
                      <wp:docPr id="70" name="Frame69"/>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2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392" w:type="dxa"/>
            <w:tcBorders/>
            <w:vAlign w:val="center"/>
          </w:tcPr>
          <w:p>
            <w:pPr>
              <w:pStyle w:val="TableContents"/>
              <w:bidi w:val="0"/>
              <w:spacing w:before="0" w:after="1"/>
              <w:ind w:left="0" w:right="0" w:hanging="0"/>
              <w:jc w:val="both"/>
              <w:rPr/>
            </w:pPr>
            <w:r>
              <w:rPr/>
              <w:t>​</w:t>
            </w:r>
          </w:p>
        </w:tc>
        <w:tc>
          <w:tcPr>
            <w:tcW w:w="106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8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1"/>
              <w:ind w:left="0" w:right="0" w:hanging="0"/>
              <w:jc w:val="both"/>
              <w:rPr/>
            </w:pPr>
            <w:r>
              <w:rPr/>
              <w:t>​</w:t>
            </w:r>
          </w:p>
        </w:tc>
        <w:tc>
          <w:tcPr>
            <w:tcW w:w="377" w:type="dxa"/>
            <w:tcBorders/>
            <w:vAlign w:val="center"/>
          </w:tcPr>
          <w:p>
            <w:pPr>
              <w:pStyle w:val="TableContents"/>
              <w:bidi w:val="0"/>
              <w:spacing w:before="0" w:after="1"/>
              <w:ind w:left="0" w:right="0" w:hanging="0"/>
              <w:jc w:val="both"/>
              <w:rPr/>
            </w:pPr>
            <w:r>
              <w:rPr/>
              <w:t>​</w:t>
            </w:r>
          </w:p>
        </w:tc>
        <w:tc>
          <w:tcPr>
            <w:tcW w:w="808" w:type="dxa"/>
            <w:tcBorders/>
            <w:vAlign w:val="center"/>
          </w:tcPr>
          <w:p>
            <w:pPr>
              <w:pStyle w:val="TableContents"/>
              <w:bidi w:val="0"/>
              <w:spacing w:before="0" w:after="1"/>
              <w:ind w:left="0" w:right="0" w:hanging="0"/>
              <w:jc w:val="center"/>
              <w:rPr/>
            </w:pPr>
            <w:r>
              <w:rPr/>
              <w:t> </w:t>
            </w:r>
          </w:p>
        </w:tc>
      </w:tr>
      <w:tr>
        <w:trPr/>
        <w:tc>
          <w:tcPr>
            <w:tcW w:w="22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both"/>
              <w:rPr/>
            </w:pPr>
            <w:r>
              <w:rPr/>
              <w:t>​</w:t>
            </w:r>
          </w:p>
        </w:tc>
        <w:tc>
          <w:tcPr>
            <w:tcW w:w="14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1"/>
              <w:ind w:left="0" w:right="0" w:hanging="0"/>
              <w:jc w:val="both"/>
              <w:rPr/>
            </w:pPr>
            <w:r>
              <w:rPr/>
              <w:t>​</w:t>
            </w:r>
          </w:p>
        </w:tc>
        <w:tc>
          <w:tcPr>
            <w:tcW w:w="18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Contractual</w:t>
            </w:r>
          </w:p>
        </w:tc>
        <w:tc>
          <w:tcPr>
            <w:tcW w:w="326" w:type="dxa"/>
            <w:tcBorders/>
            <w:vAlign w:val="center"/>
          </w:tcPr>
          <w:p>
            <w:pPr>
              <w:pStyle w:val="TableContents"/>
              <w:bidi w:val="0"/>
              <w:spacing w:before="0" w:after="1"/>
              <w:ind w:left="0" w:right="0" w:hanging="0"/>
              <w:jc w:val="both"/>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Intrinsic</w:t>
            </w:r>
          </w:p>
        </w:tc>
      </w:tr>
      <w:tr>
        <w:trPr/>
        <w:tc>
          <w:tcPr>
            <w:tcW w:w="22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26" w:type="dxa"/>
            <w:tcBorders/>
            <w:vAlign w:val="center"/>
          </w:tcPr>
          <w:p>
            <w:pPr>
              <w:pStyle w:val="TableContents"/>
              <w:bidi w:val="0"/>
              <w:spacing w:before="0" w:after="1"/>
              <w:ind w:left="0" w:right="0" w:hanging="0"/>
              <w:jc w:val="both"/>
              <w:rPr/>
            </w:pPr>
            <w:r>
              <w:rPr/>
              <w:t>    </w:t>
            </w:r>
          </w:p>
        </w:tc>
        <w:tc>
          <w:tcPr>
            <w:tcW w:w="14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both"/>
              <w:rPr/>
            </w:pPr>
            <w:r>
              <w:rPr/>
              <w:t>    </w:t>
            </w:r>
          </w:p>
        </w:tc>
        <w:tc>
          <w:tcPr>
            <w:tcW w:w="18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26" w:type="dxa"/>
            <w:tcBorders/>
            <w:vAlign w:val="center"/>
          </w:tcPr>
          <w:p>
            <w:pPr>
              <w:pStyle w:val="TableContents"/>
              <w:bidi w:val="0"/>
              <w:spacing w:before="0" w:after="1"/>
              <w:ind w:left="0" w:right="0" w:hanging="0"/>
              <w:jc w:val="both"/>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2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 January 1, 2023</w:t>
            </w:r>
          </w:p>
        </w:tc>
        <w:tc>
          <w:tcPr>
            <w:tcW w:w="326"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1,848,000</w:t>
            </w:r>
          </w:p>
        </w:tc>
        <w:tc>
          <w:tcPr>
            <w:tcW w:w="326" w:type="dxa"/>
            <w:tcBorders/>
            <w:shd w:fill="CCEEFF" w:val="clear"/>
            <w:vAlign w:val="center"/>
          </w:tcPr>
          <w:p>
            <w:pPr>
              <w:pStyle w:val="TableContents"/>
              <w:bidi w:val="0"/>
              <w:spacing w:before="0" w:after="1"/>
              <w:ind w:left="0" w:right="0" w:hanging="0"/>
              <w:jc w:val="both"/>
              <w:rPr/>
            </w:pPr>
            <w:r>
              <w:rPr/>
              <w:t>​</w:t>
            </w:r>
          </w:p>
        </w:tc>
        <w:tc>
          <w:tcPr>
            <w:tcW w:w="392"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44.51</w:t>
            </w:r>
          </w:p>
        </w:tc>
        <w:tc>
          <w:tcPr>
            <w:tcW w:w="326" w:type="dxa"/>
            <w:tcBorders/>
            <w:shd w:fill="CCEEFF" w:val="clear"/>
            <w:vAlign w:val="center"/>
          </w:tcPr>
          <w:p>
            <w:pPr>
              <w:pStyle w:val="TableContents"/>
              <w:bidi w:val="0"/>
              <w:spacing w:before="0" w:after="1"/>
              <w:ind w:left="0" w:right="0" w:hanging="0"/>
              <w:jc w:val="both"/>
              <w:rPr/>
            </w:pPr>
            <w:r>
              <w:rPr/>
              <w:t>​</w:t>
            </w:r>
          </w:p>
        </w:tc>
        <w:tc>
          <w:tcPr>
            <w:tcW w:w="1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0.79</w:t>
            </w:r>
          </w:p>
        </w:tc>
        <w:tc>
          <w:tcPr>
            <w:tcW w:w="326" w:type="dxa"/>
            <w:tcBorders/>
            <w:shd w:fill="CCEEFF" w:val="clear"/>
            <w:vAlign w:val="center"/>
          </w:tcPr>
          <w:p>
            <w:pPr>
              <w:pStyle w:val="TableContents"/>
              <w:bidi w:val="0"/>
              <w:spacing w:before="0" w:after="1"/>
              <w:ind w:left="0" w:right="0" w:hanging="0"/>
              <w:jc w:val="both"/>
              <w:rPr/>
            </w:pPr>
            <w:r>
              <w:rPr/>
              <w:t>​</w:t>
            </w:r>
          </w:p>
        </w:tc>
        <w:tc>
          <w:tcPr>
            <w:tcW w:w="377"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Expired or cancelled</w:t>
            </w:r>
          </w:p>
        </w:tc>
        <w:tc>
          <w:tcPr>
            <w:tcW w:w="326" w:type="dxa"/>
            <w:tcBorders/>
            <w:vAlign w:val="center"/>
          </w:tcPr>
          <w:p>
            <w:pPr>
              <w:pStyle w:val="TableContents"/>
              <w:bidi w:val="0"/>
              <w:spacing w:before="0" w:after="1"/>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8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377"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2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 March 31, 2023</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1,848,000</w:t>
            </w:r>
          </w:p>
        </w:tc>
        <w:tc>
          <w:tcPr>
            <w:tcW w:w="326" w:type="dxa"/>
            <w:tcBorders/>
            <w:shd w:fill="CCEEFF" w:val="clear"/>
            <w:vAlign w:val="center"/>
          </w:tcPr>
          <w:p>
            <w:pPr>
              <w:pStyle w:val="TableContents"/>
              <w:bidi w:val="0"/>
              <w:spacing w:before="0" w:after="1"/>
              <w:ind w:left="0" w:right="0" w:hanging="0"/>
              <w:jc w:val="both"/>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44.51</w:t>
            </w:r>
          </w:p>
        </w:tc>
        <w:tc>
          <w:tcPr>
            <w:tcW w:w="326" w:type="dxa"/>
            <w:tcBorders/>
            <w:shd w:fill="CCEEFF" w:val="clear"/>
            <w:vAlign w:val="center"/>
          </w:tcPr>
          <w:p>
            <w:pPr>
              <w:pStyle w:val="TableContents"/>
              <w:bidi w:val="0"/>
              <w:spacing w:before="0" w:after="1"/>
              <w:ind w:left="0" w:right="0" w:hanging="0"/>
              <w:jc w:val="both"/>
              <w:rPr/>
            </w:pPr>
            <w:r>
              <w:rPr/>
              <w:t>​</w:t>
            </w:r>
          </w:p>
        </w:tc>
        <w:tc>
          <w:tcPr>
            <w:tcW w:w="18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0.55</w:t>
            </w:r>
          </w:p>
        </w:tc>
        <w:tc>
          <w:tcPr>
            <w:tcW w:w="326" w:type="dxa"/>
            <w:tcBorders/>
            <w:shd w:fill="CCEEFF" w:val="clear"/>
            <w:vAlign w:val="center"/>
          </w:tcPr>
          <w:p>
            <w:pPr>
              <w:pStyle w:val="TableContents"/>
              <w:bidi w:val="0"/>
              <w:spacing w:before="0" w:after="1"/>
              <w:ind w:left="0" w:right="0" w:hanging="0"/>
              <w:jc w:val="both"/>
              <w:rPr/>
            </w:pPr>
            <w:r>
              <w:rPr/>
              <w:t>​</w:t>
            </w:r>
          </w:p>
        </w:tc>
        <w:tc>
          <w:tcPr>
            <w:tcW w:w="377"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11: STOCK-BASED COMPENSATION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2022 Equity Incentive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27, 2023, pursuant to the Company’s 2020 Equity Incentive Plan, the compensation committee of the Company’s board of directors approved a total of 316,855 options to purchase the Company’s common stock as equity-based incentive awards to the Company’s executive officers and management team. Each option award was granted with an exercise price of $2.14 per share, the closing price of the Company’s common stock on the Nasdaq Global Market on February 27, 2023, with the option award vesting in 48 equal monthly installments over a four-year period, subject to such executive officer’s continued service on the applicable vesting date. Additionally, on February 27, 2023, the compensation committee of the Company’s board of directors approved a total of 87,677 options to purchase the Company’s common stock to non-executive employees and management team of the Company as equity-based incentive awards. Each option award was granted with an exercise price of $2.14 per share, the closing price of the Company’s common stock on the Nasdaq Global Market on February 27, 2023, with the option award vesting in 48 equal monthly installments over a four-year period, subject to such employee’s continued service on the applicable vesting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above awards were in addition to 7,000 stock option awards issued during the three months ended March 31, 2023 to new employees upon their commencement of employment with the Company. Each option award was granted with an exercise price of $2.769 per share, the closing price of the Company’s common stock on the Nasdaq Global Market on January 3, 2022, with 25% of the option award vesting in one year and the remaining 75% vesting in 36 equal monthly installments thereafter over a three-year period, subject to such employee’s continued service on the applicable vesting date.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bookmarkStart w:id="542" w:name="Tc_RsGHewUtr0aR5TauQM8Dng_7_5"/>
      <w:bookmarkStart w:id="543" w:name="Tc_QttewqX3OEKWQqWAGz1Q-w_7_2"/>
      <w:bookmarkStart w:id="544" w:name="Tc_eIuaTIFVX0G_GwRe83j9mQ_7_0"/>
      <w:bookmarkStart w:id="545" w:name="Tc_bWq4xBu9oE-fk5jlP8KLAQ_6_0"/>
      <w:bookmarkStart w:id="546" w:name="Tc_KCKp_wwI80GI_YUNUFEFmg_5_5"/>
      <w:bookmarkStart w:id="547" w:name="Tc_Xxk8eOrKgEuzsI1wLFiDeA_5_2"/>
      <w:bookmarkStart w:id="548" w:name="Tc_lpAWi-4dc0CfG2gCSGbuww_5_0"/>
      <w:bookmarkStart w:id="549" w:name="Tc_QALQEhNoQkCbM8DqY7Fftg_4_0"/>
      <w:bookmarkStart w:id="550" w:name="Tc_AqJRJBi880Sbcww6qXg2Tw_3_5"/>
      <w:bookmarkStart w:id="551" w:name="Tc_xBfchNzcZk6ZCAFq-ZdKdA_3_2"/>
      <w:bookmarkStart w:id="552" w:name="Tc_rbTT1-1VXkmJUTw_nr7zzQ_2_2"/>
      <w:bookmarkStart w:id="553" w:name="Tc_tfLev_fv2ECL2Bbnhf4XSw_1_2"/>
      <w:bookmarkStart w:id="554" w:name="Tc_zM5vqtG4u0yiU-cEGtrdeA_7_4"/>
      <w:bookmarkStart w:id="555" w:name="Tc_u1A_a3wVukqMbJ8LFtyoMw_7_0"/>
      <w:bookmarkStart w:id="556" w:name="Tc_6vlVwENblEqGfMHoA3G8Mg_6_4"/>
      <w:bookmarkStart w:id="557" w:name="Tc_rarrXCdVdkST5IDJhtc4HA_6_0"/>
      <w:bookmarkStart w:id="558" w:name="Tc_mP4WK8GYUUiumD4Cs4a1zw_5_4"/>
      <w:bookmarkStart w:id="559" w:name="Tc_uFGR9qJpf0epfHVfqx8CDQ_5_0"/>
      <w:bookmarkStart w:id="560" w:name="Tc_tQeI7THguEO3ZEgNoWapHQ_4_0"/>
      <w:bookmarkStart w:id="561" w:name="Tc_njjC1c6M6EqWXtRN8_f3XQ_3_2"/>
      <w:bookmarkStart w:id="562" w:name="Tc_gWdjmb_x9k-w2QyKGANyww_3_0"/>
      <w:bookmarkStart w:id="563" w:name="Tc_PgSiEhivxU-4zbLaAW0xiQ_2_2"/>
      <w:bookmarkStart w:id="564" w:name="Tc_4Ojuz-ebXki8i_mj9OShNw_1_2"/>
      <w:bookmarkStart w:id="565" w:name="Tc_If3HGJkMpU2DYIPqA25OnQ_9_8"/>
      <w:bookmarkStart w:id="566" w:name="Tc_GEX3pRYLbUa2-8uUYnBfHQ_9_7"/>
      <w:bookmarkStart w:id="567" w:name="Tc_uES9VWZnS0qE8fyYEhE4-w_9_4"/>
      <w:bookmarkStart w:id="568" w:name="Tc_rADhwqWqBEec9uG06_xUDg_9_0"/>
      <w:bookmarkStart w:id="569" w:name="Tc_vCvh1rUgdEOXIFUsRC7xaQ_8_8"/>
      <w:bookmarkStart w:id="570" w:name="Tc_zSKfC_TzN0-WklX6SuRtqQ_8_7"/>
      <w:bookmarkStart w:id="571" w:name="Tc_eh2Zkwj5XE2VfDrtHL4UUA_8_4"/>
      <w:bookmarkStart w:id="572" w:name="Tc_EnEaJQoEK0qWuZBCodMsmw_8_0"/>
      <w:bookmarkStart w:id="573" w:name="Tc_WxN7TfuxpEGNcAygc9Tx_w_7_10"/>
      <w:bookmarkStart w:id="574" w:name="Tc_y7CMNpiaTU23MJcycq_aXA_7_8"/>
      <w:bookmarkStart w:id="575" w:name="Tc_c6jxalIs5EqbxJknvBTsBw_7_5"/>
      <w:bookmarkStart w:id="576" w:name="Tc_XlXaJhPPV0CTfbsHkOTIzg_7_0"/>
      <w:bookmarkStart w:id="577" w:name="Tc_vaZm1DGvlUC297tiDddKgg_6_8"/>
      <w:bookmarkStart w:id="578" w:name="Tc_QJPEMj4N30m50kbJCYRc9A_6_0"/>
      <w:bookmarkStart w:id="579" w:name="Tc_alCDBfP4cEGiuUG2JX1yGg_5_8"/>
      <w:bookmarkStart w:id="580" w:name="Tc_j-G8hKy9zkOZ70rAus062g_5_7"/>
      <w:bookmarkStart w:id="581" w:name="Tc_Z2BvLKzhh0C4W7JoXoQ4Lw_5_4"/>
      <w:bookmarkStart w:id="582" w:name="Tc_dDafxfRfMkGU-mAeHzi1FQ_5_0"/>
      <w:bookmarkStart w:id="583" w:name="Tc_p8e8rHU6gkODPiqqEt6yhA_4_10"/>
      <w:bookmarkStart w:id="584" w:name="Tc_e7pqQAbAd027FHBTUITEmg_4_7"/>
      <w:bookmarkStart w:id="585" w:name="Tc_YY9fFOggDkW0xzPtWLifdw_4_4"/>
      <w:bookmarkStart w:id="586" w:name="Tc_t47u-S1cX0aExWkPaNKuyQ_4_2"/>
      <w:bookmarkStart w:id="587" w:name="Tc_JRFt9ZjQx0Wga77TWqoHMg_3_10"/>
      <w:bookmarkStart w:id="588" w:name="Tc_M4gkB68sU0qi9O7Bhn03Uw_3_4"/>
      <w:bookmarkStart w:id="589" w:name="Tc_Png9FI6ZdUWI-yv8IfeE1A_2_10"/>
      <w:bookmarkStart w:id="590" w:name="Tc_UqubqRiduU2LrpXlUPwAnQ_1_10"/>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r>
        <w:rPr>
          <w:rFonts w:ascii="Times New Roman;Times;serif" w:hAnsi="Times New Roman;Times;serif"/>
          <w:sz w:val="20"/>
        </w:rPr>
        <w:t>A summary of the Company’s stock option activity for the three months ended March 31, 2023 is as follows:</w:t>
      </w:r>
    </w:p>
    <w:p>
      <w:pPr>
        <w:pStyle w:val="TextBody"/>
        <w:bidi w:val="0"/>
        <w:spacing w:before="0" w:after="0"/>
        <w:ind w:left="0" w:right="0" w:hanging="0"/>
        <w:jc w:val="both"/>
        <w:rPr/>
      </w:pPr>
      <w:r>
        <w:rPr/>
        <w:t>​</w:t>
      </w:r>
    </w:p>
    <w:tbl>
      <w:tblPr>
        <w:tblW w:w="10203" w:type="dxa"/>
        <w:jc w:val="left"/>
        <w:tblInd w:w="0" w:type="dxa"/>
        <w:tblLayout w:type="fixed"/>
        <w:tblCellMar>
          <w:top w:w="0" w:type="dxa"/>
          <w:left w:w="0" w:type="dxa"/>
          <w:bottom w:w="0" w:type="dxa"/>
          <w:right w:w="0" w:type="dxa"/>
        </w:tblCellMar>
      </w:tblPr>
      <w:tblGrid>
        <w:gridCol w:w="2881"/>
        <w:gridCol w:w="326"/>
        <w:gridCol w:w="1411"/>
        <w:gridCol w:w="326"/>
        <w:gridCol w:w="405"/>
        <w:gridCol w:w="1096"/>
        <w:gridCol w:w="326"/>
        <w:gridCol w:w="607"/>
        <w:gridCol w:w="998"/>
        <w:gridCol w:w="326"/>
        <w:gridCol w:w="150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829435" cy="175260"/>
                      <wp:effectExtent l="0" t="0" r="0" b="0"/>
                      <wp:wrapNone/>
                      <wp:docPr id="71" name="Frame70"/>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895985" cy="175260"/>
                      <wp:effectExtent l="0" t="0" r="0" b="0"/>
                      <wp:wrapNone/>
                      <wp:docPr id="73" name="Frame72"/>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57175" cy="175260"/>
                      <wp:effectExtent l="0" t="0" r="0" b="0"/>
                      <wp:wrapNone/>
                      <wp:docPr id="75" name="Frame74"/>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5960" cy="175260"/>
                      <wp:effectExtent l="0" t="0" r="0" b="0"/>
                      <wp:wrapNone/>
                      <wp:docPr id="76" name="Frame7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7"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85445" cy="175260"/>
                      <wp:effectExtent l="0" t="0" r="0" b="0"/>
                      <wp:wrapNone/>
                      <wp:docPr id="78" name="Frame77"/>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33730" cy="175260"/>
                      <wp:effectExtent l="0" t="0" r="0" b="0"/>
                      <wp:wrapNone/>
                      <wp:docPr id="79" name="Frame78"/>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0"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53135" cy="175260"/>
                      <wp:effectExtent l="0" t="0" r="0" b="0"/>
                      <wp:wrapNone/>
                      <wp:docPr id="81" name="Frame80"/>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07" w:type="dxa"/>
            <w:tcBorders/>
            <w:vAlign w:val="center"/>
          </w:tcPr>
          <w:p>
            <w:pPr>
              <w:pStyle w:val="TableContents"/>
              <w:bidi w:val="0"/>
              <w:spacing w:before="0" w:after="1"/>
              <w:ind w:left="0" w:right="0" w:hanging="0"/>
              <w:jc w:val="both"/>
              <w:rPr/>
            </w:pPr>
            <w:r>
              <w:rPr/>
              <w:t>​</w:t>
            </w:r>
          </w:p>
        </w:tc>
        <w:tc>
          <w:tcPr>
            <w:tcW w:w="99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07" w:type="dxa"/>
            <w:tcBorders/>
            <w:vAlign w:val="center"/>
          </w:tcPr>
          <w:p>
            <w:pPr>
              <w:pStyle w:val="TableContents"/>
              <w:bidi w:val="0"/>
              <w:spacing w:before="0" w:after="1"/>
              <w:ind w:left="0" w:right="0" w:hanging="0"/>
              <w:jc w:val="both"/>
              <w:rPr/>
            </w:pPr>
            <w:r>
              <w:rPr/>
              <w:t>​</w:t>
            </w:r>
          </w:p>
        </w:tc>
        <w:tc>
          <w:tcPr>
            <w:tcW w:w="99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Weighted Average</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607" w:type="dxa"/>
            <w:tcBorders/>
            <w:vAlign w:val="center"/>
          </w:tcPr>
          <w:p>
            <w:pPr>
              <w:pStyle w:val="TableContents"/>
              <w:bidi w:val="0"/>
              <w:spacing w:before="0" w:after="1"/>
              <w:ind w:left="0" w:right="0" w:hanging="0"/>
              <w:jc w:val="both"/>
              <w:rPr/>
            </w:pPr>
            <w:r>
              <w:rPr/>
              <w:t>​</w:t>
            </w:r>
          </w:p>
        </w:tc>
        <w:tc>
          <w:tcPr>
            <w:tcW w:w="99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1"/>
              <w:ind w:left="0" w:right="0" w:hanging="0"/>
              <w:jc w:val="both"/>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both"/>
              <w:rPr/>
            </w:pPr>
            <w:r>
              <w:rPr/>
              <w:t>    </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Intrinsic Value</w:t>
            </w:r>
          </w:p>
        </w:tc>
        <w:tc>
          <w:tcPr>
            <w:tcW w:w="326" w:type="dxa"/>
            <w:tcBorders/>
            <w:vAlign w:val="center"/>
          </w:tcPr>
          <w:p>
            <w:pPr>
              <w:pStyle w:val="TableContents"/>
              <w:bidi w:val="0"/>
              <w:spacing w:before="0" w:after="1"/>
              <w:ind w:left="0" w:right="0" w:hanging="0"/>
              <w:jc w:val="both"/>
              <w:rPr/>
            </w:pPr>
            <w:r>
              <w:rPr/>
              <w:t>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r>
      <w:tr>
        <w:trPr/>
        <w:tc>
          <w:tcPr>
            <w:tcW w:w="288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January 1, 2023</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886,173</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42.90</w:t>
            </w:r>
          </w:p>
        </w:tc>
        <w:tc>
          <w:tcPr>
            <w:tcW w:w="326" w:type="dxa"/>
            <w:tcBorders/>
            <w:shd w:fill="CCEEFF" w:val="clear"/>
            <w:vAlign w:val="center"/>
          </w:tcPr>
          <w:p>
            <w:pPr>
              <w:pStyle w:val="TableContents"/>
              <w:bidi w:val="0"/>
              <w:spacing w:before="0" w:after="1"/>
              <w:ind w:left="0" w:right="0" w:hanging="0"/>
              <w:jc w:val="right"/>
              <w:rPr/>
            </w:pPr>
            <w:r>
              <w:rPr/>
              <w:t>​</w:t>
            </w:r>
          </w:p>
        </w:tc>
        <w:tc>
          <w:tcPr>
            <w:tcW w:w="607"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288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both"/>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411,532</w:t>
            </w:r>
          </w:p>
        </w:tc>
        <w:tc>
          <w:tcPr>
            <w:tcW w:w="32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vAlign w:val="center"/>
          </w:tcPr>
          <w:p>
            <w:pPr>
              <w:pStyle w:val="TableContents"/>
              <w:bidi w:val="0"/>
              <w:spacing w:before="0" w:after="1"/>
              <w:ind w:left="0" w:right="0" w:hanging="0"/>
              <w:jc w:val="right"/>
              <w:rPr/>
            </w:pPr>
            <w:r>
              <w:rPr/>
              <w:t>​</w:t>
            </w:r>
          </w:p>
        </w:tc>
        <w:tc>
          <w:tcPr>
            <w:tcW w:w="607" w:type="dxa"/>
            <w:tcBorders/>
            <w:vAlign w:val="center"/>
          </w:tcPr>
          <w:p>
            <w:pPr>
              <w:pStyle w:val="TableContents"/>
              <w:bidi w:val="0"/>
              <w:spacing w:before="0" w:after="1"/>
              <w:ind w:left="0" w:right="0" w:hanging="0"/>
              <w:jc w:val="both"/>
              <w:rPr/>
            </w:pPr>
            <w:r>
              <w:rPr/>
              <w:t>​</w:t>
            </w:r>
          </w:p>
        </w:tc>
        <w:tc>
          <w:tcPr>
            <w:tcW w:w="99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288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Canceled/Expired</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07"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88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March 31, 2023</w:t>
            </w:r>
          </w:p>
        </w:tc>
        <w:tc>
          <w:tcPr>
            <w:tcW w:w="326" w:type="dxa"/>
            <w:tcBorders/>
            <w:vAlign w:val="center"/>
          </w:tcPr>
          <w:p>
            <w:pPr>
              <w:pStyle w:val="TableContents"/>
              <w:bidi w:val="0"/>
              <w:spacing w:before="0" w:after="1"/>
              <w:ind w:left="0" w:right="0" w:hanging="0"/>
              <w:jc w:val="both"/>
              <w:rPr/>
            </w:pPr>
            <w:r>
              <w:rPr/>
              <w:t> </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1,296,705</w:t>
            </w:r>
          </w:p>
        </w:tc>
        <w:tc>
          <w:tcPr>
            <w:tcW w:w="326" w:type="dxa"/>
            <w:tcBorders/>
            <w:vAlign w:val="center"/>
          </w:tcPr>
          <w:p>
            <w:pPr>
              <w:pStyle w:val="TableContents"/>
              <w:bidi w:val="0"/>
              <w:spacing w:before="0" w:after="1"/>
              <w:ind w:left="0" w:right="0" w:hanging="0"/>
              <w:jc w:val="both"/>
              <w:rPr/>
            </w:pPr>
            <w:r>
              <w:rPr/>
              <w:t>​</w:t>
            </w:r>
          </w:p>
        </w:tc>
        <w:tc>
          <w:tcPr>
            <w:tcW w:w="405"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29.98</w:t>
            </w:r>
          </w:p>
        </w:tc>
        <w:tc>
          <w:tcPr>
            <w:tcW w:w="326" w:type="dxa"/>
            <w:tcBorders/>
            <w:vAlign w:val="center"/>
          </w:tcPr>
          <w:p>
            <w:pPr>
              <w:pStyle w:val="TableContents"/>
              <w:bidi w:val="0"/>
              <w:spacing w:before="0" w:after="1"/>
              <w:ind w:left="0" w:right="0" w:hanging="0"/>
              <w:jc w:val="right"/>
              <w:rPr/>
            </w:pPr>
            <w:r>
              <w:rPr/>
              <w:t>​</w:t>
            </w:r>
          </w:p>
        </w:tc>
        <w:tc>
          <w:tcPr>
            <w:tcW w:w="607"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288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Options vested and exercisable</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604,335</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56.39</w:t>
            </w:r>
          </w:p>
        </w:tc>
        <w:tc>
          <w:tcPr>
            <w:tcW w:w="326" w:type="dxa"/>
            <w:tcBorders/>
            <w:shd w:fill="CCEEFF" w:val="clear"/>
            <w:vAlign w:val="center"/>
          </w:tcPr>
          <w:p>
            <w:pPr>
              <w:pStyle w:val="TableContents"/>
              <w:bidi w:val="0"/>
              <w:spacing w:before="0" w:after="1"/>
              <w:ind w:left="0" w:right="0" w:hanging="0"/>
              <w:jc w:val="right"/>
              <w:rPr/>
            </w:pPr>
            <w:r>
              <w:rPr/>
              <w:t>​</w:t>
            </w:r>
          </w:p>
        </w:tc>
        <w:tc>
          <w:tcPr>
            <w:tcW w:w="607"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50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Black-Scholes option pricing model is used to estimate the fair value of stock options granted under the Company’s share-based compensation plans. The weighted average assumptions used in calculating the fair values of stock options that were granted during the three months ended March 31, 2023 was as follows: </w:t>
      </w:r>
    </w:p>
    <w:p>
      <w:pPr>
        <w:pStyle w:val="TextBody"/>
        <w:bidi w:val="0"/>
        <w:spacing w:before="0" w:after="0"/>
        <w:ind w:left="0" w:right="0" w:hanging="0"/>
        <w:jc w:val="both"/>
        <w:rPr/>
      </w:pPr>
      <w:r>
        <w:rPr/>
        <w:t>​</w:t>
      </w:r>
    </w:p>
    <w:tbl>
      <w:tblPr>
        <w:tblW w:w="5503" w:type="dxa"/>
        <w:jc w:val="left"/>
        <w:tblInd w:w="0" w:type="dxa"/>
        <w:tblLayout w:type="fixed"/>
        <w:tblCellMar>
          <w:top w:w="0" w:type="dxa"/>
          <w:left w:w="0" w:type="dxa"/>
          <w:bottom w:w="0" w:type="dxa"/>
          <w:right w:w="0" w:type="dxa"/>
        </w:tblCellMar>
      </w:tblPr>
      <w:tblGrid>
        <w:gridCol w:w="2626"/>
        <w:gridCol w:w="326"/>
        <w:gridCol w:w="696"/>
        <w:gridCol w:w="1539"/>
        <w:gridCol w:w="316"/>
      </w:tblGrid>
      <w:tr>
        <w:trPr/>
        <w:tc>
          <w:tcPr>
            <w:tcW w:w="26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696" w:type="dxa"/>
            <w:tcBorders/>
            <w:vAlign w:val="center"/>
          </w:tcPr>
          <w:p>
            <w:pPr>
              <w:pStyle w:val="TableContents"/>
              <w:bidi w:val="0"/>
              <w:spacing w:before="0" w:after="1"/>
              <w:ind w:left="0" w:right="0" w:hanging="0"/>
              <w:jc w:val="both"/>
              <w:rPr/>
            </w:pPr>
            <w:r>
              <w:rPr/>
              <w:t>​</w:t>
            </w:r>
          </w:p>
        </w:tc>
        <w:tc>
          <w:tcPr>
            <w:tcW w:w="1539" w:type="dxa"/>
            <w:tcBorders/>
            <w:vAlign w:val="center"/>
          </w:tcPr>
          <w:p>
            <w:pPr>
              <w:pStyle w:val="TableContents"/>
              <w:bidi w:val="0"/>
              <w:spacing w:before="0" w:after="1"/>
              <w:ind w:left="0" w:right="0" w:hanging="0"/>
              <w:jc w:val="both"/>
              <w:rPr/>
            </w:pPr>
            <w:r>
              <w:rPr/>
              <w:t>​</w:t>
            </w:r>
          </w:p>
        </w:tc>
        <w:tc>
          <w:tcPr>
            <w:tcW w:w="316" w:type="dxa"/>
            <w:tcBorders/>
            <w:vAlign w:val="center"/>
          </w:tcPr>
          <w:p>
            <w:pPr>
              <w:pStyle w:val="TableContents"/>
              <w:bidi w:val="0"/>
              <w:spacing w:before="0" w:after="1"/>
              <w:ind w:left="0" w:right="0" w:hanging="0"/>
              <w:jc w:val="both"/>
              <w:rPr/>
            </w:pPr>
            <w:r>
              <w:rPr/>
              <w:t>​</w:t>
            </w:r>
          </w:p>
        </w:tc>
      </w:tr>
      <w:tr>
        <w:trPr/>
        <w:tc>
          <w:tcPr>
            <w:tcW w:w="26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16" w:type="dxa"/>
            <w:tcBorders/>
            <w:vAlign w:val="center"/>
          </w:tcPr>
          <w:p>
            <w:pPr>
              <w:pStyle w:val="TableContents"/>
              <w:bidi w:val="0"/>
              <w:spacing w:before="0" w:after="1"/>
              <w:ind w:left="0" w:right="0" w:hanging="0"/>
              <w:jc w:val="both"/>
              <w:rPr/>
            </w:pPr>
            <w:r>
              <w:rPr/>
              <w:t>​</w:t>
            </w:r>
          </w:p>
        </w:tc>
      </w:tr>
      <w:tr>
        <w:trPr/>
        <w:tc>
          <w:tcPr>
            <w:tcW w:w="26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2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16" w:type="dxa"/>
            <w:tcBorders/>
            <w:vAlign w:val="center"/>
          </w:tcPr>
          <w:p>
            <w:pPr>
              <w:pStyle w:val="TableContents"/>
              <w:bidi w:val="0"/>
              <w:spacing w:before="0" w:after="1"/>
              <w:ind w:left="0" w:right="0" w:hanging="0"/>
              <w:jc w:val="both"/>
              <w:rPr/>
            </w:pPr>
            <w:r>
              <w:rPr/>
              <w:t>  </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both"/>
              <w:rPr/>
            </w:pPr>
            <w:r>
              <w:rPr/>
              <w:t>​</w:t>
            </w:r>
          </w:p>
        </w:tc>
        <w:tc>
          <w:tcPr>
            <w:tcW w:w="6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5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16" w:type="dxa"/>
            <w:tcBorders/>
            <w:shd w:fill="CCEEFF" w:val="clear"/>
            <w:vAlign w:val="center"/>
          </w:tcPr>
          <w:p>
            <w:pPr>
              <w:pStyle w:val="TableContents"/>
              <w:bidi w:val="0"/>
              <w:spacing w:before="0" w:after="1"/>
              <w:ind w:left="0" w:right="0" w:hanging="0"/>
              <w:jc w:val="both"/>
              <w:rPr/>
            </w:pPr>
            <w:r>
              <w:rPr/>
              <w:t>​</w:t>
            </w:r>
          </w:p>
        </w:tc>
      </w:tr>
      <w:tr>
        <w:trPr/>
        <w:tc>
          <w:tcPr>
            <w:tcW w:w="26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term (years)</w:t>
            </w:r>
          </w:p>
        </w:tc>
        <w:tc>
          <w:tcPr>
            <w:tcW w:w="326" w:type="dxa"/>
            <w:tcBorders/>
            <w:vAlign w:val="center"/>
          </w:tcPr>
          <w:p>
            <w:pPr>
              <w:pStyle w:val="TableContents"/>
              <w:bidi w:val="0"/>
              <w:spacing w:before="0" w:after="1"/>
              <w:ind w:left="0" w:right="0" w:hanging="0"/>
              <w:jc w:val="both"/>
              <w:rPr/>
            </w:pPr>
            <w:r>
              <w:rPr/>
              <w:t>​</w:t>
            </w:r>
          </w:p>
        </w:tc>
        <w:tc>
          <w:tcPr>
            <w:tcW w:w="696" w:type="dxa"/>
            <w:tcBorders/>
            <w:vAlign w:val="center"/>
          </w:tcPr>
          <w:p>
            <w:pPr>
              <w:pStyle w:val="TableContents"/>
              <w:bidi w:val="0"/>
              <w:spacing w:before="0" w:after="1"/>
              <w:ind w:left="0" w:right="0" w:hanging="0"/>
              <w:jc w:val="both"/>
              <w:rPr/>
            </w:pPr>
            <w:r>
              <w:rPr/>
              <w:t> </w:t>
            </w:r>
          </w:p>
        </w:tc>
        <w:tc>
          <w:tcPr>
            <w:tcW w:w="15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vAlign w:val="center"/>
          </w:tcPr>
          <w:p>
            <w:pPr>
              <w:pStyle w:val="TableContents"/>
              <w:bidi w:val="0"/>
              <w:spacing w:before="0" w:after="1"/>
              <w:ind w:left="0" w:right="0" w:hanging="0"/>
              <w:jc w:val="both"/>
              <w:rPr/>
            </w:pPr>
            <w:r>
              <w:rPr/>
              <w:t>​</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stock price volatility</w:t>
            </w:r>
          </w:p>
        </w:tc>
        <w:tc>
          <w:tcPr>
            <w:tcW w:w="326" w:type="dxa"/>
            <w:tcBorders/>
            <w:shd w:fill="CCEEFF" w:val="clear"/>
            <w:vAlign w:val="center"/>
          </w:tcPr>
          <w:p>
            <w:pPr>
              <w:pStyle w:val="TableContents"/>
              <w:bidi w:val="0"/>
              <w:spacing w:before="0" w:after="1"/>
              <w:ind w:left="0" w:right="0" w:hanging="0"/>
              <w:jc w:val="both"/>
              <w:rPr/>
            </w:pPr>
            <w:r>
              <w:rPr/>
              <w:t>​</w:t>
            </w:r>
          </w:p>
        </w:tc>
        <w:tc>
          <w:tcPr>
            <w:tcW w:w="696" w:type="dxa"/>
            <w:tcBorders/>
            <w:shd w:fill="CCEEFF" w:val="clear"/>
            <w:vAlign w:val="center"/>
          </w:tcPr>
          <w:p>
            <w:pPr>
              <w:pStyle w:val="TableContents"/>
              <w:bidi w:val="0"/>
              <w:spacing w:before="0" w:after="1"/>
              <w:ind w:left="0" w:right="0" w:hanging="0"/>
              <w:jc w:val="both"/>
              <w:rPr/>
            </w:pPr>
            <w:r>
              <w:rPr/>
              <w:t> </w:t>
            </w:r>
          </w:p>
        </w:tc>
        <w:tc>
          <w:tcPr>
            <w:tcW w:w="15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6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Risk-free rate of interest</w:t>
            </w:r>
          </w:p>
        </w:tc>
        <w:tc>
          <w:tcPr>
            <w:tcW w:w="326" w:type="dxa"/>
            <w:tcBorders/>
            <w:vAlign w:val="center"/>
          </w:tcPr>
          <w:p>
            <w:pPr>
              <w:pStyle w:val="TableContents"/>
              <w:bidi w:val="0"/>
              <w:spacing w:before="0" w:after="1"/>
              <w:ind w:left="0" w:right="0" w:hanging="0"/>
              <w:jc w:val="both"/>
              <w:rPr/>
            </w:pPr>
            <w:r>
              <w:rPr/>
              <w:t>​</w:t>
            </w:r>
          </w:p>
        </w:tc>
        <w:tc>
          <w:tcPr>
            <w:tcW w:w="696" w:type="dxa"/>
            <w:tcBorders/>
            <w:vAlign w:val="center"/>
          </w:tcPr>
          <w:p>
            <w:pPr>
              <w:pStyle w:val="TableContents"/>
              <w:bidi w:val="0"/>
              <w:spacing w:before="0" w:after="1"/>
              <w:ind w:left="0" w:right="0" w:hanging="0"/>
              <w:jc w:val="both"/>
              <w:rPr/>
            </w:pPr>
            <w:r>
              <w:rPr/>
              <w:t> </w:t>
            </w:r>
          </w:p>
        </w:tc>
        <w:tc>
          <w:tcPr>
            <w:tcW w:w="15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dividend rate</w:t>
            </w:r>
          </w:p>
        </w:tc>
        <w:tc>
          <w:tcPr>
            <w:tcW w:w="326" w:type="dxa"/>
            <w:tcBorders/>
            <w:shd w:fill="CCEEFF" w:val="clear"/>
            <w:vAlign w:val="center"/>
          </w:tcPr>
          <w:p>
            <w:pPr>
              <w:pStyle w:val="TableContents"/>
              <w:bidi w:val="0"/>
              <w:spacing w:before="0" w:after="1"/>
              <w:ind w:left="0" w:right="0" w:hanging="0"/>
              <w:jc w:val="both"/>
              <w:rPr/>
            </w:pPr>
            <w:r>
              <w:rPr/>
              <w:t>​</w:t>
            </w:r>
          </w:p>
        </w:tc>
        <w:tc>
          <w:tcPr>
            <w:tcW w:w="696" w:type="dxa"/>
            <w:tcBorders/>
            <w:shd w:fill="CCEEFF" w:val="clear"/>
            <w:vAlign w:val="center"/>
          </w:tcPr>
          <w:p>
            <w:pPr>
              <w:pStyle w:val="TableContents"/>
              <w:bidi w:val="0"/>
              <w:spacing w:before="0" w:after="1"/>
              <w:ind w:left="0" w:right="0" w:hanging="0"/>
              <w:jc w:val="both"/>
              <w:rPr/>
            </w:pPr>
            <w:r>
              <w:rPr/>
              <w:t> </w:t>
            </w:r>
          </w:p>
        </w:tc>
        <w:tc>
          <w:tcPr>
            <w:tcW w:w="15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stock-based compensation expenses recorded during the respective periods:</w:t>
      </w:r>
    </w:p>
    <w:p>
      <w:pPr>
        <w:pStyle w:val="TextBody"/>
        <w:bidi w:val="0"/>
        <w:spacing w:before="0" w:after="0"/>
        <w:ind w:left="0" w:right="0" w:hanging="0"/>
        <w:jc w:val="both"/>
        <w:rPr/>
      </w:pPr>
      <w:r>
        <w:rPr/>
        <w:t>​</w:t>
      </w:r>
    </w:p>
    <w:tbl>
      <w:tblPr>
        <w:tblW w:w="5892" w:type="dxa"/>
        <w:jc w:val="left"/>
        <w:tblInd w:w="0" w:type="dxa"/>
        <w:tblLayout w:type="fixed"/>
        <w:tblCellMar>
          <w:top w:w="0" w:type="dxa"/>
          <w:left w:w="0" w:type="dxa"/>
          <w:bottom w:w="0" w:type="dxa"/>
          <w:right w:w="0" w:type="dxa"/>
        </w:tblCellMar>
      </w:tblPr>
      <w:tblGrid>
        <w:gridCol w:w="3001"/>
        <w:gridCol w:w="326"/>
        <w:gridCol w:w="211"/>
        <w:gridCol w:w="781"/>
        <w:gridCol w:w="326"/>
        <w:gridCol w:w="211"/>
        <w:gridCol w:w="103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905635" cy="175260"/>
                      <wp:effectExtent l="0" t="0" r="0" b="0"/>
                      <wp:wrapNone/>
                      <wp:docPr id="82" name="Frame81"/>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3"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4"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95935" cy="175260"/>
                      <wp:effectExtent l="0" t="0" r="0" b="0"/>
                      <wp:wrapNone/>
                      <wp:docPr id="85" name="Frame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57860" cy="175260"/>
                      <wp:effectExtent l="0" t="0" r="0" b="0"/>
                      <wp:wrapNone/>
                      <wp:docPr id="88" name="Frame8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5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00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5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00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0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 Compensation expenses:</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300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878,000</w:t>
            </w:r>
          </w:p>
        </w:tc>
      </w:tr>
      <w:tr>
        <w:trPr/>
        <w:tc>
          <w:tcPr>
            <w:tcW w:w="300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753,000</w:t>
            </w:r>
          </w:p>
        </w:tc>
      </w:tr>
      <w:tr>
        <w:trPr/>
        <w:tc>
          <w:tcPr>
            <w:tcW w:w="300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stock compensation expenses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1,631,000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2023, the total stock-based compensation cost related to unvested awards not yet recognized was $3.5 million. The expected weighted average period compensation costs to be recognized was approximately 2.0 years. Future option grants will impact the compensation expense recognized.</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12: GRANT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2021, the Company received notice of a Product Development Research award totaling approximately $13.1 million from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Restricted cash received from grants in advance of incurring qualifying costs is recorded as deferred revenue and recognized as revenue when qualifying costs are incurred. Qualifying grant income earned in advance of cash received from grants is recognized as revenue and recorded as other receivable.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recorded $1.2 million of grant income related to the CPRIT grant as revenue for the three months ended March 31, 2023.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2022, the Company received notice from the FDA that it had awarded the Company a $2.0 million grant from the FDA’s Orphan Products Grant program to support the Company’s Phase 2 clinical trial of MT-401 for the treatment of post-transplant AML. The Company recorded $1.2 million of grant income related to the FDA grant as revenue for the three months ended March 31, 2023.</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13: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the Company may be party to ordinary, routine litigation incidental to their business.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 The Company is not currently a party to any material legal proceedings, and the Company is not aware of any pending or threatened legal proceeding against it that it believes could have an adverse effect on its business, operating results or financial condition.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591" w:name="Tc_FzgzIDr94EuP7H5ycIdYBw_7_5"/>
      <w:bookmarkStart w:id="592" w:name="Tc_FHyMPTmRK0WOoIA-4Crr2Q_7_2"/>
      <w:bookmarkStart w:id="593" w:name="Tc_3HT664XBG0utnDo3RfjJMg_7_0"/>
      <w:bookmarkStart w:id="594" w:name="Tc_1Td5fDccn061mU0pIysiYw_6_0"/>
      <w:bookmarkStart w:id="595" w:name="Tc_DnULvf4gAECQ-wqfiA_-ZQ_5_3"/>
      <w:bookmarkStart w:id="596" w:name="Tc_BleQ0Qktb0C1yAYB8wBpBQ_5_0"/>
      <w:bookmarkStart w:id="597" w:name="Tc_HTYYJj2PLkq_5QkV7-7JTw_4_5"/>
      <w:bookmarkStart w:id="598" w:name="Tc_l0DGjBYyKEWPZJLygOui1w_4_2"/>
      <w:bookmarkStart w:id="599" w:name="Tc_ryAWN4Goo0GPIRN-8_TDFw_4_0"/>
      <w:bookmarkStart w:id="600" w:name="Tc_MNMHJ8m2pkuG-PZVzqqtug_3_5"/>
      <w:bookmarkStart w:id="601" w:name="Tc_IRjqd53OuUWePMMS21vdXg_3_2"/>
      <w:bookmarkStart w:id="602" w:name="Tc_1vp3gbWyJkCufdd6Tqs-0w_2_2"/>
      <w:bookmarkStart w:id="603" w:name="Tc_WW8p23NY2EO5_oKIM80ziA_1_2"/>
      <w:bookmarkEnd w:id="591"/>
      <w:bookmarkEnd w:id="592"/>
      <w:bookmarkEnd w:id="593"/>
      <w:bookmarkEnd w:id="594"/>
      <w:bookmarkEnd w:id="595"/>
      <w:bookmarkEnd w:id="596"/>
      <w:bookmarkEnd w:id="597"/>
      <w:bookmarkEnd w:id="598"/>
      <w:bookmarkEnd w:id="599"/>
      <w:bookmarkEnd w:id="600"/>
      <w:bookmarkEnd w:id="601"/>
      <w:bookmarkEnd w:id="602"/>
      <w:bookmarkEnd w:id="603"/>
      <w:r>
        <w:rPr>
          <w:rFonts w:ascii="Times New Roman;Times;serif" w:hAnsi="Times New Roman;Times;serif"/>
          <w:b/>
          <w:sz w:val="20"/>
        </w:rPr>
        <w:t>NOTE 14: RELATED PARTY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related party transaction expenses recorded for the three months ended March 31, 2023 and 2022, respectively.</w:t>
      </w:r>
    </w:p>
    <w:p>
      <w:pPr>
        <w:pStyle w:val="TextBody"/>
        <w:bidi w:val="0"/>
        <w:spacing w:before="0" w:after="0"/>
        <w:ind w:left="0" w:right="0" w:hanging="0"/>
        <w:jc w:val="both"/>
        <w:rPr/>
      </w:pPr>
      <w:r>
        <w:rPr/>
        <w:t>​</w:t>
      </w:r>
    </w:p>
    <w:tbl>
      <w:tblPr>
        <w:tblW w:w="6342" w:type="dxa"/>
        <w:jc w:val="left"/>
        <w:tblInd w:w="0" w:type="dxa"/>
        <w:tblLayout w:type="fixed"/>
        <w:tblCellMar>
          <w:top w:w="0" w:type="dxa"/>
          <w:left w:w="0" w:type="dxa"/>
          <w:bottom w:w="0" w:type="dxa"/>
          <w:right w:w="0" w:type="dxa"/>
        </w:tblCellMar>
      </w:tblPr>
      <w:tblGrid>
        <w:gridCol w:w="3451"/>
        <w:gridCol w:w="326"/>
        <w:gridCol w:w="211"/>
        <w:gridCol w:w="781"/>
        <w:gridCol w:w="326"/>
        <w:gridCol w:w="211"/>
        <w:gridCol w:w="1036"/>
      </w:tblGrid>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7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6" w:type="dxa"/>
            <w:tcBorders/>
            <w:vAlign w:val="center"/>
          </w:tcPr>
          <w:p>
            <w:pPr>
              <w:pStyle w:val="TableContents"/>
              <w:bidi w:val="0"/>
              <w:spacing w:before="0" w:after="1"/>
              <w:ind w:left="0" w:right="0" w:hanging="0"/>
              <w:jc w:val="both"/>
              <w:rPr/>
            </w:pPr>
            <w:r>
              <w:rPr/>
              <w:t>​</w: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5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5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Baylor College of Medicine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856,000</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Bio-Techne Corporation</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101,000</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Wilson Wolf Manufacturing Corporation</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55,000</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Research and development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215,000</w:t>
            </w:r>
          </w:p>
        </w:tc>
        <w:tc>
          <w:tcPr>
            <w:tcW w:w="326" w:type="dxa"/>
            <w:tcBorders/>
            <w:vAlign w:val="center"/>
          </w:tcPr>
          <w:p>
            <w:pPr>
              <w:pStyle w:val="TableContents"/>
              <w:bidi w:val="0"/>
              <w:spacing w:before="0" w:after="1"/>
              <w:ind w:left="0" w:right="0" w:hanging="0"/>
              <w:jc w:val="both"/>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1,012,000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$97,400 of related party transactions are included in accounts payable and accrued liabilities as of March 31, 2023.</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Agreements with The Baylor College of Medicine (“BCM”).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2018, January 2020 and February 2020, the Company entered in Sponsored Research Agreements with BCM, which provided for the conduct of research for the Company by credentialed personnel at BCM’s Center for Cell and Gene Therapy.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2019, May 2020 and July 2021, the Company entered into Clinical Supply Agreements with BCM, which provided for BCM to provide to the Company multi tumor antigen specific products.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October 2019, the Company entered in a Workforce Grant Agreement with BCM, which provided for BCM to provide to the Company manpower costs of projects for manufacturing, quality control testing and validation run activities.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2020, the Company entered in a Clinical Trial Agreement with BCM, which provided for BCM to provide to the Company investigator-initiated research studies.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Purchases from Bio-Techne 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currently utilizing Bio-Techne Corporation and two of its brands for the purchases of reagents, primarily cytokines. Mr. David Eansor is a member of the Company’s board of directors and was serving as the President of the Protein Sciences Segment of Bio-Techne Corporation. Mr. Eansor resigned from Bio-Techne Corporation on March 1, 2022, and as such, two months of transactions in 2022 are included in the table above.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Purchases from Wilson Wolf.</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currently utilizing Wilson Wolf for the purchases of cell culture devices called G-Rexes. Mr. John Wilson is a member of the Company’s board of directors and is serving as the CEO of Wilson Wolf Manufacturing Corporation.</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15: SUBSEQUENT EVENTS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Cell Ready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Company entered into a purchase agreement (the “Cell Ready Agreement”) with Cell Ready, LLC (“Cell Ready”), pursuant to which the Company will (i) assign to Cell Ready the leases for the Company’s two manufacturing facilities in Houston, Texas (the “Manufacturing Facilities”), (ii) sell to Cell Ready all of the equipment and leasehold improvements at the Manufacturing Facilities and (iii) assign to Cell Ready its rights, title and interest in the Company’s Master Services Agreement for Product Supply, dated April 7, 2023, by and between the Company, Cell Ready and Indapta Therapeutics, Inc., as well as its rights, title and interest in any contracts related to the equipment and Manufacturing Facilities (collectively, the “Purchased Assets”). Mr. John Wilson is a member of the Company’s board of directors and is serving as the CEO of Cell Ready.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Pursuant to the Cell Ready Agreement, Cell Ready will acquire the Purchased Assets for total consideration of approximately $19.0 million. In connection with the purchase of the Manufacturing Facilities, Cell Ready also intends to extend offers of employment to approximately 50 of the Company’s employees currently employed in its manufacturing, development, quality and regulatory affairs functions.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Cell Ready Agreement contains representations, warranties and covenants of the Company and Cell Ready that are customary for a transaction of this nature. The transaction is expected to close on June 26, 2023, subject to the satisfaction of customary closing conditions.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Chief Executive Officer Change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27, 2023, the Board appointed Juan Vera as the Company’s President and Chief Executive Officer, effective Peter Hoang’s resignation effective May 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There are no family relationships between Mr. Vera and any of the Company’s current or former directors or executive officers. The Company is party to a services agreement with AlloVir, Inc. (“AlloVir”), pursuant to which the Company provides AlloVir with development services. Mr. Vera serves on the board of directors of AlloVir. During the term of the services agreement, the Company and AlloVir may prepare work orders setting forth services to be provided by the Company. AlloVir has a $400,000 work order under the services agreement for long range process development and scale optimization services.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that the severance costs related to the departure of Mr. Hoang will total approximately $0.4 million and will be recorded and paid in the second quarter of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604" w:name="Item2ManagementsDiscussionandAnalysisofF"/>
      <w:bookmarkStart w:id="605" w:name="_b5c51351_f531_4826_811a_d611d57e8535"/>
      <w:bookmarkEnd w:id="604"/>
      <w:bookmarkEnd w:id="605"/>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should be read in conjunction with our unaudited condensed consolidated interim financial statements and related notes included in this Quarterly Report on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a clinical-stage immuno-oncology company specializing in the development and commercialization of novel T cell-based immunotherapies for the treatment of hematological malignancies and solid tumor indications. We developed our lead product candidates from our multiTAA-specific T cell technology, which is based on the manufacture of non-engineered, tumor-specific T cells that recognize multiple tumor-associated antigens, or TAAs. multiTAA-specific T cells are able to recognize multiple tumor targets to produce broad spectrum anti-tumor activity. When infused into a cancer patient, the multiTAA-specific T cells are designed to kill cancer cells expressing the TAA targets and potentially recruit the patient’s immune system to participate in the cancer killing process.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licensed the underlying technology for multiTAA-specific T cell therapy from The Baylor College of Medicine, or BCM, in March 2018. BCM had utilized the therapy in seven exploratory clinical trials. In these studies, BCM treated over 170 patients suffering from a variety of cancers including lymphoma, multiple myeloma, acute myeloid leukemia, acute lymphoblastic leukemia, pancreatic cancer, breast cancer and various sarcomas. In those studies, BCM saw evidence of clinical benefit, expansion of infused cells, epitope spreading, and decreased toxicity compared to other cellular therapies.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advancing three product candidates as part of our multiTAA-specific T cell program for:</w:t>
      </w:r>
    </w:p>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autologous treatment of lymphoma, and selected solid tumors </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allogeneic T cells for the treatment of acute myeloid leukemia, or AML</w:t>
            </w:r>
          </w:p>
        </w:tc>
      </w:tr>
    </w:tbl>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off-the-shelf products in various indications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current clinical development programs are:</w:t>
      </w:r>
    </w:p>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MT-401 for the treatment of post-transplant AML</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MT-401-OTS for the treatment of AML</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MT-601 for the treatment of pancreatic cancer</w:t>
            </w:r>
          </w:p>
        </w:tc>
      </w:tr>
    </w:tbl>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MT-601 for the treatment of lymphoma</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currently undertaking a strategic review of our clinical development programs, including with respect to clinical trial initiation and readout guidance, and look forward to providing an update once completed.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simplicity of our manufacturing process allows additional modifications to expand multiTAA-specific T cell recognition of cancer targets. In May 2023, we entered into a purchase agreement with Cell Ready, LLC with respect to our manufacturing facility and certain related assets. See “—Recent Developments.”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Pipeline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clinical-stage pipeline, including clinical trials being conducted by BCM and other partners, is set forth below:</w:t>
      </w:r>
    </w:p>
    <w:p>
      <w:pPr>
        <w:pStyle w:val="TextBody"/>
        <w:bidi w:val="0"/>
        <w:spacing w:before="0" w:after="0"/>
        <w:ind w:left="0" w:right="0" w:hanging="0"/>
        <w:jc w:val="both"/>
        <w:rPr/>
      </w:pPr>
      <w:r>
        <w:rPr/>
        <w:t>​</w:t>
      </w:r>
    </w:p>
    <w:p>
      <w:pPr>
        <w:pStyle w:val="TextBody"/>
        <w:bidi w:val="0"/>
        <w:spacing w:before="0" w:after="240"/>
        <w:ind w:left="0" w:right="0" w:hanging="0"/>
        <w:jc w:val="center"/>
        <w:rPr/>
      </w:pPr>
      <w:r>
        <w:rPr/>
        <w:drawing>
          <wp:inline distT="0" distB="0" distL="0" distR="0">
            <wp:extent cx="6857365" cy="3714115"/>
            <wp:effectExtent l="0" t="0" r="0" b="0"/>
            <wp:docPr id="8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 descr=""/>
                    <pic:cNvPicPr>
                      <a:picLocks noChangeAspect="1" noChangeArrowheads="1"/>
                    </pic:cNvPicPr>
                  </pic:nvPicPr>
                  <pic:blipFill>
                    <a:blip r:embed="rId3"/>
                    <a:stretch>
                      <a:fillRect/>
                    </a:stretch>
                  </pic:blipFill>
                  <pic:spPr bwMode="auto">
                    <a:xfrm>
                      <a:off x="0" y="0"/>
                      <a:ext cx="6857365" cy="3714115"/>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 2023, we entered into a purchase agreement, or the Cell Ready Agreement, with Cell Ready, LLC, or Cell Ready, pursuant to which we will (i) assign to Cell Ready the leases for our two manufacturing facilities in Houston, Texas, or the Manufacturing Facilities, (ii) sell to Cell Ready all of the equipment and leasehold improvements at the Manufacturing Facilities and (iii) assign to Cell Ready our rights, title and interest in our Master Services Agreement for Product Supply, dated April 7, 2023, or the Indapta Agreement, by and between the Company, Cell Ready and Indapta Therapeutics, Inc., or Indapta, as well as our rights, title and interest in any contracts related to the equipment and Manufacturing Facilities, collectively, the Purchased Assets. Mr. John Wilson is a member of the Company’s board of directors and is serving as the CEO of Cell Ready.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Cell Ready Agreement, Cell Ready will acquire the Purchased Assets for total consideration of approximately $19.0 million. In connection with the purchase of the Manufacturing Facilities, Cell Ready also intends to extend offers of employment to approximately 50 of our employees currently employed in our manufacturing, development, quality and regulatory affairs functions.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Cell Ready Agreement contains representations, warranties and covenants of the Company and Cell Ready that are customary for a transaction of this nature. The transaction is expected to close on June 26, 2023, subject to the satisfaction of customary closing conditions.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historical share and per share amounts reflected in this report have been adjusted to reflect the Reverse Stock Split.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discussion of our results of operations and financial condition, amounts in financial tables, other than per-share amounts, have been rounded to the nearest thousand.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March 31, 2023 and 2022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operations for the three months ended March 31, 2023 and 2022:</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219"/>
        <w:gridCol w:w="326"/>
        <w:gridCol w:w="211"/>
        <w:gridCol w:w="1041"/>
        <w:gridCol w:w="326"/>
        <w:gridCol w:w="211"/>
        <w:gridCol w:w="1048"/>
        <w:gridCol w:w="326"/>
        <w:gridCol w:w="211"/>
        <w:gridCol w:w="1041"/>
        <w:gridCol w:w="326"/>
        <w:gridCol w:w="571"/>
        <w:gridCol w:w="348"/>
      </w:tblGrid>
      <w:tr>
        <w:trPr/>
        <w:tc>
          <w:tcPr>
            <w:tcW w:w="4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679065" cy="175260"/>
                      <wp:effectExtent l="0" t="0" r="0" b="0"/>
                      <wp:wrapNone/>
                      <wp:docPr id="90" name="Frame88"/>
                      <a:graphic xmlns:a="http://schemas.openxmlformats.org/drawingml/2006/main">
                        <a:graphicData uri="http://schemas.microsoft.com/office/word/2010/wordprocessingShape">
                          <wps:wsp>
                            <wps:cNvSpPr txBox="1"/>
                            <wps:spPr>
                              <a:xfrm>
                                <a:off x="0" y="0"/>
                                <a:ext cx="26790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61035" cy="175260"/>
                      <wp:effectExtent l="0" t="0" r="0" b="0"/>
                      <wp:wrapNone/>
                      <wp:docPr id="93" name="Frame91"/>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5480" cy="175260"/>
                      <wp:effectExtent l="0" t="0" r="0" b="0"/>
                      <wp:wrapNone/>
                      <wp:docPr id="95" name="Frame93"/>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61035" cy="175260"/>
                      <wp:effectExtent l="0" t="0" r="0" b="0"/>
                      <wp:wrapNone/>
                      <wp:docPr id="98" name="Frame96"/>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62585" cy="175260"/>
                      <wp:effectExtent l="0" t="0" r="0" b="0"/>
                      <wp:wrapNone/>
                      <wp:docPr id="100" name="Frame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20980" cy="175260"/>
                      <wp:effectExtent l="0" t="0" r="0" b="0"/>
                      <wp:wrapNone/>
                      <wp:docPr id="101" name="Frame99"/>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219"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283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  </w:t>
            </w:r>
          </w:p>
        </w:tc>
        <w:tc>
          <w:tcPr>
            <w:tcW w:w="10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571" w:type="dxa"/>
            <w:tcBorders/>
            <w:vAlign w:val="center"/>
          </w:tcPr>
          <w:p>
            <w:pPr>
              <w:pStyle w:val="TableContents"/>
              <w:bidi w:val="0"/>
              <w:spacing w:before="0" w:after="0"/>
              <w:ind w:left="0" w:right="0" w:hanging="0"/>
              <w:jc w:val="center"/>
              <w:rPr/>
            </w:pPr>
            <w:r>
              <w:rPr/>
              <w:t>  </w:t>
            </w:r>
          </w:p>
        </w:tc>
        <w:tc>
          <w:tcPr>
            <w:tcW w:w="348" w:type="dxa"/>
            <w:tcBorders/>
            <w:vAlign w:val="center"/>
          </w:tcPr>
          <w:p>
            <w:pPr>
              <w:pStyle w:val="TableContents"/>
              <w:bidi w:val="0"/>
              <w:spacing w:before="0" w:after="0"/>
              <w:ind w:left="0" w:right="0" w:hanging="0"/>
              <w:jc w:val="both"/>
              <w:rPr/>
            </w:pPr>
            <w:r>
              <w:rPr/>
              <w:t> </w:t>
            </w:r>
          </w:p>
        </w:tc>
      </w:tr>
      <w:tr>
        <w:trPr/>
        <w:tc>
          <w:tcPr>
            <w:tcW w:w="4219"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571" w:type="dxa"/>
            <w:tcBorders/>
            <w:vAlign w:val="center"/>
          </w:tcPr>
          <w:p>
            <w:pPr>
              <w:pStyle w:val="TableContents"/>
              <w:bidi w:val="0"/>
              <w:spacing w:before="0" w:after="0"/>
              <w:ind w:left="0" w:right="0" w:hanging="0"/>
              <w:jc w:val="center"/>
              <w:rPr/>
            </w:pPr>
            <w:r>
              <w:rPr/>
              <w:t>​</w:t>
            </w:r>
          </w:p>
        </w:tc>
        <w:tc>
          <w:tcPr>
            <w:tcW w:w="348" w:type="dxa"/>
            <w:tcBorders/>
            <w:vAlign w:val="center"/>
          </w:tcPr>
          <w:p>
            <w:pPr>
              <w:pStyle w:val="TableContents"/>
              <w:bidi w:val="0"/>
              <w:spacing w:before="0" w:after="0"/>
              <w:ind w:left="0" w:right="0" w:hanging="0"/>
              <w:jc w:val="both"/>
              <w:rPr/>
            </w:pPr>
            <w:r>
              <w:rPr/>
              <w:t> </w:t>
            </w:r>
          </w:p>
        </w:tc>
      </w:tr>
      <w:tr>
        <w:trPr/>
        <w:tc>
          <w:tcPr>
            <w:tcW w:w="4219"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both"/>
              <w:rPr/>
            </w:pPr>
            <w:r>
              <w:rPr/>
              <w:t>    </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both"/>
              <w:rPr/>
            </w:pPr>
            <w:r>
              <w:rPr/>
              <w:t>    </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8" w:type="dxa"/>
            <w:tcBorders/>
            <w:vAlign w:val="center"/>
          </w:tcPr>
          <w:p>
            <w:pPr>
              <w:pStyle w:val="TableContents"/>
              <w:bidi w:val="0"/>
              <w:spacing w:before="0" w:after="0"/>
              <w:ind w:left="0" w:right="0" w:hanging="0"/>
              <w:jc w:val="both"/>
              <w:rPr/>
            </w:pPr>
            <w:r>
              <w:rPr/>
              <w:t> </w:t>
            </w:r>
          </w:p>
        </w:tc>
      </w:tr>
      <w:tr>
        <w:trPr/>
        <w:tc>
          <w:tcPr>
            <w:tcW w:w="4219"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4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4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4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48" w:type="dxa"/>
            <w:tcBorders/>
            <w:shd w:fill="CCEEFF" w:val="clear"/>
            <w:vAlign w:val="center"/>
          </w:tcPr>
          <w:p>
            <w:pPr>
              <w:pStyle w:val="TableContents"/>
              <w:bidi w:val="0"/>
              <w:spacing w:before="0" w:after="0"/>
              <w:ind w:left="0" w:right="0" w:hanging="0"/>
              <w:jc w:val="both"/>
              <w:rPr/>
            </w:pPr>
            <w:r>
              <w:rPr/>
              <w:t>​</w:t>
            </w:r>
          </w:p>
        </w:tc>
      </w:tr>
      <w:tr>
        <w:trPr/>
        <w:tc>
          <w:tcPr>
            <w:tcW w:w="421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270,000</w:t>
            </w:r>
          </w:p>
        </w:tc>
        <w:tc>
          <w:tcPr>
            <w:tcW w:w="32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1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Related partry service revenue</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3,500,000</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1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4,734,000</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964,000</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3,770,000</w:t>
            </w:r>
          </w:p>
        </w:tc>
        <w:tc>
          <w:tcPr>
            <w:tcW w:w="326" w:type="dxa"/>
            <w:tcBorders/>
            <w:vAlign w:val="center"/>
          </w:tcPr>
          <w:p>
            <w:pPr>
              <w:pStyle w:val="TableContents"/>
              <w:bidi w:val="0"/>
              <w:spacing w:before="0" w:after="0"/>
              <w:ind w:left="0" w:right="0" w:hanging="0"/>
              <w:jc w:val="both"/>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19"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571" w:type="dxa"/>
            <w:tcBorders/>
            <w:shd w:fill="CCEEFF" w:val="clear"/>
            <w:vAlign w:val="center"/>
          </w:tcPr>
          <w:p>
            <w:pPr>
              <w:pStyle w:val="TableContents"/>
              <w:bidi w:val="0"/>
              <w:spacing w:before="0" w:after="0"/>
              <w:ind w:left="0" w:right="0" w:hanging="0"/>
              <w:jc w:val="both"/>
              <w:rPr/>
            </w:pPr>
            <w:r>
              <w:rPr/>
              <w:t>  </w:t>
            </w:r>
          </w:p>
        </w:tc>
        <w:tc>
          <w:tcPr>
            <w:tcW w:w="348" w:type="dxa"/>
            <w:tcBorders/>
            <w:shd w:fill="CCEEFF" w:val="clear"/>
            <w:vAlign w:val="center"/>
          </w:tcPr>
          <w:p>
            <w:pPr>
              <w:pStyle w:val="TableContents"/>
              <w:bidi w:val="0"/>
              <w:spacing w:before="0" w:after="0"/>
              <w:ind w:left="0" w:right="0" w:hanging="0"/>
              <w:jc w:val="both"/>
              <w:rPr/>
            </w:pPr>
            <w:r>
              <w:rPr/>
              <w:t>​</w:t>
            </w:r>
          </w:p>
        </w:tc>
      </w:tr>
      <w:tr>
        <w:trPr/>
        <w:tc>
          <w:tcPr>
            <w:tcW w:w="421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7,271,000</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7,026,000</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245,000</w:t>
            </w:r>
          </w:p>
        </w:tc>
        <w:tc>
          <w:tcPr>
            <w:tcW w:w="326" w:type="dxa"/>
            <w:tcBorders/>
            <w:vAlign w:val="center"/>
          </w:tcPr>
          <w:p>
            <w:pPr>
              <w:pStyle w:val="TableContents"/>
              <w:bidi w:val="0"/>
              <w:spacing w:before="0" w:after="0"/>
              <w:ind w:left="0" w:right="0" w:hanging="0"/>
              <w:jc w:val="both"/>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1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3,733,000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(1,217,000)</w:t>
            </w:r>
          </w:p>
        </w:tc>
        <w:tc>
          <w:tcPr>
            <w:tcW w:w="326" w:type="dxa"/>
            <w:tcBorders/>
            <w:shd w:fill="CCEEFF" w:val="clear"/>
            <w:vAlign w:val="center"/>
          </w:tcPr>
          <w:p>
            <w:pPr>
              <w:pStyle w:val="TableContents"/>
              <w:bidi w:val="0"/>
              <w:spacing w:before="0" w:after="0"/>
              <w:ind w:left="0" w:right="0" w:hanging="0"/>
              <w:jc w:val="both"/>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1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9,787,000</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10,759,000</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(972,000)</w:t>
            </w:r>
          </w:p>
        </w:tc>
        <w:tc>
          <w:tcPr>
            <w:tcW w:w="326" w:type="dxa"/>
            <w:tcBorders/>
            <w:vAlign w:val="center"/>
          </w:tcPr>
          <w:p>
            <w:pPr>
              <w:pStyle w:val="TableContents"/>
              <w:bidi w:val="0"/>
              <w:spacing w:before="0" w:after="0"/>
              <w:ind w:left="0" w:right="0" w:hanging="0"/>
              <w:jc w:val="both"/>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1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(5,052,000)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(9,795,000)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4,743,000</w:t>
            </w:r>
          </w:p>
        </w:tc>
        <w:tc>
          <w:tcPr>
            <w:tcW w:w="326" w:type="dxa"/>
            <w:tcBorders/>
            <w:shd w:fill="CCEEFF" w:val="clear"/>
            <w:vAlign w:val="center"/>
          </w:tcPr>
          <w:p>
            <w:pPr>
              <w:pStyle w:val="TableContents"/>
              <w:bidi w:val="0"/>
              <w:spacing w:before="0" w:after="0"/>
              <w:ind w:left="0" w:right="0" w:hanging="0"/>
              <w:jc w:val="both"/>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19"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(expense):</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571"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both"/>
              <w:rPr/>
            </w:pPr>
            <w:r>
              <w:rPr/>
              <w:t>​</w:t>
            </w:r>
          </w:p>
        </w:tc>
      </w:tr>
      <w:tr>
        <w:trPr/>
        <w:tc>
          <w:tcPr>
            <w:tcW w:w="421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Arbitration settlement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119,000</w:t>
            </w:r>
          </w:p>
        </w:tc>
        <w:tc>
          <w:tcPr>
            <w:tcW w:w="326" w:type="dxa"/>
            <w:tcBorders/>
            <w:shd w:fill="CCEEFF" w:val="clear"/>
            <w:vAlign w:val="center"/>
          </w:tcPr>
          <w:p>
            <w:pPr>
              <w:pStyle w:val="TableContents"/>
              <w:bidi w:val="0"/>
              <w:spacing w:before="0" w:after="0"/>
              <w:ind w:left="0" w:right="0" w:hanging="0"/>
              <w:jc w:val="both"/>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1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85,000</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82,000</w:t>
            </w:r>
          </w:p>
        </w:tc>
        <w:tc>
          <w:tcPr>
            <w:tcW w:w="326" w:type="dxa"/>
            <w:tcBorders/>
            <w:vAlign w:val="center"/>
          </w:tcPr>
          <w:p>
            <w:pPr>
              <w:pStyle w:val="TableContents"/>
              <w:bidi w:val="0"/>
              <w:spacing w:before="0" w:after="0"/>
              <w:ind w:left="0" w:right="0" w:hanging="0"/>
              <w:jc w:val="both"/>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w:t>
            </w:r>
          </w:p>
        </w:tc>
        <w:tc>
          <w:tcPr>
            <w:tcW w:w="3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19"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(4,968,000)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(9,911,000)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4,943,000</w:t>
            </w:r>
          </w:p>
        </w:tc>
        <w:tc>
          <w:tcPr>
            <w:tcW w:w="326" w:type="dxa"/>
            <w:tcBorders/>
            <w:shd w:fill="CCEEFF" w:val="clear"/>
            <w:vAlign w:val="center"/>
          </w:tcPr>
          <w:p>
            <w:pPr>
              <w:pStyle w:val="TableContents"/>
              <w:bidi w:val="0"/>
              <w:spacing w:before="0" w:after="0"/>
              <w:ind w:left="0" w:right="0" w:hanging="0"/>
              <w:jc w:val="both"/>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w:t>
            </w:r>
          </w:p>
        </w:tc>
        <w:tc>
          <w:tcPr>
            <w:tcW w:w="348"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r>
      <w:tr>
        <w:trPr/>
        <w:tc>
          <w:tcPr>
            <w:tcW w:w="4219"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both"/>
              <w:rPr/>
            </w:pPr>
            <w:r>
              <w:rPr/>
              <w:t>​</w:t>
            </w:r>
          </w:p>
        </w:tc>
      </w:tr>
      <w:tr>
        <w:trPr/>
        <w:tc>
          <w:tcPr>
            <w:tcW w:w="421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per share, basic and diluted</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26" w:type="dxa"/>
            <w:tcBorders/>
            <w:shd w:fill="CCEEFF" w:val="clear"/>
            <w:vAlign w:val="center"/>
          </w:tcPr>
          <w:p>
            <w:pPr>
              <w:pStyle w:val="TableContents"/>
              <w:bidi w:val="0"/>
              <w:spacing w:before="0" w:after="0"/>
              <w:ind w:left="0" w:right="0" w:hanging="0"/>
              <w:jc w:val="both"/>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19"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both"/>
              <w:rPr/>
            </w:pPr>
            <w:r>
              <w:rPr/>
              <w:t>​</w:t>
            </w:r>
          </w:p>
        </w:tc>
      </w:tr>
      <w:tr>
        <w:trPr/>
        <w:tc>
          <w:tcPr>
            <w:tcW w:w="421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Weighted average number of common shares outstanding</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8,721,000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8,311,000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410,000</w:t>
            </w:r>
          </w:p>
        </w:tc>
        <w:tc>
          <w:tcPr>
            <w:tcW w:w="326" w:type="dxa"/>
            <w:tcBorders/>
            <w:shd w:fill="CCEEFF" w:val="clear"/>
            <w:vAlign w:val="center"/>
          </w:tcPr>
          <w:p>
            <w:pPr>
              <w:pStyle w:val="TableContents"/>
              <w:bidi w:val="0"/>
              <w:spacing w:before="0" w:after="0"/>
              <w:ind w:left="0" w:right="0" w:hanging="0"/>
              <w:jc w:val="both"/>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generate any revenue during the three months ended March 31, 2023 and 2022, respectively, from the sales or licensing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the Cancer Prevention and Research Institute of Texas, or CPRIT, to support our Phase 2 clinical trial of MT-401. During the three months ended March 31, 2023, we recognized $1.1 million of revenue associated with the CPRIT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2022, we received notice from the FDA that it had awarded us a $2.0 million grant from the FDA’s Orphan Products Grant program to support our Phase 2 clinical trial of MT-401 for the treatment of post-transplant AML. During the three months ended March 31, 2023, we recognized $0.1 million of revenue associated with the FDA grant.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April 2022, we entered into a binding services agreement with Wilson Wolf Manufacturing Corporation. Or Wilson Wolf. Wilson Wolf is in the business of creating products and services intended to simplify and expedite the transition of cell therapies and gene-modified cell therapies to mainstream society. Pursuant to the agreement, Wilson Wolf made a cash payment to us in the amount of $8.0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million, as consideration for certain training and research services. During the three-month period ending March 31, 2023, we recognized the final $2.5 million of revenue pursuant to this $8.0 million agreement. Additionally, pursuant to the Agreement, Wilson Wolf agreed to pay us an additional $1.0 million because we achieved the agreed milestone of completing the Work Direction, which included certain CAR T and TCR G-Rex optimization work under the direction of Wilson Wolf, within one year from the onset of the Agreement. As such, we recorded an additional $1.0 million of service fee revenue during the three months ended March 31, 2023, with a corresponding $1.0 million related party receivable on our condensed consolidated balance sheet as of March 31, 2023. We received the $1.0 million payment in May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Operating expenses incurred during the three months ended March 31, 2023 were $9.8 million compared to $10.8 million during the three months ended March 31, 2022.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changes and expenditures in operating expenses are outlined as follows: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increased by 3% to $7.3 million for the three months ended March 31, 2023, compared to $7.0 million for the three months ended March 31,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$0.3 million in 2023 was primarily attributable to the following:</w:t>
      </w:r>
    </w:p>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$0.6 million in process development expenses,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$0.1 million in headcount-related expenses,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$0.3 million in depreciation expenses,</w:t>
            </w:r>
          </w:p>
        </w:tc>
      </w:tr>
    </w:tbl>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$0.2 million in professional and consulting fees,</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$0.2 million in clinical trial expenses, offset by</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$0.3 million in stock-based compensation expenses, and</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$0.8 million in sponsored research expenses from BCM agreements.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decreased by 33% to $2.5 million for the three months ended March 31, 2023, compared to $3.7 million for the three months ended March 31,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$1.2 million in 2023 was primarily attributable to the following:</w:t>
      </w:r>
    </w:p>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$0.6 million in stock-based compensation expenses,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$0.3 million in headcount-related expenses,</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$0.1 million in professional fees, and</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$0.2 million in rent and utilities expenses.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Arbitration Settlement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arbitration proceeding was brought against us before the FINRA by a broker seeking to be paid compensation for two financing transactions that occurred in 2018, a warrant conversion and a private placement brokered by another broker. The FINRA panel found in favor of the broker and awarded the broker $2.4 million for compensation, interest and attorney fees, which we recorded in the year ended December 31, 2021. During the three months ended March 31, 2022, we recorded an additional $0.1 million of expense related to this matter.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$0.1 million and $3,000 for the three months ended March 31, 2023 and 2022, respectively, and was attributable to interest income relating to funds that are held in U.S. Treasury notes and U.S. government agency-backed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our net loss during the three months ended March 31, 2023 compared to the three months ended March 31, 2022 was due to the timing of process development expenses, lower costs associated with our BCM clinical supplies agreement and higher grant income, offset by the continued expansion of our research and development activities, increased expenses relating to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generated any revenues from product sales since inception. We have financed our operations primarily through public and private offerings of our debt and equity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our cash and cash equivalents and working capital as of March 31, 2023 and December 31, 2022:</w:t>
      </w:r>
    </w:p>
    <w:tbl>
      <w:tblPr>
        <w:tblW w:w="5352" w:type="dxa"/>
        <w:jc w:val="left"/>
        <w:tblInd w:w="0" w:type="dxa"/>
        <w:tblLayout w:type="fixed"/>
        <w:tblCellMar>
          <w:top w:w="0" w:type="dxa"/>
          <w:left w:w="0" w:type="dxa"/>
          <w:bottom w:w="0" w:type="dxa"/>
          <w:right w:w="0" w:type="dxa"/>
        </w:tblCellMar>
      </w:tblPr>
      <w:tblGrid>
        <w:gridCol w:w="2266"/>
        <w:gridCol w:w="326"/>
        <w:gridCol w:w="211"/>
        <w:gridCol w:w="931"/>
        <w:gridCol w:w="326"/>
        <w:gridCol w:w="211"/>
        <w:gridCol w:w="108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38910" cy="175260"/>
                      <wp:effectExtent l="0" t="0" r="0" b="0"/>
                      <wp:wrapNone/>
                      <wp:docPr id="102" name="Frame100"/>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91185" cy="175260"/>
                      <wp:effectExtent l="0" t="0" r="0" b="0"/>
                      <wp:wrapNone/>
                      <wp:docPr id="105" name="Frame10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86435" cy="175260"/>
                      <wp:effectExtent l="0" t="0" r="0" b="0"/>
                      <wp:wrapNone/>
                      <wp:docPr id="108" name="Frame10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both"/>
              <w:rPr/>
            </w:pPr>
            <w:r>
              <w:rPr/>
              <w:t>    </w:t>
            </w:r>
          </w:p>
        </w:tc>
        <w:tc>
          <w:tcPr>
            <w:tcW w:w="12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both"/>
              <w:rPr/>
            </w:pPr>
            <w:r>
              <w:rPr/>
              <w:t>​</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6,401,000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11,782,000</w:t>
            </w:r>
          </w:p>
        </w:tc>
      </w:tr>
      <w:tr>
        <w:trPr/>
        <w:tc>
          <w:tcPr>
            <w:tcW w:w="22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Working capital</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5,709,000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8,837,000</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three months ended March 31, 2023 and 2022:</w:t>
      </w:r>
    </w:p>
    <w:tbl>
      <w:tblPr>
        <w:tblW w:w="6822" w:type="dxa"/>
        <w:jc w:val="left"/>
        <w:tblInd w:w="0" w:type="dxa"/>
        <w:tblLayout w:type="fixed"/>
        <w:tblCellMar>
          <w:top w:w="0" w:type="dxa"/>
          <w:left w:w="0" w:type="dxa"/>
          <w:bottom w:w="0" w:type="dxa"/>
          <w:right w:w="0" w:type="dxa"/>
        </w:tblCellMar>
      </w:tblPr>
      <w:tblGrid>
        <w:gridCol w:w="3496"/>
        <w:gridCol w:w="326"/>
        <w:gridCol w:w="211"/>
        <w:gridCol w:w="1051"/>
        <w:gridCol w:w="326"/>
        <w:gridCol w:w="211"/>
        <w:gridCol w:w="120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219960" cy="175260"/>
                      <wp:effectExtent l="0" t="0" r="0" b="0"/>
                      <wp:wrapNone/>
                      <wp:docPr id="109" name="Frame107"/>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67385" cy="175260"/>
                      <wp:effectExtent l="0" t="0" r="0" b="0"/>
                      <wp:wrapNone/>
                      <wp:docPr id="112" name="Frame11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62635" cy="175260"/>
                      <wp:effectExtent l="0" t="0" r="0" b="0"/>
                      <wp:wrapNone/>
                      <wp:docPr id="115" name="Frame113"/>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0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49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9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both"/>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34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(5,888,000)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(12,226,000)</w:t>
            </w:r>
          </w:p>
        </w:tc>
      </w:tr>
      <w:tr>
        <w:trPr/>
        <w:tc>
          <w:tcPr>
            <w:tcW w:w="34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(2,452,000)</w:t>
            </w:r>
          </w:p>
        </w:tc>
      </w:tr>
      <w:tr>
        <w:trPr/>
        <w:tc>
          <w:tcPr>
            <w:tcW w:w="34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decrease in cash and cash equivalents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(5,381,000)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(14,678,000)</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operating activities during the three months ended March 31, 2023 was $5.9 million compared to $12.2 million for the same period last year.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during the three months ended March 31, 2023 was $5.9 million. The changes in cash flow from operating activities during the three months ended March 31, 2023 were due to $5.0 million of net losses and a $2.6 million decrease from changes in operating assets and liabilities. This was in addition to $0.7 million of stock-based compensation, $0.8 million of depreciation expense and $0.2 million right-of-use asset amortization and lease liability accretion.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during the three months ended March 31, 2022 was $12.2 million. The changes in cash flow from operating activities during the three months ended March 31, 2022 were due to $9.9 million of net losses and a $4.8 million decrease from changes in operating assets and liabilities. This was in addition to $1.6 million of stock-based compensation, $0.6 million of depreciation expense and $0.3 million right-of-use asset amortization and lease liability accretion.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investing activities was $0.1 million for the purchase of property and equipment during the three months ended March 31, 2023.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was $2.5 million for the purchase of property and equipment and construction in progress related to our manufacturing facility during the three months ended March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was $0.6 million during the three months ended March 31, 2023, due to sales of common stock under the ATM Agreement and the Lincoln Park Purchase Agreement (as defined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Capital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CPRIT to support our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To date, we have received $4.8 million of funds from the CPRIT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2022, we entered into a binding services agreement with Wilson Wolf, pursuant to which Wilson Wolf made a cash payment to the Company in the amount of $8.0 million at the time of execution of the agreement. Further, we earned an additional $1.0 million upon the achievement of certain milestones, which was recorded during the three months ended March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we received notice from the U.S. Food and Drug Administration (the “FDA”) that it had awarded us a $2.0 million grant from the FDA’s Orphan Products Grant program to support our Phase 2 clinical trial of MT-401 for the treatment of post-transplant AML. In March 2023, we received $0.1 million of funds from the FDA grant. To date, we have received $0.2 million of funds from the FDA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2023, we signed an agreement with AlloVir, Inc. in which we will provide services for AlloVir’s long range process development and scale optimization. Under the terms of this agreement, we will receive total compensation in the amount of $400,000, estimated to be fully earned by the end of the third quarter in 2023. To date, we have not received any funds from the Allovir agreement. The Company anticipates that the Allovir agreement will be a Purchased Asset under the Cell Ready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2023, we signed the Indapta Agreement, pursuant to which provided services to Indapta. Under a work order of that agreement, now complete, we received approximately $0.8 million for the services rendered.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May 2023, we entered into the Cell Ready Agreement with Cell Ready, pursuant to which we will (i) assign to Cell Ready the Manufacturing Facilities, (ii) sell to Cell Ready all of the equipment and leasehold improvements at the Manufacturing Facilities and (iii) assign to Cell Ready our rights, title and interest in the Indapta Agreement, as well as our rights, title and interest in any contracts related to the equipment and Manufacturing Facilities, collectively, the Purchased Assets. Pursuant to the Cell Ready Agreement, Cell Ready will acquire the Purchased Assets for total consideration of approximately $19.0 million. In connection with the purchase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Manufacturing Facilities, Cell Ready also intends to extend offers of employment to approximately 50 of our employees currently employed in our manufacturing, development, quality and regulatory affairs functions. We expect to close this transaction on June 26,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2023, we had working capital of $5.6 million, compared to working capital of $8.8 million as of December 31, 2022. Based on our revised clinical and research and development plans and our revised timing expectations related to the progress of our programs, we expect that our cash and cash equivalents as of March 31, 2023 will enable us to fund our operating expenses and capital expenditure requirements into the third quarter of 2023. Such estimate does not include receipt of the approximately $19.0 million in connection with the closing of the Cell Ready Agreement, which is expected on June 26, 2023, subject to the satisfaction of customary closing conditions, and related anticipated cost savings. We have based this estimate on assumptions that may prove to be wrong, and we could utilize our available capital resources sooner than we currently expect. Furthermore, our operating plans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continue clinical trials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research and development of our product candidates and seek to discover additional product candidates;seek regulatory approvals for our product candidates if they successfully complete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sales, marketing and distribution infrastructure and scale-up manufacturing capabilities to commercialize any product candidates that may receive regulatory approval;</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strategic transactions we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operational, financial and information management systems and hire additional personnel, including personnel to support development of our product candidates and, if a product candidate is approved, our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COVID-19 pandemic, decades-high inflation and concerns about an economic recession in the United States or other major markets has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ATM Agreement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August 2021, we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(the “ATM Agreement”) with Cantor Fitzgerald &amp; Co. and RBC Capital Markets, LLC (the “Sales Agents”), pursuant to which we can offer and sell, from time to time at our sole discretion through the Sales Agents, shares of our common stock having an aggregate offering price of up to $75.0 million. Any shares of our common stock sold will be issued pursuant to our shelf registration statement on Form S-3 (File No. 333-258687), which the SEC declared effective on August 19, 2021. The shelf registration statement on Form S-3 includes a prospectus supplement covering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offering up to $9.87 million of shares of common stock over the 12 months ending March 22, 2024 pursuant to General Instruction I.B.6 of Form S-3, which limits the amounts that the Company may sell under the registration statement, and in accordance with the ATM agreement. The Sales Agents will be entitled to compensation under the Sales Agreement at a commission rate equal to 3.0% of the gross sales price per share sold under the ATM Agreement, and we have provided each of the Sales Agents with indemnification and contribution rights. During the three months ended March 31, 2023, we sold 200,261 shares of our common stock under the ATM Agreement for proceeds of $0.6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2022, we entered into a purchase agreement (the “Purchase Agreement”) with Lincoln Park Capital Fund, LLC (“Lincoln Park”) which provides that, upon the terms and subject to the conditions of the Purchase Agreement, we have the right, but not the obligation, to sell to Lincoln Park up to $25,000,000 of shares of our common stock (the “Purchase Shares”) from time to time over a 24-month term, at a variable price with certain market-based terms as defined in the Purchase Agreement. The Purchase Agreement does not exhibit any of the characteristics for liability classification under ASC Topic 480, Distinguishing Liabilities from Equity. Instead, the purchase agreement is indexed to the Company’s own stock under ASC Subtopic 815-40, Contracts in Entity’s Own Equity, and classified as equity. In January 2023, Lincoln Park was issued 180,410 shares of stock as a commitment fee at a value of $0.5 million. During the three months ended March 31, 2023, we sold 12,500 shares of our common stock under the Purchase Agreement for proceeds of approximately $33,000.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 sources of revenue, other than grant and related party services income, to provide incoming cash flows to sustain our future operations. As outlined above, our ability to pursue our planned business activities is dependent upon our successful efforts to raise additional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under Part II, Item 7 of our Annual Report on Form 10-K for the year ended December 31, 2022.</w:t>
      </w:r>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606" w:name="Item3QuantitativeandQualitativeDisclosur"/>
      <w:bookmarkStart w:id="607" w:name="_f50fdce3_ab16_47e8_ab04_9247b2894fd8"/>
      <w:bookmarkEnd w:id="606"/>
      <w:bookmarkEnd w:id="607"/>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w:t>
      </w:r>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608" w:name="Item4ControlsandProcedures_453239"/>
      <w:bookmarkStart w:id="609" w:name="_6ab39029_9080_41be_b239_78e2e9377072"/>
      <w:bookmarkEnd w:id="608"/>
      <w:bookmarkEnd w:id="609"/>
      <w:r>
        <w:rPr>
          <w:rFonts w:ascii="Times New Roman;Times;serif" w:hAnsi="Times New Roman;Times;serif"/>
          <w:b/>
          <w:sz w:val="20"/>
        </w:rPr>
        <w:t>Item 4.         Controls and Procedures</w:t>
      </w:r>
    </w:p>
    <w:p>
      <w:pPr>
        <w:pStyle w:val="TextBody"/>
        <w:bidi w:val="0"/>
        <w:spacing w:before="0" w:after="24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Evaluation of Disclosure Controls and Procedures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management, with the participation of our principal executive officer and our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procedures designed to ensure that information required to be disclosed in the reports we file or submit under the Exchange Act is accumulated and communicated to management, including our Chief Executive Officer and Chief Accounting Officer, as appropriate, to allow timely decisions regarding required disclosure. Based on such evaluation, our Chief Executive Officer and our Chief Accounting Officer have concluded that, as of the end of the period covered by this report, our disclosure controls and procedures are effective in recording, processing, summarizing and reporting, on a timely basis, information required to be disclosed by us in the reports that we file or submit under the Exchange Act.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pStyle w:val="TextBody"/>
        <w:bidi w:val="0"/>
        <w:spacing w:before="0" w:after="24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changes in our internal controls over financial reporting during the three months ended March 31, 2023 that have materially affected, or are reasonably likely to materially affect, our internal control over financial reporting.</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610" w:name="PARTIIOTHERINFORMATION_786639"/>
      <w:bookmarkStart w:id="611" w:name="_520b9c58_67a0_4dec_83c0_9cc708d2ed19"/>
      <w:bookmarkEnd w:id="610"/>
      <w:bookmarkEnd w:id="611"/>
      <w:r>
        <w:rPr>
          <w:rFonts w:ascii="Times New Roman;Times;serif" w:hAnsi="Times New Roman;Times;serif"/>
          <w:b/>
          <w:sz w:val="20"/>
        </w:rPr>
        <w:t>PART II – OTHER INFORMATION</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612" w:name="Item1LegalProceedings_798737"/>
      <w:bookmarkEnd w:id="612"/>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613" w:name="Item1ARiskFactors_449487"/>
      <w:bookmarkStart w:id="614" w:name="_dc163ddb_fe67_423a_a12a_7b45d7d6edea"/>
      <w:bookmarkEnd w:id="613"/>
      <w:bookmarkEnd w:id="614"/>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2022, filed with the Securities and Exchange Commission on March 12, 2023. There have been no material changes to the risk factors described in that report, other than as described below.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announcement and pendency of the transaction with Cell Ready could adversely affect our business, financial condition, results and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2023, we entered into the Cell Ready Agreement with Cell Ready, pursuant to which we will (i) assign to Cell Ready the Manufacturing Facilities, (ii) sell to Cell Ready all of the equipment and leasehold improvements at the Manufacturing Facilities and (iii) assign to Cell Ready our rights, title and interest in the Indapta Agreement, as well as our rights, title and interest in any contracts related to the equipment and Manufacturing Facilities, collectively, the Purchased Assets for total consideration of approximately $19.0 million. In connection with the purchase of the Manufacturing Facilities, Cell Ready also intends to extend offers of employment to approximately 50 of our employees currently employed in our manufacturing, development, quality and regulatory affairs functions.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announcement and pendency of the Cell Ready transaction could cause disruptions in and create uncertainty surrounding our business, which could have an adverse effect on our business, financial condition, results and operations, regardless of whether the Cell Ready transaction is completed. These risks to our business include the following, all of which could be exacerbated by a delay in the completion of the Cell Ready transaction:</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significant management time and resources towards the completion of the Cell Ready transaction;</w:t>
            </w:r>
          </w:p>
        </w:tc>
      </w:tr>
    </w:tbl>
    <w:p>
      <w:pPr>
        <w:pStyle w:val="TextBody"/>
        <w:bidi w:val="0"/>
        <w:spacing w:before="0" w:after="0"/>
        <w:ind w:left="0" w:right="0" w:firstLine="45"/>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of our ability to attract, retain, and motivate key personnel, including our senior management, and particularly those employees to whom employment offers will be extended by Cell Ready;</w:t>
            </w:r>
          </w:p>
        </w:tc>
      </w:tr>
    </w:tbl>
    <w:p>
      <w:pPr>
        <w:pStyle w:val="TextBody"/>
        <w:bidi w:val="0"/>
        <w:spacing w:before="0" w:after="0"/>
        <w:ind w:left="0" w:right="0" w:firstLine="45"/>
        <w:jc w:val="both"/>
        <w:rPr/>
      </w:pPr>
      <w:r>
        <w:rPr/>
        <w:t>​</w:t>
      </w:r>
    </w:p>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maintaining relationships with customers, suppliers, and other business partners;</w:t>
            </w:r>
          </w:p>
        </w:tc>
      </w:tr>
    </w:tbl>
    <w:p>
      <w:pPr>
        <w:pStyle w:val="TextBody"/>
        <w:bidi w:val="0"/>
        <w:spacing w:before="0" w:after="0"/>
        <w:ind w:left="0" w:right="0" w:firstLine="45"/>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pursue alternative business opportunities or make appropriate changes to our business because of requirements in the Cell Ready Agreement that we conduct our business in the ordinary course and not engage in certain kinds of transactions prior to the completion of the Cell Ready transaction; and</w:t>
            </w:r>
          </w:p>
        </w:tc>
      </w:tr>
    </w:tbl>
    <w:p>
      <w:pPr>
        <w:pStyle w:val="TextBody"/>
        <w:bidi w:val="0"/>
        <w:spacing w:before="0" w:after="0"/>
        <w:ind w:left="0" w:right="0" w:firstLine="45"/>
        <w:jc w:val="both"/>
        <w:rPr/>
      </w:pPr>
      <w:r>
        <w:rPr/>
        <w:t>​</w:t>
      </w:r>
    </w:p>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relating to the Cell Ready transaction and the costs and distractions related thereto.</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Cell Ready transaction may not be completed within the expected timeframe, or at all, and the failure to complete the Cell Ready transaction could adversely affect our business and the market price of our common stock.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completion of the Cell Ready transaction is subject to a number of conditions, as set forth in the Cell Ready Agreement. None of us can predict when or if these conditions will be satisfied. There can be no assurance that our business, our relationships or our financial condition will not be adversely affected, as compared to the condition prior to the announcement of the Cell Ready transaction, if the Cell Ready transaction is not consummated. Failure to complete the Cell Ready transaction could adversely affect our business and the market price of our common stock in a number of ways, including the following:</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Cell Ready transaction is not completed, the share price of our common stock will change to the extent that the current market price of our stock reflects an assumption that the Cell Ready transaction will be completed;</w:t>
            </w:r>
          </w:p>
        </w:tc>
      </w:tr>
    </w:tbl>
    <w:p>
      <w:pPr>
        <w:pStyle w:val="TextBody"/>
        <w:bidi w:val="0"/>
        <w:spacing w:before="0" w:after="0"/>
        <w:ind w:left="0" w:right="0" w:firstLine="45"/>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and will continue to incur, significant costs, expenses and fees for professional services and other costs in connection with the Cell Ready transaction, including with respect to the Indapta agreement, for which we may receive little or no benefit if the Cell Ready transaction is not completed. Many of these fees and costs will be payable by us even if the Cell Ready transaction is not completed and may relate to activities that we would not have undertaken other than to complete the Cell Ready transaction; and</w:t>
            </w:r>
          </w:p>
        </w:tc>
      </w:tr>
    </w:tbl>
    <w:p>
      <w:pPr>
        <w:pStyle w:val="TextBody"/>
        <w:bidi w:val="0"/>
        <w:spacing w:before="0" w:after="0"/>
        <w:ind w:left="0" w:right="0" w:firstLine="45"/>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failed Cell Ready transaction may result in negative publicity and a negative impression of us in the investment community.</w:t>
            </w:r>
          </w:p>
        </w:tc>
      </w:tr>
    </w:tbl>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615" w:name="Item2UnregisteredSalesofEquitySecurities"/>
      <w:bookmarkStart w:id="616" w:name="_14410fc6_2770_42ba_acfd_662dba0f373f"/>
      <w:bookmarkEnd w:id="615"/>
      <w:bookmarkEnd w:id="616"/>
      <w:r>
        <w:rPr>
          <w:rFonts w:ascii="Times New Roman;Times;serif" w:hAnsi="Times New Roman;Times;serif"/>
          <w:b/>
          <w:sz w:val="20"/>
        </w:rPr>
        <w:t>Item 2.         Unregistered Sales of Equity Securities and Use of Proceeds</w:t>
      </w:r>
    </w:p>
    <w:p>
      <w:pPr>
        <w:pStyle w:val="TextBody"/>
        <w:bidi w:val="0"/>
        <w:spacing w:before="0" w:after="0"/>
        <w:ind w:left="14" w:right="0" w:hanging="0"/>
        <w:jc w:val="both"/>
        <w:rPr>
          <w:rFonts w:ascii="Times New Roman;Times;serif" w:hAnsi="Times New Roman;Times;serif"/>
          <w:sz w:val="20"/>
        </w:rPr>
      </w:pPr>
      <w:r>
        <w:rPr>
          <w:rFonts w:ascii="Times New Roman;Times;serif" w:hAnsi="Times New Roman;Times;serif"/>
          <w:sz w:val="20"/>
        </w:rPr>
        <w:t>We did not record any issuances of unregistered securities during the three months ended March 31, 2023.</w:t>
      </w:r>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617" w:name="Item3DefaultsUponSeniorSecurities_390946"/>
      <w:bookmarkStart w:id="618" w:name="_e63e8374_7470_445f_859c_0ede78dd53da"/>
      <w:bookmarkEnd w:id="617"/>
      <w:bookmarkEnd w:id="618"/>
      <w:r>
        <w:rPr>
          <w:rFonts w:ascii="Times New Roman;Times;serif" w:hAnsi="Times New Roman;Times;serif"/>
          <w:b/>
          <w:sz w:val="20"/>
        </w:rPr>
        <w:t>Item 3.         Defaults Upon Senior Securities</w:t>
      </w:r>
    </w:p>
    <w:p>
      <w:pPr>
        <w:pStyle w:val="TextBody"/>
        <w:bidi w:val="0"/>
        <w:spacing w:before="0" w:after="0"/>
        <w:ind w:left="14"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619" w:name="Item4MineSafetyDisclosure_210061"/>
      <w:bookmarkStart w:id="620" w:name="_a0f1f35e_53dd_4af0_acff_d9058a251221"/>
      <w:bookmarkEnd w:id="619"/>
      <w:bookmarkEnd w:id="620"/>
      <w:r>
        <w:rPr>
          <w:rFonts w:ascii="Times New Roman;Times;serif" w:hAnsi="Times New Roman;Times;serif"/>
          <w:b/>
          <w:sz w:val="20"/>
        </w:rPr>
        <w:t>Item 4.         Mine Safety Disclosure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both"/>
        <w:rPr>
          <w:rFonts w:ascii="Times New Roman;Times;serif" w:hAnsi="Times New Roman;Times;serif"/>
          <w:b/>
          <w:sz w:val="20"/>
        </w:rPr>
      </w:pPr>
      <w:bookmarkStart w:id="621" w:name="Item5OtherInformation_200318"/>
      <w:bookmarkStart w:id="622" w:name="_325bc3ff_2a42_4734_a767_d147500dd175"/>
      <w:bookmarkEnd w:id="621"/>
      <w:bookmarkEnd w:id="622"/>
      <w:r>
        <w:rPr>
          <w:rFonts w:ascii="Times New Roman;Times;serif" w:hAnsi="Times New Roman;Times;serif"/>
          <w:b/>
          <w:sz w:val="20"/>
        </w:rPr>
        <w:t>Item 5.         Other Information</w:t>
      </w:r>
    </w:p>
    <w:p>
      <w:pPr>
        <w:pStyle w:val="TextBody"/>
        <w:bidi w:val="0"/>
        <w:spacing w:before="0" w:after="240"/>
        <w:ind w:left="14" w:right="0" w:hanging="0"/>
        <w:jc w:val="both"/>
        <w:rPr>
          <w:rFonts w:ascii="Times New Roman;Times;serif" w:hAnsi="Times New Roman;Times;serif"/>
          <w:b/>
          <w:i/>
          <w:sz w:val="20"/>
        </w:rPr>
      </w:pPr>
      <w:r>
        <w:rPr>
          <w:rFonts w:ascii="Times New Roman;Times;serif" w:hAnsi="Times New Roman;Times;serif"/>
          <w:b/>
          <w:i/>
          <w:sz w:val="20"/>
        </w:rPr>
        <w:t>Juan Vera Option Grant</w:t>
      </w:r>
    </w:p>
    <w:p>
      <w:pPr>
        <w:pStyle w:val="TextBody"/>
        <w:bidi w:val="0"/>
        <w:spacing w:before="0" w:after="240"/>
        <w:ind w:left="14" w:right="0" w:hanging="0"/>
        <w:jc w:val="both"/>
        <w:rPr>
          <w:rFonts w:ascii="Times New Roman;Times;serif" w:hAnsi="Times New Roman;Times;serif"/>
          <w:sz w:val="20"/>
        </w:rPr>
      </w:pPr>
      <w:r>
        <w:rPr>
          <w:rFonts w:ascii="Times New Roman;Times;serif" w:hAnsi="Times New Roman;Times;serif"/>
          <w:sz w:val="20"/>
        </w:rPr>
        <w:t>As previously disclosed in our Current Report on Form 8-K dated May 1, 2023, or the Prior 8-K, on April 27, 2023, our board of directors appointed Juan Vera as our President and Chief Executive Officer, effective as May 1, 2023. As of the filing of the Prior 8-K, and as of the date of this report, the compensation committee of our board of directors and our board of directors had not yet finalized the employment terms and compensation of Mr. Vera in connection with his appointment as President and Chief Executive Officer.</w:t>
      </w:r>
    </w:p>
    <w:p>
      <w:pPr>
        <w:pStyle w:val="TextBody"/>
        <w:bidi w:val="0"/>
        <w:spacing w:before="0" w:after="240"/>
        <w:ind w:left="14" w:right="0" w:hanging="0"/>
        <w:jc w:val="both"/>
        <w:rPr>
          <w:rFonts w:ascii="Times New Roman;Times;serif" w:hAnsi="Times New Roman;Times;serif"/>
          <w:sz w:val="20"/>
        </w:rPr>
      </w:pPr>
      <w:r>
        <w:rPr>
          <w:rFonts w:ascii="Times New Roman;Times;serif" w:hAnsi="Times New Roman;Times;serif"/>
          <w:sz w:val="20"/>
        </w:rPr>
        <w:t>On May 10, 2023, our board of directors approved a one-time share option grant of 100,000 shares of the our common stock to Mr. Vera. The option has a term of ten years and will vest in equal annual installments on May 10, 2024, May 10, 2025, May 10, 2026 and May 10, 2027, subject to Mr. Vera’s continued service to the Company as of the applicable vesting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0" w:right="0" w:hanging="0"/>
        <w:jc w:val="both"/>
        <w:rPr>
          <w:rFonts w:ascii="Times New Roman;Times;serif" w:hAnsi="Times New Roman;Times;serif"/>
          <w:b/>
          <w:sz w:val="20"/>
        </w:rPr>
      </w:pPr>
      <w:bookmarkStart w:id="623" w:name="Item6Exhibits_556633"/>
      <w:bookmarkStart w:id="624" w:name="_b451d736_88b1_45ad_a5d3_31a473598469"/>
      <w:bookmarkEnd w:id="623"/>
      <w:bookmarkEnd w:id="624"/>
      <w:r>
        <w:rPr>
          <w:rFonts w:ascii="Times New Roman;Times;serif" w:hAnsi="Times New Roman;Times;serif"/>
          <w:b/>
          <w:sz w:val="20"/>
        </w:rPr>
        <w:t>Item 6.         Exhibits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exhibits are included with this Quarterly Report on Form 10-Q:</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76"/>
        <w:gridCol w:w="206"/>
        <w:gridCol w:w="4968"/>
        <w:gridCol w:w="206"/>
        <w:gridCol w:w="511"/>
        <w:gridCol w:w="206"/>
        <w:gridCol w:w="749"/>
        <w:gridCol w:w="206"/>
        <w:gridCol w:w="631"/>
        <w:gridCol w:w="206"/>
        <w:gridCol w:w="651"/>
        <w:gridCol w:w="206"/>
        <w:gridCol w:w="783"/>
      </w:tblGrid>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both"/>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 </w:t>
            </w:r>
          </w:p>
        </w:tc>
        <w:tc>
          <w:tcPr>
            <w:tcW w:w="206" w:type="dxa"/>
            <w:tcBorders/>
            <w:vAlign w:val="center"/>
          </w:tcPr>
          <w:p>
            <w:pPr>
              <w:pStyle w:val="TableContents"/>
              <w:bidi w:val="0"/>
              <w:spacing w:before="0" w:after="0"/>
              <w:ind w:left="0" w:right="0" w:hanging="0"/>
              <w:jc w:val="both"/>
              <w:rPr/>
            </w:pPr>
            <w:r>
              <w:rPr/>
              <w:t>​</w:t>
            </w:r>
          </w:p>
        </w:tc>
        <w:tc>
          <w:tcPr>
            <w:tcW w:w="23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number</w:t>
            </w:r>
          </w:p>
        </w:tc>
        <w:tc>
          <w:tcPr>
            <w:tcW w:w="206" w:type="dxa"/>
            <w:tcBorders/>
            <w:vAlign w:val="center"/>
          </w:tcPr>
          <w:p>
            <w:pPr>
              <w:pStyle w:val="TableContents"/>
              <w:bidi w:val="0"/>
              <w:spacing w:before="0" w:after="0"/>
              <w:ind w:left="0" w:right="0" w:hanging="0"/>
              <w:jc w:val="both"/>
              <w:rPr/>
            </w:pPr>
            <w:r>
              <w:rPr/>
              <w:t>  </w:t>
            </w:r>
          </w:p>
        </w:tc>
        <w:tc>
          <w:tcPr>
            <w:tcW w:w="49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06" w:type="dxa"/>
            <w:tcBorders/>
            <w:vAlign w:val="center"/>
          </w:tcPr>
          <w:p>
            <w:pPr>
              <w:pStyle w:val="TableContents"/>
              <w:bidi w:val="0"/>
              <w:spacing w:before="0" w:after="0"/>
              <w:ind w:left="0" w:right="0" w:hanging="0"/>
              <w:jc w:val="both"/>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06" w:type="dxa"/>
            <w:tcBorders/>
            <w:vAlign w:val="center"/>
          </w:tcPr>
          <w:p>
            <w:pPr>
              <w:pStyle w:val="TableContents"/>
              <w:bidi w:val="0"/>
              <w:spacing w:before="0" w:after="0"/>
              <w:ind w:left="0" w:right="0" w:hanging="0"/>
              <w:jc w:val="both"/>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206" w:type="dxa"/>
            <w:tcBorders/>
            <w:vAlign w:val="center"/>
          </w:tcPr>
          <w:p>
            <w:pPr>
              <w:pStyle w:val="TableContents"/>
              <w:bidi w:val="0"/>
              <w:spacing w:before="0" w:after="0"/>
              <w:ind w:left="0" w:right="0" w:hanging="0"/>
              <w:jc w:val="both"/>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206" w:type="dxa"/>
            <w:tcBorders/>
            <w:vAlign w:val="center"/>
          </w:tcPr>
          <w:p>
            <w:pPr>
              <w:pStyle w:val="TableContents"/>
              <w:bidi w:val="0"/>
              <w:spacing w:before="0" w:after="0"/>
              <w:ind w:left="0" w:right="0" w:hanging="0"/>
              <w:jc w:val="both"/>
              <w:rPr/>
            </w:pPr>
            <w:r>
              <w:rPr/>
              <w:t>  </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206" w:type="dxa"/>
            <w:tcBorders/>
            <w:vAlign w:val="center"/>
          </w:tcPr>
          <w:p>
            <w:pPr>
              <w:pStyle w:val="TableContents"/>
              <w:bidi w:val="0"/>
              <w:spacing w:before="0" w:after="0"/>
              <w:ind w:left="0" w:right="0" w:hanging="0"/>
              <w:jc w:val="both"/>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Incorporation (Delaware).</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Certificate of Amendment to Certificate of Incorporation.</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5/27/2022</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Certificate of Amendment to Amended and Restated Certificate of Incorporation</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1/26/2023</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Bylaws of Marker Therapeutics, Inc.</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w:anchor="mrkr-20230331xex10d1.htm">
              <w:r>
                <w:rPr>
                  <w:rStyle w:val="InternetLink"/>
                  <w:rFonts w:ascii="Times New Roman;Times;serif" w:hAnsi="Times New Roman;Times;serif"/>
                  <w:b w:val="false"/>
                  <w:i w:val="false"/>
                  <w:caps w:val="false"/>
                  <w:smallCaps w:val="false"/>
                  <w:sz w:val="20"/>
                </w:rPr>
                <w:t>Separation Agreement between Marker Therapeutics, Inc. and Peter Hoang dated as of April 27, 2023.</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w:anchor="mrkr-20230331xex10d2.htm">
              <w:r>
                <w:rPr>
                  <w:rStyle w:val="InternetLink"/>
                  <w:rFonts w:ascii="Times New Roman;Times;serif" w:hAnsi="Times New Roman;Times;serif"/>
                  <w:b w:val="false"/>
                  <w:i w:val="false"/>
                  <w:caps w:val="false"/>
                  <w:smallCaps w:val="false"/>
                  <w:sz w:val="20"/>
                </w:rPr>
                <w:t>Purchase Agreement between Cell Ready, LLC and Marker Therapeutics, Inc., dated May 1, 2023</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w:anchor="mrkr-20230331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1933, as amended.</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w:anchor="mrkr-20230331xex31d2.htm">
              <w:r>
                <w:rPr>
                  <w:rStyle w:val="InternetLink"/>
                  <w:rFonts w:ascii="Times New Roman;Times;serif" w:hAnsi="Times New Roman;Times;serif"/>
                  <w:b w:val="false"/>
                  <w:i w:val="false"/>
                  <w:caps w:val="false"/>
                  <w:smallCaps w:val="false"/>
                  <w:sz w:val="20"/>
                </w:rPr>
                <w:t>Certification of Chief Financial Officer Pursuant to Rule 13a-14(a) or 15d-14(a) of the Securities Exchange Act of 1933, as amended.</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32.1</w:t>
            </w:r>
            <w:r>
              <w:rPr>
                <w:rFonts w:ascii="Times New Roman;Times;serif" w:hAnsi="Times New Roman;Times;serif"/>
                <w:sz w:val="15"/>
              </w:rPr>
              <w:t>*</w:t>
            </w:r>
          </w:p>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w:anchor="mrkr-20230331xex32d1.htm">
              <w:r>
                <w:rPr>
                  <w:rStyle w:val="InternetLink"/>
                  <w:rFonts w:ascii="Times New Roman;Times;serif" w:hAnsi="Times New Roman;Times;serif"/>
                  <w:b w:val="false"/>
                  <w:i w:val="false"/>
                  <w:caps w:val="false"/>
                  <w:smallCaps w:val="false"/>
                  <w:sz w:val="20"/>
                </w:rPr>
                <w:t>Certification of Chief Executive Officer Pursuant to 18 U.S.C. 1350 as adopted pursuant to Section 906 of the Sarbanes-Oxley Act of 2002.</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32.2</w:t>
            </w:r>
            <w:r>
              <w:rPr>
                <w:rFonts w:ascii="Times New Roman;Times;serif" w:hAnsi="Times New Roman;Times;serif"/>
                <w:sz w:val="15"/>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w:anchor="mrkr-20230331xex32d2.htm">
              <w:r>
                <w:rPr>
                  <w:rStyle w:val="InternetLink"/>
                  <w:rFonts w:ascii="Times New Roman;Times;serif" w:hAnsi="Times New Roman;Times;serif"/>
                  <w:b w:val="false"/>
                  <w:i w:val="false"/>
                  <w:caps w:val="false"/>
                  <w:smallCaps w:val="false"/>
                  <w:sz w:val="20"/>
                </w:rPr>
                <w:t>Certification of Chief Financial Officer and Principal Financial Officer pursuant to 18 U.S.C. 1350 as adopted pursuant to Section 906 of the Sarbanes-Oxley Act of 2002.</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101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 - XBRL Instance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 - XBRL Taxonomy Extension Schema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 - XBRL Taxonomy Extension Calculation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 - XBRL Taxonomy Extension Definition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 - XBRL Taxonomy Extension Label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 - XBRL Taxonomy Extension Presentation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        - Cover Page Interactive Data File (formatted as Inline XBRL and contained in Exhibit 101 filed herewith).</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Certain schedules to this agreement have been omitted in accordance with Item 601(b)(2) of Regulation S-K. A copy of any omitted schedules will be furnished supplementally to the SEC upon request.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625" w:name="SIGNATURES_208803"/>
      <w:bookmarkStart w:id="626" w:name="_b6b41da5_f0c9_489e_a1fe_9ae441ee7559"/>
      <w:bookmarkEnd w:id="625"/>
      <w:bookmarkEnd w:id="626"/>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the requirements of the Exchange Act, the registrant caused this report to be signed on its behalf by the undersigned, thereunto duly authorized.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May 15, 2023</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0"/>
        <w:ind w:left="0" w:right="0" w:hanging="0"/>
        <w:jc w:val="center"/>
        <w:rPr/>
      </w:pPr>
      <w:r>
        <w:rPr/>
        <w:t>​</w:t>
      </w:r>
    </w:p>
    <w:tbl>
      <w:tblPr>
        <w:tblW w:w="6324" w:type="dxa"/>
        <w:jc w:val="left"/>
        <w:tblInd w:w="0" w:type="dxa"/>
        <w:tblLayout w:type="fixed"/>
        <w:tblCellMar>
          <w:top w:w="0" w:type="dxa"/>
          <w:left w:w="0" w:type="dxa"/>
          <w:bottom w:w="0" w:type="dxa"/>
          <w:right w:w="0" w:type="dxa"/>
        </w:tblCellMar>
      </w:tblPr>
      <w:tblGrid>
        <w:gridCol w:w="124"/>
        <w:gridCol w:w="6046"/>
        <w:gridCol w:w="154"/>
      </w:tblGrid>
      <w:tr>
        <w:trPr/>
        <w:tc>
          <w:tcPr>
            <w:tcW w:w="124" w:type="dxa"/>
            <w:tcBorders/>
            <w:vAlign w:val="center"/>
          </w:tcPr>
          <w:p>
            <w:pPr>
              <w:pStyle w:val="TableContents"/>
              <w:bidi w:val="0"/>
              <w:spacing w:before="0" w:after="0"/>
              <w:ind w:left="0" w:right="0" w:hanging="0"/>
              <w:jc w:val="both"/>
              <w:rPr/>
            </w:pPr>
            <w:r>
              <w:rPr/>
              <w:t>​</w:t>
            </w:r>
          </w:p>
        </w:tc>
        <w:tc>
          <w:tcPr>
            <w:tcW w:w="604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04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0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Chief Executive Officer and Principal Executive Officer</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04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04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Michael J. Loiacono</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04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Michael J. Loiacono</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0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Accounting Officer and Principal Financial and Accounting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rFonts w:ascii="Times New Roman;Times;serif" w:hAnsi="Times New Roman;Times;serif"/>
          <w:sz w:val="20"/>
        </w:rPr>
      </w:pPr>
      <w:bookmarkStart w:id="627" w:name="mrkr-20230331xex10d1.htm"/>
      <w:bookmarkStart w:id="628" w:name="ksmrkr20230331xex10d1"/>
      <w:bookmarkEnd w:id="627"/>
      <w:bookmarkEnd w:id="628"/>
      <w:r>
        <w:rPr>
          <w:rFonts w:ascii="Times New Roman;Times;serif" w:hAnsi="Times New Roman;Times;serif"/>
          <w:sz w:val="20"/>
        </w:rPr>
        <w:t>Page 1</w:t>
      </w:r>
      <w:r>
        <w:br w:type="page"/>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27,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Peter L. Hoang</w:t>
        <w:br/>
        <w:t>3787 Bissonnet St</w:t>
        <w:br/>
        <w:t>Houston , TX 77005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Dear Peter: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letter sets forth the substance of the separation agreement (the “</w:t>
      </w:r>
      <w:r>
        <w:rPr>
          <w:rFonts w:ascii="Times New Roman;Times;serif" w:hAnsi="Times New Roman;Times;serif"/>
          <w:b/>
          <w:sz w:val="20"/>
        </w:rPr>
        <w:t>Agreement”)</w:t>
      </w:r>
      <w:r>
        <w:rPr>
          <w:rFonts w:ascii="Times New Roman;Times;serif" w:hAnsi="Times New Roman;Times;serif"/>
          <w:sz w:val="20"/>
        </w:rPr>
        <w:t xml:space="preserve"> that Marker Therapeutics, Inc. (the “</w:t>
      </w:r>
      <w:r>
        <w:rPr>
          <w:rFonts w:ascii="Times New Roman;Times;serif" w:hAnsi="Times New Roman;Times;serif"/>
          <w:b/>
          <w:sz w:val="20"/>
        </w:rPr>
        <w:t xml:space="preserve">Company”) </w:t>
      </w:r>
      <w:r>
        <w:rPr>
          <w:rFonts w:ascii="Times New Roman;Times;serif" w:hAnsi="Times New Roman;Times;serif"/>
          <w:sz w:val="20"/>
        </w:rPr>
        <w:t>is offering to you to aid in your employment transition.</w:t>
      </w:r>
    </w:p>
    <w:p>
      <w:pPr>
        <w:pStyle w:val="TextBody"/>
        <w:bidi w:val="0"/>
        <w:spacing w:before="0" w:after="0"/>
        <w:ind w:left="0" w:right="0" w:hanging="0"/>
        <w:jc w:val="left"/>
        <w:rPr/>
      </w:pPr>
      <w:r>
        <w:rPr/>
        <w:t>​</w:t>
      </w:r>
    </w:p>
    <w:p>
      <w:pPr>
        <w:pStyle w:val="TextBody"/>
        <w:bidi w:val="0"/>
        <w:spacing w:before="0" w:after="0"/>
        <w:ind w:left="360" w:right="0" w:firstLine="720"/>
        <w:jc w:val="both"/>
        <w:rPr>
          <w:rFonts w:ascii="Times New Roman;Times;serif" w:hAnsi="Times New Roman;Times;serif"/>
          <w:sz w:val="20"/>
        </w:rPr>
      </w:pPr>
      <w:r>
        <w:rPr>
          <w:rFonts w:ascii="Times New Roman;Times;serif" w:hAnsi="Times New Roman;Times;serif"/>
          <w:b/>
          <w:sz w:val="20"/>
        </w:rPr>
        <w:t xml:space="preserve">1. Separation. </w:t>
      </w:r>
      <w:r>
        <w:rPr>
          <w:rFonts w:ascii="Times New Roman;Times;serif" w:hAnsi="Times New Roman;Times;serif"/>
          <w:sz w:val="20"/>
        </w:rPr>
        <w:t xml:space="preserve">Your last day of work with the Company and your employment termination date will be </w:t>
      </w:r>
      <w:r>
        <w:rPr>
          <w:rFonts w:ascii="Times New Roman;Times;serif" w:hAnsi="Times New Roman;Times;serif"/>
          <w:sz w:val="20"/>
          <w:u w:val="single"/>
        </w:rPr>
        <w:t>May l, 2023</w:t>
      </w:r>
      <w:r>
        <w:rPr>
          <w:rFonts w:ascii="Times New Roman;Times;serif" w:hAnsi="Times New Roman;Times;serif"/>
          <w:sz w:val="20"/>
        </w:rPr>
        <w:t xml:space="preserve"> (the “</w:t>
      </w:r>
      <w:r>
        <w:rPr>
          <w:rFonts w:ascii="Times New Roman;Times;serif" w:hAnsi="Times New Roman;Times;serif"/>
          <w:b/>
          <w:sz w:val="20"/>
        </w:rPr>
        <w:t xml:space="preserve">Separation Date”). </w:t>
      </w:r>
      <w:r>
        <w:rPr>
          <w:rFonts w:ascii="Times New Roman;Times;serif" w:hAnsi="Times New Roman;Times;serif"/>
          <w:sz w:val="20"/>
        </w:rPr>
        <w:t>You agree that your execution of this Agreement shall also serve as your resignation, effective as of the Separation Date, from any directorships, offices, or other positions that you hold in the Company or any affiliate.</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 xml:space="preserve">Accrued Salary and Paid Time Off. </w:t>
      </w:r>
      <w:r>
        <w:rPr>
          <w:rFonts w:ascii="Times New Roman;Times;serif" w:hAnsi="Times New Roman;Times;serif"/>
          <w:sz w:val="20"/>
        </w:rPr>
        <w:t>On or shortly after the Separation Date, the Company will pay you all accrued salary and all accrued and unused vacation/PTO earned through the Separation Date, subject to standard payroll deductions and withholdings. You are entitled to this payment by law.</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 xml:space="preserve">Severance Payment. </w:t>
      </w:r>
      <w:r>
        <w:rPr>
          <w:rFonts w:ascii="Times New Roman;Times;serif" w:hAnsi="Times New Roman;Times;serif"/>
          <w:sz w:val="20"/>
        </w:rPr>
        <w:t>In accordance with Section 9 of the employment agreement you executed with the Company dated September 22, 2017, as amended on March 14, 2019 (the “</w:t>
      </w:r>
      <w:r>
        <w:rPr>
          <w:rFonts w:ascii="Times New Roman;Times;serif" w:hAnsi="Times New Roman;Times;serif"/>
          <w:b/>
          <w:sz w:val="20"/>
        </w:rPr>
        <w:t xml:space="preserve">Employment Agreement”), </w:t>
      </w:r>
      <w:r>
        <w:rPr>
          <w:rFonts w:ascii="Times New Roman;Times;serif" w:hAnsi="Times New Roman;Times;serif"/>
          <w:sz w:val="20"/>
        </w:rPr>
        <w:t>if you timely sign this Agreement and comply with your obligations under it (collectively, the “</w:t>
      </w:r>
      <w:r>
        <w:rPr>
          <w:rFonts w:ascii="Times New Roman;Times;serif" w:hAnsi="Times New Roman;Times;serif"/>
          <w:b/>
          <w:sz w:val="20"/>
        </w:rPr>
        <w:t xml:space="preserve">Severance Preconditions”), </w:t>
      </w:r>
      <w:r>
        <w:rPr>
          <w:rFonts w:ascii="Times New Roman;Times;serif" w:hAnsi="Times New Roman;Times;serif"/>
          <w:sz w:val="20"/>
        </w:rPr>
        <w:t xml:space="preserve">then the Company will pay you, as severance, the equivalent of </w:t>
      </w:r>
      <w:r>
        <w:rPr>
          <w:rFonts w:ascii="Times New Roman;Times;serif" w:hAnsi="Times New Roman;Times;serif"/>
          <w:sz w:val="20"/>
          <w:u w:val="single"/>
        </w:rPr>
        <w:t>twelve (12) months</w:t>
      </w:r>
      <w:r>
        <w:rPr>
          <w:rFonts w:ascii="Times New Roman;Times;serif" w:hAnsi="Times New Roman;Times;serif"/>
          <w:sz w:val="20"/>
        </w:rPr>
        <w:t xml:space="preserve"> of your base salary in effect as of the Separation Date, subject to standard payroll deductions and withholdings. In accordance with Section 9 of your Employment Agreement, this amount will be paid in a lump sum within sixty (60) days after your Separation Date, but no earlier than fifteen (15) days after the Effective Date (as defined below).</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 xml:space="preserve">Health Insurance. </w:t>
      </w:r>
      <w:r>
        <w:rPr>
          <w:rFonts w:ascii="Times New Roman;Times;serif" w:hAnsi="Times New Roman;Times;serif"/>
          <w:sz w:val="20"/>
        </w:rPr>
        <w:t xml:space="preserve">Unless you follow the procedures set forth in this paragraph, your participation in the Company’s group health insurance plan will end on </w:t>
      </w:r>
      <w:r>
        <w:rPr>
          <w:rFonts w:ascii="Times New Roman;Times;serif" w:hAnsi="Times New Roman;Times;serif"/>
          <w:sz w:val="20"/>
          <w:u w:val="single"/>
        </w:rPr>
        <w:t>May 30, 2023</w:t>
      </w:r>
      <w:r>
        <w:rPr>
          <w:rFonts w:ascii="Times New Roman;Times;serif" w:hAnsi="Times New Roman;Times;serif"/>
          <w:sz w:val="20"/>
        </w:rPr>
        <w:t>. To the extent provided by the federal COBRA law or, if applicable, state insurance laws, and by the Company’ s current group health insurance policies, you will be eligible to continue your group health insurance benefits at your own expense following the Separation Date. Later, you may be able to convert to an individual policy through the provider of the Company’ s health insurance, if you wish. You will be provided with a separate notice describing your rights and obligations under COBRA and a form for electing COBRA coverage. As an additional severance benefit under this Agreement, provided that you satisfy the Severance Preconditions and timely elect continued coverage under COBRA, then the Company shall reimburse you for the COBRA premiums to continue your health insurance coverage (including coverage for eligible dependents, if applicable) through the period (the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2</w:t>
      </w:r>
    </w:p>
    <w:p>
      <w:pPr>
        <w:pStyle w:val="TextBody"/>
        <w:bidi w:val="0"/>
        <w:spacing w:before="0" w:after="0"/>
        <w:ind w:left="0" w:right="0" w:hanging="0"/>
        <w:jc w:val="left"/>
        <w:rPr/>
      </w:pPr>
      <w:r>
        <w:rPr/>
        <w:t>​</w:t>
      </w:r>
    </w:p>
    <w:p>
      <w:pPr>
        <w:pStyle w:val="TextBody"/>
        <w:bidi w:val="0"/>
        <w:spacing w:before="0" w:after="0"/>
        <w:ind w:left="360" w:right="0" w:hanging="0"/>
        <w:jc w:val="both"/>
        <w:rPr/>
      </w:pPr>
      <w:r>
        <w:rPr/>
        <w:t>“</w:t>
      </w:r>
      <w:r>
        <w:rPr>
          <w:rFonts w:ascii="Times New Roman;Times;serif" w:hAnsi="Times New Roman;Times;serif"/>
          <w:b/>
          <w:sz w:val="20"/>
        </w:rPr>
        <w:t xml:space="preserve">COBRA Premium Period”) </w:t>
      </w:r>
      <w:r>
        <w:rPr>
          <w:rFonts w:ascii="Times New Roman;Times;serif" w:hAnsi="Times New Roman;Times;serif"/>
          <w:sz w:val="20"/>
        </w:rPr>
        <w:t xml:space="preserve">starting on the Separation Date and ending on the earliest to occur of: (i) </w:t>
      </w:r>
      <w:r>
        <w:rPr>
          <w:rFonts w:ascii="Times New Roman;Times;serif" w:hAnsi="Times New Roman;Times;serif"/>
          <w:sz w:val="20"/>
          <w:u w:val="single"/>
        </w:rPr>
        <w:t>May 30. 2024</w:t>
      </w:r>
      <w:r>
        <w:rPr>
          <w:rFonts w:ascii="Times New Roman;Times;serif" w:hAnsi="Times New Roman;Times;serif"/>
          <w:sz w:val="20"/>
        </w:rPr>
        <w:t>; (ii) the date you become eligible for group health insurance coverage through a new employer; or (iii) the date you cease to be eligible for COBRA coverage for any reason. You must timely pay your premiums, and then provide documentation to the Company to obtain reimbursement for your COBRA premiums under this Section. In the event you become covered under another employer’s group health plan or otherwise cease to be eligible for COBRA during the COBRA Premium Period, you must immediately notify the Company in writing.</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 xml:space="preserve">Stock Options. </w:t>
      </w:r>
      <w:r>
        <w:rPr>
          <w:rFonts w:ascii="Times New Roman;Times;serif" w:hAnsi="Times New Roman;Times;serif"/>
          <w:sz w:val="20"/>
        </w:rPr>
        <w:t>Under the terms of your stock option agreement and the applicable plan documents, vesting of your stock options will cease as of the Separation Date. Your right to exercise any vested shares, and all other rights and obligations with respect to your stock options, will be as set forth in your stock option agreement, grant notice and applicable plan documents.</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 xml:space="preserve">Other Compensation or Benefits. </w:t>
      </w:r>
      <w:r>
        <w:rPr>
          <w:rFonts w:ascii="Times New Roman;Times;serif" w:hAnsi="Times New Roman;Times;serif"/>
          <w:sz w:val="20"/>
        </w:rPr>
        <w:t>You acknowledge that, except as expressly provided in this Agreement, you have not earned and will not receive from the Company any additional compensation (including base salary, bonus, incentive compensation, or equity), severance, or benefits before or after the Separation Date, with the exception of any vested right you may have under the express terms of a written ERJSA-qualified benefit plan (e.g., 401 (k) account) or any vested stock options.</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 xml:space="preserve">Expense Reimbursements. </w:t>
      </w:r>
      <w:r>
        <w:rPr>
          <w:rFonts w:ascii="Times New Roman;Times;serif" w:hAnsi="Times New Roman;Times;serif"/>
          <w:sz w:val="20"/>
        </w:rPr>
        <w:t>You agree that, within five (5) calendar days after the Separation Date, you will 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Release of Claims.</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 xml:space="preserve">Scope of Release. </w:t>
      </w:r>
      <w:r>
        <w:rPr>
          <w:rFonts w:ascii="Times New Roman;Times;serif" w:hAnsi="Times New Roman;Times;serif"/>
          <w:sz w:val="20"/>
        </w:rPr>
        <w:t>In exchange for the consideration provided to you under this Agreement to which you would not otherwise be entitled, you hereby generally and completely release the Company, and its affiliated, related, parent and subsidiary entities, and its and their current and former directors, officers, employees, shareholders, partners, agents, investors, administrators, attorneys, benefit plans, plan administrators, professional employer organization or co-employer, trustees, divisions, predecessors, successors, insurers, affiliates, and assigns (collectively, the “</w:t>
      </w:r>
      <w:r>
        <w:rPr>
          <w:rFonts w:ascii="Times New Roman;Times;serif" w:hAnsi="Times New Roman;Times;serif"/>
          <w:b/>
          <w:sz w:val="20"/>
        </w:rPr>
        <w:t xml:space="preserve">Releasees”) </w:t>
      </w:r>
      <w:r>
        <w:rPr>
          <w:rFonts w:ascii="Times New Roman;Times;serif" w:hAnsi="Times New Roman;Times;serif"/>
          <w:sz w:val="20"/>
        </w:rPr>
        <w:t>from any and all claims, liabilities, demands, causes of action, and obligations, both known and unknown, arising from or in any way related to events, acts, conduct, or omissions occurring at any time prior to and including the date you sign this Agreement. This general release includes, but is not limited to: (a) all claims arising from or in any way related to your employment or relationship with the Releasees or the termination of that employment or relationship; (b) all claims related to your compensation or benefits from the Releasees, including salary, bonuses, commissions, vacation pay , expense reimbursements, severance pay, fringe benefits, stock, stock options, or any other ownership, equity, or profits interests in the Company; (c) all claims for breach of</w:t>
      </w:r>
    </w:p>
    <w:p>
      <w:pPr>
        <w:pStyle w:val="TextBody"/>
        <w:bidi w:val="0"/>
        <w:spacing w:before="0" w:after="0"/>
        <w:ind w:left="386" w:right="0" w:firstLine="1377"/>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3</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w:t>
      </w:r>
      <w:r>
        <w:rPr>
          <w:rFonts w:ascii="Times New Roman;Times;serif" w:hAnsi="Times New Roman;Times;serif"/>
          <w:b/>
          <w:sz w:val="20"/>
        </w:rPr>
        <w:t xml:space="preserve">(“ADEA”), </w:t>
      </w:r>
      <w:r>
        <w:rPr>
          <w:rFonts w:ascii="Times New Roman;Times;serif" w:hAnsi="Times New Roman;Times;serif"/>
          <w:sz w:val="20"/>
        </w:rPr>
        <w:t>the Texas Commission on Human Rights/Texas Employment Discrimination Law, as amended, the Texas Disability Discrimination Law, as amended, the Texas Minimum Wage Act, the Texas Wage Payment Law, the Texas Disaster and Emergency Responder Protection Law, and the Texas Wiretapping Protection Law.</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 xml:space="preserve">Exceptions. </w:t>
      </w:r>
      <w:r>
        <w:rPr>
          <w:rFonts w:ascii="Times New Roman;Times;serif" w:hAnsi="Times New Roman;Times;serif"/>
          <w:sz w:val="20"/>
        </w:rPr>
        <w:t>Notwithstanding the foregoing, you are not releasing the Releasees hereby from: (i) any obligation to indemnify you pursuant to the Articles and Bylaws of the Company or any of the other Releasees, any valid fully executed indemnification agreement with the Company or any of the other Releasees, applicable law, or applicable directors and officers liability insurance; (ii) any claims that cannot be waived by law; or (iii) any claims for breach of this Agreement.</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 xml:space="preserve">Protected Rights. </w:t>
      </w:r>
      <w:r>
        <w:rPr>
          <w:rFonts w:ascii="Times New Roman;Times;serif" w:hAnsi="Times New Roman;Times;serif"/>
          <w:sz w:val="20"/>
        </w:rPr>
        <w:t xml:space="preserve">You understand that nothing in this Agreement limits your ability to file a charge or complaint with the Equal Employment Opportunity Commission, the Department of Labor, the National Labor Relations Board, the Occupational Safety and Health Administration, the Texas Workforce Commission, the Securities and Exchange Commission, or any other federal , state, or local governmental agency or commission </w:t>
      </w:r>
      <w:r>
        <w:rPr>
          <w:rFonts w:ascii="Times New Roman;Times;serif" w:hAnsi="Times New Roman;Times;serif"/>
          <w:b/>
          <w:sz w:val="20"/>
        </w:rPr>
        <w:t xml:space="preserve">(“Government Agencies”). </w:t>
      </w:r>
      <w:r>
        <w:rPr>
          <w:rFonts w:ascii="Times New Roman;Times;serif" w:hAnsi="Times New Roman;Times;serif"/>
          <w:sz w:val="20"/>
        </w:rPr>
        <w:t>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 Nothing in this Agreement waives any rights you may have under Section 7 of the National Labor Relations Act (subject to the release of claims set forth herein).</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 xml:space="preserve">ADEA Release. </w:t>
      </w:r>
      <w:r>
        <w:rPr>
          <w:rFonts w:ascii="Times New Roman;Times;serif" w:hAnsi="Times New Roman;Times;serif"/>
          <w:sz w:val="20"/>
        </w:rPr>
        <w:t>You acknowledge that you are knowingly and voluntarily waiving and releasing 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arising after the date you sign this Agreement; (b) you should consult with an attorney prior to signing this Agreement (although you may choose voluntarily not to do so); (c) you have twenty-one (21) calendar days to consider this Agreement (although you may choose voluntarily to sign it sooner); (d) you have seven (7) calendar days following the date you sign this Agreement to revoke this Agreement (in a written revocation sent to the undersigned Company representative); and (e) this Agreement will not be effective until the</w:t>
      </w:r>
    </w:p>
    <w:p>
      <w:pPr>
        <w:pStyle w:val="TextBody"/>
        <w:bidi w:val="0"/>
        <w:spacing w:before="0" w:after="0"/>
        <w:ind w:left="392"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4</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date upon which the revocation period has expired, which will be the eighth day after you sign this Agreement provided that you do not revoke it. You agree that changes, whether material or immaterial, do not restart the running of the 21-day period.</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Return of Company Property.</w:t>
      </w:r>
      <w:r>
        <w:rPr>
          <w:rFonts w:ascii="Times New Roman;Times;serif" w:hAnsi="Times New Roman;Times;serif"/>
          <w:sz w:val="20"/>
        </w:rPr>
        <w:t xml:space="preserve"> You agree that, by the Separation Date, you will return to the Company all Company documents (and all copies thereof) and other Company property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(and all reproductions or embodiments thereof in whole or in part). You agree that you will make a diligent search to locate any such documents, property and information by the close of business on the Separation Date or as soon as possible thereafter. If you have used any personally owned computer or other electronic device, server, or e-mail system to receive, store, review, prepare or transmit any Company confidential or proprietary data, materials or information, by the Separation Date, you shall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completed. </w:t>
      </w:r>
      <w:r>
        <w:rPr>
          <w:rFonts w:ascii="Times New Roman;Times;serif" w:hAnsi="Times New Roman;Times;serif"/>
          <w:b/>
          <w:sz w:val="20"/>
        </w:rPr>
        <w:t>Your timely compliance with this paragraph is a condition to your receipt of the severance benefits provided under this Agreement.</w:t>
      </w:r>
    </w:p>
    <w:p>
      <w:pPr>
        <w:pStyle w:val="TextBody"/>
        <w:bidi w:val="0"/>
        <w:spacing w:before="0" w:after="0"/>
        <w:ind w:left="360" w:right="0" w:firstLine="72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Proprietary Information Obligations.</w:t>
      </w:r>
      <w:r>
        <w:rPr>
          <w:rFonts w:ascii="Times New Roman;Times;serif" w:hAnsi="Times New Roman;Times;serif"/>
          <w:sz w:val="20"/>
        </w:rPr>
        <w:t xml:space="preserve"> You acknowledge and reaffirm your continuing obligations under Section 5 (“</w:t>
      </w:r>
      <w:r>
        <w:rPr>
          <w:rFonts w:ascii="Times New Roman;Times;serif" w:hAnsi="Times New Roman;Times;serif"/>
          <w:b/>
          <w:sz w:val="20"/>
        </w:rPr>
        <w:t>Confidential Information”</w:t>
      </w:r>
      <w:r>
        <w:rPr>
          <w:rFonts w:ascii="Times New Roman;Times;serif" w:hAnsi="Times New Roman;Times;serif"/>
          <w:sz w:val="20"/>
        </w:rPr>
        <w:t>), Section 6 (“</w:t>
      </w:r>
      <w:r>
        <w:rPr>
          <w:rFonts w:ascii="Times New Roman;Times;serif" w:hAnsi="Times New Roman;Times;serif"/>
          <w:b/>
          <w:sz w:val="20"/>
        </w:rPr>
        <w:t>Intellectual Property Rights”</w:t>
      </w:r>
      <w:r>
        <w:rPr>
          <w:rFonts w:ascii="Times New Roman;Times;serif" w:hAnsi="Times New Roman;Times;serif"/>
          <w:sz w:val="20"/>
        </w:rPr>
        <w:t>), Section 7 (“</w:t>
      </w:r>
      <w:r>
        <w:rPr>
          <w:rFonts w:ascii="Times New Roman;Times;serif" w:hAnsi="Times New Roman;Times;serif"/>
          <w:b/>
          <w:sz w:val="20"/>
        </w:rPr>
        <w:t>Non-Competition and Non-Solicitation Covenants”</w:t>
      </w:r>
      <w:r>
        <w:rPr>
          <w:rFonts w:ascii="Times New Roman;Times;serif" w:hAnsi="Times New Roman;Times;serif"/>
          <w:sz w:val="20"/>
        </w:rPr>
        <w:t>), and Section 15 (“</w:t>
      </w:r>
      <w:r>
        <w:rPr>
          <w:rFonts w:ascii="Times New Roman;Times;serif" w:hAnsi="Times New Roman;Times;serif"/>
          <w:b/>
          <w:sz w:val="20"/>
        </w:rPr>
        <w:t>Injunctive Relief”</w:t>
      </w:r>
      <w:r>
        <w:rPr>
          <w:rFonts w:ascii="Times New Roman;Times;serif" w:hAnsi="Times New Roman;Times;serif"/>
          <w:sz w:val="20"/>
        </w:rPr>
        <w:t>) of your Employment Agreement (collectively, the “</w:t>
      </w:r>
      <w:r>
        <w:rPr>
          <w:rFonts w:ascii="Times New Roman;Times;serif" w:hAnsi="Times New Roman;Times;serif"/>
          <w:b/>
          <w:sz w:val="20"/>
        </w:rPr>
        <w:t>Surviving Provisions”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Confidentiality.</w:t>
      </w:r>
      <w:r>
        <w:rPr>
          <w:rFonts w:ascii="Times New Roman;Times;serif" w:hAnsi="Times New Roman;Times;serif"/>
          <w:sz w:val="20"/>
        </w:rPr>
        <w:t xml:space="preserve"> The provisions of this Agreement will be held in strictest confidence by you and will not be publicized or disclosed by you in any manner whatsoever; </w:t>
      </w:r>
      <w:r>
        <w:rPr>
          <w:rFonts w:ascii="Times New Roman;Times;serif" w:hAnsi="Times New Roman;Times;serif"/>
          <w:i/>
          <w:sz w:val="20"/>
        </w:rPr>
        <w:t xml:space="preserve">provided, however, </w:t>
      </w:r>
      <w:r>
        <w:rPr>
          <w:rFonts w:ascii="Times New Roman;Times;serif" w:hAnsi="Times New Roman;Times;serif"/>
          <w:sz w:val="20"/>
        </w:rPr>
        <w:t>that: (a) you may disclose this Agreement in confidence to your immediate family and to your attorneys, accountants, tax preparers and financial advisors; (b) you may disclose this Agreement insofar as such disclosure may be necessary to enforce its terms or as otherwise required by law; and (c) you may disclose this Agreement to the extent permitted by the “Protected Rights” section above or in furtherance of your rights under Section 7 of the National Labor Relations Act, if applicable.</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Non-disparagement.</w:t>
      </w:r>
      <w:r>
        <w:rPr>
          <w:rFonts w:ascii="Times New Roman;Times;serif" w:hAnsi="Times New Roman;Times;serif"/>
          <w:sz w:val="20"/>
        </w:rPr>
        <w:t xml:space="preserve"> Except to the extent permitted by the Protected Rights section above, you agree to refrain from any disparaging statements about the Company or any of the other Releasees, including, without limitation, the business, products, intellectual</w:t>
      </w:r>
    </w:p>
    <w:p>
      <w:pPr>
        <w:pStyle w:val="TextBody"/>
        <w:bidi w:val="0"/>
        <w:spacing w:before="0" w:after="0"/>
        <w:ind w:left="424" w:right="0" w:firstLine="688"/>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5</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property, financial standing, future, or employment/compensation/benefit practices of the Company or any of the other Releasees; provided that you may respond accurately and fully to any request for information if required by legal process or in connection with a governmental investigation. In addition, nothing in this provision or this Agreement prohibits or restrains you from making disclosures protected under the whistleblower provisions of federal or state law or from exercising your rights to engage in protected speech under Section 7 of the National Labor Relations Act, if applicable. You affirm that you have not disparaged the Releasees from the Separation Date through the date you sign this Agreement. </w:t>
      </w:r>
      <w:r>
        <w:rPr>
          <w:rFonts w:ascii="Times New Roman;Times;serif" w:hAnsi="Times New Roman;Times;serif"/>
          <w:b/>
          <w:sz w:val="20"/>
        </w:rPr>
        <w:t>Your violation of this provision shall be a material breach of this Agreement.</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Social Media.</w:t>
      </w:r>
      <w:r>
        <w:rPr>
          <w:rFonts w:ascii="Times New Roman;Times;serif" w:hAnsi="Times New Roman;Times;serif"/>
          <w:sz w:val="20"/>
        </w:rPr>
        <w:t xml:space="preserve"> You agree to revise and update your professional and social networking websites (such as your personal Linkedln, Twitter, and Facebook profiles), with in one (1) week of the Separation Date to remove any indication that you are employed by the Company.</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No Voluntary Adverse Action.</w:t>
      </w:r>
      <w:r>
        <w:rPr>
          <w:rFonts w:ascii="Times New Roman;Times;serif" w:hAnsi="Times New Roman;Times;serif"/>
          <w:sz w:val="20"/>
        </w:rPr>
        <w:t xml:space="preserve"> You agree that you will not voluntarily (except in response to legal compulsion or as permitted under the Protected Rights section above) assist any person in bringing or pursuing any proposed or pending litigation, arbitration, administrative claim or other formal proceeding against the Company, its parent or subsidiary entities, affiliates, officers, directors, employees, or agents.</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Cooperation.</w:t>
      </w:r>
      <w:r>
        <w:rPr>
          <w:rFonts w:ascii="Times New Roman;Times;serif" w:hAnsi="Times New Roman;Times;serif"/>
          <w:sz w:val="20"/>
        </w:rPr>
        <w:t xml:space="preserve"> You agree to cooperate fully with the Company in connection with its actual or contemplated defense, 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w:t>
        <w:softHyphen/>
        <w:t>pocket expenses you incur in connection with any such cooperation (excluding foregone wages) and will make reasonable efforts to accommodate your scheduling needs.</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No Admissions.</w:t>
      </w:r>
      <w:r>
        <w:rPr>
          <w:rFonts w:ascii="Times New Roman;Times;serif" w:hAnsi="Times New Roman;Times;serif"/>
          <w:sz w:val="20"/>
        </w:rPr>
        <w:t xml:space="preserve"> You understand and agree that the promises and payments in consideration of this Agreement shall not be construed to be an admission of any liability or obligation by the Company to you or to any other person, and that the Company makes no such admission.</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Breach; Attorneys’ Fees.</w:t>
      </w:r>
      <w:r>
        <w:rPr>
          <w:rFonts w:ascii="Times New Roman;Times;serif" w:hAnsi="Times New Roman;Times;serif"/>
          <w:sz w:val="20"/>
        </w:rPr>
        <w:t xml:space="preserve"> You acknowledge and agree that any material breach of this Agreement, unless such breach constitutes a legal action by you challenging or seeking a determination in good faith of the validity of the waiver herein under the ADEA or the Surviving Provisions shall entitle the Company immediately to recover and/or cease providing the consideration provided to you under this Agreement and to obtain damages and injunctive relief, except as provided by law,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Company shall not recover Fifty Dollars ($50.00) of the consideration already paid pursuant to this Agreement and such amount shall serve as full and complete consideration for the promises and obligations assumed by you under this Agreement and the Surviving Provisions. In addition, except with</w:t>
      </w:r>
    </w:p>
    <w:p>
      <w:pPr>
        <w:pStyle w:val="TextBody"/>
        <w:bidi w:val="0"/>
        <w:spacing w:before="0" w:after="0"/>
        <w:ind w:left="383" w:right="0" w:firstLine="697"/>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6</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regard to a legal action challenging or seeking a determination in good faith of the validity of the waiver herein under the ADEA, in the event that either party brings an action to enforce or effect its rights under this Agreement or the Surviving Provisions, the prevailing party shall be entitled to recover its costs and expenses, including the costs of mediation, arbitration, litigation, court fees, and reasonable attorneys’ fees incurred in connection with such an action.</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Representations.</w:t>
      </w:r>
      <w:r>
        <w:rPr>
          <w:rFonts w:ascii="Times New Roman;Times;serif" w:hAnsi="Times New Roman;Times;serif"/>
          <w:sz w:val="20"/>
        </w:rPr>
        <w:t xml:space="preserve"> You hereby represent that you have: been paid all compensation owed and for all hours worked; received all leave and leave benefits and protections for which you are eligible pursuant to the Family and Medical Leave Act or otherwise; and not suffered any on-the-job injury for which you have not already filed a workers’ compensation claim.</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Dispute Resolution.</w:t>
      </w:r>
      <w:r>
        <w:rPr>
          <w:rFonts w:ascii="Times New Roman;Times;serif" w:hAnsi="Times New Roman;Times;serif"/>
          <w:sz w:val="20"/>
        </w:rPr>
        <w:t xml:space="preserve"> You and the Company agree that any and all disputes, claims, or controversies of any nature whatsoever arising from, or relating to, this Agreement or its interpretation, enforcement, breach, performance, or execution, or any of the matters herein released (collectively, “</w:t>
      </w:r>
      <w:r>
        <w:rPr>
          <w:rFonts w:ascii="Times New Roman;Times;serif" w:hAnsi="Times New Roman;Times;serif"/>
          <w:b/>
          <w:sz w:val="20"/>
        </w:rPr>
        <w:t>Claims,”</w:t>
      </w:r>
      <w:r>
        <w:rPr>
          <w:rFonts w:ascii="Times New Roman;Times;serif" w:hAnsi="Times New Roman;Times;serif"/>
          <w:sz w:val="20"/>
        </w:rPr>
        <w:t xml:space="preserve"> each a “</w:t>
      </w:r>
      <w:r>
        <w:rPr>
          <w:rFonts w:ascii="Times New Roman;Times;serif" w:hAnsi="Times New Roman;Times;serif"/>
          <w:b/>
          <w:sz w:val="20"/>
        </w:rPr>
        <w:t>Claim”</w:t>
      </w:r>
      <w:r>
        <w:rPr>
          <w:rFonts w:ascii="Times New Roman;Times;serif" w:hAnsi="Times New Roman;Times;serif"/>
          <w:sz w:val="20"/>
        </w:rPr>
        <w:t>), shall be resolved, pursuant to the Federal Arbitration Act, 9 U.S.C. §1-16, and to the fullest extent permitted by law, by final, binding, and confidential arbitration at a location closest to where you last worked for the Company or another mutually agreeable location. The arbitration shall be conducted before a single neutral arbitrator by JAMS, Inc. (“</w:t>
      </w:r>
      <w:r>
        <w:rPr>
          <w:rFonts w:ascii="Times New Roman;Times;serif" w:hAnsi="Times New Roman;Times;serif"/>
          <w:b/>
          <w:sz w:val="20"/>
        </w:rPr>
        <w:t>JAMS”</w:t>
      </w:r>
      <w:r>
        <w:rPr>
          <w:rFonts w:ascii="Times New Roman;Times;serif" w:hAnsi="Times New Roman;Times;serif"/>
          <w:sz w:val="20"/>
        </w:rPr>
        <w:t>) or its successor, under the then applicable JAMS Comprehensive Arbitration Rules and Procedures (currently available at https://www.jamsadr.com/rules-comprehensive-arbitration) (“</w:t>
      </w:r>
      <w:r>
        <w:rPr>
          <w:rFonts w:ascii="Times New Roman;Times;serif" w:hAnsi="Times New Roman;Times;serif"/>
          <w:b/>
          <w:sz w:val="20"/>
        </w:rPr>
        <w:t>JAMS Rules”</w:t>
      </w:r>
      <w:r>
        <w:rPr>
          <w:rFonts w:ascii="Times New Roman;Times;serif" w:hAnsi="Times New Roman;Times;serif"/>
          <w:sz w:val="20"/>
        </w:rPr>
        <w:t xml:space="preserve">) and Texas law. Both you and the Company opt into the Expedited Procedures under the JAMS Rules. The arbitrator shall apply substantive and procedural Texas law to any dispute or claim , without reference to any conflict-of-law provisions of any jurisdiction. To the extent that the JAMS Rules conflict with Texas law, Texas law shall take precedence. The parties agree that punitive damages shall not be available in arbitration. </w:t>
      </w:r>
      <w:r>
        <w:rPr>
          <w:rFonts w:ascii="Times New Roman;Times;serif" w:hAnsi="Times New Roman;Times;serif"/>
          <w:b/>
          <w:sz w:val="20"/>
        </w:rPr>
        <w:t>By agreeing to this arbitration procedure, both you and the Company waive the right to have any Claim resolved through a trial by jury or judge or an administrative proceeding.</w:t>
      </w:r>
      <w:r>
        <w:rPr>
          <w:rFonts w:ascii="Times New Roman;Times;serif" w:hAnsi="Times New Roman;Times;serif"/>
          <w:sz w:val="20"/>
        </w:rPr>
        <w:t xml:space="preserve"> This paragraph shall not apply to any action or claim that cannot be subject to mandatory arbitration as a matter of law. The arbitrator shall have sole authority for determining if a Claim is subject to arbitration, and any other procedural questions related to the dispute and bearing on the final disposition. In addition,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You and the Company shall each pay half the costs and expenses of the arbitration and each pay for its respective attorneys’ fees and costs; provided, however, that the arbitrator shall award attorneys’ fees and costs to the prevailing party, except as prohibited by law. To the extent JAMS does not collect or you otherwise do not pay to JAMS an equal share of all JAMS’ arbitration fees for any reason, and the Company pays JAMS your share, you acknowledge and agree that the Company shall be entitled to recover from you half of the JAMS arbitration fees invoiced to the parties (less any amounts you paid to JAMS) in a federal or state court of competent jurisdiction. Nothing in this letter agreement is intended to</w:t>
      </w:r>
    </w:p>
    <w:p>
      <w:pPr>
        <w:pStyle w:val="TextBody"/>
        <w:bidi w:val="0"/>
        <w:spacing w:before="0" w:after="0"/>
        <w:ind w:left="392" w:right="0" w:firstLine="4"/>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7</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20.</w:t>
      </w:r>
      <w:r>
        <w:rPr>
          <w:rFonts w:ascii="Times New Roman;Times;serif" w:hAnsi="Times New Roman;Times;serif"/>
          <w:b/>
          <w:sz w:val="20"/>
        </w:rPr>
        <w:t xml:space="preserve">Effective Date. </w:t>
      </w:r>
      <w:r>
        <w:rPr>
          <w:rFonts w:ascii="Times New Roman;Times;serif" w:hAnsi="Times New Roman;Times;serif"/>
          <w:sz w:val="20"/>
        </w:rPr>
        <w:t>You understand that this Agreement shall be null and void if not executed by you, and returned to the Company, within twenty-one (2l) calendar days after receipt of the Agreement from the Company. This Agreement will become effective on the eighth day after you sign it provided that you do not revoke it (the “</w:t>
      </w:r>
      <w:r>
        <w:rPr>
          <w:rFonts w:ascii="Times New Roman;Times;serif" w:hAnsi="Times New Roman;Times;serif"/>
          <w:b/>
          <w:sz w:val="20"/>
        </w:rPr>
        <w:t>Effective Date”).</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Miscellaneous. </w:t>
      </w:r>
      <w:r>
        <w:rPr>
          <w:rFonts w:ascii="Times New Roman;Times;serif" w:hAnsi="Times New Roman;Times;serif"/>
          <w:sz w:val="20"/>
        </w:rPr>
        <w:t>This Agreement, including the Surviving Provisions, constitutes the complete, final, and exclusive embodiment of 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Texas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 You acknowledge that you have been advised that you should consult with an attorney prior to signing this Agreement (although you may choose voluntarily not to do so).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this Agreement is acceptable to you, please sign below and return the original to 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wish you the best in your future endeavors.</w:t>
      </w:r>
    </w:p>
    <w:p>
      <w:pPr>
        <w:pStyle w:val="TextBody"/>
        <w:bidi w:val="0"/>
        <w:spacing w:before="0" w:after="0"/>
        <w:ind w:left="0" w:right="0" w:hanging="0"/>
        <w:jc w:val="left"/>
        <w:rPr/>
      </w:pPr>
      <w:r>
        <w:rPr/>
        <w:t>​</w:t>
      </w:r>
    </w:p>
    <w:tbl>
      <w:tblPr>
        <w:tblW w:w="2781" w:type="dxa"/>
        <w:jc w:val="center"/>
        <w:tblInd w:w="0" w:type="dxa"/>
        <w:tblLayout w:type="fixed"/>
        <w:tblCellMar>
          <w:top w:w="0" w:type="dxa"/>
          <w:left w:w="0" w:type="dxa"/>
          <w:bottom w:w="0" w:type="dxa"/>
          <w:right w:w="0" w:type="dxa"/>
        </w:tblCellMar>
      </w:tblPr>
      <w:tblGrid>
        <w:gridCol w:w="421"/>
        <w:gridCol w:w="2206"/>
        <w:gridCol w:w="154"/>
      </w:tblGrid>
      <w:tr>
        <w:trPr/>
        <w:tc>
          <w:tcPr>
            <w:tcW w:w="421" w:type="dxa"/>
            <w:tcBorders/>
            <w:vAlign w:val="center"/>
          </w:tcPr>
          <w:p>
            <w:pPr>
              <w:pStyle w:val="TableContents"/>
              <w:bidi w:val="0"/>
              <w:spacing w:before="0" w:after="0"/>
              <w:ind w:left="0" w:right="0" w:hanging="0"/>
              <w:jc w:val="left"/>
              <w:rPr/>
            </w:pPr>
            <w:r>
              <w:rPr/>
              <w:t>​</w:t>
            </w:r>
          </w:p>
        </w:tc>
        <w:tc>
          <w:tcPr>
            <w:tcW w:w="220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62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Sincerely,</w:t>
            </w:r>
          </w:p>
        </w:tc>
        <w:tc>
          <w:tcPr>
            <w:tcW w:w="154" w:type="dxa"/>
            <w:tcBorders/>
            <w:vAlign w:val="center"/>
          </w:tcPr>
          <w:p>
            <w:pPr>
              <w:pStyle w:val="TableContents"/>
              <w:bidi w:val="0"/>
              <w:spacing w:before="0" w:after="0"/>
              <w:ind w:left="0" w:right="0" w:hanging="0"/>
              <w:jc w:val="left"/>
              <w:rPr/>
            </w:pPr>
            <w:r>
              <w:rPr/>
              <w:t>​</w:t>
            </w:r>
          </w:p>
        </w:tc>
      </w:tr>
      <w:tr>
        <w:trPr/>
        <w:tc>
          <w:tcPr>
            <w:tcW w:w="262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Loiacono</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2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Michael Loiacono</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2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8</w:t>
      </w:r>
    </w:p>
    <w:p>
      <w:pPr>
        <w:pStyle w:val="TextBody"/>
        <w:bidi w:val="0"/>
        <w:spacing w:before="0" w:after="0"/>
        <w:ind w:left="0" w:right="0" w:hanging="0"/>
        <w:jc w:val="left"/>
        <w:rPr/>
      </w:pPr>
      <w:r>
        <w:rPr/>
        <w:t>​</w:t>
      </w:r>
    </w:p>
    <w:tbl>
      <w:tblPr>
        <w:tblW w:w="8145" w:type="dxa"/>
        <w:jc w:val="left"/>
        <w:tblInd w:w="0" w:type="dxa"/>
        <w:tblLayout w:type="fixed"/>
        <w:tblCellMar>
          <w:top w:w="0" w:type="dxa"/>
          <w:left w:w="0" w:type="dxa"/>
          <w:bottom w:w="0" w:type="dxa"/>
          <w:right w:w="0" w:type="dxa"/>
        </w:tblCellMar>
      </w:tblPr>
      <w:tblGrid>
        <w:gridCol w:w="7414"/>
        <w:gridCol w:w="731"/>
      </w:tblGrid>
      <w:tr>
        <w:trPr/>
        <w:tc>
          <w:tcPr>
            <w:tcW w:w="7414"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left"/>
              <w:rPr/>
            </w:pPr>
            <w:r>
              <w:rPr/>
              <w:t>​</w:t>
            </w:r>
          </w:p>
        </w:tc>
      </w:tr>
      <w:tr>
        <w:trPr/>
        <w:tc>
          <w:tcPr>
            <w:tcW w:w="814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 HAVE READ, UNDERSTAND AND AGREE FULLY TO THE FOREGOING AGREEMENT:</w:t>
            </w:r>
          </w:p>
        </w:tc>
      </w:tr>
      <w:tr>
        <w:trPr/>
        <w:tc>
          <w:tcPr>
            <w:tcW w:w="7414"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left"/>
              <w:rPr/>
            </w:pPr>
            <w:r>
              <w:rPr/>
              <w:t>​</w:t>
            </w:r>
          </w:p>
        </w:tc>
      </w:tr>
      <w:tr>
        <w:trPr/>
        <w:tc>
          <w:tcPr>
            <w:tcW w:w="74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Peter L. Hoang</w:t>
            </w:r>
          </w:p>
        </w:tc>
        <w:tc>
          <w:tcPr>
            <w:tcW w:w="731" w:type="dxa"/>
            <w:tcBorders/>
            <w:vAlign w:val="center"/>
          </w:tcPr>
          <w:p>
            <w:pPr>
              <w:pStyle w:val="TableContents"/>
              <w:bidi w:val="0"/>
              <w:spacing w:before="0" w:after="0"/>
              <w:ind w:left="0" w:right="0" w:hanging="0"/>
              <w:jc w:val="left"/>
              <w:rPr/>
            </w:pPr>
            <w:r>
              <w:rPr/>
              <w:t>​</w:t>
            </w:r>
          </w:p>
        </w:tc>
      </w:tr>
      <w:tr>
        <w:trPr/>
        <w:tc>
          <w:tcPr>
            <w:tcW w:w="741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Peter L. Hoang</w:t>
            </w:r>
          </w:p>
        </w:tc>
        <w:tc>
          <w:tcPr>
            <w:tcW w:w="731" w:type="dxa"/>
            <w:tcBorders/>
            <w:vAlign w:val="center"/>
          </w:tcPr>
          <w:p>
            <w:pPr>
              <w:pStyle w:val="TableContents"/>
              <w:bidi w:val="0"/>
              <w:spacing w:before="0" w:after="0"/>
              <w:ind w:left="0" w:right="0" w:hanging="0"/>
              <w:jc w:val="left"/>
              <w:rPr/>
            </w:pPr>
            <w:r>
              <w:rPr/>
              <w:t>​</w:t>
            </w:r>
          </w:p>
        </w:tc>
      </w:tr>
      <w:tr>
        <w:trPr/>
        <w:tc>
          <w:tcPr>
            <w:tcW w:w="7414"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left"/>
              <w:rPr/>
            </w:pPr>
            <w:r>
              <w:rPr/>
              <w:t>​</w:t>
            </w:r>
          </w:p>
        </w:tc>
      </w:tr>
      <w:tr>
        <w:trPr/>
        <w:tc>
          <w:tcPr>
            <w:tcW w:w="74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27, 2023</w:t>
            </w:r>
          </w:p>
        </w:tc>
        <w:tc>
          <w:tcPr>
            <w:tcW w:w="731" w:type="dxa"/>
            <w:tcBorders/>
            <w:vAlign w:val="center"/>
          </w:tcPr>
          <w:p>
            <w:pPr>
              <w:pStyle w:val="TableContents"/>
              <w:bidi w:val="0"/>
              <w:spacing w:before="0" w:after="0"/>
              <w:ind w:left="0" w:right="0" w:hanging="0"/>
              <w:jc w:val="left"/>
              <w:rPr/>
            </w:pPr>
            <w:r>
              <w:rPr/>
              <w:t>​</w:t>
            </w:r>
          </w:p>
        </w:tc>
      </w:tr>
      <w:tr>
        <w:trPr/>
        <w:tc>
          <w:tcPr>
            <w:tcW w:w="741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73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629" w:name="mrkr-20230331xex10d2.htm"/>
      <w:bookmarkStart w:id="630" w:name="ksmrkr20230331xex10d2"/>
      <w:bookmarkEnd w:id="629"/>
      <w:bookmarkEnd w:id="630"/>
      <w:r>
        <w:rPr>
          <w:rFonts w:ascii="Times New Roman;Times;serif" w:hAnsi="Times New Roman;Times;serif"/>
          <w:b/>
          <w:sz w:val="24"/>
        </w:rPr>
        <w:t>Exhibit 10.2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AGREEMENT</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This Agreement is entered into effective as of May 1, 2023 (“</w:t>
      </w:r>
      <w:r>
        <w:rPr>
          <w:rFonts w:ascii="Times New Roman;Times;serif" w:hAnsi="Times New Roman;Times;serif"/>
          <w:b/>
          <w:sz w:val="24"/>
        </w:rPr>
        <w:t>Effective Date</w:t>
      </w:r>
      <w:r>
        <w:rPr>
          <w:rFonts w:ascii="Times New Roman;Times;serif" w:hAnsi="Times New Roman;Times;serif"/>
          <w:sz w:val="20"/>
        </w:rPr>
        <w:t>”</w:t>
      </w:r>
      <w:r>
        <w:rPr>
          <w:rFonts w:ascii="Times New Roman;Times;serif" w:hAnsi="Times New Roman;Times;serif"/>
          <w:sz w:val="24"/>
        </w:rPr>
        <w:t xml:space="preserve">), by and between </w:t>
      </w:r>
      <w:r>
        <w:rPr>
          <w:rFonts w:ascii="Times New Roman;Times;serif" w:hAnsi="Times New Roman;Times;serif"/>
          <w:b/>
          <w:sz w:val="24"/>
        </w:rPr>
        <w:t>CELL READY, LLC</w:t>
      </w:r>
      <w:r>
        <w:rPr>
          <w:rFonts w:ascii="Times New Roman;Times;serif" w:hAnsi="Times New Roman;Times;serif"/>
          <w:sz w:val="24"/>
        </w:rPr>
        <w:t>, a Minnesota limited liability company (“</w:t>
      </w:r>
      <w:r>
        <w:rPr>
          <w:rFonts w:ascii="Times New Roman;Times;serif" w:hAnsi="Times New Roman;Times;serif"/>
          <w:b/>
          <w:sz w:val="24"/>
        </w:rPr>
        <w:t>Buyer</w:t>
      </w:r>
      <w:r>
        <w:rPr>
          <w:rFonts w:ascii="Times New Roman;Times;serif" w:hAnsi="Times New Roman;Times;serif"/>
          <w:sz w:val="20"/>
        </w:rPr>
        <w:t>”</w:t>
      </w:r>
      <w:r>
        <w:rPr>
          <w:rFonts w:ascii="Times New Roman;Times;serif" w:hAnsi="Times New Roman;Times;serif"/>
          <w:sz w:val="24"/>
        </w:rPr>
        <w:t xml:space="preserve">) and </w:t>
      </w:r>
      <w:r>
        <w:rPr>
          <w:rFonts w:ascii="Times New Roman;Times;serif" w:hAnsi="Times New Roman;Times;serif"/>
          <w:b/>
          <w:sz w:val="24"/>
        </w:rPr>
        <w:t>MARKER THERAPEUTICS, INC.</w:t>
      </w:r>
      <w:r>
        <w:rPr>
          <w:rFonts w:ascii="Times New Roman;Times;serif" w:hAnsi="Times New Roman;Times;serif"/>
          <w:sz w:val="24"/>
        </w:rPr>
        <w:t>, a Delaware corporation (“</w:t>
      </w:r>
      <w:r>
        <w:rPr>
          <w:rFonts w:ascii="Times New Roman;Times;serif" w:hAnsi="Times New Roman;Times;serif"/>
          <w:b/>
          <w:sz w:val="24"/>
        </w:rPr>
        <w:t>Seller</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WHEREAS, Seller owns all of the equipment (“</w:t>
      </w:r>
      <w:r>
        <w:rPr>
          <w:rFonts w:ascii="Times New Roman;Times;serif" w:hAnsi="Times New Roman;Times;serif"/>
          <w:b/>
          <w:sz w:val="24"/>
        </w:rPr>
        <w:t>Equipment</w:t>
      </w:r>
      <w:r>
        <w:rPr>
          <w:rFonts w:ascii="Times New Roman;Times;serif" w:hAnsi="Times New Roman;Times;serif"/>
          <w:sz w:val="20"/>
        </w:rPr>
        <w:t>”</w:t>
      </w:r>
      <w:r>
        <w:rPr>
          <w:rFonts w:ascii="Times New Roman;Times;serif" w:hAnsi="Times New Roman;Times;serif"/>
          <w:sz w:val="24"/>
        </w:rPr>
        <w:t>) and leasehold improvements (“</w:t>
      </w:r>
      <w:r>
        <w:rPr>
          <w:rFonts w:ascii="Times New Roman;Times;serif" w:hAnsi="Times New Roman;Times;serif"/>
          <w:b/>
          <w:sz w:val="24"/>
        </w:rPr>
        <w:t>Leasehold Improvements</w:t>
      </w:r>
      <w:r>
        <w:rPr>
          <w:rFonts w:ascii="Times New Roman;Times;serif" w:hAnsi="Times New Roman;Times;serif"/>
          <w:sz w:val="20"/>
        </w:rPr>
        <w:t>”</w:t>
      </w:r>
      <w:r>
        <w:rPr>
          <w:rFonts w:ascii="Times New Roman;Times;serif" w:hAnsi="Times New Roman;Times;serif"/>
          <w:sz w:val="24"/>
        </w:rPr>
        <w:t>), in each case,  located at (i) 4551 Kennedy Commerce Drive, Houston, Texas (the “</w:t>
      </w:r>
      <w:r>
        <w:rPr>
          <w:rFonts w:ascii="Times New Roman;Times;serif" w:hAnsi="Times New Roman;Times;serif"/>
          <w:b/>
          <w:sz w:val="24"/>
        </w:rPr>
        <w:t>Kennedy Premises</w:t>
      </w:r>
      <w:r>
        <w:rPr>
          <w:rFonts w:ascii="Times New Roman;Times;serif" w:hAnsi="Times New Roman;Times;serif"/>
          <w:sz w:val="20"/>
        </w:rPr>
        <w:t>”</w:t>
      </w:r>
      <w:r>
        <w:rPr>
          <w:rFonts w:ascii="Times New Roman;Times;serif" w:hAnsi="Times New Roman;Times;serif"/>
          <w:sz w:val="24"/>
        </w:rPr>
        <w:t>) and (ii) 9350 Kirby Drive, Suite 300, Houston, Texas 77054 (the “</w:t>
      </w:r>
      <w:r>
        <w:rPr>
          <w:rFonts w:ascii="Times New Roman;Times;serif" w:hAnsi="Times New Roman;Times;serif"/>
          <w:b/>
          <w:sz w:val="24"/>
        </w:rPr>
        <w:t>Kirby Premises</w:t>
      </w:r>
      <w:r>
        <w:rPr>
          <w:rFonts w:ascii="Times New Roman;Times;serif" w:hAnsi="Times New Roman;Times;serif"/>
          <w:sz w:val="20"/>
        </w:rPr>
        <w:t xml:space="preserve">” </w:t>
      </w:r>
      <w:r>
        <w:rPr>
          <w:rFonts w:ascii="Times New Roman;Times;serif" w:hAnsi="Times New Roman;Times;serif"/>
          <w:sz w:val="24"/>
        </w:rPr>
        <w:t>and together with the Kennedy Premises, the “</w:t>
      </w:r>
      <w:r>
        <w:rPr>
          <w:rFonts w:ascii="Times New Roman;Times;serif" w:hAnsi="Times New Roman;Times;serif"/>
          <w:b/>
          <w:sz w:val="24"/>
        </w:rPr>
        <w:t>Premises</w:t>
      </w:r>
      <w:r>
        <w:rPr>
          <w:rFonts w:ascii="Times New Roman;Times;serif" w:hAnsi="Times New Roman;Times;serif"/>
          <w:sz w:val="20"/>
        </w:rPr>
        <w:t>”</w:t>
      </w:r>
      <w:r>
        <w:rPr>
          <w:rFonts w:ascii="Times New Roman;Times;serif" w:hAnsi="Times New Roman;Times;serif"/>
          <w:sz w:val="24"/>
        </w:rPr>
        <w:t>) and in each case, as shall be mutually agreed and appended to this Agreement on Exhibit A hereto.</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WHEREAS, Seller is a party to certain contracts related to the Purchased Assets and the Premises, a list of which such contracts shall be mutually agreed and appended to this Agreement on Exhibit A hereto (the “</w:t>
      </w:r>
      <w:r>
        <w:rPr>
          <w:rFonts w:ascii="Times New Roman;Times;serif" w:hAnsi="Times New Roman;Times;serif"/>
          <w:b/>
          <w:sz w:val="24"/>
        </w:rPr>
        <w:t>Transferred Contracts</w:t>
      </w:r>
      <w:r>
        <w:rPr>
          <w:rFonts w:ascii="Times New Roman;Times;serif" w:hAnsi="Times New Roman;Times;serif"/>
          <w:sz w:val="20"/>
        </w:rPr>
        <w:t xml:space="preserve">” </w:t>
      </w:r>
      <w:r>
        <w:rPr>
          <w:rFonts w:ascii="Times New Roman;Times;serif" w:hAnsi="Times New Roman;Times;serif"/>
          <w:sz w:val="24"/>
        </w:rPr>
        <w:t>and, together with the Equipment and the Leasehold Improvements, the “</w:t>
      </w:r>
      <w:r>
        <w:rPr>
          <w:rFonts w:ascii="Times New Roman;Times;serif" w:hAnsi="Times New Roman;Times;serif"/>
          <w:b/>
          <w:sz w:val="24"/>
        </w:rPr>
        <w:t>Purchased Assets</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WHEREAS, Buyer, Seller and Indapta Therapeutics, Inc., a Delaware corporation (“</w:t>
      </w:r>
      <w:r>
        <w:rPr>
          <w:rFonts w:ascii="Times New Roman;Times;serif" w:hAnsi="Times New Roman;Times;serif"/>
          <w:b/>
          <w:sz w:val="24"/>
        </w:rPr>
        <w:t>Indapta</w:t>
      </w:r>
      <w:r>
        <w:rPr>
          <w:rFonts w:ascii="Times New Roman;Times;serif" w:hAnsi="Times New Roman;Times;serif"/>
          <w:sz w:val="20"/>
        </w:rPr>
        <w:t>”</w:t>
      </w:r>
      <w:r>
        <w:rPr>
          <w:rFonts w:ascii="Times New Roman;Times;serif" w:hAnsi="Times New Roman;Times;serif"/>
          <w:sz w:val="24"/>
        </w:rPr>
        <w:t>), entered into a Master Services Agreement for Product Supply dated April 7, 2023 (the “</w:t>
      </w:r>
      <w:r>
        <w:rPr>
          <w:rFonts w:ascii="Times New Roman;Times;serif" w:hAnsi="Times New Roman;Times;serif"/>
          <w:b/>
          <w:sz w:val="24"/>
        </w:rPr>
        <w:t>MSA</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WHEREAS, Seller desires to sell the Purchased Assets to Buyer and assign all of Seller’s right, title and interest in the MSA to Buyer.</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WHEREAS, Buyer desires to purchase the Purchased Assets from Seller and assume all of Seller’s right, title and interest in the MSA.</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mutual promises contained herein and for other good and valuable consideration, the receipt and sufficiency of which is hereby acknowledged, it is hereby agreed to as follows: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b/>
          <w:sz w:val="24"/>
        </w:rPr>
        <w:t>Sale of Purchased Assets and Assignment of MSA</w:t>
      </w:r>
      <w:r>
        <w:rPr>
          <w:rFonts w:ascii="Times New Roman;Times;serif" w:hAnsi="Times New Roman;Times;serif"/>
          <w:sz w:val="24"/>
        </w:rPr>
        <w:t>.  Subject to the terms and conditions of this Agreement, on the Closing Date, (a) Seller shall convey, sell, transfer, and deliver to Buyer, and Buyer shall purchase from Seller, all of Seller’s right, title and interest in and to the Purchased Assets, and (b) Seller shall assign to Buyer, and Buyer shall assume from Seller, all of Seller’s right, title and interest in the MSA.</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b/>
          <w:sz w:val="24"/>
        </w:rPr>
        <w:t>Purchase Price</w:t>
      </w:r>
      <w:r>
        <w:rPr>
          <w:rFonts w:ascii="Times New Roman;Times;serif" w:hAnsi="Times New Roman;Times;serif"/>
          <w:sz w:val="24"/>
        </w:rPr>
        <w:t>.  In consideration for the sale of the Purchased Assets to Buyer and assignment of all of Seller’s right, title and interest in the MSA to Buyer, at the Closing, Buyer shall pay Seller the sum of $19,014,230.00 as follows:</w:t>
      </w:r>
    </w:p>
    <w:p>
      <w:pPr>
        <w:pStyle w:val="TextBody"/>
        <w:bidi w:val="0"/>
        <w:spacing w:before="0" w:after="0"/>
        <w:ind w:left="720" w:right="0" w:hanging="0"/>
        <w:jc w:val="both"/>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b/>
          <w:sz w:val="24"/>
        </w:rPr>
        <w:t>Purchased Assets</w:t>
      </w:r>
      <w:r>
        <w:rPr>
          <w:rFonts w:ascii="Times New Roman;Times;serif" w:hAnsi="Times New Roman;Times;serif"/>
          <w:sz w:val="24"/>
        </w:rPr>
        <w:t>.  Buyer shall pay Seller the sum of $15,314,230.00 for the Purchased Assets.</w:t>
      </w:r>
    </w:p>
    <w:p>
      <w:pPr>
        <w:pStyle w:val="TextBody"/>
        <w:bidi w:val="0"/>
        <w:spacing w:before="0" w:after="0"/>
        <w:ind w:left="720" w:right="0" w:hanging="0"/>
        <w:jc w:val="both"/>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b/>
          <w:sz w:val="24"/>
        </w:rPr>
        <w:t>MSA</w:t>
      </w:r>
      <w:r>
        <w:rPr>
          <w:rFonts w:ascii="Times New Roman;Times;serif" w:hAnsi="Times New Roman;Times;serif"/>
          <w:sz w:val="24"/>
        </w:rPr>
        <w:t>.  Buyer shall pay Seller the sum of $3,700,000.00 for the assignment of all of Seller’s right, title and interest in the MSA.</w:t>
      </w:r>
    </w:p>
    <w:p>
      <w:pPr>
        <w:pStyle w:val="TextBody"/>
        <w:bidi w:val="0"/>
        <w:spacing w:before="0" w:after="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b/>
          <w:sz w:val="24"/>
        </w:rPr>
        <w:t>Closing and Closing Date</w:t>
      </w:r>
      <w:r>
        <w:rPr>
          <w:rFonts w:ascii="Times New Roman;Times;serif" w:hAnsi="Times New Roman;Times;serif"/>
          <w:sz w:val="24"/>
        </w:rPr>
        <w:t>.  The closing on the purchase and sale of the Purchased Assets and assignment of the MSA (the “</w:t>
      </w:r>
      <w:r>
        <w:rPr>
          <w:rFonts w:ascii="Times New Roman;Times;serif" w:hAnsi="Times New Roman;Times;serif"/>
          <w:b/>
          <w:sz w:val="24"/>
        </w:rPr>
        <w:t>Closing</w:t>
      </w:r>
      <w:r>
        <w:rPr>
          <w:rFonts w:ascii="Times New Roman;Times;serif" w:hAnsi="Times New Roman;Times;serif"/>
          <w:sz w:val="20"/>
        </w:rPr>
        <w:t>”</w:t>
      </w:r>
      <w:r>
        <w:rPr>
          <w:rFonts w:ascii="Times New Roman;Times;serif" w:hAnsi="Times New Roman;Times;serif"/>
          <w:sz w:val="24"/>
        </w:rPr>
        <w:t>) shall take place via the exchange of electronic signatures on June 26, 2023 (the “</w:t>
      </w:r>
      <w:r>
        <w:rPr>
          <w:rFonts w:ascii="Times New Roman;Times;serif" w:hAnsi="Times New Roman;Times;serif"/>
          <w:b/>
          <w:sz w:val="24"/>
        </w:rPr>
        <w:t>Closing Date</w:t>
      </w:r>
      <w:r>
        <w:rPr>
          <w:rFonts w:ascii="Times New Roman;Times;serif" w:hAnsi="Times New Roman;Times;serif"/>
          <w:sz w:val="20"/>
        </w:rPr>
        <w:t>”</w:t>
      </w:r>
      <w:r>
        <w:rPr>
          <w:rFonts w:ascii="Times New Roman;Times;serif" w:hAnsi="Times New Roman;Times;serif"/>
          <w:sz w:val="24"/>
        </w:rPr>
        <w:t>) at 9:00 a.m., New York time or at such time as Buyer and Seller mutually agree.  The effective time of the Closing shall be as of 12:01 a.m. on the Closing Date.</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w:t>
      </w:r>
      <w:r>
        <w:rPr>
          <w:rFonts w:ascii="Times New Roman;Times;serif" w:hAnsi="Times New Roman;Times;serif"/>
          <w:b/>
          <w:sz w:val="24"/>
        </w:rPr>
        <w:t>Assumed Obligations</w:t>
      </w:r>
      <w:r>
        <w:rPr>
          <w:rFonts w:ascii="Times New Roman;Times;serif" w:hAnsi="Times New Roman;Times;serif"/>
          <w:sz w:val="24"/>
        </w:rPr>
        <w:t>.  On the Closing Date, Buyer shall assume the obligations of Seller under the MSA, Transferred Contracts and leases assumed by Buyer for the Premises solely to the extent they relate to acts, omissions, facts and circumstances occurring after the Closing (the “</w:t>
      </w:r>
      <w:r>
        <w:rPr>
          <w:rFonts w:ascii="Times New Roman;Times;serif" w:hAnsi="Times New Roman;Times;serif"/>
          <w:b/>
          <w:sz w:val="24"/>
        </w:rPr>
        <w:t>Assumed Obligations</w:t>
      </w:r>
      <w:r>
        <w:rPr>
          <w:rFonts w:ascii="Times New Roman;Times;serif" w:hAnsi="Times New Roman;Times;serif"/>
          <w:sz w:val="20"/>
        </w:rPr>
        <w:t>”</w:t>
      </w:r>
      <w:r>
        <w:rPr>
          <w:rFonts w:ascii="Times New Roman;Times;serif" w:hAnsi="Times New Roman;Times;serif"/>
          <w:sz w:val="24"/>
        </w:rPr>
        <w:t>).  The Assumed Obligations shall not include any liability or responsibility for pre-Closing breaches or pre-Closing non-performance by Seller under the MSA, Transferred Contracts or any leases for the Premises.  It is expressly understood that Buyer shall have no responsibility or liability for any liabilities or other obligations of Seller (including, for the avoidance of doubt, for any obligations of Seller under the MSA, Transferred Contracts and leases assumed by Buyer for the Premises to the extent they relate to acts, omissions, facts and circumstances occurring prior to the Closing) other than the Assumed Obligations, and all liabilities and other obligations of Seller other than the Assumed Obligations shall remain liabilities and obligations of Seller and such liabilities and obligations shall be timely paid and performed by Seller when due.</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w:t>
      </w:r>
      <w:r>
        <w:rPr>
          <w:rFonts w:ascii="Times New Roman;Times;serif" w:hAnsi="Times New Roman;Times;serif"/>
          <w:b/>
          <w:sz w:val="24"/>
        </w:rPr>
        <w:t>Closing Deliverables</w:t>
      </w:r>
      <w:r>
        <w:rPr>
          <w:rFonts w:ascii="Times New Roman;Times;serif" w:hAnsi="Times New Roman;Times;serif"/>
          <w:sz w:val="24"/>
        </w:rPr>
        <w:t>.  On or before the Closing Date, Buyer, as one party, and Seller, as another party, shall execute and deliver to the other party the following documents, instruments and agreements, together with such other documents, instruments and agreements as the other party may reasonably request to consummate the purchase, sale and assignment contemplated herein:</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b/>
          <w:sz w:val="24"/>
        </w:rPr>
        <w:t>By Buyer</w:t>
      </w:r>
      <w:r>
        <w:rPr>
          <w:rFonts w:ascii="Times New Roman;Times;serif" w:hAnsi="Times New Roman;Times;serif"/>
          <w:sz w:val="24"/>
        </w:rPr>
        <w:t>.  Buyer shall deliver the following to Seller:</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u w:val="single"/>
        </w:rPr>
        <w:t>Authorizing Resolutions and Good Standing Certificate</w:t>
      </w:r>
      <w:r>
        <w:rPr>
          <w:rFonts w:ascii="Times New Roman;Times;serif" w:hAnsi="Times New Roman;Times;serif"/>
          <w:sz w:val="24"/>
        </w:rPr>
        <w:t>.  A copy of the duly adopted resolutions of the sole member of Buyer approving this Agreement and authorizing the execution and delivery of this Agreement and the consummation of the transactions contemplated hereby and a certificate of good standing of Buyer issued by the Secretary of State from the state of Seller’s organization dated not more than 30 days prior to the Closing Date.</w:t>
      </w:r>
    </w:p>
    <w:p>
      <w:pPr>
        <w:pStyle w:val="TextBody"/>
        <w:bidi w:val="0"/>
        <w:spacing w:before="0" w:after="0"/>
        <w:ind w:left="144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u w:val="single"/>
        </w:rPr>
        <w:t>Closing Payment</w:t>
      </w:r>
      <w:r>
        <w:rPr>
          <w:rFonts w:ascii="Times New Roman;Times;serif" w:hAnsi="Times New Roman;Times;serif"/>
          <w:sz w:val="24"/>
        </w:rPr>
        <w:t>.  Buyer shall pay the Seller the Purchase Price by wire transfer in immediately available funds.</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u w:val="single"/>
        </w:rPr>
        <w:t>Kirby Lease Assignment</w:t>
      </w:r>
      <w:r>
        <w:rPr>
          <w:rFonts w:ascii="Times New Roman;Times;serif" w:hAnsi="Times New Roman;Times;serif"/>
          <w:sz w:val="24"/>
        </w:rPr>
        <w:t>.  An assignment and assumption of the Lease for the Kirby Premises (the “</w:t>
      </w:r>
      <w:r>
        <w:rPr>
          <w:rFonts w:ascii="Times New Roman;Times;serif" w:hAnsi="Times New Roman;Times;serif"/>
          <w:b/>
          <w:sz w:val="24"/>
        </w:rPr>
        <w:t>Kirby Lease Assignment</w:t>
      </w:r>
      <w:r>
        <w:rPr>
          <w:rFonts w:ascii="Times New Roman;Times;serif" w:hAnsi="Times New Roman;Times;serif"/>
          <w:sz w:val="20"/>
        </w:rPr>
        <w:t>”</w:t>
      </w:r>
      <w:r>
        <w:rPr>
          <w:rFonts w:ascii="Times New Roman;Times;serif" w:hAnsi="Times New Roman;Times;serif"/>
          <w:sz w:val="24"/>
        </w:rPr>
        <w:t>) upon such terms as are mutually agreeable between Buyer and Seller and approved by Landlord in writing, duly executed by an authorized officer of Buyer.</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u w:val="single"/>
        </w:rPr>
        <w:t>Kennedy Lease Assignment</w:t>
      </w:r>
      <w:r>
        <w:rPr>
          <w:rFonts w:ascii="Times New Roman;Times;serif" w:hAnsi="Times New Roman;Times;serif"/>
          <w:sz w:val="24"/>
        </w:rPr>
        <w:t>.  An assignment and assumption of the Lease for the Kennedy Premises (the “</w:t>
      </w:r>
      <w:r>
        <w:rPr>
          <w:rFonts w:ascii="Times New Roman;Times;serif" w:hAnsi="Times New Roman;Times;serif"/>
          <w:b/>
          <w:sz w:val="24"/>
        </w:rPr>
        <w:t>Kennedy Lease Assignment</w:t>
      </w:r>
      <w:r>
        <w:rPr>
          <w:rFonts w:ascii="Times New Roman;Times;serif" w:hAnsi="Times New Roman;Times;serif"/>
          <w:sz w:val="20"/>
        </w:rPr>
        <w:t>”</w:t>
      </w:r>
      <w:r>
        <w:rPr>
          <w:rFonts w:ascii="Times New Roman;Times;serif" w:hAnsi="Times New Roman;Times;serif"/>
          <w:sz w:val="24"/>
        </w:rPr>
        <w:t>) upon such terms as are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mutually agreeable between Buyer and Seller and approved by Landlord in writing, duly executed by an authorized officer of Buyer.</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4"/>
          <w:u w:val="single"/>
        </w:rPr>
        <w:t>Assignment of Warranties</w:t>
      </w:r>
      <w:r>
        <w:rPr>
          <w:rFonts w:ascii="Times New Roman;Times;serif" w:hAnsi="Times New Roman;Times;serif"/>
          <w:sz w:val="24"/>
        </w:rPr>
        <w:t>.  An assignment and assumption of warranties, guaranties and service contracts relating to the Equipment in the Premises, duly executed by an authorized officer of Buyer, upon such terms as are mutually agreeable between Buyer and Seller (the “</w:t>
      </w:r>
      <w:r>
        <w:rPr>
          <w:rFonts w:ascii="Times New Roman;Times;serif" w:hAnsi="Times New Roman;Times;serif"/>
          <w:b/>
          <w:sz w:val="24"/>
        </w:rPr>
        <w:t>Assignment of Warranties</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w:t>
      </w:r>
      <w:r>
        <w:rPr>
          <w:rFonts w:ascii="Times New Roman;Times;serif" w:hAnsi="Times New Roman;Times;serif"/>
          <w:sz w:val="24"/>
          <w:u w:val="single"/>
        </w:rPr>
        <w:t>Assignment of MSA</w:t>
      </w:r>
      <w:r>
        <w:rPr>
          <w:rFonts w:ascii="Times New Roman;Times;serif" w:hAnsi="Times New Roman;Times;serif"/>
          <w:sz w:val="24"/>
        </w:rPr>
        <w:t>.  An assignment and assumption agreement of the MSA (the “</w:t>
      </w:r>
      <w:r>
        <w:rPr>
          <w:rFonts w:ascii="Times New Roman;Times;serif" w:hAnsi="Times New Roman;Times;serif"/>
          <w:b/>
          <w:sz w:val="24"/>
        </w:rPr>
        <w:t>MSA Assignment</w:t>
      </w:r>
      <w:r>
        <w:rPr>
          <w:rFonts w:ascii="Times New Roman;Times;serif" w:hAnsi="Times New Roman;Times;serif"/>
          <w:sz w:val="20"/>
        </w:rPr>
        <w:t>”</w:t>
      </w:r>
      <w:r>
        <w:rPr>
          <w:rFonts w:ascii="Times New Roman;Times;serif" w:hAnsi="Times New Roman;Times;serif"/>
          <w:sz w:val="24"/>
        </w:rPr>
        <w:t>) upon such terms as are mutually agreeable between Buyer and Seller and approved by Indapta in writing, duly executed by an authorized officer of Buyer.</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(vii)</w:t>
      </w:r>
      <w:r>
        <w:rPr>
          <w:rFonts w:ascii="Times New Roman;Times;serif" w:hAnsi="Times New Roman;Times;serif"/>
          <w:sz w:val="24"/>
          <w:u w:val="single"/>
        </w:rPr>
        <w:t>Third Party Consents</w:t>
      </w:r>
      <w:r>
        <w:rPr>
          <w:rFonts w:ascii="Times New Roman;Times;serif" w:hAnsi="Times New Roman;Times;serif"/>
          <w:sz w:val="24"/>
        </w:rPr>
        <w:t>.  Any and all third party consents required for Buyer’s purchase of the Purchased Assets from Seller and assumption of the MSA from Seller in form and content reasonably satisfactory to Seller.</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(viii)</w:t>
      </w:r>
      <w:r>
        <w:rPr>
          <w:rFonts w:ascii="Times New Roman;Times;serif" w:hAnsi="Times New Roman;Times;serif"/>
          <w:sz w:val="24"/>
          <w:u w:val="single"/>
        </w:rPr>
        <w:t>Closing Certificate</w:t>
      </w:r>
      <w:r>
        <w:rPr>
          <w:rFonts w:ascii="Times New Roman;Times;serif" w:hAnsi="Times New Roman;Times;serif"/>
          <w:sz w:val="24"/>
        </w:rPr>
        <w:t>.  A certificate to the effect the conditions set forth in Section 10 are satisfied and that all of the representations, warranties and covenants of Buyer are true and correct in all material respects as of the Closing Date, duly executed by an authorized officer of Buyer.</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b/>
          <w:sz w:val="24"/>
        </w:rPr>
        <w:t>By Seller</w:t>
      </w:r>
      <w:r>
        <w:rPr>
          <w:rFonts w:ascii="Times New Roman;Times;serif" w:hAnsi="Times New Roman;Times;serif"/>
          <w:sz w:val="24"/>
        </w:rPr>
        <w:t>.  Seller shall deliver the following to Buyer:</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u w:val="single"/>
        </w:rPr>
        <w:t>Bill of Sale</w:t>
      </w:r>
      <w:r>
        <w:rPr>
          <w:rFonts w:ascii="Times New Roman;Times;serif" w:hAnsi="Times New Roman;Times;serif"/>
          <w:sz w:val="24"/>
        </w:rPr>
        <w:t>.  A bill of sale (the “</w:t>
      </w:r>
      <w:r>
        <w:rPr>
          <w:rFonts w:ascii="Times New Roman;Times;serif" w:hAnsi="Times New Roman;Times;serif"/>
          <w:b/>
          <w:sz w:val="24"/>
        </w:rPr>
        <w:t>Bill of Sale</w:t>
      </w:r>
      <w:r>
        <w:rPr>
          <w:rFonts w:ascii="Times New Roman;Times;serif" w:hAnsi="Times New Roman;Times;serif"/>
          <w:sz w:val="20"/>
        </w:rPr>
        <w:t>”</w:t>
      </w:r>
      <w:r>
        <w:rPr>
          <w:rFonts w:ascii="Times New Roman;Times;serif" w:hAnsi="Times New Roman;Times;serif"/>
          <w:sz w:val="24"/>
        </w:rPr>
        <w:t>), duly executed by an authorized officer of Seller and other good and sufficient instruments of transfer and conveyance as shall be reasonably required to vest in Buyer good and marketable title, free and clear of all liens, encumbrances and security interests, to all of the Purchased Assets.</w:t>
      </w:r>
    </w:p>
    <w:p>
      <w:pPr>
        <w:pStyle w:val="TextBody"/>
        <w:bidi w:val="0"/>
        <w:spacing w:before="0" w:after="0"/>
        <w:ind w:left="144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u w:val="single"/>
        </w:rPr>
        <w:t>Kirby Lease Assignment</w:t>
      </w:r>
      <w:r>
        <w:rPr>
          <w:rFonts w:ascii="Times New Roman;Times;serif" w:hAnsi="Times New Roman;Times;serif"/>
          <w:sz w:val="24"/>
        </w:rPr>
        <w:t>.  The Kirby Lease Assignment duly executed by an authorized officer of Seller.</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u w:val="single"/>
        </w:rPr>
        <w:t>Kennedy Lease Assignment</w:t>
      </w:r>
      <w:r>
        <w:rPr>
          <w:rFonts w:ascii="Times New Roman;Times;serif" w:hAnsi="Times New Roman;Times;serif"/>
          <w:sz w:val="24"/>
        </w:rPr>
        <w:t>.  The Kennedy Lease Assignment duly executed by an authorized officer of Seller.</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u w:val="single"/>
        </w:rPr>
        <w:t>MSA Assignment</w:t>
      </w:r>
      <w:r>
        <w:rPr>
          <w:rFonts w:ascii="Times New Roman;Times;serif" w:hAnsi="Times New Roman;Times;serif"/>
          <w:sz w:val="24"/>
        </w:rPr>
        <w:t>.  The MSA Assignment duly executed by an authorized officer of Seller.</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4"/>
          <w:u w:val="single"/>
        </w:rPr>
        <w:t>Releases and Termination Statements</w:t>
      </w:r>
      <w:r>
        <w:rPr>
          <w:rFonts w:ascii="Times New Roman;Times;serif" w:hAnsi="Times New Roman;Times;serif"/>
          <w:sz w:val="24"/>
        </w:rPr>
        <w:t>.  Releases or terminations of all financing statements and satisfactions of all other encumbrances filed with the office of the Texas Secretary of State, Delaware Secretary of State and any county recorder or similar office evidencing a security interest, lien or claim on any of the Purchased Assets.</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w:t>
      </w:r>
      <w:r>
        <w:rPr>
          <w:rFonts w:ascii="Times New Roman;Times;serif" w:hAnsi="Times New Roman;Times;serif"/>
          <w:sz w:val="24"/>
          <w:u w:val="single"/>
        </w:rPr>
        <w:t>Authorizing Resolutions and Good Standing Certificate</w:t>
      </w:r>
      <w:r>
        <w:rPr>
          <w:rFonts w:ascii="Times New Roman;Times;serif" w:hAnsi="Times New Roman;Times;serif"/>
          <w:sz w:val="24"/>
        </w:rPr>
        <w:t>.  A copy of the duly adopted resolutions of the Board of Directors of Seller approving this Agreement and authorizing the execution and delivery of this Agreement and the consummation of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transactions contemplated hereby and a certificate of good standing of Seller issued by the Secretary of State from the state of Seller’s organization dated not more than 30 days prior to the Closing Date.</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(vii)</w:t>
      </w:r>
      <w:r>
        <w:rPr>
          <w:rFonts w:ascii="Times New Roman;Times;serif" w:hAnsi="Times New Roman;Times;serif"/>
          <w:sz w:val="24"/>
          <w:u w:val="single"/>
        </w:rPr>
        <w:t>Third Party Consents</w:t>
      </w:r>
      <w:r>
        <w:rPr>
          <w:rFonts w:ascii="Times New Roman;Times;serif" w:hAnsi="Times New Roman;Times;serif"/>
          <w:sz w:val="24"/>
        </w:rPr>
        <w:t>.  Any and all third party consents required for Seller’s sale of the Purchased Assets to Buyer and Seller’s assignment of the MSA to Buyer in form and content reasonably satisfactory to Buyer.</w:t>
      </w:r>
    </w:p>
    <w:p>
      <w:pPr>
        <w:pStyle w:val="TextBody"/>
        <w:bidi w:val="0"/>
        <w:spacing w:before="0" w:after="0"/>
        <w:ind w:left="144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(viii)</w:t>
      </w:r>
      <w:r>
        <w:rPr>
          <w:rFonts w:ascii="Times New Roman;Times;serif" w:hAnsi="Times New Roman;Times;serif"/>
          <w:sz w:val="24"/>
          <w:u w:val="single"/>
        </w:rPr>
        <w:t>Assignment of Warranties</w:t>
      </w:r>
      <w:r>
        <w:rPr>
          <w:rFonts w:ascii="Times New Roman;Times;serif" w:hAnsi="Times New Roman;Times;serif"/>
          <w:sz w:val="24"/>
        </w:rPr>
        <w:t>.  The Assignment of Warranties, duly executed by an authorized officer of Seller.</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(ix)</w:t>
      </w:r>
      <w:r>
        <w:rPr>
          <w:rFonts w:ascii="Times New Roman;Times;serif" w:hAnsi="Times New Roman;Times;serif"/>
          <w:sz w:val="24"/>
          <w:u w:val="single"/>
        </w:rPr>
        <w:t>Software Licenses</w:t>
      </w:r>
      <w:r>
        <w:rPr>
          <w:rFonts w:ascii="Times New Roman;Times;serif" w:hAnsi="Times New Roman;Times;serif"/>
          <w:sz w:val="24"/>
        </w:rPr>
        <w:t>.  Evidence that all Software Licenses (as defined herein) have been transferred to Buyer and such transfer is approved by the licensor thereof.</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(x)</w:t>
      </w:r>
      <w:r>
        <w:rPr>
          <w:rFonts w:ascii="Times New Roman;Times;serif" w:hAnsi="Times New Roman;Times;serif"/>
          <w:sz w:val="24"/>
          <w:u w:val="single"/>
        </w:rPr>
        <w:t>Equipment Documents</w:t>
      </w:r>
      <w:r>
        <w:rPr>
          <w:rFonts w:ascii="Times New Roman;Times;serif" w:hAnsi="Times New Roman;Times;serif"/>
          <w:sz w:val="24"/>
        </w:rPr>
        <w:t>.  Furnish Buyer with a copy of all accounts, books, ledgers and official and other records of whatsoever kind relating to the Equipment including without limitation, purchase agreements, purchase orders, invoices, specifications and technical, engineering, and operating manuals relating to the Equipment which are in the possession, custody or control of Seller (collectively, the “</w:t>
      </w:r>
      <w:r>
        <w:rPr>
          <w:rFonts w:ascii="Times New Roman;Times;serif" w:hAnsi="Times New Roman;Times;serif"/>
          <w:b/>
          <w:sz w:val="24"/>
        </w:rPr>
        <w:t>Equipment Documents</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(xi)</w:t>
      </w:r>
      <w:r>
        <w:rPr>
          <w:rFonts w:ascii="Times New Roman;Times;serif" w:hAnsi="Times New Roman;Times;serif"/>
          <w:sz w:val="24"/>
          <w:u w:val="single"/>
        </w:rPr>
        <w:t>Closing Certificate</w:t>
      </w:r>
      <w:r>
        <w:rPr>
          <w:rFonts w:ascii="Times New Roman;Times;serif" w:hAnsi="Times New Roman;Times;serif"/>
          <w:sz w:val="24"/>
        </w:rPr>
        <w:t>.  A certificate to the effect the conditions set forth in Section 9 are satisfied and that all of the representations, warranties and covenants of Seller are true and correct in all material respects as of the Closing Date, duly executed by an authorized officer of Seller.</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Cooperation</w:t>
      </w:r>
      <w:r>
        <w:rPr>
          <w:rFonts w:ascii="Times New Roman;Times;serif" w:hAnsi="Times New Roman;Times;serif"/>
          <w:sz w:val="24"/>
        </w:rPr>
        <w:t>.  Seller and Buyer agree that, at any time before or after the Closing, they shall cooperate in good faith in the effectuation of the transaction described in this Agreement.  In connection therewith, the parties agree that they shall execute, acknowledge and deliver any further assignments, conveyances, and/or other assurances, documents and instruments that are necessary to effectuate the transaction described herein and are reasonably requested by either party or their legal counsel.</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w:t>
      </w:r>
      <w:r>
        <w:rPr>
          <w:rFonts w:ascii="Times New Roman;Times;serif" w:hAnsi="Times New Roman;Times;serif"/>
          <w:b/>
          <w:sz w:val="24"/>
        </w:rPr>
        <w:t>Representations and Warranties of Seller</w:t>
      </w:r>
      <w:r>
        <w:rPr>
          <w:rFonts w:ascii="Times New Roman;Times;serif" w:hAnsi="Times New Roman;Times;serif"/>
          <w:sz w:val="24"/>
        </w:rPr>
        <w:t>.  In connection with and as an inducement to Buyer to enter into and be bound by the terms of this Agreement, Seller represents, warrants and covenants to Buyer as follows: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b/>
          <w:sz w:val="24"/>
        </w:rPr>
        <w:t>Organization, Standing and Power</w:t>
      </w:r>
      <w:r>
        <w:rPr>
          <w:rFonts w:ascii="Times New Roman;Times;serif" w:hAnsi="Times New Roman;Times;serif"/>
          <w:sz w:val="24"/>
        </w:rPr>
        <w:t>.  Seller is a corporation duly organized, validly existing and in good standing under the laws of the State of Delaware.  Seller is registered to transact business as a foreign corporation and is validly existing and in good standing under the laws of the state in which the Purchased Assets and the Premises are located.  Seller has all requisite corporate power and authority to own, lease and operate its properties and assets and to carry on its business as is now being conducted.</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b/>
          <w:sz w:val="24"/>
        </w:rPr>
        <w:t>Authority</w:t>
      </w:r>
      <w:r>
        <w:rPr>
          <w:rFonts w:ascii="Times New Roman;Times;serif" w:hAnsi="Times New Roman;Times;serif"/>
          <w:sz w:val="24"/>
        </w:rPr>
        <w:t>.  Seller has the full power and authority to enter into, execute and deliver this Agreement and to consummate the transactions contemplated hereby and any instruments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agreements required herein.  This Agreement has been duly and validly executed and delivered by Seller and constitutes a valid and binding obligation of Seller according to its terms, enforceable against Seller in accordance with its terms.  The execution of this Agreement by Seller has been duly authorized by the board of directors of Seller.</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b/>
          <w:sz w:val="24"/>
        </w:rPr>
        <w:t>No Violation</w:t>
      </w:r>
      <w:r>
        <w:rPr>
          <w:rFonts w:ascii="Times New Roman;Times;serif" w:hAnsi="Times New Roman;Times;serif"/>
          <w:sz w:val="24"/>
        </w:rPr>
        <w:t>.  Neither the execution and delivery by Seller of this Agreement, the consummation of the transactions contemplated hereby, nor compliance by Seller with any of the provisions hereof will:</w:t>
      </w:r>
    </w:p>
    <w:p>
      <w:pPr>
        <w:pStyle w:val="TextBody"/>
        <w:bidi w:val="0"/>
        <w:spacing w:before="0" w:after="0"/>
        <w:ind w:left="0" w:right="0" w:hanging="0"/>
        <w:jc w:val="both"/>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Violate or conflict with any provision of the organization documents of Seller, as amended.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Violate or constitute a default under or give rise to any right of termination, cancellation or acceleration under the terms, conditions or provisions of any agreement or instrument relating to the Lease, the MSA, the Equipment or the Warranties to which Seller is a party or by which Seller is bound except as has been duly and validly waived, consented to or approved of by the other party to such agreement or instrument;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Result in the creation or imposition of any security interest, lien or other encumbrance upon any of the Purchased Assets or the MSA under any agreement or commitment;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Violate any statute, law, judgment, order, decree, regulation or rule of any court or governmental authority applicable to Seller or any of the Purchased Assets or the MSA.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b/>
          <w:sz w:val="24"/>
        </w:rPr>
        <w:t>Equipment Documents</w:t>
      </w:r>
      <w:r>
        <w:rPr>
          <w:rFonts w:ascii="Times New Roman;Times;serif" w:hAnsi="Times New Roman;Times;serif"/>
          <w:sz w:val="24"/>
        </w:rPr>
        <w:t>.  Seller has delivered to Buyer true and complete copies of the Equipment Documents.  There are no uncured defaults by any party under any of the Equipment Documents.  No event or condition exists which constitutes, or after notice or lapse of time or both would constitute, a default any Equipment Document, either by Seller, or to the knowledge of Seller, any other party thereto, and Seller has complied with all provisions of the Equipment Documents.  All of Seller’s right, title and interest under the Equipment Documents are assignable, no consent to any such assignment is required or, to the extent required, such consent has been obtained and, following the Closing, all such right, title and interest shall be effectively and completely conveyed and assigned to Buyer.</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b/>
          <w:sz w:val="24"/>
        </w:rPr>
        <w:t>Title to the Purchased Assets</w:t>
      </w:r>
      <w:r>
        <w:rPr>
          <w:rFonts w:ascii="Times New Roman;Times;serif" w:hAnsi="Times New Roman;Times;serif"/>
          <w:sz w:val="24"/>
        </w:rPr>
        <w:t>.  Seller has good and marketable title to all of the Purchased Assets and shall transfer title to the Purchased Assets to Buyer free and clear of all mortgages, pledges, security interests, liens, conditional sales agreements or other encumbrances of any kind or nature whatsoever.</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b/>
          <w:sz w:val="24"/>
        </w:rPr>
        <w:t>Condition of Purchased Assets</w:t>
      </w:r>
      <w:r>
        <w:rPr>
          <w:rFonts w:ascii="Times New Roman;Times;serif" w:hAnsi="Times New Roman;Times;serif"/>
          <w:sz w:val="24"/>
        </w:rPr>
        <w:t>.  All of the Purchased Assets are, normal wear and tear excepted, (i) in good operating condition, (ii) free from material, structural and mechanical deficiencies, and (iii) adequate for use, after the Closing Date, in the ordinary course of business consistent with past practice as conducted as of the date of this Agreement.</w:t>
      </w:r>
    </w:p>
    <w:p>
      <w:pPr>
        <w:pStyle w:val="TextBody"/>
        <w:bidi w:val="0"/>
        <w:spacing w:before="0" w:after="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b/>
          <w:sz w:val="24"/>
        </w:rPr>
        <w:t>Books, Records and Accounts</w:t>
      </w:r>
      <w:r>
        <w:rPr>
          <w:rFonts w:ascii="Times New Roman;Times;serif" w:hAnsi="Times New Roman;Times;serif"/>
          <w:sz w:val="24"/>
        </w:rPr>
        <w:t>.  All accounts, books, ledgers and official and other records of whatsoever kind relating to the Purchased Assets and the MSA have been fully, properly and accurately kept and completed in all material respects and there are no material inaccuracies or discrepancies of any kind contained or reflected therein.</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b/>
          <w:sz w:val="24"/>
        </w:rPr>
        <w:t>Judgments</w:t>
      </w:r>
      <w:r>
        <w:rPr>
          <w:rFonts w:ascii="Times New Roman;Times;serif" w:hAnsi="Times New Roman;Times;serif"/>
          <w:sz w:val="24"/>
        </w:rPr>
        <w:t>.  There are no unsatisfied judgments of record against Seller which may be a lien against the Purchased Assets or the MSA.</w:t>
      </w:r>
    </w:p>
    <w:p>
      <w:pPr>
        <w:pStyle w:val="TextBody"/>
        <w:bidi w:val="0"/>
        <w:spacing w:before="0" w:after="0"/>
        <w:ind w:left="72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b/>
          <w:sz w:val="24"/>
        </w:rPr>
        <w:t>Litigation</w:t>
      </w:r>
      <w:r>
        <w:rPr>
          <w:rFonts w:ascii="Times New Roman;Times;serif" w:hAnsi="Times New Roman;Times;serif"/>
          <w:sz w:val="24"/>
        </w:rPr>
        <w:t>.  Neither Seller, the MSA nor the Purchased Assets are subject to any pending or threatened investigation, litigation, action, suit or proceeding by or before any court, arbitrator or federal, state or other governmental commission, board or agency, or by any private party, including without limitation, charges or complaints filed with any federal, state and/or local governmental agency (collectively, “</w:t>
      </w:r>
      <w:r>
        <w:rPr>
          <w:rFonts w:ascii="Times New Roman;Times;serif" w:hAnsi="Times New Roman;Times;serif"/>
          <w:b/>
          <w:sz w:val="24"/>
        </w:rPr>
        <w:t>Litigation</w:t>
      </w:r>
      <w:r>
        <w:rPr>
          <w:rFonts w:ascii="Times New Roman;Times;serif" w:hAnsi="Times New Roman;Times;serif"/>
          <w:sz w:val="20"/>
        </w:rPr>
        <w:t>”</w:t>
      </w:r>
      <w:r>
        <w:rPr>
          <w:rFonts w:ascii="Times New Roman;Times;serif" w:hAnsi="Times New Roman;Times;serif"/>
          <w:sz w:val="24"/>
        </w:rPr>
        <w:t>).  Seller shall be solely and absolutely responsible for all liabilities, costs and expenses (including legal fees) relating to any and all Litigation, together with any investigations, claims, lawsuits, demands, charges and/or complaints commenced on and after the Closing Date, which relate to facts and circumstances or other occurrences arising before the Closing Date.  Seller has and will maintain financial resources or insurance to adequately defend against the Litigation.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b/>
          <w:sz w:val="24"/>
        </w:rPr>
        <w:t>Taxes</w:t>
      </w:r>
      <w:r>
        <w:rPr>
          <w:rFonts w:ascii="Times New Roman;Times;serif" w:hAnsi="Times New Roman;Times;serif"/>
          <w:sz w:val="24"/>
        </w:rPr>
        <w:t>.  All taxes, license fees and other charges relating to the Purchased Assets and the MSA on or prior to the Closing Date have or will be paid by Seller as due.  There is no bulk sale, transfer, sales, use or other similar taxes or recording or filing fees relating to or resulting from the sale and purchase of the Purchased Assets, the assignment of the MSA or the Purchase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b/>
          <w:sz w:val="24"/>
        </w:rPr>
        <w:t>Compliance With Laws</w:t>
      </w:r>
      <w:r>
        <w:rPr>
          <w:rFonts w:ascii="Times New Roman;Times;serif" w:hAnsi="Times New Roman;Times;serif"/>
          <w:sz w:val="24"/>
        </w:rPr>
        <w:t>.  Seller is in compliance in all material respects with all applicable laws, regulations, orders, judgments and decrees (including, without limitation, all applicable provisions of any anti-money laundering, bribery, anti-pollution and environmental protection laws, laws relating to waste disposal, laws relating to occupational safety and health standards, wage and hour issues and equal employment opportunity).  Seller has all permits and licenses from governmental authorities required to own and operate the Purchased Assets as it is now owned and operated.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b/>
          <w:sz w:val="24"/>
        </w:rPr>
        <w:t>Software Licenses</w:t>
      </w:r>
      <w:r>
        <w:rPr>
          <w:rFonts w:ascii="Times New Roman;Times;serif" w:hAnsi="Times New Roman;Times;serif"/>
          <w:sz w:val="24"/>
        </w:rPr>
        <w:t>.  Seller has a sufficient number of fully paid and valid licenses to cover all software used needed to properly operate the Equipment (“</w:t>
      </w:r>
      <w:r>
        <w:rPr>
          <w:rFonts w:ascii="Times New Roman;Times;serif" w:hAnsi="Times New Roman;Times;serif"/>
          <w:b/>
          <w:sz w:val="24"/>
        </w:rPr>
        <w:t>Software Licenses</w:t>
      </w:r>
      <w:r>
        <w:rPr>
          <w:rFonts w:ascii="Times New Roman;Times;serif" w:hAnsi="Times New Roman;Times;serif"/>
          <w:sz w:val="20"/>
        </w:rPr>
        <w:t>”</w:t>
      </w:r>
      <w:r>
        <w:rPr>
          <w:rFonts w:ascii="Times New Roman;Times;serif" w:hAnsi="Times New Roman;Times;serif"/>
          <w:sz w:val="24"/>
        </w:rPr>
        <w:t>).  Any fees, increased maintenance costs or other transfer fees (whether direct or indirect) which are required to be paid in connection with the transfer of the Software Licenses by Seller to Buyer shall be paid by Seller.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b/>
          <w:sz w:val="24"/>
        </w:rPr>
        <w:t>Rights of Others</w:t>
      </w:r>
      <w:r>
        <w:rPr>
          <w:rFonts w:ascii="Times New Roman;Times;serif" w:hAnsi="Times New Roman;Times;serif"/>
          <w:sz w:val="24"/>
        </w:rPr>
        <w:t>.  Seller has not entered into any other contracts for the sale of the Purchased Assets, assignment of the MSA, nor are there any rights of first refusal or options to purchase the Purchased Assets, the MSA or any other rights of others that would conflict with the transactions described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(n)</w:t>
      </w:r>
      <w:r>
        <w:rPr>
          <w:rFonts w:ascii="Times New Roman;Times;serif" w:hAnsi="Times New Roman;Times;serif"/>
          <w:b/>
          <w:sz w:val="24"/>
        </w:rPr>
        <w:t>Third Party Consents</w:t>
      </w:r>
      <w:r>
        <w:rPr>
          <w:rFonts w:ascii="Times New Roman;Times;serif" w:hAnsi="Times New Roman;Times;serif"/>
          <w:sz w:val="24"/>
        </w:rPr>
        <w:t>.  No consent, approval or notice is required from or to any federal, state or local governmental agency or any other third party in connection with the sale of the Purchased Assets to Buyer or assignment of the MSA to Buyer as described herein.  Except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for the landlords to the Premises, no consent, approval or notice is required from or to any federal, state or local governmental agency or any other third party in connection with the Kennedy Lease Assignment or Kirby Lease Assignment.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(o)</w:t>
      </w:r>
      <w:r>
        <w:rPr>
          <w:rFonts w:ascii="Times New Roman;Times;serif" w:hAnsi="Times New Roman;Times;serif"/>
          <w:b/>
          <w:sz w:val="24"/>
        </w:rPr>
        <w:t>Leases</w:t>
      </w:r>
      <w:r>
        <w:rPr>
          <w:rFonts w:ascii="Times New Roman;Times;serif" w:hAnsi="Times New Roman;Times;serif"/>
          <w:sz w:val="24"/>
        </w:rPr>
        <w:t>.  There are no uncured defaults by any party under the leases for the Kennedy Premises or the Kirby Premises.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(p)</w:t>
      </w:r>
      <w:r>
        <w:rPr>
          <w:rFonts w:ascii="Times New Roman;Times;serif" w:hAnsi="Times New Roman;Times;serif"/>
          <w:b/>
          <w:sz w:val="24"/>
        </w:rPr>
        <w:t>Environmental Matters</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Except in compliance with applicable law, during the period that Seller has occupied the Premises, Seller has not disposed, released, or participated in or authorized the release or threatened release of Hazardous Materials on, from or under the Premises.  Seller has no knowledge of any presence, disposal, release or threatened release of Hazardous Materials on, from or under the Premises, which may have occurred prior to Seller having taken possession of the Premises.  For the purposes of this Agreement, the terms “</w:t>
      </w:r>
      <w:r>
        <w:rPr>
          <w:rFonts w:ascii="Times New Roman;Times;serif" w:hAnsi="Times New Roman;Times;serif"/>
          <w:b/>
          <w:sz w:val="24"/>
        </w:rPr>
        <w:t>disposal</w:t>
      </w:r>
      <w:r>
        <w:rPr>
          <w:rFonts w:ascii="Times New Roman;Times;serif" w:hAnsi="Times New Roman;Times;serif"/>
          <w:sz w:val="24"/>
        </w:rPr>
        <w:t>,” “</w:t>
      </w:r>
      <w:r>
        <w:rPr>
          <w:rFonts w:ascii="Times New Roman;Times;serif" w:hAnsi="Times New Roman;Times;serif"/>
          <w:b/>
          <w:sz w:val="24"/>
        </w:rPr>
        <w:t>release</w:t>
      </w:r>
      <w:r>
        <w:rPr>
          <w:rFonts w:ascii="Times New Roman;Times;serif" w:hAnsi="Times New Roman;Times;serif"/>
          <w:sz w:val="24"/>
        </w:rPr>
        <w:t>,” and “</w:t>
      </w:r>
      <w:r>
        <w:rPr>
          <w:rFonts w:ascii="Times New Roman;Times;serif" w:hAnsi="Times New Roman;Times;serif"/>
          <w:b/>
          <w:sz w:val="24"/>
        </w:rPr>
        <w:t>threatened release</w:t>
      </w:r>
      <w:r>
        <w:rPr>
          <w:rFonts w:ascii="Times New Roman;Times;serif" w:hAnsi="Times New Roman;Times;serif"/>
          <w:sz w:val="20"/>
        </w:rPr>
        <w:t xml:space="preserve">” </w:t>
      </w:r>
      <w:r>
        <w:rPr>
          <w:rFonts w:ascii="Times New Roman;Times;serif" w:hAnsi="Times New Roman;Times;serif"/>
          <w:sz w:val="24"/>
        </w:rPr>
        <w:t>shall have the definitions assigned thereto by the Comprehensive Environmental Response, Compensation and Liability Act of 1980, 42 U.S.C. § 9601 et seq., as amended (“</w:t>
      </w:r>
      <w:r>
        <w:rPr>
          <w:rFonts w:ascii="Times New Roman;Times;serif" w:hAnsi="Times New Roman;Times;serif"/>
          <w:b/>
          <w:sz w:val="24"/>
        </w:rPr>
        <w:t>CERCLA</w:t>
      </w:r>
      <w:r>
        <w:rPr>
          <w:rFonts w:ascii="Times New Roman;Times;serif" w:hAnsi="Times New Roman;Times;serif"/>
          <w:sz w:val="20"/>
        </w:rPr>
        <w:t>”</w:t>
      </w:r>
      <w:r>
        <w:rPr>
          <w:rFonts w:ascii="Times New Roman;Times;serif" w:hAnsi="Times New Roman;Times;serif"/>
          <w:sz w:val="24"/>
        </w:rPr>
        <w:t>).  “</w:t>
      </w:r>
      <w:r>
        <w:rPr>
          <w:rFonts w:ascii="Times New Roman;Times;serif" w:hAnsi="Times New Roman;Times;serif"/>
          <w:b/>
          <w:sz w:val="24"/>
        </w:rPr>
        <w:t>Hazardous Materials</w:t>
      </w:r>
      <w:r>
        <w:rPr>
          <w:rFonts w:ascii="Times New Roman;Times;serif" w:hAnsi="Times New Roman;Times;serif"/>
          <w:sz w:val="20"/>
        </w:rPr>
        <w:t xml:space="preserve">” </w:t>
      </w:r>
      <w:r>
        <w:rPr>
          <w:rFonts w:ascii="Times New Roman;Times;serif" w:hAnsi="Times New Roman;Times;serif"/>
          <w:sz w:val="24"/>
        </w:rPr>
        <w:t>means any petroleum or petroleum products, radioactive materials, asbestos-containing materials, radon gas and any other hazardous or toxic substance, material or waste which is or becomes regulated under, or defined as a “hazardous substance,” “pollutant,” “contaminant,” “toxic chemical,” “hazardous materials,” “toxic substance” or “hazardous chemical” the release of which would be a reportable event under any federal, state, foreign or local laws or regulations.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Seller has no knowledge that the Premises is in violation of any federal, state, foreign or local law, ordinance, regulation or order relating to industrial hygiene or to the environmental conditions on, under or about the Premises, including, but not limited to, soil and ground water condition.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During the time that Seller has occupied the Premises, (A) neither Seller nor any third party, has used, generated, manufactured or stored on, under or about the Premises or transported to or from the Premises any Hazardous Materials in a manner which would violate any applicable state or federal laws governing such substances, and (B) there has been no litigation brought or threatened against Seller by, or any settlement reached by Seller with, any party or parties alleging the presence, disposal, release or threatened release of any Hazardous Materials, on from or under the Premises.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As of the Closing Date, no Hazardous Materials shall be located in the Premises in a manner which would violate any applicable state or federal laws governing such substances.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w:t>
      </w:r>
      <w:r>
        <w:rPr>
          <w:rFonts w:ascii="Times New Roman;Times;serif" w:hAnsi="Times New Roman;Times;serif"/>
          <w:b/>
          <w:sz w:val="24"/>
        </w:rPr>
        <w:t>Representations and Warranties of Buyer</w:t>
      </w:r>
      <w:r>
        <w:rPr>
          <w:rFonts w:ascii="Times New Roman;Times;serif" w:hAnsi="Times New Roman;Times;serif"/>
          <w:sz w:val="24"/>
        </w:rPr>
        <w:t>.  In connection with and as an inducement to Seller to enter into and be bound by the terms of this Agreement, Buyer represents, warrants and covenants to Seller as follows: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b/>
          <w:sz w:val="24"/>
        </w:rPr>
        <w:t>Organization</w:t>
      </w:r>
      <w:r>
        <w:rPr>
          <w:rFonts w:ascii="Times New Roman;Times;serif" w:hAnsi="Times New Roman;Times;serif"/>
          <w:sz w:val="24"/>
        </w:rPr>
        <w:t>.  Buyer is a limited liability company duly organized, validly existing and in good standing under the laws of the State of Minnesota.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b/>
          <w:sz w:val="24"/>
        </w:rPr>
        <w:t>Authority</w:t>
      </w:r>
      <w:r>
        <w:rPr>
          <w:rFonts w:ascii="Times New Roman;Times;serif" w:hAnsi="Times New Roman;Times;serif"/>
          <w:sz w:val="24"/>
        </w:rPr>
        <w:t>.  Buyer has full power and authority to enter into, execute and deliver this Agreement and to consummate the transactions contemplated hereby and any instruments or agreements required herein.  This Agreement has been duly and validly executed and delivered by Buyer and constitutes a valid and binding obligation of Buyer, enforceable against Buyer in accordance with its terms.  The execution of this Agreement by Buyer has been duly authorized by the sole member of Buyer.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b/>
          <w:sz w:val="24"/>
        </w:rPr>
        <w:t>No Violation</w:t>
      </w:r>
      <w:r>
        <w:rPr>
          <w:rFonts w:ascii="Times New Roman;Times;serif" w:hAnsi="Times New Roman;Times;serif"/>
          <w:sz w:val="24"/>
        </w:rPr>
        <w:t>.  Neither the execution and delivery by Buyer of this Agreement, the consummation of the transactions contemplated hereby, nor compliance by Buyer with any of the provisions hereof will: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Violate or conflict with any provision of the organization documents of Buyer;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Violate or constitute a default under or give rise to any right of termination, cancellation or acceleration under the terms, conditions or provisions of any agreement or instrument to which Buyer is a party or by which Buyer or any of its properties or assets is bound except as has been duly and validly waived, consented to, or approved of by the other parties to such agreement or instrument;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Violate any statute or law or any judgment, order, decree, regulation or rule of any court or governmental authority applicable to Buyer.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b/>
          <w:sz w:val="24"/>
        </w:rPr>
        <w:t>Purchase Price</w:t>
      </w:r>
      <w:r>
        <w:rPr>
          <w:rFonts w:ascii="Times New Roman;Times;serif" w:hAnsi="Times New Roman;Times;serif"/>
          <w:sz w:val="24"/>
        </w:rPr>
        <w:t>.  Buyer has and will have at and at all times prior to the Closing readily available funds sufficient to pay all amounts required to be paid at the Closing pursuant to this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w:t>
      </w:r>
      <w:r>
        <w:rPr>
          <w:rFonts w:ascii="Times New Roman;Times;serif" w:hAnsi="Times New Roman;Times;serif"/>
          <w:b/>
          <w:sz w:val="24"/>
        </w:rPr>
        <w:t>Conditions Precedent to Obligations of Seller</w:t>
      </w:r>
      <w:r>
        <w:rPr>
          <w:rFonts w:ascii="Times New Roman;Times;serif" w:hAnsi="Times New Roman;Times;serif"/>
          <w:sz w:val="24"/>
        </w:rPr>
        <w:t>.  The obligations of Seller hereunder are subject to the fulfillment or satisfaction on or before the Closing Date, of each of the following conditions (any one or more of which may be waived by Seller, but only in writing signed by Seller):</w:t>
      </w:r>
    </w:p>
    <w:p>
      <w:pPr>
        <w:pStyle w:val="TextBody"/>
        <w:bidi w:val="0"/>
        <w:spacing w:before="0" w:after="0"/>
        <w:ind w:left="0" w:right="0" w:hanging="0"/>
        <w:jc w:val="both"/>
        <w:rPr/>
      </w:pPr>
      <w:r>
        <w:rPr/>
        <w:t>​</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b/>
          <w:sz w:val="24"/>
        </w:rPr>
        <w:t>Accuracy of Representations and Warranties</w:t>
      </w:r>
      <w:r>
        <w:rPr>
          <w:rFonts w:ascii="Times New Roman;Times;serif" w:hAnsi="Times New Roman;Times;serif"/>
          <w:sz w:val="24"/>
        </w:rPr>
        <w:t>. The representations and warranties of Buyer set forth in Section 8 shall be true and accurate in all material respects on and as of the Closing Date with the same force and effect as if they had been made at the Closing Date, and Seller shall receive a certificate to such effect executed by an authorized officer of Buyer.</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b/>
          <w:sz w:val="24"/>
        </w:rPr>
        <w:t>Performance and Compliance</w:t>
      </w:r>
      <w:r>
        <w:rPr>
          <w:rFonts w:ascii="Times New Roman;Times;serif" w:hAnsi="Times New Roman;Times;serif"/>
          <w:sz w:val="24"/>
        </w:rPr>
        <w:t>. Buyer shall have performed and complied in all material respects with all of the agreements, covenants and conditions required by this Agreement to be performed or complied with by Buyer on or prior to the Closing Date.</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b/>
          <w:sz w:val="24"/>
        </w:rPr>
        <w:t>Compliance with Law</w:t>
      </w:r>
      <w:r>
        <w:rPr>
          <w:rFonts w:ascii="Times New Roman;Times;serif" w:hAnsi="Times New Roman;Times;serif"/>
          <w:sz w:val="24"/>
        </w:rPr>
        <w:t>. There shall be no order, decree or ruling by any governmental entity, or any statute, rule, regulation or order enacted, entered, enforced or deemed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 w:right="0" w:hanging="0"/>
        <w:jc w:val="both"/>
        <w:rPr>
          <w:rFonts w:ascii="Times New Roman;Times;serif" w:hAnsi="Times New Roman;Times;serif"/>
          <w:sz w:val="24"/>
        </w:rPr>
      </w:pPr>
      <w:r>
        <w:rPr>
          <w:rFonts w:ascii="Times New Roman;Times;serif" w:hAnsi="Times New Roman;Times;serif"/>
          <w:sz w:val="24"/>
        </w:rPr>
        <w:t>applicable to the transactions contemplated by this Agreement, which would prohibit or render illegal the transactions contemplated by this Agreement.</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b/>
          <w:sz w:val="24"/>
        </w:rPr>
        <w:t>Consents</w:t>
      </w:r>
      <w:r>
        <w:rPr>
          <w:rFonts w:ascii="Times New Roman;Times;serif" w:hAnsi="Times New Roman;Times;serif"/>
          <w:sz w:val="24"/>
        </w:rPr>
        <w:t>. There shall have been obtained on or before the Closing such material permits, authorizations or consents, and there shall have been taken such other action, as may be required for Seller to lawfully consummate the transactions contemplated by this Agreement by any person or regulatory authority having jurisdiction over Seller and the actions herein proposed to be taken, including but not limited to requirements under applicable federal and state securities laws.</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b/>
          <w:sz w:val="24"/>
        </w:rPr>
        <w:t>No Legal Action</w:t>
      </w:r>
      <w:r>
        <w:rPr>
          <w:rFonts w:ascii="Times New Roman;Times;serif" w:hAnsi="Times New Roman;Times;serif"/>
          <w:sz w:val="24"/>
        </w:rPr>
        <w:t>. No temporary restraining order, preliminary injunction or permanent injunction or other order preventing the consummation of the transactions contemplated by this Agreement shall have been issued by any Federal or state court and remain in effect, nor shall any proceeding seeking any of the foregoing be pending.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b/>
          <w:sz w:val="24"/>
        </w:rPr>
        <w:t>No Termination</w:t>
      </w:r>
      <w:r>
        <w:rPr>
          <w:rFonts w:ascii="Times New Roman;Times;serif" w:hAnsi="Times New Roman;Times;serif"/>
          <w:sz w:val="24"/>
        </w:rPr>
        <w:t>.  No party to this Agreement shall have terminated this Agreement as permitted herein.</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b/>
          <w:sz w:val="24"/>
        </w:rPr>
        <w:t>Delivery of Documents</w:t>
      </w:r>
      <w:r>
        <w:rPr>
          <w:rFonts w:ascii="Times New Roman;Times;serif" w:hAnsi="Times New Roman;Times;serif"/>
          <w:sz w:val="24"/>
        </w:rPr>
        <w:t>. Buyer shall have executed and delivered to Seller all of the documents to be executed and delivered by Buyer at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10.</w:t>
      </w:r>
      <w:r>
        <w:rPr>
          <w:rFonts w:ascii="Times New Roman;Times;serif" w:hAnsi="Times New Roman;Times;serif"/>
          <w:b/>
          <w:sz w:val="24"/>
        </w:rPr>
        <w:t>Conditions Precedent to Obligations of Buyer</w:t>
      </w:r>
      <w:r>
        <w:rPr>
          <w:rFonts w:ascii="Times New Roman;Times;serif" w:hAnsi="Times New Roman;Times;serif"/>
          <w:sz w:val="24"/>
        </w:rPr>
        <w:t>.  The obligations of Buyer hereunder are subject to the fulfillment or satisfaction on or before the Closing Date, of each of the following conditions (any one or more of which may be waived by Buyer, but only in a writing signed by Buyer):</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b/>
          <w:sz w:val="24"/>
        </w:rPr>
        <w:t>Accuracy of Representations and Warranties</w:t>
      </w:r>
      <w:r>
        <w:rPr>
          <w:rFonts w:ascii="Times New Roman;Times;serif" w:hAnsi="Times New Roman;Times;serif"/>
          <w:sz w:val="24"/>
        </w:rPr>
        <w:t>. The representations and warranties of Seller set forth in Section 7 shall be true and accurate in all material respects on and as of the Closing Date with the same force and effect as if they had been made at the Closing Date, and Buyer shall receive a certificate to such effect signed by an authorized officer of Seller.</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b/>
          <w:sz w:val="24"/>
        </w:rPr>
        <w:t>Performance and Compliance</w:t>
      </w:r>
      <w:r>
        <w:rPr>
          <w:rFonts w:ascii="Times New Roman;Times;serif" w:hAnsi="Times New Roman;Times;serif"/>
          <w:sz w:val="24"/>
        </w:rPr>
        <w:t>. Seller shall have performed and complied in all material respects with all of the agreements, covenants and conditions required by this Agreement to be performed or complied with by Seller on or prior to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b/>
          <w:sz w:val="24"/>
        </w:rPr>
        <w:t>Operation of Business</w:t>
      </w:r>
      <w:r>
        <w:rPr>
          <w:rFonts w:ascii="Times New Roman;Times;serif" w:hAnsi="Times New Roman;Times;serif"/>
          <w:sz w:val="24"/>
        </w:rPr>
        <w:t>.  Seller shall have at all times since the Effective Date operated the Purchased Assets, the MSA, and the leases for the Premises in the ordinary course of its business in all material respects.</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b/>
          <w:sz w:val="24"/>
        </w:rPr>
        <w:t>No Material Change</w:t>
      </w:r>
      <w:r>
        <w:rPr>
          <w:rFonts w:ascii="Times New Roman;Times;serif" w:hAnsi="Times New Roman;Times;serif"/>
          <w:sz w:val="24"/>
        </w:rPr>
        <w:t>. Since the Effective Date, there shall be no material adverse change in the condition or ownership of the Purchased Assets, the MSA, or the leases for the Premises.</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b/>
          <w:sz w:val="24"/>
        </w:rPr>
        <w:t>Compliance with Law</w:t>
      </w:r>
      <w:r>
        <w:rPr>
          <w:rFonts w:ascii="Times New Roman;Times;serif" w:hAnsi="Times New Roman;Times;serif"/>
          <w:sz w:val="24"/>
        </w:rPr>
        <w:t>. There shall be no order, decree or ruling by any governmental entity, or any statute, rule, regulation or order enacted, entered, enforced or deemed applicable to the transactions contemplated by this Agreement, which would prohibit or render illegal the transactions contemplated by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b/>
          <w:sz w:val="24"/>
        </w:rPr>
        <w:t>Consents</w:t>
      </w:r>
      <w:r>
        <w:rPr>
          <w:rFonts w:ascii="Times New Roman;Times;serif" w:hAnsi="Times New Roman;Times;serif"/>
          <w:sz w:val="24"/>
        </w:rPr>
        <w:t>. There shall have been obtained on or before the Closing such material permits, authorizations or consents, and there shall have been taken such other action, as may be required for Buyer to lawfully consummate the transactions contemplated by this Agreement by any Person or regulatory authority having jurisdiction over Buyer and the actions herein proposed to be taken, including but not limited to requirements under applicable federal and state securities laws.</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b/>
          <w:sz w:val="24"/>
        </w:rPr>
        <w:t>No Legal Action</w:t>
      </w:r>
      <w:r>
        <w:rPr>
          <w:rFonts w:ascii="Times New Roman;Times;serif" w:hAnsi="Times New Roman;Times;serif"/>
          <w:sz w:val="24"/>
        </w:rPr>
        <w:t>. No temporary restraining order, preliminary injunction or permanent injunction or other order preventing the consummation of the transactions contemplated by this Agreement shall have been issued by any federal or state court and remain in effect, nor shall any proceeding seeking any of the foregoing be pending.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b/>
          <w:sz w:val="24"/>
        </w:rPr>
        <w:t>No Termination</w:t>
      </w:r>
      <w:r>
        <w:rPr>
          <w:rFonts w:ascii="Times New Roman;Times;serif" w:hAnsi="Times New Roman;Times;serif"/>
          <w:sz w:val="24"/>
        </w:rPr>
        <w:t>.  No party to this Agreement shall have terminated this Agreement as permitted herein.</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b/>
          <w:sz w:val="24"/>
        </w:rPr>
        <w:t>Delivery of Documents</w:t>
      </w:r>
      <w:r>
        <w:rPr>
          <w:rFonts w:ascii="Times New Roman;Times;serif" w:hAnsi="Times New Roman;Times;serif"/>
          <w:sz w:val="24"/>
        </w:rPr>
        <w:t>. Seller shall have executed and delivered to Buyer all of the documents to be executed and delivered by Seller at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11.</w:t>
      </w:r>
      <w:r>
        <w:rPr>
          <w:rFonts w:ascii="Times New Roman;Times;serif" w:hAnsi="Times New Roman;Times;serif"/>
          <w:b/>
          <w:sz w:val="24"/>
        </w:rPr>
        <w:t>Termination of Agreement</w:t>
      </w:r>
      <w:r>
        <w:rPr>
          <w:rFonts w:ascii="Times New Roman;Times;serif" w:hAnsi="Times New Roman;Times;serif"/>
          <w:sz w:val="24"/>
        </w:rPr>
        <w:t>.</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b/>
          <w:sz w:val="24"/>
        </w:rPr>
        <w:t>Termination</w:t>
      </w:r>
      <w:r>
        <w:rPr>
          <w:rFonts w:ascii="Times New Roman;Times;serif" w:hAnsi="Times New Roman;Times;serif"/>
          <w:sz w:val="24"/>
        </w:rPr>
        <w:t>. The parties may terminate this Agreement prior to the Closing as follows: (a) the parties may terminate this Agreement by mutual written consent; (b) Seller may terminate this Agreement by giving written notice to Buyer if the Closing shall not have occurred by the Closing Date by reason of the failure of any condition precedent under Section 9 (unless the failure results primarily from a breach by Seller of this Agreement); and (c) Buyer may terminate this Agreement by giving written notice to Seller if the Closing shall not have occurred by the Closing Date by reason of the failure of any condition precedent under Section 10 (unless the failure results primarily from a breach by Buyer of this Agreement).</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b/>
          <w:sz w:val="24"/>
        </w:rPr>
        <w:t>Notice of Termination</w:t>
      </w:r>
      <w:r>
        <w:rPr>
          <w:rFonts w:ascii="Times New Roman;Times;serif" w:hAnsi="Times New Roman;Times;serif"/>
          <w:sz w:val="24"/>
        </w:rPr>
        <w:t>. Any termination of this Agreement under Section 11(a) will be effective by the delivery of written notice of the terminating party to the other party hereto.</w:t>
      </w:r>
    </w:p>
    <w:p>
      <w:pPr>
        <w:pStyle w:val="TextBody"/>
        <w:bidi w:val="0"/>
        <w:spacing w:before="0" w:after="240"/>
        <w:ind w:left="72"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b/>
          <w:sz w:val="24"/>
        </w:rPr>
        <w:t>Effect of Termination</w:t>
      </w:r>
      <w:r>
        <w:rPr>
          <w:rFonts w:ascii="Times New Roman;Times;serif" w:hAnsi="Times New Roman;Times;serif"/>
          <w:sz w:val="24"/>
        </w:rPr>
        <w:t>. In the case of any termination of this Agreement as provided in this Section 11, except as otherwise provided herein, this Agreement shall be of no further force and effect and nothing herein shall relieve any party from liability for any willful and material breach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12.</w:t>
      </w:r>
      <w:r>
        <w:rPr>
          <w:rFonts w:ascii="Times New Roman;Times;serif" w:hAnsi="Times New Roman;Times;serif"/>
          <w:b/>
          <w:sz w:val="24"/>
        </w:rPr>
        <w:t>No Survival of Representations and Warranties</w:t>
      </w:r>
      <w:r>
        <w:rPr>
          <w:rFonts w:ascii="Times New Roman;Times;serif" w:hAnsi="Times New Roman;Times;serif"/>
          <w:sz w:val="24"/>
        </w:rPr>
        <w:t>. (i) All representations and warranties and all covenants and obligations of Seller set forth in this Agreement (other than those covenants and agreements that by their terms apply or are to be performed in whole or in part (but only to the extent of such part) at or after the Closing (collectively, the “</w:t>
      </w:r>
      <w:r>
        <w:rPr>
          <w:rFonts w:ascii="Times New Roman;Times;serif" w:hAnsi="Times New Roman;Times;serif"/>
          <w:b/>
          <w:sz w:val="24"/>
        </w:rPr>
        <w:t>Post-Closing Covenants</w:t>
      </w:r>
      <w:r>
        <w:rPr>
          <w:rFonts w:ascii="Times New Roman;Times;serif" w:hAnsi="Times New Roman;Times;serif"/>
          <w:sz w:val="20"/>
        </w:rPr>
        <w:t>”</w:t>
      </w:r>
      <w:r>
        <w:rPr>
          <w:rFonts w:ascii="Times New Roman;Times;serif" w:hAnsi="Times New Roman;Times;serif"/>
          <w:sz w:val="24"/>
        </w:rPr>
        <w:t>)) shall terminate at the Closing (the “</w:t>
      </w:r>
      <w:r>
        <w:rPr>
          <w:rFonts w:ascii="Times New Roman;Times;serif" w:hAnsi="Times New Roman;Times;serif"/>
          <w:b/>
          <w:sz w:val="24"/>
        </w:rPr>
        <w:t>Expiration Date</w:t>
      </w:r>
      <w:r>
        <w:rPr>
          <w:rFonts w:ascii="Times New Roman;Times;serif" w:hAnsi="Times New Roman;Times;serif"/>
          <w:sz w:val="20"/>
        </w:rPr>
        <w:t>”</w:t>
      </w:r>
      <w:r>
        <w:rPr>
          <w:rFonts w:ascii="Times New Roman;Times;serif" w:hAnsi="Times New Roman;Times;serif"/>
          <w:sz w:val="24"/>
        </w:rPr>
        <w:t>) and it is the intention of the parties, to the extent permitted by applicable Law, that the Expiration Date supersede any applicable statutes of limitations with respect to such representations, warranties and covenants and (ii) each Post-Closing Covenant shall survive until such covenant is performed or otherwise expires in accordance with its terms.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13.</w:t>
      </w:r>
      <w:r>
        <w:rPr>
          <w:rFonts w:ascii="Times New Roman;Times;serif" w:hAnsi="Times New Roman;Times;serif"/>
          <w:b/>
          <w:sz w:val="24"/>
        </w:rPr>
        <w:t>Payment from Indapta</w:t>
      </w:r>
      <w:r>
        <w:rPr>
          <w:rFonts w:ascii="Times New Roman;Times;serif" w:hAnsi="Times New Roman;Times;serif"/>
          <w:sz w:val="24"/>
        </w:rPr>
        <w:t>.  The parties agree that (a) payment from Indapta for Work Order 1 under the MSA shall be made by Indapta to Seller and retained by Seller, and (b) payment from Indapta for Work Order 2 under the MSA and Work Order 3 under the MSA shall be made by Indapta to Buyer and retained by Buyer.  If Buyer receives payment from Indapta for Work Order 1 under the MSA, Buyer shall within five (5) days after receipt forward said payment to Seller.  If Seller receives payment from Indapta for Work Order 2 under the MSA or Work Order 3 under the MSA, Seller shall within five (5) days after receipt forward said payment(s) to Buyer.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14.</w:t>
      </w:r>
      <w:r>
        <w:rPr>
          <w:rFonts w:ascii="Times New Roman;Times;serif" w:hAnsi="Times New Roman;Times;serif"/>
          <w:b/>
          <w:sz w:val="24"/>
        </w:rPr>
        <w:t>Employees</w:t>
      </w:r>
      <w:r>
        <w:rPr>
          <w:rFonts w:ascii="Times New Roman;Times;serif" w:hAnsi="Times New Roman;Times;serif"/>
          <w:sz w:val="24"/>
        </w:rPr>
        <w:t>.  As of the Closing Date, Buyer shall offer employment to all of the employees of Seller listed on Exhibit B hereto (collectively, the “</w:t>
      </w:r>
      <w:r>
        <w:rPr>
          <w:rFonts w:ascii="Times New Roman;Times;serif" w:hAnsi="Times New Roman;Times;serif"/>
          <w:b/>
          <w:sz w:val="24"/>
        </w:rPr>
        <w:t>Employees</w:t>
      </w:r>
      <w:r>
        <w:rPr>
          <w:rFonts w:ascii="Times New Roman;Times;serif" w:hAnsi="Times New Roman;Times;serif"/>
          <w:sz w:val="20"/>
        </w:rPr>
        <w:t>”</w:t>
      </w:r>
      <w:r>
        <w:rPr>
          <w:rFonts w:ascii="Times New Roman;Times;serif" w:hAnsi="Times New Roman;Times;serif"/>
          <w:sz w:val="24"/>
        </w:rPr>
        <w:t>), subject to any Employee who accepts such offer of employment concurrently resigning from his or her employment with Seller.  Seller shall timely pay the Employees all unpaid wages and accrued benefits owed through the Closing Date and all employment taxes and any other costs related to the Employees through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15.</w:t>
      </w:r>
      <w:r>
        <w:rPr>
          <w:rFonts w:ascii="Times New Roman;Times;serif" w:hAnsi="Times New Roman;Times;serif"/>
          <w:b/>
          <w:sz w:val="24"/>
        </w:rPr>
        <w:t>Miscellaneous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b/>
          <w:sz w:val="24"/>
        </w:rPr>
        <w:t>Public Announcements</w:t>
      </w:r>
      <w:r>
        <w:rPr>
          <w:rFonts w:ascii="Times New Roman;Times;serif" w:hAnsi="Times New Roman;Times;serif"/>
          <w:sz w:val="24"/>
        </w:rPr>
        <w:t>.  No press releases or public disclosure, either written or oral, of the transactions contemplated by this Agreement, shall be made by either party without the prior knowledge and consent of the other party, except as required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b/>
          <w:sz w:val="24"/>
        </w:rPr>
        <w:t>Confidentiality</w:t>
      </w:r>
      <w:r>
        <w:rPr>
          <w:rFonts w:ascii="Times New Roman;Times;serif" w:hAnsi="Times New Roman;Times;serif"/>
          <w:sz w:val="24"/>
        </w:rPr>
        <w:t>.  Buyer and Seller agree to maintain the confidentiality of all of the terms of this Agreement, all related agreements and shall not disclose any such terms to any third party without the consent of the other party except as may be required by court order or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b/>
          <w:sz w:val="24"/>
        </w:rPr>
        <w:t>Mutual Cooperation</w:t>
      </w:r>
      <w:r>
        <w:rPr>
          <w:rFonts w:ascii="Times New Roman;Times;serif" w:hAnsi="Times New Roman;Times;serif"/>
          <w:sz w:val="24"/>
        </w:rPr>
        <w:t>.  Buyer and Seller agree to work together and cooperate to the extent necessary so as to facilitate Closing on the transactions contemplated by this Agreement.  Subsequent to Closing, each party, at the request of the other, shall execute, deliver and acknowledge all such further instruments and documents and do and perform all such other acts and deeds as may be required to consummate the transactions contemplated by this Agreement and to carry out the purpose and intent of this Agreement.  In addition, each party agrees that after the Closing it will furnish or cause to be furnished to the other party, upon request and as promptly as practicable, such information and assistance (including access to books and records) relating to the Purchased Assets and the MSA as is reasonably necessary for (i) the preparation of any return with respect to taxes, claim for refund or audit, and the prosecution or defense of any claim, suit or proceeding relating to any proposed adjustment with respect to taxes; and (ii) the defense of any litigation, lawsuits, administrative proceedings or administrative investigations to which the requesting party is a party.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b/>
          <w:sz w:val="24"/>
        </w:rPr>
        <w:t>Notices</w:t>
      </w:r>
      <w:r>
        <w:rPr>
          <w:rFonts w:ascii="Times New Roman;Times;serif" w:hAnsi="Times New Roman;Times;serif"/>
          <w:sz w:val="24"/>
        </w:rPr>
        <w:t>.  All notices, offers, requests or other communications from either of the parties hereto to the other shall be in writing and shall be considered to have been duly delivered or served if sent by first class certified mail, return receipt requested, postage prepaid, or by email to the party at its address as set forth below or to such other address as such party may hereafter designate by written notice to the other party:</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997" w:type="dxa"/>
        <w:jc w:val="left"/>
        <w:tblInd w:w="0" w:type="dxa"/>
        <w:tblLayout w:type="fixed"/>
        <w:tblCellMar>
          <w:top w:w="0" w:type="dxa"/>
          <w:left w:w="0" w:type="dxa"/>
          <w:bottom w:w="0" w:type="dxa"/>
          <w:right w:w="0" w:type="dxa"/>
        </w:tblCellMar>
      </w:tblPr>
      <w:tblGrid>
        <w:gridCol w:w="1576"/>
        <w:gridCol w:w="3421"/>
      </w:tblGrid>
      <w:tr>
        <w:trPr/>
        <w:tc>
          <w:tcPr>
            <w:tcW w:w="15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If to Buyer, to:</w:t>
            </w:r>
          </w:p>
        </w:tc>
        <w:tc>
          <w:tcPr>
            <w:tcW w:w="34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Cell Ready, LLC</w:t>
            </w:r>
          </w:p>
        </w:tc>
      </w:tr>
      <w:tr>
        <w:trPr/>
        <w:tc>
          <w:tcPr>
            <w:tcW w:w="1576" w:type="dxa"/>
            <w:tcBorders/>
            <w:vAlign w:val="center"/>
          </w:tcPr>
          <w:p>
            <w:pPr>
              <w:pStyle w:val="TableContents"/>
              <w:bidi w:val="0"/>
              <w:spacing w:before="0" w:after="0"/>
              <w:ind w:left="0" w:right="0" w:hanging="0"/>
              <w:jc w:val="left"/>
              <w:rPr/>
            </w:pPr>
            <w:r>
              <w:rPr/>
              <w:t>​</w:t>
            </w:r>
          </w:p>
        </w:tc>
        <w:tc>
          <w:tcPr>
            <w:tcW w:w="34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Attn: John R. Wilson</w:t>
            </w:r>
          </w:p>
        </w:tc>
      </w:tr>
      <w:tr>
        <w:trPr/>
        <w:tc>
          <w:tcPr>
            <w:tcW w:w="1576" w:type="dxa"/>
            <w:tcBorders/>
            <w:vAlign w:val="center"/>
          </w:tcPr>
          <w:p>
            <w:pPr>
              <w:pStyle w:val="TableContents"/>
              <w:bidi w:val="0"/>
              <w:spacing w:before="0" w:after="0"/>
              <w:ind w:left="0" w:right="0" w:hanging="0"/>
              <w:jc w:val="left"/>
              <w:rPr/>
            </w:pPr>
            <w:r>
              <w:rPr/>
              <w:t>​</w:t>
            </w:r>
          </w:p>
        </w:tc>
        <w:tc>
          <w:tcPr>
            <w:tcW w:w="34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2100 Old Highway 8</w:t>
            </w:r>
          </w:p>
        </w:tc>
      </w:tr>
      <w:tr>
        <w:trPr/>
        <w:tc>
          <w:tcPr>
            <w:tcW w:w="1576" w:type="dxa"/>
            <w:tcBorders/>
            <w:vAlign w:val="center"/>
          </w:tcPr>
          <w:p>
            <w:pPr>
              <w:pStyle w:val="TableContents"/>
              <w:bidi w:val="0"/>
              <w:spacing w:before="0" w:after="0"/>
              <w:ind w:left="0" w:right="0" w:hanging="0"/>
              <w:jc w:val="left"/>
              <w:rPr/>
            </w:pPr>
            <w:r>
              <w:rPr/>
              <w:t>​</w:t>
            </w:r>
          </w:p>
        </w:tc>
        <w:tc>
          <w:tcPr>
            <w:tcW w:w="34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New Brighton, Minnesota 55112</w:t>
            </w:r>
          </w:p>
        </w:tc>
      </w:tr>
      <w:tr>
        <w:trPr/>
        <w:tc>
          <w:tcPr>
            <w:tcW w:w="1576" w:type="dxa"/>
            <w:tcBorders/>
            <w:vAlign w:val="center"/>
          </w:tcPr>
          <w:p>
            <w:pPr>
              <w:pStyle w:val="TableContents"/>
              <w:bidi w:val="0"/>
              <w:spacing w:before="0" w:after="0"/>
              <w:ind w:left="0" w:right="0" w:hanging="0"/>
              <w:jc w:val="left"/>
              <w:rPr/>
            </w:pPr>
            <w:r>
              <w:rPr/>
              <w:t>​</w:t>
            </w:r>
          </w:p>
        </w:tc>
        <w:tc>
          <w:tcPr>
            <w:tcW w:w="3421" w:type="dxa"/>
            <w:tcBorders/>
            <w:vAlign w:val="center"/>
          </w:tcPr>
          <w:p>
            <w:pPr>
              <w:pStyle w:val="TableContents"/>
              <w:bidi w:val="0"/>
              <w:spacing w:before="0" w:after="0"/>
              <w:ind w:left="0" w:right="0" w:hanging="0"/>
              <w:jc w:val="left"/>
              <w:rPr/>
            </w:pPr>
            <w:r>
              <w:rPr/>
              <w: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With a copy to:</w:t>
            </w:r>
          </w:p>
        </w:tc>
        <w:tc>
          <w:tcPr>
            <w:tcW w:w="34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Winthrop &amp; Weinstine, P.A.</w:t>
            </w:r>
          </w:p>
        </w:tc>
      </w:tr>
      <w:tr>
        <w:trPr/>
        <w:tc>
          <w:tcPr>
            <w:tcW w:w="1576" w:type="dxa"/>
            <w:tcBorders/>
            <w:vAlign w:val="center"/>
          </w:tcPr>
          <w:p>
            <w:pPr>
              <w:pStyle w:val="TableContents"/>
              <w:bidi w:val="0"/>
              <w:spacing w:before="0" w:after="0"/>
              <w:ind w:left="0" w:right="0" w:hanging="0"/>
              <w:jc w:val="left"/>
              <w:rPr/>
            </w:pPr>
            <w:r>
              <w:rPr/>
              <w:t>​</w:t>
            </w:r>
          </w:p>
        </w:tc>
        <w:tc>
          <w:tcPr>
            <w:tcW w:w="34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Attn: Mark R. Gleeman</w:t>
            </w:r>
          </w:p>
        </w:tc>
      </w:tr>
      <w:tr>
        <w:trPr/>
        <w:tc>
          <w:tcPr>
            <w:tcW w:w="1576" w:type="dxa"/>
            <w:tcBorders/>
            <w:vAlign w:val="center"/>
          </w:tcPr>
          <w:p>
            <w:pPr>
              <w:pStyle w:val="TableContents"/>
              <w:bidi w:val="0"/>
              <w:spacing w:before="0" w:after="0"/>
              <w:ind w:left="0" w:right="0" w:hanging="0"/>
              <w:jc w:val="left"/>
              <w:rPr/>
            </w:pPr>
            <w:r>
              <w:rPr/>
              <w:t>​</w:t>
            </w:r>
          </w:p>
        </w:tc>
        <w:tc>
          <w:tcPr>
            <w:tcW w:w="34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225 South Sixth Street, Suite 3500</w:t>
            </w:r>
          </w:p>
        </w:tc>
      </w:tr>
      <w:tr>
        <w:trPr/>
        <w:tc>
          <w:tcPr>
            <w:tcW w:w="1576" w:type="dxa"/>
            <w:tcBorders/>
            <w:vAlign w:val="center"/>
          </w:tcPr>
          <w:p>
            <w:pPr>
              <w:pStyle w:val="TableContents"/>
              <w:bidi w:val="0"/>
              <w:spacing w:before="0" w:after="0"/>
              <w:ind w:left="0" w:right="0" w:hanging="0"/>
              <w:jc w:val="left"/>
              <w:rPr/>
            </w:pPr>
            <w:r>
              <w:rPr/>
              <w:t>​</w:t>
            </w:r>
          </w:p>
        </w:tc>
        <w:tc>
          <w:tcPr>
            <w:tcW w:w="34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Minneapolis, Minnesota 55402</w:t>
            </w:r>
          </w:p>
        </w:tc>
      </w:tr>
      <w:tr>
        <w:trPr/>
        <w:tc>
          <w:tcPr>
            <w:tcW w:w="1576" w:type="dxa"/>
            <w:tcBorders/>
            <w:vAlign w:val="center"/>
          </w:tcPr>
          <w:p>
            <w:pPr>
              <w:pStyle w:val="TableContents"/>
              <w:bidi w:val="0"/>
              <w:spacing w:before="0" w:after="0"/>
              <w:ind w:left="0" w:right="0" w:hanging="0"/>
              <w:jc w:val="left"/>
              <w:rPr/>
            </w:pPr>
            <w:r>
              <w:rPr/>
              <w:t>​</w:t>
            </w:r>
          </w:p>
        </w:tc>
        <w:tc>
          <w:tcPr>
            <w:tcW w:w="3421" w:type="dxa"/>
            <w:tcBorders/>
            <w:vAlign w:val="center"/>
          </w:tcPr>
          <w:p>
            <w:pPr>
              <w:pStyle w:val="TableContents"/>
              <w:bidi w:val="0"/>
              <w:spacing w:before="0" w:after="0"/>
              <w:ind w:left="0" w:right="0" w:hanging="0"/>
              <w:jc w:val="left"/>
              <w:rPr/>
            </w:pPr>
            <w:r>
              <w:rPr/>
              <w: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If to Seller, to:</w:t>
            </w:r>
          </w:p>
        </w:tc>
        <w:tc>
          <w:tcPr>
            <w:tcW w:w="34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Marker Therapeutics, Inc.</w:t>
            </w:r>
          </w:p>
        </w:tc>
      </w:tr>
      <w:tr>
        <w:trPr/>
        <w:tc>
          <w:tcPr>
            <w:tcW w:w="1576" w:type="dxa"/>
            <w:tcBorders/>
            <w:vAlign w:val="center"/>
          </w:tcPr>
          <w:p>
            <w:pPr>
              <w:pStyle w:val="TableContents"/>
              <w:bidi w:val="0"/>
              <w:spacing w:before="0" w:after="0"/>
              <w:ind w:left="0" w:right="0" w:hanging="0"/>
              <w:jc w:val="left"/>
              <w:rPr/>
            </w:pPr>
            <w:r>
              <w:rPr/>
              <w:t>​</w:t>
            </w:r>
          </w:p>
        </w:tc>
        <w:tc>
          <w:tcPr>
            <w:tcW w:w="34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Attn: Juan Vera</w:t>
            </w:r>
          </w:p>
        </w:tc>
      </w:tr>
      <w:tr>
        <w:trPr/>
        <w:tc>
          <w:tcPr>
            <w:tcW w:w="1576" w:type="dxa"/>
            <w:tcBorders/>
            <w:vAlign w:val="center"/>
          </w:tcPr>
          <w:p>
            <w:pPr>
              <w:pStyle w:val="TableContents"/>
              <w:bidi w:val="0"/>
              <w:spacing w:before="0" w:after="0"/>
              <w:ind w:left="0" w:right="0" w:hanging="0"/>
              <w:jc w:val="left"/>
              <w:rPr/>
            </w:pPr>
            <w:r>
              <w:rPr/>
              <w:t>​</w:t>
            </w:r>
          </w:p>
        </w:tc>
        <w:tc>
          <w:tcPr>
            <w:tcW w:w="34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4551 Kennedy Commerce Drive</w:t>
            </w:r>
          </w:p>
        </w:tc>
      </w:tr>
      <w:tr>
        <w:trPr/>
        <w:tc>
          <w:tcPr>
            <w:tcW w:w="1576" w:type="dxa"/>
            <w:tcBorders/>
            <w:vAlign w:val="center"/>
          </w:tcPr>
          <w:p>
            <w:pPr>
              <w:pStyle w:val="TableContents"/>
              <w:bidi w:val="0"/>
              <w:spacing w:before="0" w:after="0"/>
              <w:ind w:left="0" w:right="0" w:hanging="0"/>
              <w:jc w:val="left"/>
              <w:rPr/>
            </w:pPr>
            <w:r>
              <w:rPr/>
              <w:t>​</w:t>
            </w:r>
          </w:p>
        </w:tc>
        <w:tc>
          <w:tcPr>
            <w:tcW w:w="34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Houston, Texas 77032</w:t>
            </w:r>
          </w:p>
        </w:tc>
      </w:tr>
      <w:tr>
        <w:trPr/>
        <w:tc>
          <w:tcPr>
            <w:tcW w:w="1576" w:type="dxa"/>
            <w:tcBorders/>
            <w:vAlign w:val="center"/>
          </w:tcPr>
          <w:p>
            <w:pPr>
              <w:pStyle w:val="TableContents"/>
              <w:bidi w:val="0"/>
              <w:spacing w:before="0" w:after="0"/>
              <w:ind w:left="0" w:right="0" w:hanging="0"/>
              <w:jc w:val="left"/>
              <w:rPr/>
            </w:pPr>
            <w:r>
              <w:rPr/>
              <w:t>​</w:t>
            </w:r>
          </w:p>
        </w:tc>
        <w:tc>
          <w:tcPr>
            <w:tcW w:w="34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b/>
          <w:sz w:val="24"/>
        </w:rPr>
        <w:t>Brokers</w:t>
      </w:r>
      <w:r>
        <w:rPr>
          <w:rFonts w:ascii="Times New Roman;Times;serif" w:hAnsi="Times New Roman;Times;serif"/>
          <w:sz w:val="24"/>
        </w:rPr>
        <w:t>.  Each party hereto warrants, covenants and represents to the other that they have not dealt with any agent or broker in connection with this Agreement.  Each party hereto hereby agrees to indemnify and hold harmless the other party from and against any claim, loss or cause of action suffered by or brought against the other party on account of a breach of the foregoing representation, warranty and covenant.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b/>
          <w:sz w:val="24"/>
        </w:rPr>
        <w:t>Entire Agreement</w:t>
      </w:r>
      <w:r>
        <w:rPr>
          <w:rFonts w:ascii="Times New Roman;Times;serif" w:hAnsi="Times New Roman;Times;serif"/>
          <w:sz w:val="24"/>
        </w:rPr>
        <w:t>.  This Agreement and related documents express the whole agreement between the parties with respect to the purchase and sale contemplated hereby, superseding all contemptuous and prior discussions, agreements, representations and understandings pertaining to the subject matter hereof.  There are no representations, warranties or other agreements (oral or written) not expressly set forth or provided for herein with respect to the subject matter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b/>
          <w:sz w:val="24"/>
        </w:rPr>
        <w:t>Counterparts</w:t>
      </w:r>
      <w:r>
        <w:rPr>
          <w:rFonts w:ascii="Times New Roman;Times;serif" w:hAnsi="Times New Roman;Times;serif"/>
          <w:sz w:val="24"/>
        </w:rPr>
        <w:t>.  This Agreement may be executed in any number of counterparts, each of which shall be deemed an original, all of which, taken together, will constitute one in the same instrument.  This Agreement may be executed by facsimile signature or any electronic signature complying with the U.S. federal ESIGN Act of 2000 (e.g., www.docusign.com), such signature is deemed an original signature.  Copies of the execution copy of this Agreement or any amendment with one or more signatures sent by facsimile transmission or as a “PDF” (portable document file) attached to an electronic mail message or other transmission method and any counterpart so delivered is deemed to have been duly and validly delivered and is valid, fully enforceable, and effective for all purposes without a manually executed original.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b/>
          <w:sz w:val="24"/>
        </w:rPr>
        <w:t>Governing Law</w:t>
      </w:r>
      <w:r>
        <w:rPr>
          <w:rFonts w:ascii="Times New Roman;Times;serif" w:hAnsi="Times New Roman;Times;serif"/>
          <w:sz w:val="24"/>
        </w:rPr>
        <w:t>.  This Agreement shall be deemed to be a contract made under the laws of the State of Texas and for all purposes it, plus any related or supplemental documents and notices, shall be construed in accordance with and governed by the laws of such state, without regard to choice of law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b/>
          <w:sz w:val="24"/>
        </w:rPr>
        <w:t>Partial Invalidity</w:t>
      </w:r>
      <w:r>
        <w:rPr>
          <w:rFonts w:ascii="Times New Roman;Times;serif" w:hAnsi="Times New Roman;Times;serif"/>
          <w:sz w:val="24"/>
        </w:rPr>
        <w:t>.  If any term, covenant or provision of this Agreement is held by a court of competent jurisdiction to be invalid, void or unenforceable, the remainder of the provision or provisions shall remain in full force and effect and shall in no way be affected,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impaired, or invalidated, unless such change materially alters a fundamental assumption of the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b/>
          <w:sz w:val="24"/>
        </w:rPr>
        <w:t>Waiver</w:t>
      </w:r>
      <w:r>
        <w:rPr>
          <w:rFonts w:ascii="Times New Roman;Times;serif" w:hAnsi="Times New Roman;Times;serif"/>
          <w:sz w:val="24"/>
        </w:rPr>
        <w:t>.  No failure on the part of either party to exercise, and no delay in exercising any right or remedy hereunder shall operate as a waiver thereof.  No single or partial exercise of any right or remedy hereunder preclude any other or further exercise thereof or the exercise of any other right or remedy granted hereby or by any related document or by law.  No waiver shall be binding unless executed in writing by the party making the waiver.  No waiver of any of the provisions of this Agreement shall be deemed, or shall constitute a waiver of any other provisions, whether or not similar, nor shall any waiver constitute a continuing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b/>
          <w:sz w:val="24"/>
        </w:rPr>
        <w:t>Severability</w:t>
      </w:r>
      <w:r>
        <w:rPr>
          <w:rFonts w:ascii="Times New Roman;Times;serif" w:hAnsi="Times New Roman;Times;serif"/>
          <w:sz w:val="24"/>
        </w:rPr>
        <w:t>.  In the event any part of this Agreement is found to be void or unenforceable, the remaining provisions of this Agreement shall nevertheless be binding with the same effect as though the void or unenforceable provisions were deleted.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b/>
          <w:sz w:val="24"/>
        </w:rPr>
        <w:t>Titles and Sub-Titles</w:t>
      </w:r>
      <w:r>
        <w:rPr>
          <w:rFonts w:ascii="Times New Roman;Times;serif" w:hAnsi="Times New Roman;Times;serif"/>
          <w:sz w:val="24"/>
        </w:rPr>
        <w:t>.  The titles of the paragraphs and subparagraphs are placed herein for convenient reference only and shall not to any extent have the effect of modifying, amending or changing the expressed terms and provisions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b/>
          <w:sz w:val="24"/>
        </w:rPr>
        <w:t>No Third Party Beneficiaries</w:t>
      </w:r>
      <w:r>
        <w:rPr>
          <w:rFonts w:ascii="Times New Roman;Times;serif" w:hAnsi="Times New Roman;Times;serif"/>
          <w:sz w:val="24"/>
        </w:rPr>
        <w:t>.  This Agreement is a contract solely among Buyer and Seller.  No third party beneficiaries (including, without limitation, employees and customers of Buyer or Seller) are intended and none shall be inferred, and no party other than Buyer or Seller may assert any right, make any claim or otherwise attempt to enforce any provision of or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(n)</w:t>
      </w:r>
      <w:r>
        <w:rPr>
          <w:rFonts w:ascii="Times New Roman;Times;serif" w:hAnsi="Times New Roman;Times;serif"/>
          <w:b/>
          <w:sz w:val="24"/>
        </w:rPr>
        <w:t>Time</w:t>
      </w:r>
      <w:r>
        <w:rPr>
          <w:rFonts w:ascii="Times New Roman;Times;serif" w:hAnsi="Times New Roman;Times;serif"/>
          <w:sz w:val="24"/>
        </w:rPr>
        <w:t>.  Time is of the essence in the performance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(o)</w:t>
      </w:r>
      <w:r>
        <w:rPr>
          <w:rFonts w:ascii="Times New Roman;Times;serif" w:hAnsi="Times New Roman;Times;serif"/>
          <w:b/>
          <w:sz w:val="24"/>
        </w:rPr>
        <w:t>Expenses</w:t>
      </w:r>
      <w:r>
        <w:rPr>
          <w:rFonts w:ascii="Times New Roman;Times;serif" w:hAnsi="Times New Roman;Times;serif"/>
          <w:sz w:val="24"/>
        </w:rPr>
        <w:t>.  Each of the parties shall pay all their own costs and expenses incurred or to be incurred by them in negotiating and preparing this Agreement and in connection with the Closing and carrying out the transaction contemplated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(p)</w:t>
      </w:r>
      <w:r>
        <w:rPr>
          <w:rFonts w:ascii="Times New Roman;Times;serif" w:hAnsi="Times New Roman;Times;serif"/>
          <w:b/>
          <w:sz w:val="24"/>
        </w:rPr>
        <w:t>Modification</w:t>
      </w:r>
      <w:r>
        <w:rPr>
          <w:rFonts w:ascii="Times New Roman;Times;serif" w:hAnsi="Times New Roman;Times;serif"/>
          <w:sz w:val="24"/>
        </w:rPr>
        <w:t>.  No supplement, modification or amendment of this Agreement shall be binding unless executed in writing by all the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(q)</w:t>
      </w:r>
      <w:r>
        <w:rPr>
          <w:rFonts w:ascii="Times New Roman;Times;serif" w:hAnsi="Times New Roman;Times;serif"/>
          <w:b/>
          <w:sz w:val="24"/>
        </w:rPr>
        <w:t>No Reliance on Other Representations.</w:t>
      </w:r>
      <w:r>
        <w:rPr>
          <w:rFonts w:ascii="Times New Roman;Times;serif" w:hAnsi="Times New Roman;Times;serif"/>
          <w:sz w:val="20"/>
        </w:rPr>
        <w:t xml:space="preserve">   </w:t>
      </w:r>
      <w:r>
        <w:rPr>
          <w:rFonts w:ascii="Times New Roman;Times;serif" w:hAnsi="Times New Roman;Times;serif"/>
          <w:sz w:val="24"/>
        </w:rPr>
        <w:t>The parties agree that in entering into this Agreement, they have not relied upon any representations (whether oral or written) which are not set forth explicitly in this Agreement, and the parties hereby waive any claim for fraudulent or negligent inducement or misrepresentation in connection with the negotiation and/or execution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(r)</w:t>
      </w:r>
      <w:r>
        <w:rPr>
          <w:rFonts w:ascii="Times New Roman;Times;serif" w:hAnsi="Times New Roman;Times;serif"/>
          <w:b/>
          <w:sz w:val="24"/>
        </w:rPr>
        <w:t>Incorporation of Schedules</w:t>
      </w:r>
      <w:r>
        <w:rPr>
          <w:rFonts w:ascii="Times New Roman;Times;serif" w:hAnsi="Times New Roman;Times;serif"/>
          <w:sz w:val="24"/>
        </w:rPr>
        <w:t>.  All schedules mentioned in the Agreement are, by this reference, specifically incorporated into the Agreement and made a part of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w:t>
      </w:r>
      <w:r>
        <w:rPr>
          <w:rFonts w:ascii="Times New Roman;Times;serif" w:hAnsi="Times New Roman;Times;serif"/>
          <w:b/>
          <w:sz w:val="24"/>
        </w:rPr>
        <w:t>Specific Performance</w:t>
      </w:r>
      <w:r>
        <w:rPr>
          <w:rFonts w:ascii="Times New Roman;Times;serif" w:hAnsi="Times New Roman;Times;serif"/>
          <w:sz w:val="24"/>
        </w:rPr>
        <w:t>.  Nothing in this Agreement shall deprive either party of the right to enforce the specific performance of this Agreement provided this Agreement has not been terminated and provided action to enforce such specific performance shall be commenced within six (6) months after such right of action shall arise.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(t)</w:t>
      </w:r>
      <w:r>
        <w:rPr>
          <w:rFonts w:ascii="Times New Roman;Times;serif" w:hAnsi="Times New Roman;Times;serif"/>
          <w:b/>
          <w:sz w:val="24"/>
        </w:rPr>
        <w:t>Joint Negotiation.</w:t>
      </w:r>
      <w:r>
        <w:rPr>
          <w:rFonts w:ascii="Times New Roman;Times;serif" w:hAnsi="Times New Roman;Times;serif"/>
          <w:sz w:val="20"/>
        </w:rPr>
        <w:t xml:space="preserve">  </w:t>
      </w:r>
      <w:r>
        <w:rPr>
          <w:rFonts w:ascii="Times New Roman;Times;serif" w:hAnsi="Times New Roman;Times;serif"/>
          <w:sz w:val="24"/>
        </w:rPr>
        <w:t xml:space="preserve">The parties acknowledge that each has had an equal opportunity to participate in, and that each has participated in, the drafting of this Agreement, and that the Agreement has been reviewed by their respective counsel.  The parties expressly waive the doctrine of </w:t>
      </w:r>
      <w:r>
        <w:rPr>
          <w:rFonts w:ascii="Times New Roman;Times;serif" w:hAnsi="Times New Roman;Times;serif"/>
          <w:i/>
          <w:sz w:val="24"/>
        </w:rPr>
        <w:t>contra proferentum</w:t>
      </w:r>
      <w:r>
        <w:rPr>
          <w:rFonts w:ascii="Times New Roman;Times;serif" w:hAnsi="Times New Roman;Times;serif"/>
          <w:sz w:val="24"/>
        </w:rPr>
        <w:t>, and agree that this Agreement shall be construed in accordance with its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(u)</w:t>
      </w:r>
      <w:r>
        <w:rPr>
          <w:rFonts w:ascii="Times New Roman;Times;serif" w:hAnsi="Times New Roman;Times;serif"/>
          <w:b/>
          <w:sz w:val="24"/>
        </w:rPr>
        <w:t>PURCHASED ASSETS AND PREMISES</w:t>
      </w:r>
      <w:r>
        <w:rPr>
          <w:rFonts w:ascii="Times New Roman;Times;serif" w:hAnsi="Times New Roman;Times;serif"/>
          <w:sz w:val="24"/>
        </w:rPr>
        <w:t>.  EXCEPT AS OTHERWISE SPECIFICALLY PROVIDED HEREIN, ALL OF THE PURCHASED ASSETS AND PREMISES ARE BEING SOLD AND TRANSFERRED TO BUYER ON AN “AS IS” AND “WHERE IS” BASIS AND ALL WARRANTIES, EXPRESS OR IMPLIED, INCLUDING WARRANTIES OF MERCHANTABILITY AND FITNESS FOR USE, ARE EXCLUDED FROM THE SALE AND TRANSFER OF THE PURCHASED ASSETS AND PREMISES.</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[signature page follows]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IN WITNESS WHEREOF, each of the parties hereto has caused this Agreement to be duly executed as of the date first above written.</w:t>
      </w:r>
    </w:p>
    <w:p>
      <w:pPr>
        <w:pStyle w:val="TextBody"/>
        <w:bidi w:val="0"/>
        <w:spacing w:before="0" w:after="0"/>
        <w:ind w:left="0" w:right="0" w:hanging="0"/>
        <w:jc w:val="both"/>
        <w:rPr/>
      </w:pPr>
      <w:r>
        <w:rPr/>
        <w:t>​</w:t>
      </w:r>
    </w:p>
    <w:tbl>
      <w:tblPr>
        <w:tblW w:w="7048" w:type="dxa"/>
        <w:jc w:val="center"/>
        <w:tblInd w:w="0" w:type="dxa"/>
        <w:tblLayout w:type="fixed"/>
        <w:tblCellMar>
          <w:top w:w="0" w:type="dxa"/>
          <w:left w:w="0" w:type="dxa"/>
          <w:bottom w:w="0" w:type="dxa"/>
          <w:right w:w="0" w:type="dxa"/>
        </w:tblCellMar>
      </w:tblPr>
      <w:tblGrid>
        <w:gridCol w:w="466"/>
        <w:gridCol w:w="2371"/>
        <w:gridCol w:w="326"/>
        <w:gridCol w:w="611"/>
        <w:gridCol w:w="3274"/>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95910" cy="175260"/>
                      <wp:effectExtent l="0" t="0" r="0" b="0"/>
                      <wp:wrapNone/>
                      <wp:docPr id="116" name="Frame11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505585" cy="175260"/>
                      <wp:effectExtent l="0" t="0" r="0" b="0"/>
                      <wp:wrapNone/>
                      <wp:docPr id="117" name="Frame115"/>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87985" cy="175260"/>
                      <wp:effectExtent l="0" t="0" r="0" b="0"/>
                      <wp:wrapNone/>
                      <wp:docPr id="118" name="Frame116"/>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9625" cy="175260"/>
                      <wp:effectExtent l="0" t="0" r="0" b="0"/>
                      <wp:wrapNone/>
                      <wp:docPr id="119" name="Frame117"/>
                      <a:graphic xmlns:a="http://schemas.openxmlformats.org/drawingml/2006/main">
                        <a:graphicData uri="http://schemas.microsoft.com/office/word/2010/wordprocessingShape">
                          <wps:wsp>
                            <wps:cNvSpPr txBox="1"/>
                            <wps:spPr>
                              <a:xfrm>
                                <a:off x="0" y="0"/>
                                <a:ext cx="2079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7" w:type="dxa"/>
            <w:gridSpan w:val="2"/>
            <w:tcBorders/>
            <w:vAlign w:val="center"/>
          </w:tcPr>
          <w:p>
            <w:pPr>
              <w:pStyle w:val="TableContents"/>
              <w:pBd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CELL READY, LLC</w:t>
            </w:r>
          </w:p>
        </w:tc>
        <w:tc>
          <w:tcPr>
            <w:tcW w:w="326" w:type="dxa"/>
            <w:tcBorders/>
            <w:vAlign w:val="center"/>
          </w:tcPr>
          <w:p>
            <w:pPr>
              <w:pStyle w:val="TableContents"/>
              <w:bidi w:val="0"/>
              <w:spacing w:before="0" w:after="0"/>
              <w:ind w:left="0" w:right="0" w:hanging="0"/>
              <w:jc w:val="left"/>
              <w:rPr/>
            </w:pPr>
            <w:r>
              <w:rPr/>
              <w:t>    </w:t>
            </w:r>
          </w:p>
        </w:tc>
        <w:tc>
          <w:tcPr>
            <w:tcW w:w="388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MARKER THERAPEUTICS, INC.</w:t>
            </w:r>
          </w:p>
        </w:tc>
      </w:tr>
      <w:tr>
        <w:trPr/>
        <w:tc>
          <w:tcPr>
            <w:tcW w:w="2837"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3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John Wilson</w:t>
            </w:r>
          </w:p>
        </w:tc>
        <w:tc>
          <w:tcPr>
            <w:tcW w:w="326"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Juan Vera</w:t>
            </w:r>
          </w:p>
        </w:tc>
      </w:tr>
      <w:tr>
        <w:trPr/>
        <w:tc>
          <w:tcPr>
            <w:tcW w:w="466" w:type="dxa"/>
            <w:tcBorders/>
            <w:vAlign w:val="center"/>
          </w:tcPr>
          <w:p>
            <w:pPr>
              <w:pStyle w:val="TableContents"/>
              <w:bidi w:val="0"/>
              <w:spacing w:before="0" w:after="0"/>
              <w:ind w:left="0" w:right="0" w:hanging="0"/>
              <w:jc w:val="left"/>
              <w:rPr/>
            </w:pPr>
            <w:r>
              <w:rPr/>
              <w:t>​</w:t>
            </w:r>
          </w:p>
        </w:tc>
        <w:tc>
          <w:tcPr>
            <w:tcW w:w="23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John Wilson</w:t>
            </w:r>
          </w:p>
        </w:tc>
        <w:tc>
          <w:tcPr>
            <w:tcW w:w="326"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left"/>
              <w:rPr/>
            </w:pPr>
            <w:r>
              <w:rPr/>
              <w:t>​</w:t>
            </w:r>
          </w:p>
        </w:tc>
        <w:tc>
          <w:tcPr>
            <w:tcW w:w="327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Juan Vera</w:t>
            </w:r>
          </w:p>
        </w:tc>
      </w:tr>
      <w:tr>
        <w:trPr/>
        <w:tc>
          <w:tcPr>
            <w:tcW w:w="466" w:type="dxa"/>
            <w:tcBorders/>
            <w:vAlign w:val="center"/>
          </w:tcPr>
          <w:p>
            <w:pPr>
              <w:pStyle w:val="TableContents"/>
              <w:bidi w:val="0"/>
              <w:spacing w:before="0" w:after="0"/>
              <w:ind w:left="0" w:right="0" w:hanging="0"/>
              <w:jc w:val="left"/>
              <w:rPr/>
            </w:pPr>
            <w:r>
              <w:rPr/>
              <w:t>​</w:t>
            </w:r>
          </w:p>
        </w:tc>
        <w:tc>
          <w:tcPr>
            <w:tcW w:w="23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Chief Executive Officer</w:t>
            </w:r>
          </w:p>
        </w:tc>
        <w:tc>
          <w:tcPr>
            <w:tcW w:w="326"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left"/>
              <w:rPr/>
            </w:pPr>
            <w:r>
              <w:rPr/>
              <w:t>​</w:t>
            </w:r>
          </w:p>
        </w:tc>
        <w:tc>
          <w:tcPr>
            <w:tcW w:w="327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w:t>
      </w:r>
      <w:r>
        <w:rPr>
          <w:rFonts w:ascii="Times New Roman;Times;serif" w:hAnsi="Times New Roman;Times;serif"/>
          <w:sz w:val="20"/>
        </w:rPr>
        <w:t xml:space="preserve"> </w:t>
      </w:r>
      <w:r>
        <w:rPr>
          <w:rFonts w:ascii="Times New Roman;Times;serif" w:hAnsi="Times New Roman;Times;serif"/>
          <w:sz w:val="24"/>
        </w:rPr>
        <w:t xml:space="preserve">Page to </w:t>
      </w:r>
      <w:r>
        <w:rPr>
          <w:rFonts w:ascii="Times New Roman;Times;serif" w:hAnsi="Times New Roman;Times;serif"/>
          <w:i/>
          <w:sz w:val="24"/>
        </w:rPr>
        <w:t>Agreement</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Description of Equipment, Transferred Contracts and Leasehold Improvements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B</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Employees</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B-1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631" w:name="mrkr-20230331xex31d1.htm"/>
      <w:bookmarkStart w:id="632" w:name="ksmrkr20230331xex31d1"/>
      <w:bookmarkEnd w:id="631"/>
      <w:bookmarkEnd w:id="632"/>
      <w:r>
        <w:rPr>
          <w:rFonts w:ascii="Times New Roman;Times;serif" w:hAnsi="Times New Roman;Times;serif"/>
          <w:b/>
          <w:sz w:val="20"/>
        </w:rPr>
        <w:t>Exhibit 31.1</w:t>
      </w:r>
      <w:r>
        <w:br w:type="page"/>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Juan Vera, certify that:</w:t>
      </w:r>
    </w:p>
    <w:p>
      <w:pPr>
        <w:pStyle w:val="TextBody"/>
        <w:bidi w:val="0"/>
        <w:spacing w:before="0" w:after="0"/>
        <w:ind w:left="0" w:right="0" w:hanging="0"/>
        <w:jc w:val="both"/>
        <w:rPr/>
      </w:pPr>
      <w:r>
        <w:rPr/>
        <w:t>​</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66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Marker Therapeutics, Inc.;</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w:t>
      </w:r>
    </w:p>
    <w:tbl>
      <w:tblPr>
        <w:tblW w:w="5121" w:type="dxa"/>
        <w:jc w:val="center"/>
        <w:tblInd w:w="0" w:type="dxa"/>
        <w:tblLayout w:type="fixed"/>
        <w:tblCellMar>
          <w:top w:w="0" w:type="dxa"/>
          <w:left w:w="0" w:type="dxa"/>
          <w:bottom w:w="0" w:type="dxa"/>
          <w:right w:w="0" w:type="dxa"/>
        </w:tblCellMar>
      </w:tblPr>
      <w:tblGrid>
        <w:gridCol w:w="571"/>
        <w:gridCol w:w="4396"/>
        <w:gridCol w:w="154"/>
      </w:tblGrid>
      <w:tr>
        <w:trPr/>
        <w:tc>
          <w:tcPr>
            <w:tcW w:w="5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15, 2023</w:t>
            </w:r>
          </w:p>
        </w:tc>
        <w:tc>
          <w:tcPr>
            <w:tcW w:w="154" w:type="dxa"/>
            <w:tcBorders/>
            <w:vAlign w:val="center"/>
          </w:tcPr>
          <w:p>
            <w:pPr>
              <w:pStyle w:val="TableContents"/>
              <w:bidi w:val="0"/>
              <w:spacing w:before="0" w:after="0"/>
              <w:ind w:left="0" w:right="0" w:hanging="0"/>
              <w:jc w:val="left"/>
              <w:rPr/>
            </w:pPr>
            <w:r>
              <w:rPr/>
              <w:t>​</w:t>
            </w:r>
          </w:p>
        </w:tc>
      </w:tr>
      <w:tr>
        <w:trPr/>
        <w:tc>
          <w:tcPr>
            <w:tcW w:w="571" w:type="dxa"/>
            <w:tcBorders/>
            <w:vAlign w:val="center"/>
          </w:tcPr>
          <w:p>
            <w:pPr>
              <w:pStyle w:val="TableContents"/>
              <w:pBdr/>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96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Juan Vera</w:t>
            </w:r>
          </w:p>
        </w:tc>
        <w:tc>
          <w:tcPr>
            <w:tcW w:w="154" w:type="dxa"/>
            <w:tcBorders/>
            <w:vAlign w:val="center"/>
          </w:tcPr>
          <w:p>
            <w:pPr>
              <w:pStyle w:val="TableContents"/>
              <w:bidi w:val="0"/>
              <w:spacing w:before="0" w:after="0"/>
              <w:ind w:left="0" w:right="0" w:hanging="0"/>
              <w:jc w:val="left"/>
              <w:rPr/>
            </w:pPr>
            <w:r>
              <w:rPr/>
              <w:t>​</w:t>
            </w:r>
          </w:p>
        </w:tc>
      </w:tr>
      <w:tr>
        <w:trPr/>
        <w:tc>
          <w:tcPr>
            <w:tcW w:w="5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left"/>
              <w:rPr/>
            </w:pPr>
            <w:r>
              <w:rPr/>
              <w:t>​</w:t>
            </w:r>
          </w:p>
        </w:tc>
      </w:tr>
      <w:tr>
        <w:trPr/>
        <w:tc>
          <w:tcPr>
            <w:tcW w:w="5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633" w:name="mrkr-20230331xex31d2.htm"/>
      <w:bookmarkStart w:id="634" w:name="ksmrkr20230331xex31d2"/>
      <w:bookmarkEnd w:id="633"/>
      <w:bookmarkEnd w:id="634"/>
      <w:r>
        <w:rPr>
          <w:rFonts w:ascii="Times New Roman;Times;serif" w:hAnsi="Times New Roman;Times;serif"/>
          <w:b/>
          <w:sz w:val="20"/>
        </w:rPr>
        <w:t>Exhibit 31.2</w:t>
      </w:r>
      <w:r>
        <w:br w:type="page"/>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Michael J. Loiacono, certify that:</w:t>
      </w:r>
    </w:p>
    <w:p>
      <w:pPr>
        <w:pStyle w:val="TextBody"/>
        <w:bidi w:val="0"/>
        <w:spacing w:before="0" w:after="0"/>
        <w:ind w:left="0" w:right="0" w:hanging="0"/>
        <w:jc w:val="both"/>
        <w:rPr/>
      </w:pPr>
      <w:r>
        <w:rPr/>
        <w:t>​</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66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Marker Therapeutics, Inc.;</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100" w:right="0" w:hanging="620"/>
        <w:jc w:val="both"/>
        <w:rPr/>
      </w:pPr>
      <w:r>
        <w:rPr/>
        <w:t>​</w:t>
      </w:r>
    </w:p>
    <w:tbl>
      <w:tblPr>
        <w:tblW w:w="6436" w:type="dxa"/>
        <w:jc w:val="center"/>
        <w:tblInd w:w="0" w:type="dxa"/>
        <w:tblLayout w:type="fixed"/>
        <w:tblCellMar>
          <w:top w:w="0" w:type="dxa"/>
          <w:left w:w="0" w:type="dxa"/>
          <w:bottom w:w="0" w:type="dxa"/>
          <w:right w:w="0" w:type="dxa"/>
        </w:tblCellMar>
      </w:tblPr>
      <w:tblGrid>
        <w:gridCol w:w="571"/>
        <w:gridCol w:w="5414"/>
        <w:gridCol w:w="451"/>
      </w:tblGrid>
      <w:tr>
        <w:trPr/>
        <w:tc>
          <w:tcPr>
            <w:tcW w:w="5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54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15, 2023</w:t>
            </w:r>
          </w:p>
        </w:tc>
        <w:tc>
          <w:tcPr>
            <w:tcW w:w="451" w:type="dxa"/>
            <w:tcBorders/>
            <w:vAlign w:val="center"/>
          </w:tcPr>
          <w:p>
            <w:pPr>
              <w:pStyle w:val="TableContents"/>
              <w:bidi w:val="0"/>
              <w:spacing w:before="0" w:after="0"/>
              <w:ind w:left="0" w:right="0" w:hanging="0"/>
              <w:jc w:val="left"/>
              <w:rPr/>
            </w:pPr>
            <w:r>
              <w:rPr/>
              <w:t>​</w:t>
            </w:r>
          </w:p>
        </w:tc>
      </w:tr>
      <w:tr>
        <w:trPr/>
        <w:tc>
          <w:tcPr>
            <w:tcW w:w="571" w:type="dxa"/>
            <w:tcBorders/>
            <w:vAlign w:val="center"/>
          </w:tcPr>
          <w:p>
            <w:pPr>
              <w:pStyle w:val="TableContents"/>
              <w:pBdr/>
              <w:bidi w:val="0"/>
              <w:spacing w:before="0" w:after="0"/>
              <w:ind w:left="0" w:right="0" w:hanging="0"/>
              <w:jc w:val="left"/>
              <w:rPr/>
            </w:pPr>
            <w:r>
              <w:rPr/>
              <w:t>​</w:t>
            </w:r>
          </w:p>
        </w:tc>
        <w:tc>
          <w:tcPr>
            <w:tcW w:w="541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r>
      <w:tr>
        <w:trPr/>
        <w:tc>
          <w:tcPr>
            <w:tcW w:w="598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J. Loiacono</w:t>
            </w:r>
          </w:p>
        </w:tc>
        <w:tc>
          <w:tcPr>
            <w:tcW w:w="451" w:type="dxa"/>
            <w:tcBorders/>
            <w:vAlign w:val="center"/>
          </w:tcPr>
          <w:p>
            <w:pPr>
              <w:pStyle w:val="TableContents"/>
              <w:bidi w:val="0"/>
              <w:spacing w:before="0" w:after="0"/>
              <w:ind w:left="0" w:right="0" w:hanging="0"/>
              <w:jc w:val="left"/>
              <w:rPr/>
            </w:pPr>
            <w:r>
              <w:rPr/>
              <w:t>​</w:t>
            </w:r>
          </w:p>
        </w:tc>
      </w:tr>
      <w:tr>
        <w:trPr/>
        <w:tc>
          <w:tcPr>
            <w:tcW w:w="5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4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Michael J. Loiacono</w:t>
            </w:r>
          </w:p>
        </w:tc>
        <w:tc>
          <w:tcPr>
            <w:tcW w:w="451" w:type="dxa"/>
            <w:tcBorders/>
            <w:vAlign w:val="center"/>
          </w:tcPr>
          <w:p>
            <w:pPr>
              <w:pStyle w:val="TableContents"/>
              <w:bidi w:val="0"/>
              <w:spacing w:before="0" w:after="0"/>
              <w:ind w:left="0" w:right="0" w:hanging="0"/>
              <w:jc w:val="left"/>
              <w:rPr/>
            </w:pPr>
            <w:r>
              <w:rPr/>
              <w:t>​</w:t>
            </w:r>
          </w:p>
        </w:tc>
      </w:tr>
      <w:tr>
        <w:trPr/>
        <w:tc>
          <w:tcPr>
            <w:tcW w:w="5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8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Accounting Officer (Principal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635" w:name="mrkr-20230331xex32d1.htm"/>
      <w:bookmarkStart w:id="636" w:name="ksmrkr20230331xex32d1"/>
      <w:bookmarkEnd w:id="635"/>
      <w:bookmarkEnd w:id="636"/>
      <w:r>
        <w:rPr>
          <w:rFonts w:ascii="Times New Roman;Times;serif" w:hAnsi="Times New Roman;Times;serif"/>
          <w:b/>
          <w:sz w:val="20"/>
        </w:rPr>
        <w:t>Exhibit 32.1</w:t>
      </w:r>
      <w:r>
        <w:br w:type="page"/>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undersigned, Juan Vera, the Chief Executive Officer of Marker Therapeutics, Inc. (the “Company”) hereby certifies, pursuant to 18 U.S.C. Section 1350, as adopted pursuant to Section 906 of the Sarbanes-Oxley Act of 2002, that, to the best of his knowledge, the Quarterly Report on Form 10-Q for the period ended March 31, 2023,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pStyle w:val="TextBody"/>
        <w:bidi w:val="0"/>
        <w:spacing w:before="0" w:after="0"/>
        <w:ind w:left="0" w:right="0" w:hanging="0"/>
        <w:jc w:val="both"/>
        <w:rPr/>
      </w:pPr>
      <w:r>
        <w:rPr/>
        <w:t>​</w:t>
      </w:r>
    </w:p>
    <w:tbl>
      <w:tblPr>
        <w:tblW w:w="4996" w:type="dxa"/>
        <w:jc w:val="center"/>
        <w:tblInd w:w="0" w:type="dxa"/>
        <w:tblLayout w:type="fixed"/>
        <w:tblCellMar>
          <w:top w:w="0" w:type="dxa"/>
          <w:left w:w="0" w:type="dxa"/>
          <w:bottom w:w="0" w:type="dxa"/>
          <w:right w:w="0" w:type="dxa"/>
        </w:tblCellMar>
      </w:tblPr>
      <w:tblGrid>
        <w:gridCol w:w="556"/>
        <w:gridCol w:w="3952"/>
        <w:gridCol w:w="488"/>
      </w:tblGrid>
      <w:tr>
        <w:trPr/>
        <w:tc>
          <w:tcPr>
            <w:tcW w:w="5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3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15, 2023</w:t>
            </w:r>
          </w:p>
        </w:tc>
        <w:tc>
          <w:tcPr>
            <w:tcW w:w="488"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3952"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pBdr/>
              <w:bidi w:val="0"/>
              <w:spacing w:before="0" w:after="0"/>
              <w:ind w:left="0" w:right="0" w:hanging="0"/>
              <w:jc w:val="left"/>
              <w:rPr/>
            </w:pPr>
            <w:r>
              <w:rPr/>
              <w:t>​</w:t>
            </w:r>
          </w:p>
        </w:tc>
        <w:tc>
          <w:tcPr>
            <w:tcW w:w="39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Juan Vera</w:t>
            </w:r>
          </w:p>
        </w:tc>
        <w:tc>
          <w:tcPr>
            <w:tcW w:w="488"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pBdr/>
              <w:bidi w:val="0"/>
              <w:spacing w:before="0" w:after="0"/>
              <w:ind w:left="0" w:right="0" w:hanging="0"/>
              <w:jc w:val="left"/>
              <w:rPr/>
            </w:pPr>
            <w:r>
              <w:rPr/>
              <w:t>​</w:t>
            </w:r>
          </w:p>
        </w:tc>
        <w:tc>
          <w:tcPr>
            <w:tcW w:w="395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Juan Vera</w:t>
            </w:r>
          </w:p>
        </w:tc>
        <w:tc>
          <w:tcPr>
            <w:tcW w:w="488"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pBdr/>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637" w:name="mrkr-20230331xex32d2.htm"/>
      <w:bookmarkStart w:id="638" w:name="ksmrkr20230331xex32d2"/>
      <w:bookmarkEnd w:id="637"/>
      <w:bookmarkEnd w:id="638"/>
      <w:r>
        <w:rPr>
          <w:rFonts w:ascii="Times New Roman;Times;serif" w:hAnsi="Times New Roman;Times;serif"/>
          <w:b/>
          <w:sz w:val="20"/>
        </w:rPr>
        <w:t>Exhibit 32.2</w:t>
      </w:r>
      <w:r>
        <w:br w:type="page"/>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undersigned, Michael J. Loiacono, the Chief Accounting Officer of Marker Therapeutics, Inc. (the “Company”) hereby certifies, pursuant to 18 U.S.C. Section 1350, as adopted pursuant to Section 906 of the Sarbanes-Oxley Act of 2002, that, to the best of his knowledge, the Quarterly Report on Form 10-Q for the period ended March 31, 2023,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pStyle w:val="TextBody"/>
        <w:bidi w:val="0"/>
        <w:spacing w:before="0" w:after="0"/>
        <w:ind w:left="0" w:right="0" w:hanging="0"/>
        <w:jc w:val="both"/>
        <w:rPr/>
      </w:pPr>
      <w:r>
        <w:rPr/>
        <w:t>​</w:t>
      </w:r>
    </w:p>
    <w:tbl>
      <w:tblPr>
        <w:tblW w:w="6421" w:type="dxa"/>
        <w:jc w:val="center"/>
        <w:tblInd w:w="0" w:type="dxa"/>
        <w:tblLayout w:type="fixed"/>
        <w:tblCellMar>
          <w:top w:w="0" w:type="dxa"/>
          <w:left w:w="0" w:type="dxa"/>
          <w:bottom w:w="0" w:type="dxa"/>
          <w:right w:w="0" w:type="dxa"/>
        </w:tblCellMar>
      </w:tblPr>
      <w:tblGrid>
        <w:gridCol w:w="556"/>
        <w:gridCol w:w="5451"/>
        <w:gridCol w:w="414"/>
      </w:tblGrid>
      <w:tr>
        <w:trPr/>
        <w:tc>
          <w:tcPr>
            <w:tcW w:w="5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5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15, 2023</w:t>
            </w:r>
          </w:p>
        </w:tc>
        <w:tc>
          <w:tcPr>
            <w:tcW w:w="41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5451"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pBdr/>
              <w:bidi w:val="0"/>
              <w:spacing w:before="0" w:after="0"/>
              <w:ind w:left="0" w:right="0" w:hanging="0"/>
              <w:jc w:val="left"/>
              <w:rPr/>
            </w:pPr>
            <w:r>
              <w:rPr/>
              <w:t>​</w:t>
            </w:r>
          </w:p>
        </w:tc>
        <w:tc>
          <w:tcPr>
            <w:tcW w:w="5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Michael J. Loiacono</w:t>
            </w:r>
          </w:p>
        </w:tc>
        <w:tc>
          <w:tcPr>
            <w:tcW w:w="41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pBdr/>
              <w:bidi w:val="0"/>
              <w:spacing w:before="0" w:after="0"/>
              <w:ind w:left="0" w:right="0" w:hanging="0"/>
              <w:jc w:val="left"/>
              <w:rPr/>
            </w:pPr>
            <w:r>
              <w:rPr/>
              <w:t>​</w:t>
            </w:r>
          </w:p>
        </w:tc>
        <w:tc>
          <w:tcPr>
            <w:tcW w:w="54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Michael J. Loiacono</w:t>
            </w:r>
          </w:p>
        </w:tc>
        <w:tc>
          <w:tcPr>
            <w:tcW w:w="41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pBdr/>
              <w:bidi w:val="0"/>
              <w:spacing w:before="0" w:after="0"/>
              <w:ind w:left="0" w:right="0" w:hanging="0"/>
              <w:jc w:val="left"/>
              <w:rPr/>
            </w:pPr>
            <w:r>
              <w:rPr/>
              <w:t>​</w:t>
            </w:r>
          </w:p>
        </w:tc>
        <w:tc>
          <w:tcPr>
            <w:tcW w:w="58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Accounting Officer (Principal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94038/000114420418054209/tv504951_ex3-4.htm" TargetMode="External"/><Relationship Id="rId5" Type="http://schemas.openxmlformats.org/officeDocument/2006/relationships/hyperlink" Target="https://www.sec.gov/Archives/edgar/data/1094038/000119312522162322/d480537dex31.htm" TargetMode="External"/><Relationship Id="rId6" Type="http://schemas.openxmlformats.org/officeDocument/2006/relationships/hyperlink" Target="https://www.sec.gov/Archives/edgar/data/1094038/000110465923007019/tm234466d1_ex3-1.htm" TargetMode="External"/><Relationship Id="rId7" Type="http://schemas.openxmlformats.org/officeDocument/2006/relationships/hyperlink" Target="https://www.sec.gov/Archives/edgar/data/1094038/000114420418054209/tv504951_ex3-6.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24837</Words>
  <Characters>136077</Characters>
  <CharactersWithSpaces>161911</CharactersWithSpaces>
  <Paragraphs>3557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