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563245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10-Q</w:t>
      </w:r>
    </w:p>
    <w:p>
      <w:pPr>
        <w:spacing w:after="0" w:line="14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Report Under Section 13 or 15(d) of the Securities Exchange Act of 1934 for the quarterly period ended September 30, 2020</w:t>
      </w:r>
    </w:p>
    <w:p>
      <w:pPr>
        <w:spacing w:after="0" w:line="131" w:lineRule="exact"/>
        <w:rPr>
          <w:sz w:val="24"/>
          <w:szCs w:val="24"/>
          <w:color w:val="auto"/>
        </w:rPr>
      </w:pPr>
    </w:p>
    <w:p>
      <w:pPr>
        <w:ind w:left="3720" w:right="1140" w:hanging="3712"/>
        <w:spacing w:after="0" w:line="429" w:lineRule="auto"/>
        <w:tabs>
          <w:tab w:leader="none" w:pos="267"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Transition Report Under Section 13 or 15(d) of the Securities Exchange Act of 1934 for the transition period from _____ to _____. Commission File Number: </w:t>
      </w:r>
      <w:r>
        <w:rPr>
          <w:rFonts w:ascii="Arial" w:cs="Arial" w:eastAsia="Arial" w:hAnsi="Arial"/>
          <w:sz w:val="16"/>
          <w:szCs w:val="16"/>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1960245</wp:posOffset>
            </wp:positionH>
            <wp:positionV relativeFrom="paragraph">
              <wp:posOffset>-16510</wp:posOffset>
            </wp:positionV>
            <wp:extent cx="2391410"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1410"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registrant in its charter)</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48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6"/>
                <w:szCs w:val="16"/>
                <w:b w:val="1"/>
                <w:bCs w:val="1"/>
                <w:color w:val="auto"/>
                <w:w w:val="99"/>
              </w:rPr>
              <w:t>DELAWARE</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right"/>
              <w:ind w:right="1956"/>
              <w:spacing w:after="0"/>
              <w:rPr>
                <w:sz w:val="20"/>
                <w:szCs w:val="20"/>
                <w:color w:val="auto"/>
              </w:rPr>
            </w:pPr>
            <w:r>
              <w:rPr>
                <w:rFonts w:ascii="Arial" w:cs="Arial" w:eastAsia="Arial" w:hAnsi="Arial"/>
                <w:sz w:val="16"/>
                <w:szCs w:val="16"/>
                <w:b w:val="1"/>
                <w:bCs w:val="1"/>
                <w:color w:val="auto"/>
              </w:rPr>
              <w:t>45-4497941</w:t>
            </w:r>
          </w:p>
        </w:tc>
      </w:tr>
      <w:tr>
        <w:trPr>
          <w:trHeight w:val="189"/>
        </w:trPr>
        <w:tc>
          <w:tcPr>
            <w:tcW w:w="4480" w:type="dxa"/>
            <w:vAlign w:val="bottom"/>
            <w:gridSpan w:val="3"/>
          </w:tcPr>
          <w:p>
            <w:pPr>
              <w:jc w:val="center"/>
              <w:ind w:left="318"/>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40" w:type="dxa"/>
            <w:vAlign w:val="bottom"/>
            <w:gridSpan w:val="3"/>
          </w:tcPr>
          <w:p>
            <w:pPr>
              <w:jc w:val="center"/>
              <w:ind w:right="916"/>
              <w:spacing w:after="0"/>
              <w:rPr>
                <w:sz w:val="20"/>
                <w:szCs w:val="20"/>
                <w:color w:val="auto"/>
              </w:rPr>
            </w:pPr>
            <w:r>
              <w:rPr>
                <w:rFonts w:ascii="Arial" w:cs="Arial" w:eastAsia="Arial" w:hAnsi="Arial"/>
                <w:sz w:val="16"/>
                <w:szCs w:val="16"/>
                <w:color w:val="auto"/>
                <w:w w:val="95"/>
              </w:rPr>
              <w:t>(I.R.S. Employer Identification No.)</w:t>
            </w:r>
          </w:p>
        </w:tc>
      </w:tr>
      <w:tr>
        <w:trPr>
          <w:trHeight w:val="203"/>
        </w:trPr>
        <w:tc>
          <w:tcPr>
            <w:tcW w:w="4480" w:type="dxa"/>
            <w:vAlign w:val="bottom"/>
            <w:gridSpan w:val="3"/>
          </w:tcPr>
          <w:p>
            <w:pPr>
              <w:jc w:val="center"/>
              <w:ind w:left="318"/>
              <w:spacing w:after="0"/>
              <w:rPr>
                <w:sz w:val="20"/>
                <w:szCs w:val="20"/>
                <w:color w:val="auto"/>
              </w:rPr>
            </w:pPr>
            <w:r>
              <w:rPr>
                <w:rFonts w:ascii="Arial" w:cs="Arial" w:eastAsia="Arial" w:hAnsi="Arial"/>
                <w:sz w:val="16"/>
                <w:szCs w:val="16"/>
                <w:b w:val="1"/>
                <w:bCs w:val="1"/>
                <w:color w:val="auto"/>
                <w:w w:val="90"/>
              </w:rPr>
              <w:t>3200 Southwest Freeway, Suite 2500</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223"/>
        </w:trPr>
        <w:tc>
          <w:tcPr>
            <w:tcW w:w="448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6"/>
                <w:szCs w:val="16"/>
                <w:b w:val="1"/>
                <w:bCs w:val="1"/>
                <w:color w:val="auto"/>
                <w:w w:val="87"/>
              </w:rPr>
              <w:t>Houston, Texas</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right"/>
              <w:ind w:right="2136"/>
              <w:spacing w:after="0"/>
              <w:rPr>
                <w:sz w:val="20"/>
                <w:szCs w:val="20"/>
                <w:color w:val="auto"/>
              </w:rPr>
            </w:pPr>
            <w:r>
              <w:rPr>
                <w:rFonts w:ascii="Arial" w:cs="Arial" w:eastAsia="Arial" w:hAnsi="Arial"/>
                <w:sz w:val="16"/>
                <w:szCs w:val="16"/>
                <w:b w:val="1"/>
                <w:bCs w:val="1"/>
                <w:color w:val="auto"/>
              </w:rPr>
              <w:t>77027</w:t>
            </w:r>
          </w:p>
        </w:tc>
      </w:tr>
      <w:tr>
        <w:trPr>
          <w:trHeight w:val="189"/>
        </w:trPr>
        <w:tc>
          <w:tcPr>
            <w:tcW w:w="4480" w:type="dxa"/>
            <w:vAlign w:val="bottom"/>
            <w:gridSpan w:val="3"/>
          </w:tcPr>
          <w:p>
            <w:pPr>
              <w:jc w:val="center"/>
              <w:ind w:left="318"/>
              <w:spacing w:after="0"/>
              <w:rPr>
                <w:sz w:val="20"/>
                <w:szCs w:val="20"/>
                <w:color w:val="auto"/>
              </w:rPr>
            </w:pPr>
            <w:r>
              <w:rPr>
                <w:rFonts w:ascii="Arial" w:cs="Arial" w:eastAsia="Arial" w:hAnsi="Arial"/>
                <w:sz w:val="16"/>
                <w:szCs w:val="16"/>
                <w:color w:val="auto"/>
                <w:w w:val="93"/>
              </w:rPr>
              <w:t>(Address of principal executive offices)</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jc w:val="center"/>
              <w:ind w:right="1316"/>
              <w:spacing w:after="0"/>
              <w:rPr>
                <w:sz w:val="20"/>
                <w:szCs w:val="20"/>
                <w:color w:val="auto"/>
              </w:rPr>
            </w:pPr>
            <w:r>
              <w:rPr>
                <w:rFonts w:ascii="Arial" w:cs="Arial" w:eastAsia="Arial" w:hAnsi="Arial"/>
                <w:sz w:val="16"/>
                <w:szCs w:val="16"/>
                <w:color w:val="auto"/>
                <w:w w:val="95"/>
              </w:rPr>
              <w:t>(Zip Code)</w:t>
            </w:r>
          </w:p>
        </w:tc>
      </w:tr>
      <w:tr>
        <w:trPr>
          <w:trHeight w:val="223"/>
        </w:trPr>
        <w:tc>
          <w:tcPr>
            <w:tcW w:w="3860" w:type="dxa"/>
            <w:vAlign w:val="bottom"/>
            <w:tcBorders>
              <w:bottom w:val="single" w:sz="8" w:color="auto"/>
            </w:tcBorders>
          </w:tcPr>
          <w:p>
            <w:pPr>
              <w:jc w:val="center"/>
              <w:ind w:left="938"/>
              <w:spacing w:after="0"/>
              <w:rPr>
                <w:sz w:val="20"/>
                <w:szCs w:val="20"/>
                <w:color w:val="auto"/>
              </w:rPr>
            </w:pPr>
            <w:r>
              <w:rPr>
                <w:rFonts w:ascii="Arial" w:cs="Arial" w:eastAsia="Arial" w:hAnsi="Arial"/>
                <w:sz w:val="16"/>
                <w:szCs w:val="16"/>
                <w:b w:val="1"/>
                <w:bCs w:val="1"/>
                <w:color w:val="auto"/>
                <w:w w:val="91"/>
              </w:rPr>
              <w:t>(713) 400-6400</w:t>
            </w: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206"/>
        </w:trPr>
        <w:tc>
          <w:tcPr>
            <w:tcW w:w="4480" w:type="dxa"/>
            <w:vAlign w:val="bottom"/>
            <w:gridSpan w:val="3"/>
          </w:tcPr>
          <w:p>
            <w:pPr>
              <w:jc w:val="center"/>
              <w:ind w:left="318"/>
              <w:spacing w:after="0"/>
              <w:rPr>
                <w:sz w:val="20"/>
                <w:szCs w:val="20"/>
                <w:color w:val="auto"/>
              </w:rPr>
            </w:pPr>
            <w:r>
              <w:rPr>
                <w:rFonts w:ascii="Arial" w:cs="Arial" w:eastAsia="Arial" w:hAnsi="Arial"/>
                <w:sz w:val="16"/>
                <w:szCs w:val="16"/>
                <w:color w:val="auto"/>
                <w:w w:val="90"/>
              </w:rPr>
              <w:t>(Issuer’s telephone number)</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28"/>
        </w:trPr>
        <w:tc>
          <w:tcPr>
            <w:tcW w:w="44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51"/>
        </w:trPr>
        <w:tc>
          <w:tcPr>
            <w:tcW w:w="4480" w:type="dxa"/>
            <w:vAlign w:val="bottom"/>
            <w:gridSpan w:val="3"/>
          </w:tcPr>
          <w:p>
            <w:pPr>
              <w:ind w:left="1380"/>
              <w:spacing w:after="0"/>
              <w:rPr>
                <w:sz w:val="20"/>
                <w:szCs w:val="20"/>
                <w:color w:val="auto"/>
              </w:rPr>
            </w:pPr>
            <w:r>
              <w:rPr>
                <w:rFonts w:ascii="Arial" w:cs="Arial" w:eastAsia="Arial" w:hAnsi="Arial"/>
                <w:sz w:val="16"/>
                <w:szCs w:val="16"/>
                <w:b w:val="1"/>
                <w:bCs w:val="1"/>
                <w:color w:val="auto"/>
              </w:rPr>
              <w:t>Title of each class</w:t>
            </w:r>
          </w:p>
        </w:tc>
        <w:tc>
          <w:tcPr>
            <w:tcW w:w="16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Trading Symbol(s)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30"/>
        </w:trPr>
        <w:tc>
          <w:tcPr>
            <w:tcW w:w="38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99"/>
              </w:rPr>
              <w:t>Common Stock, par value $0.001 per share</w:t>
            </w:r>
          </w:p>
        </w:tc>
        <w:tc>
          <w:tcPr>
            <w:tcW w:w="1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6"/>
                <w:szCs w:val="16"/>
                <w:color w:val="auto"/>
                <w:w w:val="97"/>
              </w:rPr>
              <w:t>MRKR</w:t>
            </w:r>
          </w:p>
        </w:tc>
        <w:tc>
          <w:tcPr>
            <w:tcW w:w="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1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4"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4"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w:t>
      </w:r>
    </w:p>
    <w:p>
      <w:pPr>
        <w:spacing w:after="0" w:line="87"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7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02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20"/>
              <w:spacing w:after="0" w:line="215" w:lineRule="exact"/>
              <w:rPr>
                <w:sz w:val="20"/>
                <w:szCs w:val="20"/>
                <w:color w:val="auto"/>
              </w:rPr>
            </w:pPr>
            <w:r>
              <w:rPr>
                <w:rFonts w:ascii="Arial Unicode MS" w:cs="Arial Unicode MS" w:eastAsia="Arial Unicode MS" w:hAnsi="Arial Unicode MS"/>
                <w:sz w:val="16"/>
                <w:szCs w:val="16"/>
                <w:color w:val="auto"/>
                <w:w w:val="99"/>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7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02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20"/>
              <w:spacing w:after="0" w:line="215" w:lineRule="exact"/>
              <w:rPr>
                <w:sz w:val="20"/>
                <w:szCs w:val="20"/>
                <w:color w:val="auto"/>
              </w:rPr>
            </w:pPr>
            <w:r>
              <w:rPr>
                <w:rFonts w:ascii="Arial Unicode MS" w:cs="Arial Unicode MS" w:eastAsia="Arial Unicode MS" w:hAnsi="Arial Unicode MS"/>
                <w:sz w:val="16"/>
                <w:szCs w:val="16"/>
                <w:color w:val="auto"/>
                <w:w w:val="99"/>
              </w:rPr>
              <w:t>⌧</w:t>
            </w:r>
          </w:p>
        </w:tc>
      </w:tr>
      <w:tr>
        <w:trPr>
          <w:trHeight w:val="256"/>
        </w:trPr>
        <w:tc>
          <w:tcPr>
            <w:tcW w:w="2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2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2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125"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83" w:lineRule="exact"/>
        <w:rPr>
          <w:sz w:val="24"/>
          <w:szCs w:val="24"/>
          <w:color w:val="auto"/>
        </w:rPr>
      </w:pPr>
    </w:p>
    <w:p>
      <w:pPr>
        <w:ind w:right="154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As of October 31, 2020, the Company had 48,025,102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784860</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90170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8980" w:type="dxa"/>
            <w:vAlign w:val="bottom"/>
            <w:gridSpan w:val="5"/>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40" w:type="dxa"/>
            <w:vAlign w:val="bottom"/>
          </w:tcPr>
          <w:p>
            <w:pPr>
              <w:spacing w:after="0"/>
              <w:rPr>
                <w:sz w:val="20"/>
                <w:szCs w:val="20"/>
                <w:color w:val="auto"/>
              </w:rPr>
            </w:pPr>
          </w:p>
        </w:tc>
      </w:tr>
      <w:tr>
        <w:trPr>
          <w:trHeight w:val="796"/>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40" w:type="dxa"/>
            <w:vAlign w:val="bottom"/>
            <w:gridSpan w:val="2"/>
          </w:tcPr>
          <w:p>
            <w:pPr>
              <w:ind w:left="2500"/>
              <w:spacing w:after="0"/>
              <w:rPr>
                <w:sz w:val="20"/>
                <w:szCs w:val="20"/>
                <w:color w:val="auto"/>
              </w:rPr>
            </w:pPr>
            <w:r>
              <w:rPr>
                <w:rFonts w:ascii="Arial" w:cs="Arial" w:eastAsia="Arial" w:hAnsi="Arial"/>
                <w:sz w:val="18"/>
                <w:szCs w:val="18"/>
                <w:b w:val="1"/>
                <w:bCs w:val="1"/>
                <w:color w:val="auto"/>
              </w:rPr>
              <w:t>Table of content</w:t>
            </w:r>
          </w:p>
        </w:tc>
        <w:tc>
          <w:tcPr>
            <w:tcW w:w="940" w:type="dxa"/>
            <w:vAlign w:val="bottom"/>
          </w:tcPr>
          <w:p>
            <w:pPr>
              <w:spacing w:after="0"/>
              <w:rPr>
                <w:sz w:val="24"/>
                <w:szCs w:val="24"/>
                <w:color w:val="auto"/>
              </w:rPr>
            </w:pPr>
          </w:p>
        </w:tc>
      </w:tr>
      <w:tr>
        <w:trPr>
          <w:trHeight w:val="446"/>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w:t>
            </w:r>
          </w:p>
        </w:tc>
      </w:tr>
      <w:tr>
        <w:trPr>
          <w:trHeight w:val="209"/>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980" w:type="dxa"/>
            <w:vAlign w:val="bottom"/>
            <w:gridSpan w:val="5"/>
            <w:shd w:val="clear" w:color="auto" w:fill="CCEEFF"/>
          </w:tcPr>
          <w:p>
            <w:pPr>
              <w:ind w:left="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3">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8200" w:type="dxa"/>
            <w:vAlign w:val="bottom"/>
            <w:gridSpan w:val="4"/>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8200" w:type="dxa"/>
            <w:vAlign w:val="bottom"/>
            <w:gridSpan w:val="4"/>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September 30, 2020 and December 31, 2019</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6"/>
        </w:trPr>
        <w:tc>
          <w:tcPr>
            <w:tcW w:w="780" w:type="dxa"/>
            <w:vAlign w:val="bottom"/>
            <w:shd w:val="clear" w:color="auto" w:fill="CCEEFF"/>
          </w:tcPr>
          <w:p>
            <w:pPr>
              <w:spacing w:after="0"/>
              <w:rPr>
                <w:sz w:val="15"/>
                <w:szCs w:val="15"/>
                <w:color w:val="auto"/>
              </w:rPr>
            </w:pPr>
          </w:p>
        </w:tc>
        <w:tc>
          <w:tcPr>
            <w:tcW w:w="8200" w:type="dxa"/>
            <w:vAlign w:val="bottom"/>
            <w:gridSpan w:val="4"/>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nine months ended September 30, 2020 and</w:t>
              </w:r>
            </w:hyperlink>
          </w:p>
        </w:tc>
        <w:tc>
          <w:tcPr>
            <w:tcW w:w="940" w:type="dxa"/>
            <w:vAlign w:val="bottom"/>
            <w:shd w:val="clear" w:color="auto" w:fill="CCEEFF"/>
          </w:tcPr>
          <w:p>
            <w:pPr>
              <w:spacing w:after="0"/>
              <w:rPr>
                <w:sz w:val="15"/>
                <w:szCs w:val="15"/>
                <w:color w:val="auto"/>
              </w:rPr>
            </w:pPr>
          </w:p>
        </w:tc>
      </w:tr>
      <w:tr>
        <w:trPr>
          <w:trHeight w:val="221"/>
        </w:trPr>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2019</w:t>
              </w:r>
            </w:hyperlink>
          </w:p>
        </w:tc>
        <w:tc>
          <w:tcPr>
            <w:tcW w:w="700" w:type="dxa"/>
            <w:vAlign w:val="bottom"/>
            <w:tcBorders>
              <w:top w:val="single" w:sz="8" w:color="0000EE"/>
              <w:bottom w:val="single" w:sz="8" w:color="CCEEFF"/>
            </w:tcBorders>
            <w:shd w:val="clear" w:color="auto" w:fill="CCEEFF"/>
          </w:tcPr>
          <w:p>
            <w:pPr>
              <w:spacing w:after="0"/>
              <w:rPr>
                <w:sz w:val="18"/>
                <w:szCs w:val="18"/>
                <w:color w:val="auto"/>
              </w:rPr>
            </w:pPr>
          </w:p>
        </w:tc>
        <w:tc>
          <w:tcPr>
            <w:tcW w:w="71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r>
      <w:tr>
        <w:trPr>
          <w:trHeight w:val="216"/>
        </w:trPr>
        <w:tc>
          <w:tcPr>
            <w:tcW w:w="7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5"/>
        </w:trPr>
        <w:tc>
          <w:tcPr>
            <w:tcW w:w="780" w:type="dxa"/>
            <w:vAlign w:val="bottom"/>
            <w:shd w:val="clear" w:color="auto" w:fill="CCEEFF"/>
          </w:tcPr>
          <w:p>
            <w:pPr>
              <w:spacing w:after="0"/>
              <w:rPr>
                <w:sz w:val="15"/>
                <w:szCs w:val="15"/>
                <w:color w:val="auto"/>
              </w:rPr>
            </w:pPr>
          </w:p>
        </w:tc>
        <w:tc>
          <w:tcPr>
            <w:tcW w:w="8200" w:type="dxa"/>
            <w:vAlign w:val="bottom"/>
            <w:gridSpan w:val="4"/>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 of Stockholders' Equity for the three and nine months ended September 30,</w:t>
              </w:r>
            </w:hyperlink>
          </w:p>
        </w:tc>
        <w:tc>
          <w:tcPr>
            <w:tcW w:w="940" w:type="dxa"/>
            <w:vAlign w:val="bottom"/>
            <w:shd w:val="clear" w:color="auto" w:fill="CCEEFF"/>
          </w:tcPr>
          <w:p>
            <w:pPr>
              <w:spacing w:after="0"/>
              <w:rPr>
                <w:sz w:val="15"/>
                <w:szCs w:val="15"/>
                <w:color w:val="auto"/>
              </w:rPr>
            </w:pPr>
          </w:p>
        </w:tc>
      </w:tr>
      <w:tr>
        <w:trPr>
          <w:trHeight w:val="217"/>
        </w:trPr>
        <w:tc>
          <w:tcPr>
            <w:tcW w:w="780" w:type="dxa"/>
            <w:vAlign w:val="bottom"/>
            <w:tcBorders>
              <w:top w:val="single" w:sz="8" w:color="CCEEFF"/>
            </w:tcBorders>
            <w:shd w:val="clear" w:color="auto" w:fill="CCEEFF"/>
          </w:tcPr>
          <w:p>
            <w:pPr>
              <w:spacing w:after="0"/>
              <w:rPr>
                <w:sz w:val="18"/>
                <w:szCs w:val="18"/>
                <w:color w:val="auto"/>
              </w:rPr>
            </w:pPr>
          </w:p>
        </w:tc>
        <w:tc>
          <w:tcPr>
            <w:tcW w:w="818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2020 and 2019</w:t>
              </w:r>
            </w:hyperlink>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7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8200" w:type="dxa"/>
            <w:vAlign w:val="bottom"/>
            <w:gridSpan w:val="4"/>
            <w:shd w:val="clear" w:color="auto" w:fill="CCEEFF"/>
          </w:tcPr>
          <w:p>
            <w:pPr>
              <w:spacing w:after="0"/>
              <w:rPr>
                <w:rFonts w:ascii="Arial" w:cs="Arial" w:eastAsia="Arial" w:hAnsi="Arial"/>
                <w:sz w:val="18"/>
                <w:szCs w:val="18"/>
                <w:u w:val="single" w:color="auto"/>
                <w:color w:val="0000EE"/>
                <w:w w:val="93"/>
              </w:rPr>
            </w:pPr>
            <w:hyperlink w:anchor="page6">
              <w:r>
                <w:rPr>
                  <w:rFonts w:ascii="Arial" w:cs="Arial" w:eastAsia="Arial" w:hAnsi="Arial"/>
                  <w:sz w:val="18"/>
                  <w:szCs w:val="18"/>
                  <w:u w:val="single" w:color="auto"/>
                  <w:color w:val="0000EE"/>
                  <w:w w:val="93"/>
                </w:rPr>
                <w:t>Condensed Consolidated Statements of Cash Flows for the nine months ended September 30, 2020 and 2019</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8200" w:type="dxa"/>
            <w:vAlign w:val="bottom"/>
            <w:gridSpan w:val="4"/>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18">
              <w:r>
                <w:rPr>
                  <w:rFonts w:ascii="Arial" w:cs="Arial" w:eastAsia="Arial" w:hAnsi="Arial"/>
                  <w:sz w:val="18"/>
                  <w:szCs w:val="18"/>
                  <w:u w:val="single" w:color="auto"/>
                  <w:color w:val="0000EE"/>
                </w:rPr>
                <w:t>Item 2</w:t>
              </w:r>
              <w:r>
                <w:rPr>
                  <w:rFonts w:ascii="Arial" w:cs="Arial" w:eastAsia="Arial" w:hAnsi="Arial"/>
                  <w:sz w:val="18"/>
                  <w:szCs w:val="18"/>
                  <w:color w:val="0000EE"/>
                </w:rPr>
                <w:t>.</w:t>
              </w:r>
            </w:hyperlink>
          </w:p>
        </w:tc>
        <w:tc>
          <w:tcPr>
            <w:tcW w:w="8200" w:type="dxa"/>
            <w:vAlign w:val="bottom"/>
            <w:gridSpan w:val="4"/>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Management’s Discussion and Analysis of Financial Condition and Results of Operations.</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27">
              <w:r>
                <w:rPr>
                  <w:rFonts w:ascii="Arial" w:cs="Arial" w:eastAsia="Arial" w:hAnsi="Arial"/>
                  <w:sz w:val="18"/>
                  <w:szCs w:val="18"/>
                  <w:u w:val="single" w:color="auto"/>
                  <w:color w:val="0000EE"/>
                </w:rPr>
                <w:t>Item 3</w:t>
              </w:r>
              <w:r>
                <w:rPr>
                  <w:rFonts w:ascii="Arial" w:cs="Arial" w:eastAsia="Arial" w:hAnsi="Arial"/>
                  <w:sz w:val="18"/>
                  <w:szCs w:val="18"/>
                  <w:color w:val="0000EE"/>
                </w:rPr>
                <w:t>.</w:t>
              </w:r>
            </w:hyperlink>
          </w:p>
        </w:tc>
        <w:tc>
          <w:tcPr>
            <w:tcW w:w="8200" w:type="dxa"/>
            <w:vAlign w:val="bottom"/>
            <w:gridSpan w:val="4"/>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Quantitative and Qualitative Disclosures About Market Risk.</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27">
              <w:r>
                <w:rPr>
                  <w:rFonts w:ascii="Arial" w:cs="Arial" w:eastAsia="Arial" w:hAnsi="Arial"/>
                  <w:sz w:val="18"/>
                  <w:szCs w:val="18"/>
                  <w:u w:val="single" w:color="auto"/>
                  <w:color w:val="0000EE"/>
                </w:rPr>
                <w:t>Item 4</w:t>
              </w:r>
              <w:r>
                <w:rPr>
                  <w:rFonts w:ascii="Arial" w:cs="Arial" w:eastAsia="Arial" w:hAnsi="Arial"/>
                  <w:sz w:val="18"/>
                  <w:szCs w:val="18"/>
                  <w:color w:val="0000EE"/>
                </w:rPr>
                <w:t>.</w:t>
              </w:r>
            </w:hyperlink>
          </w:p>
        </w:tc>
        <w:tc>
          <w:tcPr>
            <w:tcW w:w="8200" w:type="dxa"/>
            <w:vAlign w:val="bottom"/>
            <w:gridSpan w:val="4"/>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Controls and Procedures.</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14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980" w:type="dxa"/>
            <w:vAlign w:val="bottom"/>
            <w:gridSpan w:val="5"/>
            <w:shd w:val="clear" w:color="auto" w:fill="CCEEFF"/>
          </w:tcPr>
          <w:p>
            <w:pPr>
              <w:ind w:left="2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PART II – OTHER INFORMATION</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28">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8200" w:type="dxa"/>
            <w:vAlign w:val="bottom"/>
            <w:gridSpan w:val="4"/>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Legal Proceedings.</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1A.</w:t>
              </w:r>
            </w:hyperlink>
          </w:p>
        </w:tc>
        <w:tc>
          <w:tcPr>
            <w:tcW w:w="8200" w:type="dxa"/>
            <w:vAlign w:val="bottom"/>
            <w:gridSpan w:val="4"/>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62">
              <w:r>
                <w:rPr>
                  <w:rFonts w:ascii="Arial" w:cs="Arial" w:eastAsia="Arial" w:hAnsi="Arial"/>
                  <w:sz w:val="18"/>
                  <w:szCs w:val="18"/>
                  <w:u w:val="single" w:color="auto"/>
                  <w:color w:val="0000EE"/>
                </w:rPr>
                <w:t>Item 2</w:t>
              </w:r>
              <w:r>
                <w:rPr>
                  <w:rFonts w:ascii="Arial" w:cs="Arial" w:eastAsia="Arial" w:hAnsi="Arial"/>
                  <w:sz w:val="18"/>
                  <w:szCs w:val="18"/>
                  <w:color w:val="0000EE"/>
                </w:rPr>
                <w:t>.</w:t>
              </w:r>
            </w:hyperlink>
          </w:p>
        </w:tc>
        <w:tc>
          <w:tcPr>
            <w:tcW w:w="8200" w:type="dxa"/>
            <w:vAlign w:val="bottom"/>
            <w:gridSpan w:val="4"/>
            <w:shd w:val="clear" w:color="auto" w:fill="CCEEFF"/>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Unregistered Sales of Equity Securities and Use of Proceeds.</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62">
              <w:r>
                <w:rPr>
                  <w:rFonts w:ascii="Arial" w:cs="Arial" w:eastAsia="Arial" w:hAnsi="Arial"/>
                  <w:sz w:val="18"/>
                  <w:szCs w:val="18"/>
                  <w:u w:val="single" w:color="auto"/>
                  <w:color w:val="0000EE"/>
                </w:rPr>
                <w:t>Item 3</w:t>
              </w:r>
              <w:r>
                <w:rPr>
                  <w:rFonts w:ascii="Arial" w:cs="Arial" w:eastAsia="Arial" w:hAnsi="Arial"/>
                  <w:sz w:val="18"/>
                  <w:szCs w:val="18"/>
                  <w:color w:val="0000EE"/>
                </w:rPr>
                <w:t>.</w:t>
              </w:r>
            </w:hyperlink>
          </w:p>
        </w:tc>
        <w:tc>
          <w:tcPr>
            <w:tcW w:w="8200" w:type="dxa"/>
            <w:vAlign w:val="bottom"/>
            <w:gridSpan w:val="4"/>
            <w:shd w:val="clear" w:color="auto" w:fill="CCEEFF"/>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Defaults Upon Senior Securities.</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62">
              <w:r>
                <w:rPr>
                  <w:rFonts w:ascii="Arial" w:cs="Arial" w:eastAsia="Arial" w:hAnsi="Arial"/>
                  <w:sz w:val="18"/>
                  <w:szCs w:val="18"/>
                  <w:u w:val="single" w:color="auto"/>
                  <w:color w:val="0000EE"/>
                </w:rPr>
                <w:t>Item 4</w:t>
              </w:r>
              <w:r>
                <w:rPr>
                  <w:rFonts w:ascii="Arial" w:cs="Arial" w:eastAsia="Arial" w:hAnsi="Arial"/>
                  <w:sz w:val="18"/>
                  <w:szCs w:val="18"/>
                  <w:color w:val="0000EE"/>
                </w:rPr>
                <w:t>.</w:t>
              </w:r>
            </w:hyperlink>
          </w:p>
        </w:tc>
        <w:tc>
          <w:tcPr>
            <w:tcW w:w="8200" w:type="dxa"/>
            <w:vAlign w:val="bottom"/>
            <w:gridSpan w:val="4"/>
            <w:shd w:val="clear" w:color="auto" w:fill="CCEEFF"/>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Mine Safety Disclosure.</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62">
              <w:r>
                <w:rPr>
                  <w:rFonts w:ascii="Arial" w:cs="Arial" w:eastAsia="Arial" w:hAnsi="Arial"/>
                  <w:sz w:val="18"/>
                  <w:szCs w:val="18"/>
                  <w:u w:val="single" w:color="auto"/>
                  <w:color w:val="0000EE"/>
                </w:rPr>
                <w:t>Item 5</w:t>
              </w:r>
              <w:r>
                <w:rPr>
                  <w:rFonts w:ascii="Arial" w:cs="Arial" w:eastAsia="Arial" w:hAnsi="Arial"/>
                  <w:sz w:val="18"/>
                  <w:szCs w:val="18"/>
                  <w:color w:val="0000EE"/>
                </w:rPr>
                <w:t>.</w:t>
              </w:r>
            </w:hyperlink>
          </w:p>
        </w:tc>
        <w:tc>
          <w:tcPr>
            <w:tcW w:w="8200" w:type="dxa"/>
            <w:vAlign w:val="bottom"/>
            <w:gridSpan w:val="4"/>
            <w:shd w:val="clear" w:color="auto" w:fill="CCEEFF"/>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Other Information.</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63">
              <w:r>
                <w:rPr>
                  <w:rFonts w:ascii="Arial" w:cs="Arial" w:eastAsia="Arial" w:hAnsi="Arial"/>
                  <w:sz w:val="18"/>
                  <w:szCs w:val="18"/>
                  <w:u w:val="single" w:color="auto"/>
                  <w:color w:val="0000EE"/>
                </w:rPr>
                <w:t>Item 6</w:t>
              </w:r>
              <w:r>
                <w:rPr>
                  <w:rFonts w:ascii="Arial" w:cs="Arial" w:eastAsia="Arial" w:hAnsi="Arial"/>
                  <w:sz w:val="18"/>
                  <w:szCs w:val="18"/>
                  <w:color w:val="0000EE"/>
                </w:rPr>
                <w:t>.</w:t>
              </w:r>
            </w:hyperlink>
          </w:p>
        </w:tc>
        <w:tc>
          <w:tcPr>
            <w:tcW w:w="8200" w:type="dxa"/>
            <w:vAlign w:val="bottom"/>
            <w:gridSpan w:val="4"/>
            <w:shd w:val="clear" w:color="auto" w:fill="CCEEFF"/>
          </w:tcPr>
          <w:p>
            <w:pPr>
              <w:spacing w:after="0"/>
              <w:rPr>
                <w:rFonts w:ascii="Arial" w:cs="Arial" w:eastAsia="Arial" w:hAnsi="Arial"/>
                <w:sz w:val="18"/>
                <w:szCs w:val="18"/>
                <w:color w:val="0000EE"/>
              </w:rPr>
            </w:pPr>
            <w:hyperlink w:anchor="page63">
              <w:r>
                <w:rPr>
                  <w:rFonts w:ascii="Arial" w:cs="Arial" w:eastAsia="Arial" w:hAnsi="Arial"/>
                  <w:sz w:val="18"/>
                  <w:szCs w:val="18"/>
                  <w:u w:val="single" w:color="auto"/>
                  <w:color w:val="0000EE"/>
                </w:rPr>
                <w:t>Exhibits</w:t>
              </w:r>
              <w:r>
                <w:rPr>
                  <w:rFonts w:ascii="Arial" w:cs="Arial" w:eastAsia="Arial" w:hAnsi="Arial"/>
                  <w:sz w:val="18"/>
                  <w:szCs w:val="18"/>
                  <w:color w:val="0000EE"/>
                </w:rPr>
                <w:t>.</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r>
      <w:tr>
        <w:trPr>
          <w:trHeight w:val="216"/>
        </w:trPr>
        <w:tc>
          <w:tcPr>
            <w:tcW w:w="114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980" w:type="dxa"/>
            <w:vAlign w:val="bottom"/>
            <w:gridSpan w:val="5"/>
            <w:shd w:val="clear" w:color="auto" w:fill="CCEEFF"/>
          </w:tcPr>
          <w:p>
            <w:pPr>
              <w:ind w:left="2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Signatures</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r>
      <w:tr>
        <w:trPr>
          <w:trHeight w:val="1438"/>
        </w:trPr>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6"/>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380" w:type="dxa"/>
            <w:vAlign w:val="bottom"/>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38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380" w:type="dxa"/>
            <w:vAlign w:val="bottom"/>
          </w:tcPr>
          <w:p>
            <w:pPr>
              <w:jc w:val="center"/>
              <w:ind w:left="1650"/>
              <w:spacing w:after="0"/>
              <w:rPr>
                <w:sz w:val="20"/>
                <w:szCs w:val="20"/>
                <w:color w:val="auto"/>
              </w:rPr>
            </w:pPr>
            <w:r>
              <w:rPr>
                <w:rFonts w:ascii="Arial" w:cs="Arial" w:eastAsia="Arial" w:hAnsi="Arial"/>
                <w:sz w:val="18"/>
                <w:szCs w:val="18"/>
                <w:b w:val="1"/>
                <w:bCs w:val="1"/>
                <w:color w:val="auto"/>
              </w:rPr>
              <w:t>MARKER THERAPEUTICS, INC.</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380" w:type="dxa"/>
            <w:vAlign w:val="bottom"/>
          </w:tcPr>
          <w:p>
            <w:pPr>
              <w:jc w:val="center"/>
              <w:ind w:left="16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52"/>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63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7"/>
              </w:rPr>
              <w:t>(Audited)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26,956,737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00"/>
              <w:spacing w:after="0"/>
              <w:rPr>
                <w:sz w:val="20"/>
                <w:szCs w:val="20"/>
                <w:color w:val="auto"/>
              </w:rPr>
            </w:pPr>
            <w:r>
              <w:rPr>
                <w:rFonts w:ascii="Arial" w:cs="Arial" w:eastAsia="Arial" w:hAnsi="Arial"/>
                <w:sz w:val="18"/>
                <w:szCs w:val="18"/>
                <w:color w:val="auto"/>
              </w:rPr>
              <w:t>Prepaid expenses and deposits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2,367,145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receivable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receivable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30,324,017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45,486,580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2,629,628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00"/>
              <w:spacing w:after="0"/>
              <w:rPr>
                <w:sz w:val="20"/>
                <w:szCs w:val="20"/>
                <w:color w:val="auto"/>
              </w:rPr>
            </w:pPr>
            <w:r>
              <w:rPr>
                <w:rFonts w:ascii="Arial" w:cs="Arial" w:eastAsia="Arial" w:hAnsi="Arial"/>
                <w:sz w:val="18"/>
                <w:szCs w:val="18"/>
                <w:color w:val="auto"/>
              </w:rPr>
              <w:t>Construction in progress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4,557,581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Right-of-use assets, net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11,059,962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non-current assets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18,247,171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872,702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w w:val="82"/>
              </w:rPr>
              <w:t>Total assets</w:t>
            </w:r>
          </w:p>
        </w:tc>
        <w:tc>
          <w:tcPr>
            <w:tcW w:w="6380" w:type="dxa"/>
            <w:vAlign w:val="bottom"/>
          </w:tcPr>
          <w:p>
            <w:pPr>
              <w:spacing w:after="0"/>
              <w:rPr>
                <w:sz w:val="22"/>
                <w:szCs w:val="2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48,571,188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46,359,282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6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5,746,149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Lease liability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Warrant liability</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6,024,482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1,992,812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Lease liability, net of current portion</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11,948,781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non-current liabilities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11,948,781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17,973,263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2,273,059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Preferred stock - $0.001 par value, 5 million shares authorized and 0 shares issued and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outstanding at September 30, 2020 and December 31, 2019, respectively</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6"/>
              </w:rPr>
              <w:t>Common stock, $0.001 par value, 150 million shares authorized, 48.0 million and 45.7 million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gridSpan w:val="2"/>
          </w:tcPr>
          <w:p>
            <w:pPr>
              <w:ind w:left="100"/>
              <w:spacing w:after="0"/>
              <w:rPr>
                <w:sz w:val="20"/>
                <w:szCs w:val="20"/>
                <w:color w:val="auto"/>
              </w:rPr>
            </w:pPr>
            <w:r>
              <w:rPr>
                <w:rFonts w:ascii="Arial" w:cs="Arial" w:eastAsia="Arial" w:hAnsi="Arial"/>
                <w:sz w:val="18"/>
                <w:szCs w:val="18"/>
                <w:color w:val="auto"/>
                <w:w w:val="94"/>
              </w:rPr>
              <w:t>shares issued and outstanding as of September 30, 2020 and December 31, 2019, respectively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48,025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378,282,157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371,573,909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Accumulated deficit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(347,732,257)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(327,533,414)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30,597,925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44,086,223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48,571,188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46,359,282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left="1000" w:right="2260"/>
        <w:spacing w:after="0" w:line="266" w:lineRule="auto"/>
        <w:rPr>
          <w:sz w:val="20"/>
          <w:szCs w:val="20"/>
          <w:color w:val="auto"/>
        </w:rPr>
      </w:pPr>
      <w:r>
        <w:rPr>
          <w:rFonts w:ascii="Arial" w:cs="Arial" w:eastAsia="Arial" w:hAnsi="Arial"/>
          <w:sz w:val="18"/>
          <w:szCs w:val="18"/>
          <w:b w:val="1"/>
          <w:bCs w:val="1"/>
          <w:color w:val="auto"/>
        </w:rPr>
        <w:t>MARKER THERAPEUTICS, INC. CONDENSED CONSOLIDATED STATEMENTS OF OPERATIONS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For the 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466,785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4,803,605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3,118,530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12,897,275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9,103,670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2,572,562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2,536,204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7,946,846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8,063,099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7,376,167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5,654,734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20,844,121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17,166,769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Loss from operations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(7,376,167)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(5,654,734)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(20,377,336)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(17,166,769)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(64,000)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259,248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147,493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897,967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5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(7,371,500)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(5,459,486)</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(20,198,843)</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(16,348,802)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common shares outstanding</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46,867,119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45,655,387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46,509,391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45,541,434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Three Months Ended September 30, 2020</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180" w:type="dxa"/>
            <w:vAlign w:val="bottom"/>
            <w:gridSpan w:val="4"/>
            <w:vMerge w:val="restart"/>
          </w:tcPr>
          <w:p>
            <w:pPr>
              <w:jc w:val="right"/>
              <w:ind w:right="534"/>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0"/>
                <w:szCs w:val="10"/>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Additional Paid-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18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5"/>
              </w:rPr>
              <w:t>in Capital</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3"/>
              </w:rPr>
              <w:t>Deficit</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46,617,632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46,617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374,828,385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(340,360,757)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34,514,245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Issuance common stock for cash</w:t>
            </w:r>
          </w:p>
        </w:tc>
        <w:tc>
          <w:tcPr>
            <w:tcW w:w="920" w:type="dxa"/>
            <w:vAlign w:val="bottom"/>
          </w:tcPr>
          <w:p>
            <w:pPr>
              <w:jc w:val="right"/>
              <w:spacing w:after="0"/>
              <w:rPr>
                <w:sz w:val="20"/>
                <w:szCs w:val="20"/>
                <w:color w:val="auto"/>
              </w:rPr>
            </w:pPr>
            <w:r>
              <w:rPr>
                <w:rFonts w:ascii="Arial" w:cs="Arial" w:eastAsia="Arial" w:hAnsi="Arial"/>
                <w:sz w:val="18"/>
                <w:szCs w:val="18"/>
                <w:color w:val="auto"/>
              </w:rPr>
              <w:t>1,407,470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2,184,601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2,186,009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(7,371,500)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(7,371,500)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48,025,102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48,025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378,282,157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(347,732,257)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30,597,925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Nine Months Ended September 30, 2020</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180" w:type="dxa"/>
            <w:vAlign w:val="bottom"/>
            <w:gridSpan w:val="4"/>
            <w:vMerge w:val="restart"/>
          </w:tcPr>
          <w:p>
            <w:pPr>
              <w:jc w:val="right"/>
              <w:ind w:right="534"/>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0"/>
                <w:szCs w:val="10"/>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Additional Paid-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18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5"/>
              </w:rPr>
              <w:t>in Capital</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45,728,831</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371,573,909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(327,533,414)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44,086,223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Issuance common stock for cash</w:t>
            </w:r>
          </w:p>
        </w:tc>
        <w:tc>
          <w:tcPr>
            <w:tcW w:w="920" w:type="dxa"/>
            <w:vAlign w:val="bottom"/>
          </w:tcPr>
          <w:p>
            <w:pPr>
              <w:jc w:val="right"/>
              <w:spacing w:after="0"/>
              <w:rPr>
                <w:sz w:val="20"/>
                <w:szCs w:val="20"/>
                <w:color w:val="auto"/>
              </w:rPr>
            </w:pPr>
            <w:r>
              <w:rPr>
                <w:rFonts w:ascii="Arial" w:cs="Arial" w:eastAsia="Arial" w:hAnsi="Arial"/>
                <w:sz w:val="18"/>
                <w:szCs w:val="18"/>
                <w:color w:val="auto"/>
              </w:rPr>
              <w:t>1,407,470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2,184,601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2,186,009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Warrants exercised for cash</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ind w:left="100"/>
              <w:spacing w:after="0" w:line="201" w:lineRule="exact"/>
              <w:rPr>
                <w:sz w:val="20"/>
                <w:szCs w:val="20"/>
                <w:color w:val="auto"/>
              </w:rPr>
            </w:pPr>
            <w:r>
              <w:rPr>
                <w:rFonts w:ascii="Arial" w:cs="Arial" w:eastAsia="Arial" w:hAnsi="Arial"/>
                <w:sz w:val="18"/>
                <w:szCs w:val="18"/>
                <w:color w:val="auto"/>
              </w:rPr>
              <w:t>Issuance of common stock as commitment</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fee for future financing</w:t>
            </w:r>
          </w:p>
        </w:tc>
        <w:tc>
          <w:tcPr>
            <w:tcW w:w="920" w:type="dxa"/>
            <w:vAlign w:val="bottom"/>
          </w:tcPr>
          <w:p>
            <w:pPr>
              <w:jc w:val="right"/>
              <w:spacing w:after="0"/>
              <w:rPr>
                <w:sz w:val="20"/>
                <w:szCs w:val="20"/>
                <w:color w:val="auto"/>
              </w:rPr>
            </w:pPr>
            <w:r>
              <w:rPr>
                <w:rFonts w:ascii="Arial" w:cs="Arial" w:eastAsia="Arial" w:hAnsi="Arial"/>
                <w:sz w:val="18"/>
                <w:szCs w:val="18"/>
                <w:color w:val="auto"/>
              </w:rPr>
              <w:t>345,357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3,974,451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(20,198,843)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(20,198,843)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48,025,102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48,025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378,282,157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(347,732,257)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30,597,925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Three Months Ended September 30, 2019</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180" w:type="dxa"/>
            <w:vAlign w:val="bottom"/>
            <w:gridSpan w:val="4"/>
            <w:vMerge w:val="restart"/>
          </w:tcPr>
          <w:p>
            <w:pPr>
              <w:jc w:val="right"/>
              <w:ind w:right="534"/>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0"/>
                <w:szCs w:val="10"/>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Additional Paid-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18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5"/>
              </w:rPr>
              <w:t>in Capital</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3"/>
              </w:rPr>
              <w:t>Deficit</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45,513,523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368,353,041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(316,994,766)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51,403,788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Stock warrants exercised for cash</w:t>
            </w:r>
          </w:p>
        </w:tc>
        <w:tc>
          <w:tcPr>
            <w:tcW w:w="920" w:type="dxa"/>
            <w:vAlign w:val="bottom"/>
          </w:tcPr>
          <w:p>
            <w:pPr>
              <w:jc w:val="right"/>
              <w:spacing w:after="0"/>
              <w:rPr>
                <w:sz w:val="20"/>
                <w:szCs w:val="20"/>
                <w:color w:val="auto"/>
              </w:rPr>
            </w:pPr>
            <w:r>
              <w:rPr>
                <w:rFonts w:ascii="Arial" w:cs="Arial" w:eastAsia="Arial" w:hAnsi="Arial"/>
                <w:sz w:val="18"/>
                <w:szCs w:val="18"/>
                <w:color w:val="auto"/>
              </w:rPr>
              <w:t>188,459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753,166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753,354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warrants cashless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17,400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1,184,244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1,184,262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(5,459,486)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(5,459,486)</w:t>
            </w:r>
          </w:p>
        </w:tc>
        <w:tc>
          <w:tcPr>
            <w:tcW w:w="0" w:type="dxa"/>
            <w:vAlign w:val="bottom"/>
          </w:tcPr>
          <w:p>
            <w:pPr>
              <w:spacing w:after="0"/>
              <w:rPr>
                <w:sz w:val="1"/>
                <w:szCs w:val="1"/>
                <w:color w:val="auto"/>
              </w:rPr>
            </w:pPr>
          </w:p>
        </w:tc>
      </w:tr>
      <w:tr>
        <w:trPr>
          <w:trHeight w:val="210"/>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45,723,414</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45,723</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370,290,447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(322,454,252)</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47,881,918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Nine Months Ended September 30, 2019</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180" w:type="dxa"/>
            <w:vAlign w:val="bottom"/>
            <w:gridSpan w:val="4"/>
            <w:vMerge w:val="restart"/>
          </w:tcPr>
          <w:p>
            <w:pPr>
              <w:jc w:val="right"/>
              <w:ind w:right="534"/>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0"/>
                <w:szCs w:val="10"/>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Additional Paid-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18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5"/>
              </w:rPr>
              <w:t>in Capital</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3"/>
              </w:rPr>
              <w:t>Deficit</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45,440,704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365,400,748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(306,105,450)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99"/>
              </w:rPr>
              <w:t>59,340,738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Stock options exercised for cash</w:t>
            </w:r>
          </w:p>
        </w:tc>
        <w:tc>
          <w:tcPr>
            <w:tcW w:w="920" w:type="dxa"/>
            <w:vAlign w:val="bottom"/>
          </w:tcPr>
          <w:p>
            <w:pPr>
              <w:jc w:val="right"/>
              <w:spacing w:after="0"/>
              <w:rPr>
                <w:sz w:val="20"/>
                <w:szCs w:val="20"/>
                <w:color w:val="auto"/>
              </w:rPr>
            </w:pPr>
            <w:r>
              <w:rPr>
                <w:rFonts w:ascii="Arial" w:cs="Arial" w:eastAsia="Arial" w:hAnsi="Arial"/>
                <w:sz w:val="18"/>
                <w:szCs w:val="18"/>
                <w:color w:val="auto"/>
              </w:rPr>
              <w:t>11,980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57,732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Warrants exercised for cash</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Stock warrants cashless exercised</w:t>
            </w:r>
          </w:p>
        </w:tc>
        <w:tc>
          <w:tcPr>
            <w:tcW w:w="920" w:type="dxa"/>
            <w:vAlign w:val="bottom"/>
          </w:tcPr>
          <w:p>
            <w:pPr>
              <w:jc w:val="right"/>
              <w:spacing w:after="0"/>
              <w:rPr>
                <w:sz w:val="20"/>
                <w:szCs w:val="20"/>
                <w:color w:val="auto"/>
              </w:rPr>
            </w:pPr>
            <w:r>
              <w:rPr>
                <w:rFonts w:ascii="Arial" w:cs="Arial" w:eastAsia="Arial" w:hAnsi="Arial"/>
                <w:sz w:val="18"/>
                <w:szCs w:val="18"/>
                <w:color w:val="auto"/>
              </w:rPr>
              <w:t>4,032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4,073,428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(16,348,802)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(16,348,802)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45,723,414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45,723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370,290,447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(322,454,252)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47,881,918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MARKER THERAPEUTICS, INC. CONDENSED CONSOLIDATED STATEMENTS OF CASH FLOWS (UNAUDITED)</w:t>
      </w:r>
    </w:p>
    <w:p>
      <w:pPr>
        <w:spacing w:after="0" w:line="399"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For the Nine Months Ended</w:t>
      </w:r>
    </w:p>
    <w:p>
      <w:pPr>
        <w:jc w:val="center"/>
        <w:ind w:left="72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b w:val="1"/>
                <w:bCs w:val="1"/>
                <w:color w:val="auto"/>
              </w:rPr>
              <w:t>Net loss</w:t>
            </w:r>
          </w:p>
        </w:tc>
        <w:tc>
          <w:tcPr>
            <w:tcW w:w="5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(20,198,843)</w:t>
            </w:r>
          </w:p>
        </w:tc>
        <w:tc>
          <w:tcPr>
            <w:tcW w:w="20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(16,348,802)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272,725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fair value of warrant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3,974,536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4,073,505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on right-of-use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deposits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(840,703)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Arial" w:cs="Arial" w:eastAsia="Arial" w:hAnsi="Arial"/>
                <w:sz w:val="18"/>
                <w:szCs w:val="18"/>
                <w:color w:val="auto"/>
              </w:rPr>
              <w:t>Interest receivable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3,955,609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Lease liability</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(166,723)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(12,640,815)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(13,723,434)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(2,484,825)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Purchase of construction in progress</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(4,557,581)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(7,042,406)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issuance of common stock</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2,186,009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exercise of warrants</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2,736,009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(16,947,212)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(13,269,078)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43,903,949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61,746,748</w:t>
            </w:r>
          </w:p>
        </w:tc>
        <w:tc>
          <w:tcPr>
            <w:tcW w:w="0" w:type="dxa"/>
            <w:vAlign w:val="bottom"/>
          </w:tcPr>
          <w:p>
            <w:pPr>
              <w:spacing w:after="0"/>
              <w:rPr>
                <w:sz w:val="1"/>
                <w:szCs w:val="1"/>
                <w:color w:val="auto"/>
              </w:rPr>
            </w:pPr>
          </w:p>
        </w:tc>
      </w:tr>
      <w:tr>
        <w:trPr>
          <w:trHeight w:val="21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3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26,956,737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48,477,670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5"/>
          </w:tcPr>
          <w:p>
            <w:pPr>
              <w:jc w:val="right"/>
              <w:ind w:right="35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79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Issuance of common stock as commitment fee for future financing</w:t>
            </w:r>
          </w:p>
        </w:tc>
        <w:tc>
          <w:tcPr>
            <w:tcW w:w="5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Recognition of right-of-use assets and lease liability from new operating lease agreements</w:t>
            </w:r>
          </w:p>
        </w:tc>
        <w:tc>
          <w:tcPr>
            <w:tcW w:w="5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11,077,636</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Stock warrants cashless exercised</w:t>
            </w:r>
          </w:p>
        </w:tc>
        <w:tc>
          <w:tcPr>
            <w:tcW w:w="5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Marker Therapeutics, Inc., a Delaware corporation (the “Company” or “we”), is a clinical-stage immuno-oncology company specializing in the development and commercialization of novel T cell-based immunotherapies and innovative peptide-based vaccines for the treatment of hematological malignancies and solid tumor indications. The Company’s MultiTAA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results for the condensed consolidated statement of operations are not necessarily indicative of results to be expected for the year ending December 31, 2020 or for any future interim period. The condensed consolidated balance sheet at September 30, 2020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2019 and notes thereto included in the Company’s annual report on Form 10-K filed on March 12,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FINANCIAL CONDITION AND GOING CONCERN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September 30, 2020, the Company had cash and cash equivalents of approximately $27.0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Based on the Company’s revised clinical and research and development plans and its revised timing expectations related to the progress of its programs, and buildout of manufacturing and research facilities, and expansion of the Company’s corporate headquarters, discussed in Footnotes #7 and #10 below, the Company expects that its cash and cash equivalents as of September 30, 2020 will enable the Company to fund its operating expenses and capital expenditure requirements into the second quarter of 2021, as such these factors raise substantial doubt regarding the Company's ability to continue as a going concern. 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6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initiates or continues clinical trials of its product candidates;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continues the research and development of its product candidates and seeks to discover additional product candidates;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seeks regulatory approvals for any product candidates that successfully complete clinical trials;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maintains and enforces intellectual property rights;</w:t>
      </w:r>
    </w:p>
    <w:p>
      <w:pPr>
        <w:spacing w:after="0" w:line="9" w:lineRule="exact"/>
        <w:rPr>
          <w:rFonts w:ascii="Arial" w:cs="Arial" w:eastAsia="Arial" w:hAnsi="Arial"/>
          <w:sz w:val="18"/>
          <w:szCs w:val="18"/>
          <w:color w:val="auto"/>
        </w:rPr>
      </w:pPr>
    </w:p>
    <w:p>
      <w:pPr>
        <w:ind w:left="340" w:hanging="332"/>
        <w:spacing w:after="0" w:line="250" w:lineRule="auto"/>
        <w:tabs>
          <w:tab w:leader="none" w:pos="398"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establishes sales, marketing and distribution infrastructure and scale-up manufacturing capabilities to commercialize any product candidates that may receive regulatory approval;</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evaluates strategic transactions the Company may undertake; and</w:t>
      </w:r>
    </w:p>
    <w:p>
      <w:pPr>
        <w:spacing w:after="0" w:line="9" w:lineRule="exact"/>
        <w:rPr>
          <w:rFonts w:ascii="Arial" w:cs="Arial" w:eastAsia="Arial" w:hAnsi="Arial"/>
          <w:sz w:val="18"/>
          <w:szCs w:val="18"/>
          <w:color w:val="auto"/>
        </w:rPr>
      </w:pPr>
    </w:p>
    <w:p>
      <w:pPr>
        <w:ind w:left="340" w:hanging="332"/>
        <w:spacing w:after="0" w:line="290"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These factors raise substantial doubt regarding the Company's ability to continue as a going concern. The accompanying condensed consolidated financial statements have been prepared on a going concern basis, which implies that the Company will continue to realize its assets and discharge its liabilities in the normal course of business. The condensed consolidated financial statements do not include any adjustments to the recoverability and classification of recorded asset amounts and classification of liabilities that might be necessary should the Company be unable to continue as a going concern.</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the Company’s current assessment, the Company does not expect any material impact on its long-term liquidity due to the COVID-19 pandemic. However, the Company will continue to assess the effect of the pandemic on its operations, including its clinical programs. The extent to which the COVID-19 pandemic will impact the Company’s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the Company’s ability to access capital, which could in the future negatively affect the Company’s liquidity. In addition, a recession or market correction resulting from the spread of COVID-19 could materially affect the Company’s business and the value of its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Receivable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Company's lease agreement for its manufacturing facility, the Company incurs and pays for the construction invoices directly for both the structural improvements of the facility and the building of the manufacturing modular cleanroom (i.e. leasehold improvements and manufacturing equipment.) At the time the construction invoices are received by the Company, a fixed asset is recorded in construction-in-progress. In accordance with the agreement, upon completion of the facility's construction, the Company is owed up to $1.0 million as reimbursement, and as such a landlord receivable is recorded, which provides for a legal right to receive construction reimbursements from the landlord for tenant improvement allowances. During the third quarter of 2020, the Company recorded a $1.0 million receivable in its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Property and equipment - Construction in Progress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June 26, 2020, the Company entered into a lease for a manufacturing facility in Houston, Texas. In connection with the manufacturing facility, the Company has incurred costs pursuant to an agreement with a vendor to design, engineer, build and eventually install modular cleanrooms in a manufacturing facility. $4.6 million is recorded in fixed assets - construction in progress on the balance sheet as of September 30, 2020. Upon completion of the facility's construction, all costs associated with the buildout will be recorded as either manufacturing equipment and/or leasehold improvements and amortized over the estimated useful life of the leasehold lease.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Not Yet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is currently evaluating the impact of this standard on its condensed consolidated financial statements and related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computation of net loss per share for the three and nine months ended September 30, 2020 and 2019,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52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520" w:type="dxa"/>
            <w:vAlign w:val="bottom"/>
            <w:gridSpan w:val="5"/>
          </w:tcPr>
          <w:p>
            <w:pPr>
              <w:ind w:lef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(7,371,500)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(5,459,486)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(20,198,843)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(16,348,802)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46,867,119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45,655,387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46,509,391</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45,541,434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data:</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Basic and Diluted</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(0.43)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securities, rounded to the nearest thousand, were not included in the diluted net loss per share calculation because their effect was anti-dilutive for the periods presented:</w:t>
      </w:r>
    </w:p>
    <w:p>
      <w:pPr>
        <w:spacing w:after="0" w:line="175" w:lineRule="exact"/>
        <w:rPr>
          <w:sz w:val="20"/>
          <w:szCs w:val="20"/>
          <w:color w:val="auto"/>
        </w:rPr>
      </w:pPr>
    </w:p>
    <w:p>
      <w:pPr>
        <w:jc w:val="center"/>
        <w:ind w:left="4560"/>
        <w:spacing w:after="0"/>
        <w:rPr>
          <w:sz w:val="20"/>
          <w:szCs w:val="20"/>
          <w:color w:val="auto"/>
        </w:rPr>
      </w:pPr>
      <w:r>
        <w:rPr>
          <w:rFonts w:ascii="Arial" w:cs="Arial" w:eastAsia="Arial" w:hAnsi="Arial"/>
          <w:sz w:val="14"/>
          <w:szCs w:val="14"/>
          <w:b w:val="1"/>
          <w:bCs w:val="1"/>
          <w:color w:val="auto"/>
        </w:rPr>
        <w:t>For the Nine Months Ended</w:t>
      </w:r>
    </w:p>
    <w:p>
      <w:pPr>
        <w:jc w:val="center"/>
        <w:ind w:left="45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5,882,000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Common stock purchase warrants</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20,964,000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22,618,000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 liability treatment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160" w:type="dxa"/>
            <w:vAlign w:val="bottom"/>
            <w:shd w:val="clear" w:color="auto" w:fill="CCEEFF"/>
          </w:tcPr>
          <w:p>
            <w:pPr>
              <w:spacing w:after="0"/>
              <w:rPr>
                <w:sz w:val="18"/>
                <w:szCs w:val="18"/>
                <w:color w:val="auto"/>
              </w:rPr>
            </w:pPr>
          </w:p>
        </w:tc>
      </w:tr>
      <w:tr>
        <w:trPr>
          <w:trHeight w:val="209"/>
        </w:trPr>
        <w:tc>
          <w:tcPr>
            <w:tcW w:w="4740" w:type="dxa"/>
            <w:vAlign w:val="bottom"/>
            <w:gridSpan w:val="2"/>
          </w:tcPr>
          <w:p>
            <w:pPr>
              <w:spacing w:after="0"/>
              <w:rPr>
                <w:sz w:val="20"/>
                <w:szCs w:val="20"/>
                <w:color w:val="auto"/>
              </w:rPr>
            </w:pPr>
            <w:r>
              <w:rPr>
                <w:rFonts w:ascii="Arial" w:cs="Arial" w:eastAsia="Arial" w:hAnsi="Arial"/>
                <w:sz w:val="18"/>
                <w:szCs w:val="18"/>
                <w:color w:val="auto"/>
              </w:rPr>
              <w:t>Potentially dilutive securities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26,846,000</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27,329,000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as of September 30, 2020 and December 31, 2019,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Estimated Useful Lives</w:t>
            </w: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30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3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5 Years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1,388,000</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Computers, equipment and software</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3-5 Years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w:t>
            </w:r>
          </w:p>
        </w:tc>
        <w:tc>
          <w:tcPr>
            <w:tcW w:w="3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5 Years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2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Lesser of lease term or estimated useful</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rPr>
              <w:t>life</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288,000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3,007,000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30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4,558,000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60" w:type="dxa"/>
            <w:vAlign w:val="bottom"/>
            <w:gridSpan w:val="2"/>
          </w:tcPr>
          <w:p>
            <w:pPr>
              <w:spacing w:after="0"/>
              <w:rPr>
                <w:sz w:val="20"/>
                <w:szCs w:val="20"/>
                <w:color w:val="auto"/>
              </w:rPr>
            </w:pPr>
            <w:r>
              <w:rPr>
                <w:rFonts w:ascii="Arial" w:cs="Arial" w:eastAsia="Arial" w:hAnsi="Arial"/>
                <w:sz w:val="18"/>
                <w:szCs w:val="18"/>
                <w:color w:val="auto"/>
              </w:rPr>
              <w:t>Total fixed assets, net</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7,187,000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expense for the three months ended September 30, 2020 and 2019 was approximately $0.1 million and $0.03 million, respectively. Depreciation expense for the nine months ended September 30, 2020 and 2019 was approximately $0.3 million and $0.07 million, respectively.</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June 26, 2020, the Company entered into a lease for a manufacturing facility in Houston, Texas. In connection with the manufacturing facility, the Company has incurred costs pursuant to an agreement with a vendor to design, engineer, build and eventually install modular cleanrooms in a manufacturing facility. $4.6 million is recorded in fixed assets - construction in progress on the balance sheet as of September 30, 2020. Upon completion of the facility's construction, all costs associated with the buildout will be recorded as either manufacturing equipment and/or leasehold improvements and amortized over the estimated useful life of the leasehold lease.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research facility that the Company opened during the second quarter of 2020, the Company incurred approximately $1.3 million of costs acquiring necessary lab equipment to carry out its experiments. The $1.3 million is included in Lab equipment within fixed assets and is being depreciated over five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23, 2020, the Company entered into an agreement to expand its corporate headquarters in Houston, Texas, which commenced in the third quarter of 2020. The initial lease term is ten years with two five-year renewal options. Fixed rent payments under the initial term are approximately $5.6 million. Additionally, the Company is also responsible for its share of operating expenses. In the third quarter of 2020, the Company recorded right-of use assets and related operating lease liabilities of approximately $4.1 million as result of entering into the lease for its new corporate facility.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30, 2020, the Company entered into a lease for a research facility in Houston, Texas. The lease term is 71 months. Fixed rent payments under the initial term are approximately $1.1 million.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26, 2020, the Company entered into a lease for a manufacturing facility in Houston, Texas. The initial lease term is ten years from the expected rent commencement date in the fourth quarter of 2020 with two five-year renewal options. Fixed rent payments under the initial term are approximately $9.8 million. Additionally, the Company is also responsible for its share of operating expenses. In connection with the lease for the manufacturing facility, the Company is to receive $1.0 million as reimbursement for out of pocket buildout costs. Accordingly, during the third quarter of 2020, the Company recorded a $1.0 million receivable, and a reduction in right-of use assets, in its condensed consolidated financial statements.</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also leases office space under agreements classified as operating leases that expire in 2022. The Company has a remaining lease liability of $0.2 million and $0.2 million of the related right-of-use asset resulting from the lease of its Jacksonville, Florida office space, which expires in 2022.</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right-of-use assets as the Company is not reasonably certain to exercise the options. Variable expenses generally represent the Company’s share of the landlord’s operating expenses. The Company does not act as a lessor or have any leases classified as financing leases.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2020, the Company had operating lease liabilities of approximately $12.2 million and right-of-use assets of approximately $11.1 million, which were included in the condensed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quantitative information about the Company’s operating leases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For the Three Months Ended</w:t>
            </w:r>
          </w:p>
        </w:tc>
        <w:tc>
          <w:tcPr>
            <w:tcW w:w="140" w:type="dxa"/>
            <w:vAlign w:val="bottom"/>
          </w:tcPr>
          <w:p>
            <w:pPr>
              <w:spacing w:after="0"/>
              <w:rPr>
                <w:sz w:val="14"/>
                <w:szCs w:val="14"/>
                <w:color w:val="auto"/>
              </w:rPr>
            </w:pPr>
          </w:p>
        </w:tc>
        <w:tc>
          <w:tcPr>
            <w:tcW w:w="21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w w:val="83"/>
              </w:rPr>
              <w:t>2019</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 summary: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533,000</w:t>
            </w:r>
          </w:p>
        </w:tc>
        <w:tc>
          <w:tcPr>
            <w:tcW w:w="16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165,000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lease expense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444,000</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109,000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303,000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Operating cash flows - operating leases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362,000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Weighted-average remaining lease term as of September 30, 2020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3"/>
              </w:rPr>
              <w:t>Weighted-average discount rate as of adoption date – operating leases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850"/>
        </w:trPr>
        <w:tc>
          <w:tcPr>
            <w:tcW w:w="5300" w:type="dxa"/>
            <w:vAlign w:val="bottom"/>
            <w:gridSpan w:val="2"/>
          </w:tcPr>
          <w:p>
            <w:pPr>
              <w:jc w:val="right"/>
              <w:ind w:right="2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6"/>
        </w:trPr>
        <w:tc>
          <w:tcPr>
            <w:tcW w:w="8120" w:type="dxa"/>
            <w:vAlign w:val="bottom"/>
            <w:gridSpan w:val="2"/>
          </w:tcPr>
          <w:p>
            <w:pPr>
              <w:spacing w:after="0"/>
              <w:rPr>
                <w:sz w:val="20"/>
                <w:szCs w:val="20"/>
                <w:color w:val="auto"/>
              </w:rPr>
            </w:pPr>
            <w:r>
              <w:rPr>
                <w:rFonts w:ascii="Arial" w:cs="Arial" w:eastAsia="Arial" w:hAnsi="Arial"/>
                <w:sz w:val="18"/>
                <w:szCs w:val="18"/>
                <w:color w:val="auto"/>
              </w:rPr>
              <w:t>Maturities of our operating leases, excluding short-term leases, are as follows: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8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December 31, 2020</w:t>
            </w: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Year ended December 31, 2021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Year ended December 31, 2023</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2024</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16,468,000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discount</w:t>
            </w: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Operating lease liabilities included in the Condensed Consolidated Balance Sheet at September 30, 2020</w:t>
            </w:r>
          </w:p>
        </w:tc>
        <w:tc>
          <w:tcPr>
            <w:tcW w:w="5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and accrued liabilities consist of the following as of September 30, 2020 and December 31, 2019, respectively:</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3,696,000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993,000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1,392,000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323,000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Technology license fees</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105,000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243,000</w:t>
            </w: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Total accounts payable and accrued liabilities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5,746,000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1,758,000</w:t>
            </w: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 LIABILITY AND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2020, all of the Company's common stock purchase warrants previously treated as a liability expired.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summary of quantitative information with respect to valuation methodology and significant unobservable inputs used for the Company’s common stock purchase warrants that are categorized within Level 3 of the fair value hierarchy for the nine months ended September 30, 2020 and 2019 is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Weighted Average Inputs</w:t>
            </w:r>
          </w:p>
        </w:tc>
      </w:tr>
      <w:tr>
        <w:trPr>
          <w:trHeight w:val="119"/>
        </w:trPr>
        <w:tc>
          <w:tcPr>
            <w:tcW w:w="5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20" w:type="dxa"/>
            <w:vAlign w:val="bottom"/>
            <w:tcBorders>
              <w:top w:val="single" w:sz="8" w:color="auto"/>
            </w:tcBorders>
            <w:gridSpan w:val="4"/>
          </w:tcPr>
          <w:p>
            <w:pPr>
              <w:jc w:val="center"/>
              <w:ind w:right="53"/>
              <w:spacing w:after="0" w:line="119" w:lineRule="exact"/>
              <w:rPr>
                <w:sz w:val="20"/>
                <w:szCs w:val="20"/>
                <w:color w:val="auto"/>
              </w:rPr>
            </w:pPr>
            <w:r>
              <w:rPr>
                <w:rFonts w:ascii="Arial" w:cs="Arial" w:eastAsia="Arial" w:hAnsi="Arial"/>
                <w:sz w:val="13"/>
                <w:szCs w:val="13"/>
                <w:b w:val="1"/>
                <w:bCs w:val="1"/>
                <w:color w:val="auto"/>
              </w:rPr>
              <w:t>For the Nine Months Ended</w:t>
            </w:r>
          </w:p>
        </w:tc>
        <w:tc>
          <w:tcPr>
            <w:tcW w:w="160" w:type="dxa"/>
            <w:vAlign w:val="bottom"/>
          </w:tcPr>
          <w:p>
            <w:pPr>
              <w:spacing w:after="0"/>
              <w:rPr>
                <w:sz w:val="10"/>
                <w:szCs w:val="10"/>
                <w:color w:val="auto"/>
              </w:rPr>
            </w:pPr>
          </w:p>
        </w:tc>
      </w:tr>
      <w:tr>
        <w:trPr>
          <w:trHeight w:val="171"/>
        </w:trPr>
        <w:tc>
          <w:tcPr>
            <w:tcW w:w="5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6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2"/>
                <w:szCs w:val="12"/>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40" w:type="dxa"/>
            <w:vAlign w:val="bottom"/>
          </w:tcPr>
          <w:p>
            <w:pPr>
              <w:spacing w:after="0"/>
              <w:rPr>
                <w:sz w:val="18"/>
                <w:szCs w:val="18"/>
                <w:color w:val="auto"/>
              </w:rPr>
            </w:pPr>
          </w:p>
        </w:tc>
        <w:tc>
          <w:tcPr>
            <w:tcW w:w="13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92 %</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Risk-free rate</w:t>
            </w:r>
          </w:p>
        </w:tc>
        <w:tc>
          <w:tcPr>
            <w:tcW w:w="140" w:type="dxa"/>
            <w:vAlign w:val="bottom"/>
          </w:tcPr>
          <w:p>
            <w:pPr>
              <w:spacing w:after="0"/>
              <w:rPr>
                <w:sz w:val="18"/>
                <w:szCs w:val="18"/>
                <w:color w:val="auto"/>
              </w:rPr>
            </w:pPr>
          </w:p>
        </w:tc>
        <w:tc>
          <w:tcPr>
            <w:tcW w:w="13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Liabilities Measured at Fair Value on a Recurring Basis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liabilities measured at fair value on a recurring basis are summarized below and disclosed on the balance sheet under Warrant liability: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7"/>
          </w:tcPr>
          <w:p>
            <w:pPr>
              <w:ind w:left="1160"/>
              <w:spacing w:after="0"/>
              <w:rPr>
                <w:sz w:val="20"/>
                <w:szCs w:val="20"/>
                <w:color w:val="auto"/>
              </w:rPr>
            </w:pPr>
            <w:r>
              <w:rPr>
                <w:rFonts w:ascii="Arial" w:cs="Arial" w:eastAsia="Arial" w:hAnsi="Arial"/>
                <w:sz w:val="14"/>
                <w:szCs w:val="14"/>
                <w:b w:val="1"/>
                <w:bCs w:val="1"/>
                <w:color w:val="auto"/>
                <w:w w:val="92"/>
              </w:rPr>
              <w:t>Fair value measured at September 30, 2020</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4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Quoted prices in active</w:t>
            </w:r>
          </w:p>
        </w:tc>
        <w:tc>
          <w:tcPr>
            <w:tcW w:w="160" w:type="dxa"/>
            <w:vAlign w:val="bottom"/>
          </w:tcPr>
          <w:p>
            <w:pPr>
              <w:spacing w:after="0"/>
              <w:rPr>
                <w:sz w:val="10"/>
                <w:szCs w:val="10"/>
                <w:color w:val="auto"/>
              </w:rPr>
            </w:pP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 other</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104"/>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3"/>
              </w:rPr>
              <w:t>markets</w:t>
            </w:r>
          </w:p>
        </w:tc>
        <w:tc>
          <w:tcPr>
            <w:tcW w:w="1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64"/>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741"/>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8"/>
          </w:tcPr>
          <w:p>
            <w:pPr>
              <w:ind w:left="1120"/>
              <w:spacing w:after="0"/>
              <w:rPr>
                <w:sz w:val="20"/>
                <w:szCs w:val="20"/>
                <w:color w:val="auto"/>
              </w:rPr>
            </w:pPr>
            <w:r>
              <w:rPr>
                <w:rFonts w:ascii="Arial" w:cs="Arial" w:eastAsia="Arial" w:hAnsi="Arial"/>
                <w:sz w:val="14"/>
                <w:szCs w:val="14"/>
                <w:b w:val="1"/>
                <w:bCs w:val="1"/>
                <w:color w:val="auto"/>
              </w:rPr>
              <w:t>Fair value measured at December 31, 2019</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14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Quoted prices in active</w:t>
            </w:r>
          </w:p>
        </w:tc>
        <w:tc>
          <w:tcPr>
            <w:tcW w:w="140" w:type="dxa"/>
            <w:vAlign w:val="bottom"/>
          </w:tcPr>
          <w:p>
            <w:pPr>
              <w:spacing w:after="0"/>
              <w:rPr>
                <w:sz w:val="10"/>
                <w:szCs w:val="10"/>
                <w:color w:val="auto"/>
              </w:rPr>
            </w:pPr>
          </w:p>
        </w:tc>
        <w:tc>
          <w:tcPr>
            <w:tcW w:w="11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 other</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0"/>
                <w:szCs w:val="10"/>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6"/>
              </w:rPr>
              <w:t>markets</w:t>
            </w:r>
          </w:p>
        </w:tc>
        <w:tc>
          <w:tcPr>
            <w:tcW w:w="14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140" w:type="dxa"/>
            <w:vAlign w:val="bottom"/>
          </w:tcPr>
          <w:p>
            <w:pPr>
              <w:spacing w:after="0"/>
              <w:rPr>
                <w:sz w:val="12"/>
                <w:szCs w:val="12"/>
                <w:color w:val="auto"/>
              </w:rPr>
            </w:pPr>
          </w:p>
        </w:tc>
        <w:tc>
          <w:tcPr>
            <w:tcW w:w="14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184"/>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 accounting standards define fair value as the amount that would be received to sell an asset or paid to transfer a liability in an orderly transaction between market participants. As such, fair value is determined based upon assumptions that market participants would use in pricing an asset or liability. Fair value measurements are rated on a three-tier hierarchy as follows:</w:t>
      </w:r>
    </w:p>
    <w:p>
      <w:pPr>
        <w:spacing w:after="0" w:line="165" w:lineRule="exact"/>
        <w:rPr>
          <w:sz w:val="20"/>
          <w:szCs w:val="20"/>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assets or liabilities in active markets;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inputs: Inputs, other than quoted prices included in Level 1, that are observable either directly or indirectly; and</w:t>
      </w:r>
    </w:p>
    <w:p>
      <w:pPr>
        <w:spacing w:after="0" w:line="236" w:lineRule="exact"/>
        <w:rPr>
          <w:rFonts w:ascii="Arial" w:cs="Arial" w:eastAsia="Arial" w:hAnsi="Arial"/>
          <w:sz w:val="17"/>
          <w:szCs w:val="17"/>
          <w:color w:val="auto"/>
        </w:rPr>
      </w:pPr>
    </w:p>
    <w:p>
      <w:pPr>
        <w:ind w:left="680" w:hanging="321"/>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inputs: Unobservable inputs for which there is little or no market data, which require the reporting entity to develop its own assumptions.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nine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Level 3 liabilities measured at fair value for the nine months ended September 30,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17"/>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506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2020</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Change in fair value of warrant liability</w:t>
            </w:r>
          </w:p>
        </w:tc>
        <w:tc>
          <w:tcPr>
            <w:tcW w:w="17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September 30, 2020</w:t>
            </w:r>
          </w:p>
        </w:tc>
        <w:tc>
          <w:tcPr>
            <w:tcW w:w="1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10: COMMITMENTS AND CONTINGENCIES</w:t>
            </w: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6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 arbitration proceeding was brought against the Company before the Financial Industry Regulatory Authority, Inc. by a broker seeking to be paid approximately $1 million as compensation for two financing transactions that occurred in 2018, a warrant conversion and a private placement brokered by another broker. The broker’s claims are based on a placement agent agreement for a private placement it brokered in 2017, under which it alleges it is entitled to compensation for the 2018 transactions. The Company believes it has defenses to all of the allegations and intends to vigorously defend itself in this matter.</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Footnotes #6 and #7, on March 26, 2020 the Company entered into an agreement with a vendor to design, engineer, build and eventually install modular cleanrooms in a manufacturing facility in Houston, Texas, which the Company expects to lease with a commencement date in the fourth quarter of 2020. The total fees for this project to be substantially completed by December 31, 2020 are estimated to be $6.5 million. As of September 30, 2020, the Company has recorded $4.6 million of construction in progress costs associated with the building of the cleanrooms and the manufacturing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2020, certain outstanding warrants were exercised for 458,334 shares of common stock providing aggregate proceeds to the Company of approximately $0.6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Board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2020, the Company issued an aggregate of 85,110 shares of common stock to its non-employee directors. The fair value of the common stock of approximately $0.2 million was recognized as a component of stock-based compensation expense in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Aspire Capital</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28, 2020, the Company entered into a common stock purchase agreement (the “Purchase Agreement”) with Aspire Capital Fund, LLC (“Aspire Capital”) which provides that, upon the terms and subject to the conditions and limitations set forth therein, Aspire Capital is committed to purchase up to an aggregate of $30.0 million of shares of the Company’s common stock over the 30-month term of the purchase agreement. In consideration for entering into the purchase agreement, the Company issued to Aspire Capital 345,357 shares of the Company’s common stock as a commitment fee. The Company recorded the commitment fee to additional paid in capital. As of September 30, 2020, Aspire Capital had purchased 1,407,470 shares under the Purchase Agreement , providing aggregate proceeds to the Company of approximately $2.2 million.</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may request daily up to 0.1 million shares to be purchased with a maximum purchase commitment of 9.2 million shares over the term of the arrangement. The purchase price will generally be 97% of the stock price on the date of purchase.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share purchase warrants as of September 30, 2020 and changes during the period is presented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Weighted Average</w:t>
            </w: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Remaining Contractual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448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Life (in years)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16"/>
              <w:spacing w:after="0"/>
              <w:rPr>
                <w:sz w:val="20"/>
                <w:szCs w:val="20"/>
                <w:color w:val="auto"/>
              </w:rPr>
            </w:pPr>
            <w:r>
              <w:rPr>
                <w:rFonts w:ascii="Arial" w:cs="Arial" w:eastAsia="Arial" w:hAnsi="Arial"/>
                <w:sz w:val="14"/>
                <w:szCs w:val="14"/>
                <w:b w:val="1"/>
                <w:bCs w:val="1"/>
                <w:color w:val="auto"/>
              </w:rPr>
              <w:t>Value</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22,664,000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954,000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Exercised for cash</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(458,000)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Expired or cancelled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480" w:type="dxa"/>
            <w:vAlign w:val="bottom"/>
          </w:tcPr>
          <w:p>
            <w:pPr>
              <w:spacing w:after="0"/>
              <w:rPr>
                <w:sz w:val="20"/>
                <w:szCs w:val="20"/>
                <w:color w:val="auto"/>
              </w:rPr>
            </w:pPr>
            <w:r>
              <w:rPr>
                <w:rFonts w:ascii="Arial" w:cs="Arial" w:eastAsia="Arial" w:hAnsi="Arial"/>
                <w:sz w:val="18"/>
                <w:szCs w:val="18"/>
                <w:b w:val="1"/>
                <w:bCs w:val="1"/>
                <w:color w:val="auto"/>
              </w:rPr>
              <w:t>Balance - September 30, 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20,964,000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w:t>
            </w:r>
          </w:p>
        </w:tc>
        <w:tc>
          <w:tcPr>
            <w:tcW w:w="2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 of 2019 Performance Bonuses and 2020 Equity Incentive Awards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10, 2020, upon the recommendation of the compensation committee and pursuant to the Company’s 2014 Omnibus Stock Ownership Plan, the Company’s board of directors approved a total of 1,170,000 options to purchase the Company’s common stock as (i) performance bonuses for 2019 performance and (ii) equity-based incentive awards to the Company’s executive officers. Each option award was granted with an exercise price of $2.12 per share, the closing price of the Company’s common stock on the Nasdaq Global Market on March 10, 2020, with the option award vesting in 48 equal monthly installments over a four-year period, subject to such executive officer’s continued service on the applicable vesting date. Additionally, on March 10, 2020, the Company issued 111,000 options to purchase the Company’s common stock to other employees of the Company as equity-based incentive awards. Each option award was granted with an exercise price of $2.12 per share, the closing price of the Company’s common stock on the Nasdaq Global Market on March 10, 2020, with the option award vesting in 48 equal monthly installments over a four-year period, subject to such executive officer’s continued service on the applicable vesting date.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above awards were in addition to stock option awards issued during the nine months ended September 30, 2020 to new employees upon their commencement of employment with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Number of Shares</w:t>
            </w:r>
          </w:p>
        </w:tc>
        <w:tc>
          <w:tcPr>
            <w:tcW w:w="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 (in</w:t>
            </w:r>
          </w:p>
        </w:tc>
        <w:tc>
          <w:tcPr>
            <w:tcW w:w="140" w:type="dxa"/>
            <w:vAlign w:val="bottom"/>
          </w:tcPr>
          <w:p>
            <w:pPr>
              <w:spacing w:after="0"/>
              <w:rPr>
                <w:sz w:val="12"/>
                <w:szCs w:val="12"/>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4,983,314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1,411,000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September 30, 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5,881,814</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4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exercisable</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2,196,946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7.41</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5"/>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nine months ended September 30, 2020 was as follows: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September 30, 2020</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Expected term (years)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109 %</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160" w:type="dxa"/>
            <w:vAlign w:val="bottom"/>
          </w:tcPr>
          <w:p>
            <w:pPr>
              <w:spacing w:after="0"/>
              <w:rPr>
                <w:sz w:val="18"/>
                <w:szCs w:val="18"/>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1 %</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stock-based compensation expenses recorded during the respective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For the Three Months Ended</w:t>
            </w:r>
          </w:p>
        </w:tc>
        <w:tc>
          <w:tcPr>
            <w:tcW w:w="140" w:type="dxa"/>
            <w:vAlign w:val="bottom"/>
          </w:tcPr>
          <w:p>
            <w:pPr>
              <w:spacing w:after="0"/>
              <w:rPr>
                <w:sz w:val="14"/>
                <w:szCs w:val="14"/>
                <w:color w:val="auto"/>
              </w:rPr>
            </w:pPr>
          </w:p>
        </w:tc>
        <w:tc>
          <w:tcPr>
            <w:tcW w:w="206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4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2060" w:type="dxa"/>
            <w:vAlign w:val="bottom"/>
            <w:gridSpan w:val="5"/>
          </w:tcPr>
          <w:p>
            <w:pPr>
              <w:ind w:left="4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0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636,000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553,000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40"/>
              <w:spacing w:after="0"/>
              <w:rPr>
                <w:sz w:val="20"/>
                <w:szCs w:val="20"/>
                <w:color w:val="auto"/>
              </w:rPr>
            </w:pPr>
            <w:r>
              <w:rPr>
                <w:rFonts w:ascii="Arial" w:cs="Arial" w:eastAsia="Arial" w:hAnsi="Arial"/>
                <w:sz w:val="18"/>
                <w:szCs w:val="18"/>
                <w:color w:val="auto"/>
                <w:w w:val="94"/>
              </w:rPr>
              <w:t>1,945,000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1,844,000</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634,000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631,000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4"/>
              </w:rPr>
              <w:t>2,030,000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2,230,000</w:t>
            </w:r>
          </w:p>
        </w:tc>
        <w:tc>
          <w:tcPr>
            <w:tcW w:w="100" w:type="dxa"/>
            <w:vAlign w:val="bottom"/>
            <w:shd w:val="clear" w:color="auto" w:fill="CCEEFF"/>
          </w:tcPr>
          <w:p>
            <w:pPr>
              <w:spacing w:after="0"/>
              <w:rPr>
                <w:sz w:val="18"/>
                <w:szCs w:val="18"/>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Total stock compensation expenses</w:t>
            </w:r>
          </w:p>
        </w:tc>
        <w:tc>
          <w:tcPr>
            <w:tcW w:w="1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1,270,000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1,184,000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3,975,000</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4,074,000</w:t>
            </w:r>
          </w:p>
        </w:tc>
        <w:tc>
          <w:tcPr>
            <w:tcW w:w="10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2020, the total stock-based compensation cost related to unvested awards not yet recognized was $11.7 million. The expected weighted average period compensation costs to be recognized was approximately 2.5 years. Future option grants will impact the compensation expense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GRANT INCOME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nine months ended September 30, 2020, the Company received $0.5 million of a grant awarded to the Mayo Foundation from the U.S. Department of Defense to fund the Phase 2 clinical trial of TPIV100 for the treatment of HER2/neu breast cancer. The portion of the grant the Company received compensated the Company for clinical supplies manufactured by the Company for the clinical trial. In accordance with Accounting Standards Update No. 2014-09, "Revenue from Contracts with Customers (Topic 606)" issued by the Financial Accounting Standards Board, the Company recorded the $0.5 million of grant income as revenue. The Company did not record any grant income during the nine months ended September 30, 2019.</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for the three and nine months ended September 30, 2020 and 2019,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center"/>
              <w:ind w:right="36"/>
              <w:spacing w:after="0"/>
              <w:rPr>
                <w:sz w:val="20"/>
                <w:szCs w:val="20"/>
                <w:color w:val="auto"/>
              </w:rPr>
            </w:pPr>
            <w:r>
              <w:rPr>
                <w:rFonts w:ascii="Arial" w:cs="Arial" w:eastAsia="Arial" w:hAnsi="Arial"/>
                <w:sz w:val="14"/>
                <w:szCs w:val="14"/>
                <w:b w:val="1"/>
                <w:bCs w:val="1"/>
                <w:color w:val="auto"/>
                <w:w w:val="94"/>
              </w:rPr>
              <w:t>For the Three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center"/>
              <w:ind w:right="76"/>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71"/>
        </w:trPr>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4"/>
                <w:szCs w:val="14"/>
                <w:color w:val="auto"/>
              </w:rPr>
            </w:pPr>
          </w:p>
        </w:tc>
      </w:tr>
      <w:tr>
        <w:trPr>
          <w:trHeight w:val="210"/>
        </w:trPr>
        <w:tc>
          <w:tcPr>
            <w:tcW w:w="366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2019</w:t>
            </w:r>
          </w:p>
        </w:tc>
      </w:tr>
      <w:tr>
        <w:trPr>
          <w:trHeight w:val="209"/>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405,000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864,000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306,000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180"/>
              <w:spacing w:after="0"/>
              <w:rPr>
                <w:sz w:val="20"/>
                <w:szCs w:val="20"/>
                <w:color w:val="auto"/>
              </w:rPr>
            </w:pPr>
            <w:r>
              <w:rPr>
                <w:rFonts w:ascii="Arial" w:cs="Arial" w:eastAsia="Arial" w:hAnsi="Arial"/>
                <w:sz w:val="18"/>
                <w:szCs w:val="18"/>
                <w:color w:val="auto"/>
                <w:w w:val="95"/>
              </w:rPr>
              <w:t>405,000</w:t>
            </w:r>
          </w:p>
        </w:tc>
        <w:tc>
          <w:tcPr>
            <w:tcW w:w="5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77,000</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ind w:left="160"/>
              <w:spacing w:after="0"/>
              <w:rPr>
                <w:sz w:val="20"/>
                <w:szCs w:val="20"/>
                <w:color w:val="auto"/>
              </w:rPr>
            </w:pPr>
            <w:r>
              <w:rPr>
                <w:rFonts w:ascii="Arial" w:cs="Arial" w:eastAsia="Arial" w:hAnsi="Arial"/>
                <w:sz w:val="18"/>
                <w:szCs w:val="18"/>
                <w:color w:val="auto"/>
                <w:w w:val="95"/>
              </w:rPr>
              <w:t>864,000</w:t>
            </w:r>
          </w:p>
        </w:tc>
        <w:tc>
          <w:tcPr>
            <w:tcW w:w="220" w:type="dxa"/>
            <w:vAlign w:val="bottom"/>
          </w:tcPr>
          <w:p>
            <w:pPr>
              <w:spacing w:after="0"/>
              <w:rPr>
                <w:sz w:val="18"/>
                <w:szCs w:val="18"/>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20"/>
              <w:spacing w:after="0"/>
              <w:rPr>
                <w:sz w:val="20"/>
                <w:szCs w:val="20"/>
                <w:color w:val="auto"/>
              </w:rPr>
            </w:pPr>
            <w:r>
              <w:rPr>
                <w:rFonts w:ascii="Arial" w:cs="Arial" w:eastAsia="Arial" w:hAnsi="Arial"/>
                <w:sz w:val="18"/>
                <w:szCs w:val="18"/>
                <w:color w:val="auto"/>
                <w:w w:val="95"/>
              </w:rPr>
              <w:t>306,000</w:t>
            </w:r>
          </w:p>
        </w:tc>
      </w:tr>
      <w:tr>
        <w:trPr>
          <w:trHeight w:val="20"/>
        </w:trPr>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detailed information for the table above is below.</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Sponsored Research Agreements with The Baylor College of Medicine (“BCM”)</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16, 2018 and February 1, 2020, in</w:t>
      </w:r>
      <w:r>
        <w:rPr>
          <w:rFonts w:ascii="Arial" w:cs="Arial" w:eastAsia="Arial" w:hAnsi="Arial"/>
          <w:sz w:val="18"/>
          <w:szCs w:val="18"/>
          <w:i w:val="1"/>
          <w:iCs w:val="1"/>
          <w:color w:val="auto"/>
        </w:rPr>
        <w:t xml:space="preserve"> </w:t>
      </w:r>
      <w:r>
        <w:rPr>
          <w:rFonts w:ascii="Arial" w:cs="Arial" w:eastAsia="Arial" w:hAnsi="Arial"/>
          <w:sz w:val="18"/>
          <w:szCs w:val="18"/>
          <w:color w:val="auto"/>
        </w:rPr>
        <w:t>furtherance of the BCM License Agreement and as contemplated by the terms thereof, the Company entered in Sponsored Research Agreements (“SRAs”) with BCM, which provided for the conduct of research for the Company by credentialed personnel at BCM’s Center for Cell and Gene Therapy.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in connection with the SRAs for the three and nine months ended September 30, 2020 and 2019, respectively.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5"/>
              </w:rPr>
              <w:t>For the 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jc w:val="right"/>
              <w:ind w:right="156"/>
              <w:spacing w:after="0"/>
              <w:rPr>
                <w:sz w:val="20"/>
                <w:szCs w:val="20"/>
                <w:color w:val="auto"/>
              </w:rPr>
            </w:pPr>
            <w:r>
              <w:rPr>
                <w:rFonts w:ascii="Arial" w:cs="Arial" w:eastAsia="Arial" w:hAnsi="Arial"/>
                <w:sz w:val="14"/>
                <w:szCs w:val="14"/>
                <w:b w:val="1"/>
                <w:bCs w:val="1"/>
                <w:color w:val="auto"/>
                <w:w w:val="96"/>
              </w:rPr>
              <w:t>For the Nine Months Ended</w:t>
            </w:r>
          </w:p>
        </w:tc>
      </w:tr>
      <w:tr>
        <w:trPr>
          <w:trHeight w:val="17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w w:val="89"/>
              </w:rPr>
              <w:t>2019</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u w:val="single" w:color="auto"/>
          <w:color w:val="auto"/>
        </w:rPr>
        <w:t>Clinical Supply Agreement with BCM</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9, 2019, in furtherance of the BCM License Agreement and as contemplated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thereof, the Company entered in a Clinical Supply Agreement ("CSA") with BCM, which provided for BCM to provide to the Company multi tumor antigen specific products.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in connection with the CSA for the three and nine months ended September 30, 2020 and 2019,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center"/>
              <w:ind w:right="36"/>
              <w:spacing w:after="0"/>
              <w:rPr>
                <w:sz w:val="20"/>
                <w:szCs w:val="20"/>
                <w:color w:val="auto"/>
              </w:rPr>
            </w:pPr>
            <w:r>
              <w:rPr>
                <w:rFonts w:ascii="Arial" w:cs="Arial" w:eastAsia="Arial" w:hAnsi="Arial"/>
                <w:sz w:val="14"/>
                <w:szCs w:val="14"/>
                <w:b w:val="1"/>
                <w:bCs w:val="1"/>
                <w:color w:val="auto"/>
                <w:w w:val="94"/>
              </w:rPr>
              <w:t>For the 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jc w:val="center"/>
              <w:ind w:right="76"/>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7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4"/>
                <w:szCs w:val="14"/>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w w:val="89"/>
              </w:rPr>
              <w:t>2019</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5"/>
              </w:rPr>
              <w:t>200,000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5"/>
              </w:rPr>
              <w:t>200,000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Workforce Grant Agreement with BCM</w:t>
      </w:r>
      <w:r>
        <w:rPr>
          <w:rFonts w:ascii="Arial" w:cs="Arial" w:eastAsia="Arial" w:hAnsi="Arial"/>
          <w:sz w:val="17"/>
          <w:szCs w:val="17"/>
          <w:i w:val="1"/>
          <w:iCs w:val="1"/>
          <w:color w:val="auto"/>
        </w:rPr>
        <w:t xml:space="preserve">. </w:t>
      </w:r>
      <w:r>
        <w:rPr>
          <w:rFonts w:ascii="Arial" w:cs="Arial" w:eastAsia="Arial" w:hAnsi="Arial"/>
          <w:sz w:val="17"/>
          <w:szCs w:val="17"/>
          <w:color w:val="auto"/>
        </w:rPr>
        <w:t>On October 5, 2019, in furtherance of the BCM Clinical Supply Agreement and as contemplated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terms thereof, the Company entered in a Workforce Grant Agreement ("WGA") with BCM, which provided for BCM to provide to the Company manpower costs of projects for manufacturing, quality control testing and validation run activities.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in connection with the WGA for the three and nine months ended September 30, 2020 and 2019,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For the Three Months Ended</w:t>
            </w:r>
          </w:p>
        </w:tc>
        <w:tc>
          <w:tcPr>
            <w:tcW w:w="160" w:type="dxa"/>
            <w:vAlign w:val="bottom"/>
          </w:tcPr>
          <w:p>
            <w:pPr>
              <w:spacing w:after="0"/>
              <w:rPr>
                <w:sz w:val="14"/>
                <w:szCs w:val="14"/>
                <w:color w:val="auto"/>
              </w:rPr>
            </w:pPr>
          </w:p>
        </w:tc>
        <w:tc>
          <w:tcPr>
            <w:tcW w:w="2020" w:type="dxa"/>
            <w:vAlign w:val="bottom"/>
            <w:gridSpan w:val="4"/>
          </w:tcPr>
          <w:p>
            <w:pPr>
              <w:jc w:val="center"/>
              <w:ind w:right="76"/>
              <w:spacing w:after="0"/>
              <w:rPr>
                <w:sz w:val="20"/>
                <w:szCs w:val="20"/>
                <w:color w:val="auto"/>
              </w:rPr>
            </w:pPr>
            <w:r>
              <w:rPr>
                <w:rFonts w:ascii="Arial" w:cs="Arial" w:eastAsia="Arial" w:hAnsi="Arial"/>
                <w:sz w:val="14"/>
                <w:szCs w:val="14"/>
                <w:b w:val="1"/>
                <w:bCs w:val="1"/>
                <w:color w:val="auto"/>
                <w:w w:val="93"/>
              </w:rPr>
              <w:t>For the Nine Months Ended</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5"/>
              </w:rPr>
              <w:t>130,000</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5"/>
              </w:rPr>
              <w:t>278,000</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19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5"/>
              </w:rPr>
              <w:t>130,000</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5"/>
              </w:rPr>
              <w:t>278,000</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980" w:type="dxa"/>
            <w:vAlign w:val="bottom"/>
            <w:vMerge w:val="restart"/>
          </w:tcPr>
          <w:p>
            <w:pPr>
              <w:jc w:val="right"/>
              <w:ind w:right="25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u w:val="single" w:color="auto"/>
          <w:color w:val="auto"/>
        </w:rPr>
        <w:t>Clinical Trial Agreement with BCM</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17, 2020, in furtherance of the BCM Clinical Supply Agreement and as contemplated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thereof, the Company entered in a Clinical Trial Agreement ("CTA") with BCM, which provided for BCM to provide to the Company investigator-initiated research studies.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in connection with the CTA for the three and nine months ended September 30, 2020 and 2019,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center"/>
              <w:ind w:right="36"/>
              <w:spacing w:after="0"/>
              <w:rPr>
                <w:sz w:val="20"/>
                <w:szCs w:val="20"/>
                <w:color w:val="auto"/>
              </w:rPr>
            </w:pPr>
            <w:r>
              <w:rPr>
                <w:rFonts w:ascii="Arial" w:cs="Arial" w:eastAsia="Arial" w:hAnsi="Arial"/>
                <w:sz w:val="14"/>
                <w:szCs w:val="14"/>
                <w:b w:val="1"/>
                <w:bCs w:val="1"/>
                <w:color w:val="auto"/>
                <w:w w:val="94"/>
              </w:rPr>
              <w:t>For the 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jc w:val="center"/>
              <w:ind w:right="76"/>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7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01"/>
              <w:spacing w:after="0"/>
              <w:rPr>
                <w:sz w:val="20"/>
                <w:szCs w:val="20"/>
                <w:color w:val="auto"/>
              </w:rPr>
            </w:pPr>
            <w:r>
              <w:rPr>
                <w:rFonts w:ascii="Arial" w:cs="Arial" w:eastAsia="Arial" w:hAnsi="Arial"/>
                <w:sz w:val="14"/>
                <w:szCs w:val="14"/>
                <w:b w:val="1"/>
                <w:bCs w:val="1"/>
                <w:color w:val="auto"/>
                <w:w w:val="89"/>
              </w:rPr>
              <w:t>September 30,</w:t>
            </w:r>
          </w:p>
        </w:tc>
        <w:tc>
          <w:tcPr>
            <w:tcW w:w="640" w:type="dxa"/>
            <w:vAlign w:val="bottom"/>
            <w:tcBorders>
              <w:bottom w:val="single" w:sz="8" w:color="auto"/>
            </w:tcBorders>
          </w:tcPr>
          <w:p>
            <w:pPr>
              <w:spacing w:after="0"/>
              <w:rPr>
                <w:sz w:val="14"/>
                <w:szCs w:val="14"/>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83"/>
              </w:rPr>
              <w:t>2019</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w w:val="83"/>
              </w:rPr>
              <w:t>2019</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5"/>
              </w:rPr>
              <w:t>213,000</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5"/>
              </w:rPr>
              <w:t>213,000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5"/>
              </w:rPr>
              <w:t>213,000</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5"/>
              </w:rPr>
              <w:t>213,000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Purchases from Bio-Techne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currently utilizing Bio-Techne Corporation and two of its brands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reagents, primarily cytokines. Mr. David Eansor is a member of the Company's board of directors and is serving as the President of the Protein Sciences Segment of Bio-Techne Corporation.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in connection with Bio-Techne Corporation for the three and nine months ended September 30, 2020 and 2019,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5"/>
              </w:rPr>
              <w:t>For the 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jc w:val="center"/>
              <w:ind w:right="76"/>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7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4"/>
                <w:szCs w:val="14"/>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w w:val="89"/>
              </w:rPr>
              <w:t>2019</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5"/>
              </w:rPr>
              <w:t>105,000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51,000</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5"/>
              </w:rPr>
              <w:t>105,000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Consulting Agreement with Dr. Juan Vera</w:t>
      </w:r>
      <w:r>
        <w:rPr>
          <w:rFonts w:ascii="Arial" w:cs="Arial" w:eastAsia="Arial" w:hAnsi="Arial"/>
          <w:sz w:val="16"/>
          <w:szCs w:val="16"/>
          <w:i w:val="1"/>
          <w:iCs w:val="1"/>
          <w:color w:val="auto"/>
        </w:rPr>
        <w:t xml:space="preserve">. </w:t>
      </w:r>
      <w:r>
        <w:rPr>
          <w:rFonts w:ascii="Arial" w:cs="Arial" w:eastAsia="Arial" w:hAnsi="Arial"/>
          <w:sz w:val="16"/>
          <w:szCs w:val="16"/>
          <w:color w:val="auto"/>
        </w:rPr>
        <w:t>On October 19, 2018, after the closing of the Company’s merger, the Company entered into a</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agreement with Dr. Juan Vera, a member of the Company’s board of directors, to serve as the Company’s Chief Development Officer. On September 1, 2019, Dr. Vera became an employee of the Company and his consulting agreement was terminated.</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and nine months ended September 30, 2019, the Company incurred approximately $58,000 and $233,000, respectively, of expenses under Dr. Vera’s consulting agreement.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4"/>
          </w:tcPr>
          <w:p>
            <w:pPr>
              <w:jc w:val="center"/>
              <w:ind w:right="76"/>
              <w:spacing w:after="0"/>
              <w:rPr>
                <w:sz w:val="20"/>
                <w:szCs w:val="20"/>
                <w:color w:val="auto"/>
              </w:rPr>
            </w:pPr>
            <w:r>
              <w:rPr>
                <w:rFonts w:ascii="Arial" w:cs="Arial" w:eastAsia="Arial" w:hAnsi="Arial"/>
                <w:sz w:val="14"/>
                <w:szCs w:val="14"/>
                <w:b w:val="1"/>
                <w:bCs w:val="1"/>
                <w:color w:val="auto"/>
                <w:w w:val="93"/>
              </w:rPr>
              <w:t>For the Nine Months Ended</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89"/>
              </w:rPr>
              <w:t>September 30,</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83"/>
              </w:rPr>
              <w:t>2019</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58,000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233,000</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198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58,000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233,000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980" w:type="dxa"/>
            <w:vAlign w:val="bottom"/>
            <w:vMerge w:val="restart"/>
          </w:tcPr>
          <w:p>
            <w:pPr>
              <w:jc w:val="right"/>
              <w:ind w:right="250"/>
              <w:spacing w:after="0"/>
              <w:rPr>
                <w:sz w:val="20"/>
                <w:szCs w:val="20"/>
                <w:color w:val="auto"/>
              </w:rPr>
            </w:pPr>
            <w:r>
              <w:rPr>
                <w:rFonts w:ascii="Arial" w:cs="Arial" w:eastAsia="Arial" w:hAnsi="Arial"/>
                <w:sz w:val="18"/>
                <w:szCs w:val="18"/>
                <w:color w:val="auto"/>
              </w:rPr>
              <w:t>15</w:t>
            </w: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34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3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Such risks and uncertainties may be amplified by the COVID-19 pandemic and its potential impact on our business and the global economy.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should be read in conjunction with our unaudited condensed consolidated interim financial statements and related notes for the nine months ended September 30, 2020 included in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MultiTAA-specific T cell program: the autologous T cells for the treatment of lymphoma, multiple myeloma, or MM, and selected solid tumors and the allogeneic T cells for the treatment of acute myeloid leukemia, or AML, and acute lymphoblastic leukemia, or ALL. Because we do not genetically engineer the MultiTAA-specific T cell therapies, we believe that our product candidates are easier and less expensive to manufacture, have lower toxicities than current engineered chimeric antigen receptor, or CAR-T, and T cell receptor-based therapies and may provide patients with meaningful clinical benefit. We are also developing innovative peptide-based immunotherapeutic vaccines for the treatment of metastatic solid tumors.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pursuing post-transplant AML as the lead indication for our first company-sponsored MultiTAA-specific T cell program. The MultiTAA-specific T cell therapy has been well tolerated in an ongoing Phase 1 clinical trial conducted by our strategic partner Baylor College of Medicine, or BCM. As reported in March 2019, eleven of the thirteen patients in the adjuvant disease setting dosed with the MultiTAA-specific T cell therapy after receiving an allogeneic stem cell transplant survived, ranging from 6 weeks to 2.5 years post-infusion, with nine of these remaining patients in continuing complete remission, or CCR. Survival of the six patients with active disease ranged from 4 to 21 months, as compared to a historical survival rate of approximately 4.5 months for patients who receive the standard of care post-transplant.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submitted an investigational new drug, or IND, application to the United States Food and Drug Administration, or the FDA, to initiate a Phase 2 clinical trial of MultiTAA-specific T cell therapy, which we refer to as MT-401 (zelenoleucel), in post-allogeneic hematopoietic stem cell transplant patients with AML in both the adjuvant and active disease setting. The dose administered in this multicenter trial is the approximate flat dose equivalent of the current maximum tolerated dose from the ongoing Phase 1 trial. In the adjuvant setting, patients will be randomized to either MultiTAA-specific T cell therapy at approximately 90 days post-transplant versus standard of care observation, while the active disease patients will receive MT-401 following relapse post-transplant as part of a single-arm group. In February 2020, we announced that the FDA has permitted us to initiate our Phase 2 clinical trial beginning with a safety lead-in portion of the trial, and we have begun to enroll patients. We expect that we will be delayed in initiating this trial per previously communicated timelines due to the COVID-19 pandemic. See “—Clinical Program Updates.” In April 2020, the FDA granted orphan drug designation to MT-401 for the treatment of AML after receiving an allogeneic stem cell transplant.</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reported interim data for an ongoing Phase 1/2 clinical trial of the MultiTAA-specific T cell therapy for the treatment of pancreatic adenocarcinoma being conducted by BCM. In this trial, we have observed a clinical benefit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cytokine release syndrome or neurotoxicity in this trial.</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also evaluating the MultiTAA-specific T cell therapies in a Phase 2 clinical trial for the treatment of breast cancer and in Phase 1 clinical trials for the treatment of ALL, lymphoma, MM and sarcoma, all of which are being conducted by BCM. As of December 2019, the MultiTAA-specific T cell therapies have been generally well tolerated by all of the patients enrolled in clinical trials in hematological and solid tumor indications with no incidents of cytokine release syndrome or neurotoxicity, which are frequently associated with CAR-T therapies. Our ongoing clinical trials may be also affected by the COVID-19 pandemic. Based on our observations in clinical trials in AML, pancreatic cancer, lymphoma, ALL and MM, we believe that the MultiTAA-specific T cell therapies have the potential to mediate a meaningful anti-tumor effect, as well as significant in vivo expansion of T cells. We may initiate additional Phase 2 clinical trials investigating other indications in addition to our planned Phase 2 trial in post-transplant AML patients.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pipeline, including clinical trials being conducted by BCM and other partners,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4920615" cy="2023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2061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MT-401 (zelenoleucel) for the Treatment of Post-Transplant AML</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2020, we announced that the FDA lifted the clinical hold on the Phase 2 clinical trial investigating the safety and efficacy of MT-401 for the treatment of patients with AML post-transplant permitting us to initiate the trial with the safety lead-in portion that is expected to enroll approximately six patients. Three patients will be dosed with MT-401 manufactured with the legacy reagent used in the Phase 1 trial, and three patients will be dosed with MT-401 manufactured using a new reagent from an alternative supplier. We anticipate using this supplier for clinical and commercial manufacturing of MT-401. The FDA placed a partial clinical hold on the trial for the use of the MT-401 product manufactured using one of the reagents supplied by the alternative supplier until the final data and certificate of analysis for the reagent are reviewed and accepted by the FDA. We have begun to enroll patients in the safety lead-in portion of the trial, and we continue to work to identify clinical trial sites. Additionally, our alternate supplier has provided the new reagent for MT-401. We continue to work with the vendor to receive the final data and certificate of analysis required by the FDA to satisfy the requirements for lifting the partial hold, but we expect that we will continue to be delayed in initiating this trial per previously communicated timelines due to the COVID-19 pandemic.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other than per-share amounts, have been rounded to the nearest thousand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three months ended September 30,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For the 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1,685,000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2,573,000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2,536,000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7,376,000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1,721,000</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Loss from operations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(7,376,000)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(5,655,000)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(1,721,000)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(254,000)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50"/>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5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(7,372,000)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(5,459,000)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(1,912,000)</w:t>
            </w:r>
          </w:p>
        </w:tc>
        <w:tc>
          <w:tcPr>
            <w:tcW w:w="1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common shares outstanding</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46,867,000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45,655,000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1,212,000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three months ended September 30, 2020 were $7.4 million compared to $5.7 million during the three months ended September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and expenditures in operating expenses are outlined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Research and development expenses increased by 54% to $4.8 million for the three months ended September 30, 2020, compared to $3.1 million for the three months ended September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$1.7 million in 2020 was primarily attributable to the following:</w:t>
      </w:r>
    </w:p>
    <w:p>
      <w:pPr>
        <w:spacing w:after="0" w:line="225" w:lineRule="exact"/>
        <w:rPr>
          <w:sz w:val="20"/>
          <w:szCs w:val="20"/>
          <w:color w:val="auto"/>
        </w:rPr>
      </w:pPr>
    </w:p>
    <w:p>
      <w:pPr>
        <w:ind w:left="1000" w:hanging="317"/>
        <w:spacing w:after="0"/>
        <w:tabs>
          <w:tab w:leader="none" w:pos="1000" w:val="left"/>
        </w:tabs>
        <w:numPr>
          <w:ilvl w:val="0"/>
          <w:numId w:val="5"/>
        </w:numPr>
        <w:rPr>
          <w:rFonts w:ascii="Courier New" w:cs="Courier New" w:eastAsia="Courier New" w:hAnsi="Courier New"/>
          <w:sz w:val="16"/>
          <w:szCs w:val="16"/>
          <w:color w:val="auto"/>
        </w:rPr>
      </w:pPr>
      <w:r>
        <w:rPr>
          <w:rFonts w:ascii="Arial" w:cs="Arial" w:eastAsia="Arial" w:hAnsi="Arial"/>
          <w:sz w:val="16"/>
          <w:szCs w:val="16"/>
          <w:color w:val="auto"/>
        </w:rPr>
        <w:t>increase of $0.8 million in headcount-related expenses as we increased the number of research and development personnel,</w:t>
      </w:r>
    </w:p>
    <w:p>
      <w:pPr>
        <w:spacing w:after="0" w:line="233" w:lineRule="exact"/>
        <w:rPr>
          <w:rFonts w:ascii="Courier New" w:cs="Courier New" w:eastAsia="Courier New" w:hAnsi="Courier New"/>
          <w:sz w:val="16"/>
          <w:szCs w:val="16"/>
          <w:color w:val="auto"/>
        </w:rPr>
      </w:pPr>
    </w:p>
    <w:p>
      <w:pPr>
        <w:ind w:left="1000" w:hanging="317"/>
        <w:spacing w:after="0"/>
        <w:tabs>
          <w:tab w:leader="none" w:pos="10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increase of $0.8 million in process development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increase of $0.2 million in sponsored research expenses from BCM agreements,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increase of $0.2 million in other expenses, and</w:t>
      </w:r>
    </w:p>
    <w:p>
      <w:pPr>
        <w:spacing w:after="0" w:line="209" w:lineRule="exact"/>
        <w:rPr>
          <w:rFonts w:ascii="Courier New" w:cs="Courier New" w:eastAsia="Courier New" w:hAnsi="Courier New"/>
          <w:sz w:val="18"/>
          <w:szCs w:val="18"/>
          <w:color w:val="auto"/>
        </w:rPr>
      </w:pPr>
    </w:p>
    <w:p>
      <w:pPr>
        <w:ind w:left="1000" w:hanging="317"/>
        <w:spacing w:after="0" w:line="259" w:lineRule="auto"/>
        <w:tabs>
          <w:tab w:leader="none" w:pos="10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decrease of $0.3 million in our peptide vaccine clinical trial expenses due to the stages of ongoing clinical trials and the decreased number of active patients in such trials.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were $ 2.6 million and $2.5 million for the three months ended September 30, 2020 and 2019, respectively. The increase in general and administrative expenses was mainly comprised of an increase in rent and insurance expenses offset by a decrease in legal and professional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warrant liabilities for the three months ended September 30, 2020 was $0 as compared to $(64,000) for the three months ended September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was $5,000 and $0.3 million for the three months ended September 30, 2020 and 2019, respectively, and was attributable to interest income relating to funds that are held in U.S. Treasury notes and U.S. government agency-backed securities. As part of the reaction to the COVID-19 pandemic, the Federal Reserve cut rates in mid-March to a range of 0.0% - 0.25%. As such, we recorded lower interest income during the three months ended September 30,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recorded a net loss of $7.4 million, or a net loss per share, basic and diluted of $(0.16), during the three months ended September 30, 2020, compared to a net loss of $5.5 million, or a net loss per share, basic and diluted of $(0.12), during the three months ended September 30, 2019. The increase in our net loss during the three months ended September 30, 2020 compared to during the three months ended September 30, 2019 was due to the continued expansion of our research and development activities,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nine months ended September 30,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For the Nine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467,000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12,897,000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7,947,000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8,063,000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(116,000)</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20,844,000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17,167,000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3,677,000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Loss from operations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(20,377,000)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(17,167,000)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(3,210,000)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(751,000)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9"/>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5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(20,199,000)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(16,349,000)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(3,850,000)</w:t>
            </w:r>
          </w:p>
        </w:tc>
        <w:tc>
          <w:tcPr>
            <w:tcW w:w="1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Weighted average number of common shares outstanding</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46,509,000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45,541,000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968,000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2020, we received $0.5 million of a grant awarded to the Mayo Foundation from the U.S. Department of Defense to fund the Phase 2 clinical trial of TPIV100 for the treatment of HER2/neu breast cancer. The portion of the grant we received compensated us for clinical supplies manufactured by us for the clinical trial. We did not receive any grant income during the nine months ended September 30,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incurred during the nine months ended September 30, 2020 were $20.8 million compared to $17.2 million during the nine months ended September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and expenditures in operating expenses are outlined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increased by 42% to $12.9 million for the nine months ended September 30, 2020, compared to $9.1 million for the nine months ended September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$3.8 million in 2020 was primarily attributable to the following:</w:t>
      </w:r>
    </w:p>
    <w:p>
      <w:pPr>
        <w:spacing w:after="0" w:line="225" w:lineRule="exact"/>
        <w:rPr>
          <w:sz w:val="20"/>
          <w:szCs w:val="20"/>
          <w:color w:val="auto"/>
        </w:rPr>
      </w:pPr>
    </w:p>
    <w:p>
      <w:pPr>
        <w:ind w:left="1000" w:hanging="317"/>
        <w:spacing w:after="0"/>
        <w:tabs>
          <w:tab w:leader="none" w:pos="1000" w:val="left"/>
        </w:tabs>
        <w:numPr>
          <w:ilvl w:val="0"/>
          <w:numId w:val="6"/>
        </w:numPr>
        <w:rPr>
          <w:rFonts w:ascii="Courier New" w:cs="Courier New" w:eastAsia="Courier New" w:hAnsi="Courier New"/>
          <w:sz w:val="16"/>
          <w:szCs w:val="16"/>
          <w:color w:val="auto"/>
        </w:rPr>
      </w:pPr>
      <w:r>
        <w:rPr>
          <w:rFonts w:ascii="Arial" w:cs="Arial" w:eastAsia="Arial" w:hAnsi="Arial"/>
          <w:sz w:val="16"/>
          <w:szCs w:val="16"/>
          <w:color w:val="auto"/>
        </w:rPr>
        <w:t>increase of $2.1 million in headcount-related expenses as we increased the number of research and development personnel,</w:t>
      </w:r>
    </w:p>
    <w:p>
      <w:pPr>
        <w:spacing w:after="0" w:line="233" w:lineRule="exact"/>
        <w:rPr>
          <w:rFonts w:ascii="Courier New" w:cs="Courier New" w:eastAsia="Courier New" w:hAnsi="Courier New"/>
          <w:sz w:val="16"/>
          <w:szCs w:val="16"/>
          <w:color w:val="auto"/>
        </w:rPr>
      </w:pPr>
    </w:p>
    <w:p>
      <w:pPr>
        <w:ind w:left="1000" w:hanging="317"/>
        <w:spacing w:after="0"/>
        <w:tabs>
          <w:tab w:leader="none" w:pos="100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increase of $2.4 million in process development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increase of $0.3 million in sponsored research expenses from BCM agreements,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increase of $0.1 million in other expenses, and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hanging="317"/>
        <w:spacing w:after="0" w:line="259" w:lineRule="auto"/>
        <w:tabs>
          <w:tab w:leader="none" w:pos="100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decrease of $1.1 million in our peptide vaccine clinical trial expenses due to the stages of ongoing clinical trials and the decreased number of active patients in such trials.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General and administrative expenses were $7.9 million and $8.1 million for the nine months ended September 30, 2020 and 2019, respectively. The decrease in general and administrative expenses was mainly comprised of a decrease in legal and professional fees and other.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 in fair value of warrant liabilities for the nine months ended September 30, 2020 was $31,000 as compared to $(80,000) for the nine months ended September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was $0.1 million and $0.9 million for the nine months ended September 30, 2020 and 2019, respectively, and was attributable to interest income relating to funds that are held in U.S. Treasury notes and U.S. government agency-backed securities. As part of the reaction to the COVID-19 pandemic, the Federal Reserve cut rates in mid-March to a range of 0.0% - 0.25%. As such, we recorded lower interest income during the nine months ended September 30,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a net loss of $20.2 million, or a net loss per share, basic and diluted of $(0.43), during the nine months ended September 30, 2020, compared to a net loss of $16.3 million, or a net loss per share, basic and diluted of $(0.36)</w:t>
      </w:r>
      <w:r>
        <w:rPr>
          <w:rFonts w:ascii="Arial" w:cs="Arial" w:eastAsia="Arial" w:hAnsi="Arial"/>
          <w:sz w:val="18"/>
          <w:szCs w:val="18"/>
          <w:b w:val="1"/>
          <w:bCs w:val="1"/>
          <w:color w:val="auto"/>
        </w:rPr>
        <w:t>,</w:t>
      </w:r>
      <w:r>
        <w:rPr>
          <w:rFonts w:ascii="Arial" w:cs="Arial" w:eastAsia="Arial" w:hAnsi="Arial"/>
          <w:sz w:val="18"/>
          <w:szCs w:val="18"/>
          <w:color w:val="auto"/>
        </w:rPr>
        <w:t xml:space="preserve"> during the nine months ended September 30, 2019. The increase in our net loss during the nine months ended September 30, 2020 compared to during the nine months ended September 30, 2019 was due to the continued expansion of our research and development activities, increased expenses relating to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generated any revenues from product sales since inception. We have financed our operations primarily through public and private offerings of our debt and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cash and cash equivalents and working capital as of September 30, 2020 and December 31,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9"/>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9"/>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38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26,957,000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43,904,000</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Working capital</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24,300,000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43,494,000</w:t>
            </w:r>
          </w:p>
        </w:tc>
      </w:tr>
      <w:tr>
        <w:trPr>
          <w:trHeight w:val="850"/>
        </w:trPr>
        <w:tc>
          <w:tcPr>
            <w:tcW w:w="3380" w:type="dxa"/>
            <w:vAlign w:val="bottom"/>
          </w:tcPr>
          <w:p>
            <w:pPr>
              <w:spacing w:after="0"/>
              <w:rPr>
                <w:sz w:val="24"/>
                <w:szCs w:val="24"/>
                <w:color w:val="auto"/>
              </w:rPr>
            </w:pPr>
          </w:p>
        </w:tc>
        <w:tc>
          <w:tcPr>
            <w:tcW w:w="3960" w:type="dxa"/>
            <w:vAlign w:val="bottom"/>
          </w:tcPr>
          <w:p>
            <w:pPr>
              <w:jc w:val="right"/>
              <w:ind w:right="219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60"/>
        </w:trPr>
        <w:tc>
          <w:tcPr>
            <w:tcW w:w="33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2020 and 2019:</w:t>
      </w:r>
    </w:p>
    <w:p>
      <w:pPr>
        <w:spacing w:after="0" w:line="230"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For the Nine Months Ended</w:t>
      </w:r>
    </w:p>
    <w:p>
      <w:pPr>
        <w:jc w:val="center"/>
        <w:ind w:left="72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(12,641,000)</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(13,723,000)</w:t>
            </w: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(7,042,000)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(362,000)</w:t>
            </w:r>
          </w:p>
        </w:tc>
      </w:tr>
      <w:tr>
        <w:trPr>
          <w:trHeight w:val="216"/>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816,000</w:t>
            </w:r>
          </w:p>
        </w:tc>
      </w:tr>
      <w:tr>
        <w:trPr>
          <w:trHeight w:val="209"/>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(16,947,000)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(13,269,000)</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during the nine months ended September 30, 2020 was $12.6 million. The use of cash primarily related to our net loss of $20.2 million, in addition to the effect of changes in asset and liability accounts, including an increase in prepaid expenses and deposits of $0.8 million, an increase in accounts payable and accrued liabilities of $4.0 million, a decrease in interest receivable of $0.06 million and a decrease in lease liabilities of $0.2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during the nine months ended September 30, 2019 was $13.7 million. The use of cash primarily related to our net loss of $16.3 million, in addition to the effect of changes in asset and liability accounts, including an increase in prepaid expenses and deposits of $1.8 million, an increase in accounts payable and accrued liabilities of $0.1 million, a decrease in lease liabilities of $0.1 million and a decrease in interest receivable of $0.03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$7.0 million and $0.4 million for the purchase of property and equipment during the nine months ended September 30, 2020 and 2019, respectively. The increase relates to $4.6 million in construction in progress towards the new modular cleanrooms in our manufacturing facility, an additional $1.3 million in laboratory equipment, $0.5 million in furniture and fixtures and $0.3 million in leasehold improvements at the new research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cash provided by financing activities was $2.7 million during the nine months ended September 30, 2020, mainly due to the purchase of 1,407,470 shares of stock under the Purchase Agreement with Aspire Capital that provided proceeds to the Company of approximately $2.2 million, along with $0.5 million of proceeds from the exercise of stock warrants. Net cash provided by financing activities was $0.8 million during the nine months ended September 30, 2019, due to the exercise of stock warrants and stock options.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September 30, 2020, we had working capital of $24.3 million, compared to working capital of $43.5 million as of December 31, 2019. Based on our revised clinical and research and development plans and our revised timing expectations related to the progress of our programs, and buildout of manufacturing and research facilities, and expansion of our corporate headquarters, we expect that our cash and cash equivalents as of September 30, 2020 will enable us to fund our operating expenses and capital expenditure requirements into the second quarter of 2021.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72" w:lineRule="exact"/>
        <w:rPr>
          <w:sz w:val="20"/>
          <w:szCs w:val="20"/>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initiate or continue clinical trials of our product candidates;</w:t>
      </w:r>
    </w:p>
    <w:p>
      <w:pPr>
        <w:spacing w:after="0" w:line="23"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 and seek to discover additional product candidates;seek regulatory approvals for our product candidates if they successfully complete clinical trials;</w:t>
      </w:r>
    </w:p>
    <w:p>
      <w:pPr>
        <w:ind w:left="680" w:hanging="321"/>
        <w:spacing w:after="0" w:line="25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scale-up manufacturing capabilities to commercialize any product candidates that may receive regulatory approval;</w:t>
      </w: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 strategic transactions we may undertake; and</w:t>
      </w:r>
    </w:p>
    <w:p>
      <w:pPr>
        <w:spacing w:after="0" w:line="9" w:lineRule="exact"/>
        <w:rPr>
          <w:rFonts w:ascii="Arial" w:cs="Arial" w:eastAsia="Arial" w:hAnsi="Arial"/>
          <w:sz w:val="18"/>
          <w:szCs w:val="18"/>
          <w:color w:val="auto"/>
        </w:rPr>
      </w:pPr>
    </w:p>
    <w:p>
      <w:pPr>
        <w:ind w:left="680" w:right="20" w:hanging="321"/>
        <w:spacing w:after="0" w:line="290"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2020, we have entered into agreements to buildout a manufacturing facility, to lease a research lab and to expand our corporate headquarters in Houston, Texas.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our current assessment, we do not expect any material impact on our long-term liquidity due to the COVID-19 pandemic. However, we will continue to assess the effect of the pandemic on our operations. The extent to which the COVID-19 pandemic will impact our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Aspire Common Stock Purchase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2020, we entered into a common stock purchase agreement, or the Purchase Agreement, with Aspire Capital Fund, LLC, or Aspire Capital, which provides that, upon the terms and subject to the conditions and limitations set forth therein, Aspire Capital is committed to purchase up to an aggregate of $30.0 million of shares of our common stock over the 30-month term of the Purchase Agreement. As of September 30, 2020, Aspire Capital had purchased 1,407,470 shares under the Purchase Agreement, providing aggregate proceeds to the Company of approximately $2.2 million.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consideration for entering into the Purchase Agreement, concurrently with the execution of the Purchase Agreement, we issued to Aspire Capital 345,357 shares of our common stock, or the Commitment Shares. Under the Purchase Agreement, on any trading day selected by the Company, the Company has the right, in its sole discretion, to present Aspire Capital with a Purchase Notice directing Aspire Capital (as principal) to purchase up to 100,000 shares of our common stock per business day, up to $30.0 million of our common stock in the aggregate at a Purchase Price equal to the lesser of:</w:t>
      </w:r>
    </w:p>
    <w:p>
      <w:pPr>
        <w:spacing w:after="0" w:line="188" w:lineRule="exact"/>
        <w:rPr>
          <w:sz w:val="20"/>
          <w:szCs w:val="20"/>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lowest sale price of our common stock on the purchase date; or</w:t>
      </w:r>
    </w:p>
    <w:p>
      <w:pPr>
        <w:spacing w:after="0" w:line="23" w:lineRule="exact"/>
        <w:rPr>
          <w:rFonts w:ascii="Arial" w:cs="Arial" w:eastAsia="Arial" w:hAnsi="Arial"/>
          <w:sz w:val="18"/>
          <w:szCs w:val="18"/>
          <w:color w:val="auto"/>
        </w:rPr>
      </w:pPr>
    </w:p>
    <w:p>
      <w:pPr>
        <w:ind w:left="680" w:right="20" w:hanging="321"/>
        <w:spacing w:after="0" w:line="26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arithmetic average of the three lowest closing sale prices for our common stock during the ten consecutive trading days ending on the trading day immediately preceding the purchase date.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and Aspire Capital also may mutually agree to increase the number of shares that may be sold to as much as an additional 2,000,000 shares per business day.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on any date on which we submit a Purchase Notice to Aspire Capital in an amount equal to at least 100,000 shares, we also have the right, in our sole discretion, to present Aspire Capital with a volume-weighted average price purchase notice, or a VWAP Purchase Notice, directing Aspire Capital to purchase an amount of stock equal to up to 30% of the aggregate shares of our common stock traded on its principal market on the next trading day, which we refer to as the VWAP Purchase Date, subject to a maximum number of shares we may determine. The purchase price per share pursuant to such VWAP Purchase Notice is generally 97% of the volume-weighted average price for our common stock traded on its principal market on the VWAP. We may deliver multiple Purchase Notices and VWAP Purchase Notices to Aspire Capital from time to time during the term of the Purchase Agreement, so long as the most recent purchase has been completed.</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Purchase Agreement provides that we and Aspire Capital shall not effect any sales under the Purchase Agreement on any purchase date where the closing sale price of our common stock is less than $0.25. There are no trading volume requirements or restrictions under the Purchase Agreement, and we will control the timing and amount of sales of our common stock to Aspire Capital. Aspire Capital has no right to require any sales by us but is obligated to make purchases from us as directed by us on future funding, rights of first refusal, participation rights, penalties or liquidated damages in the Purchase Agreement. The Purchase Agreement may be terminated by us at any time, at its discretion, without any cost to us. Aspire Capital has agreed that neither it nor any of its agents, representatives and affiliates shall engage in any direct or indirect short-selling or hedging of our common stock during any time prior to the termination of the Purchase Agreement. We expect to use any proceeds under the Purchase Agreement for working capital and general corporate purposes.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Purchase Agreement provides that the number of shares that may be sold pursuant to the Purchase Agreement will be limited to 9,232,814 shares, including the Commitment Shares, or the Exchange Cap, which represents 19.99% of our outstanding shares of common stock as of the date of the Purchase Agreement, unless stockholder approval is obtained to issue more than 19.99%. This limitation will not apply if, at any time the Exchange Cap is reached and at all times thereafter, the average price paid for all shares issued under the Purchase Agreement is equal to or greater than $2.41, which was the closing price of our shares on The Nasdaq Global Market immediately preceding the execution of the Purchase Agreement. We are not required or permitted to issue any shares of common stock under the Purchase Agreement if such issuance would breach our obligations under the rules or regulations of The Nasdaq Global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below excludes any potential future funding provided by the Purchase Agreement with Aspire Capital.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factors discussed above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are material to investors.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6283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Financial Officer, as appropriate, to allow timely decisions regarding required disclosure. Based on such evaluation, our Chief Executive Officer and our Chief Financial Officer have concluded that, as of the end of the period covered by this report, our disclosure controls and procedures are effective in recording, processing, summarizing and reporting, on a timely basis, information required to be disclosed by us in the reports that we file or submit under the Exchange Act.</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nine months ended September 30, 2020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we were not a party to any legal proceedings that, in the opinion of management, are likely to have a material adverse effect on our business.</w:t>
      </w:r>
    </w:p>
    <w:p>
      <w:pPr>
        <w:spacing w:after="0" w:line="166"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6283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following information sets forth risk factors that could cause our actual results to differ materially from those contained in forward-looking statements we have made in this Quarterly Report on Form 10-Q and those we may make from time to time. You should carefully consider the risks described below, in addition to the other information contained in this Quarterly Report on Form 10-Q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numerous risks that you should be aware of before making an investment decision. These risks are described more fully in this “Risk Factors” section and include, among others:</w:t>
      </w:r>
    </w:p>
    <w:p>
      <w:pPr>
        <w:spacing w:after="0" w:line="170" w:lineRule="exact"/>
        <w:rPr>
          <w:sz w:val="20"/>
          <w:szCs w:val="20"/>
          <w:color w:val="auto"/>
        </w:rPr>
      </w:pPr>
    </w:p>
    <w:p>
      <w:pPr>
        <w:ind w:left="680" w:right="2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 development stage company with a history of operating losses, and we expect losses to continue for the indefinite future. These factors raise substantial doubt regarding our ability to continue as a going concern.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business and operations are likely to be adversely affected by the evolving and ongoing COVID-19 global pandemic.</w:t>
      </w:r>
    </w:p>
    <w:p>
      <w:pPr>
        <w:spacing w:after="0" w:line="236" w:lineRule="exact"/>
        <w:rPr>
          <w:rFonts w:ascii="Arial" w:cs="Arial" w:eastAsia="Arial" w:hAnsi="Arial"/>
          <w:sz w:val="17"/>
          <w:szCs w:val="17"/>
          <w:color w:val="auto"/>
        </w:rPr>
      </w:pPr>
    </w:p>
    <w:p>
      <w:pPr>
        <w:jc w:val="both"/>
        <w:ind w:left="680" w:hanging="321"/>
        <w:spacing w:after="0" w:line="263"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183"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regulatory approval process is lengthy and time-consuming, and we may experience significant delays in the clinical development and regulatory approval of our product candidates.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earlier preclinical and clinical trials may not be predictive of future clinical trial results.</w:t>
      </w:r>
    </w:p>
    <w:p>
      <w:pPr>
        <w:spacing w:after="0" w:line="225"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86" w:lineRule="exact"/>
        <w:rPr>
          <w:rFonts w:ascii="Arial" w:cs="Arial" w:eastAsia="Arial" w:hAnsi="Arial"/>
          <w:sz w:val="18"/>
          <w:szCs w:val="18"/>
          <w:color w:val="auto"/>
        </w:rPr>
      </w:pPr>
    </w:p>
    <w:p>
      <w:pPr>
        <w:jc w:val="both"/>
        <w:ind w:left="680" w:hanging="321"/>
        <w:spacing w:after="0" w:line="286"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be successful in establishing our own manufacturing infrastructure for supply of our requirements of product candidates for use in clinical trials and for commercial sale. Until our new manufacturing facility is operational, we will be dependent on third-party vendors to design, build, maintain and support our manufacturing and cell processing facilities.</w:t>
      </w:r>
    </w:p>
    <w:p>
      <w:pPr>
        <w:spacing w:after="0" w:line="165" w:lineRule="exact"/>
        <w:rPr>
          <w:rFonts w:ascii="Arial" w:cs="Arial" w:eastAsia="Arial" w:hAnsi="Arial"/>
          <w:sz w:val="17"/>
          <w:szCs w:val="17"/>
          <w:color w:val="auto"/>
        </w:rPr>
      </w:pPr>
    </w:p>
    <w:p>
      <w:pPr>
        <w:ind w:left="680" w:right="2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strategic relationship with BCM is dependent, in part, upon our ongoing relationship with key medical and scientific personnel and advisors.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commercial success depends upon attaining significant market acceptance of our product candidates, if approved, among physicians, patients, healthcare payors and the medical community.</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protect our proprietary rights, we may not be able to compete effectively or operate profitably.</w:t>
      </w:r>
    </w:p>
    <w:p>
      <w:pPr>
        <w:spacing w:after="0" w:line="225" w:lineRule="exact"/>
        <w:rPr>
          <w:rFonts w:ascii="Arial" w:cs="Arial" w:eastAsia="Arial" w:hAnsi="Arial"/>
          <w:sz w:val="18"/>
          <w:szCs w:val="18"/>
          <w:color w:val="auto"/>
        </w:rPr>
      </w:pPr>
    </w:p>
    <w:p>
      <w:pPr>
        <w:jc w:val="both"/>
        <w:ind w:left="680" w:hanging="321"/>
        <w:spacing w:after="0" w:line="301"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57" w:lineRule="exact"/>
        <w:rPr>
          <w:rFonts w:ascii="Arial" w:cs="Arial" w:eastAsia="Arial" w:hAnsi="Arial"/>
          <w:sz w:val="16"/>
          <w:szCs w:val="16"/>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of our stock may be volatile.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development stage company with a history of operating losses, and we expect losses to continue for the indefinite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These factors raise substantial doubt regarding our ability to continue as a going concern.</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and our deficit will continue to grow, as we continue conducting our clinical development program.</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We have no sources of significant revenue to provide incoming cash flows to sustain our future operations. Our ability to pursue our planned business activities depends upon our successful efforts to raise additional financing, which may be adversely impacted by potential worsening global economic conditions and the recent disruptions to and volatility in the credit and financial markets in the United States and worldwide resulting from the ongoing COVID-19 pandemic.</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sustained losses from operations in each fiscal year since our inception, and we expect losses to continue for the indefinite future due to the substantial investment in research and development. As of September 30, 2020, we had an accumulated deficit of $347.7 million since inception. We expect that our cash and cash equivalents as of September 30, 2020 will enable us to fund our operating expenses and capital expenditure requirements into the second quarter of 2021.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and other factors raise substantial doubt regarding our ability to continue as a going concern, which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are likely to be adversely affected by the evolving and ongoing COVID-19 global pandemic.</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and operations are likely to be adversely affected by the effects of the recent and evolving COVID-19 virus, which was declared by the World Health Organization as a global pandemic. The COVID-19 pandemic has resulted in travel and other restrictions in order to reduce the spread of the disease, including state and local orders across the United States that, among other things, direct individuals to shelter at their places of residence, direct businesses and governmental agencies to cease non-essential operations at physical locations, prohibit certain non-essential gatherings and events and order cessation of non-essential travel. In response to public health directives and orders, we have implemented work-from-home policies for all employees, including at our headquarters in Houston, Texas, which is currently subject to an order that requires all non-essential businesses to cease in-person operations.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Remote work policies, quarantines, shelter-in-place and similar government orders, shutdowns or other restrictions on the conduct of business operations related to the COVID-19 pandemic may negatively impact productivity and, to date, have disrupted our ongoing research and development activities and delayed certain of our clinical programs and timelines, the magnitude of which will depend, in part, on the length and severity of the restrictions and other limitations on our ability to conduct our business in the ordinary course. In addition, although our employees are accustomed to working remotely, changes in internal controls due to remote work arrangements may result in control deficiencies in the preparation of our financial reports, which could be material.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Such orders may also impact personnel at third-party manufacturing facilities in the United States and other countries, or the availability or cost of materials, which would disrupt our supply chain and could affect our ability to conduct ongoing and planned clinical trials and preparatory activities.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expect that we will continue to be delayed in initiating our Phase 2 trial of MT-401 (zelenoleucel) for post-transplant AML per previously communicated timelines. Although we have begun enrolling patients in the safety lead-in portion of the trial, we previously experienced temporary delays in enrollment due to the COVID-19 pandemic. Further, we continue to be delayed in receiving the and the final data and certificate of analysis required by the U.S. Food and Drug Administration, or the FDA, to satisfy the requirements for lifting the partial hold, although the vendor has supplied the new reagent for MT-401. Our ongoing clinical trials may be also affected by the COVID-19 pandemic. Patient enrollment and clinical site initiation may be delayed due to prioritization of hospital resources toward the COVID-19 pandemic. Some patients may not be able to comply with clinical trial protocols if quarantines impede patient movement or interrupt healthcare services. Similarly, we may be unable to recruit and retain patients and principal investigators and site staff who, as healthcare providers, may have heightened exposure to COVID-19, which would adversely impact clinical trial operations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global pandemic of COVID-19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Form 10-Q,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However, these impacts could adversely affect our business, financial condition, results of operations and growth prospects.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early in our development efforts and all of our product candidates are still in clinical development.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generate revenue from our product candidates, which we do not expect will occur for several years, if ever, will depend heavily on the successful development, regulatory approval and eventual commercialization of our product candidates. The success of our MultiTAA product candidates or any other product candidates that we develop or otherwise may acquire will depend on several factors, including:</w:t>
      </w:r>
    </w:p>
    <w:p>
      <w:pPr>
        <w:spacing w:after="0" w:line="187" w:lineRule="exact"/>
        <w:rPr>
          <w:sz w:val="20"/>
          <w:szCs w:val="20"/>
          <w:color w:val="auto"/>
        </w:rPr>
      </w:pPr>
    </w:p>
    <w:p>
      <w:pPr>
        <w:ind w:left="680" w:right="2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 and clinical trials;</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investigational new drug applications, or INDs, from the FDA or comparable foreign applications that allow commencement of our planned clinical trials or future clinical trials for our product candidates;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including under the FDA’s current Good Clinical Practices, or GCPs, and current Good Laboratory Practices;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development of, or making arrangements with third-party manufacturers for, our commercial manufacturing processes for any of our product candidates that receive regulatory approval;</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commercial sales of products, if approved, whether alone or in collaboration with others;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acceptance of the benefits and use of our products, including method of administration, if approved, by patients, the medical community and third-party payors, for their approved indications;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our product candidates;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perceived advantages, cost, safety and efficacy of alternative therapies for any product candidate, and any indications for such product candidate, that we develop;</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produce any product candidates we develop on a commercial scale;</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patent, trademark and trade secret protection and regulatory exclusivity for our product candidates and otherwise protecting our rights in our intellectual property portfolio;</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 including the FDA’s current Good Manufacturing Practices, or cGMPs, and complying effectively with other procedures;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a continued acceptable safety, tolerability and efficacy profile of the products following approval.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we have limited financial and management resources, we must focus on development programs and product candidates that we identify for specific indications.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immunotherapies that we may develop are not likely to be commercially available for at least five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not previously submitted a biologics license application, or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 and the FDA or non-U.S. regulatory authorities may disagree with the design or implementation of our clinical trials or study endpoints.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may also experience delays in completing planned clinical trials for a variety of reasons, including delays related to:</w:t>
      </w:r>
    </w:p>
    <w:p>
      <w:pPr>
        <w:spacing w:after="0" w:line="225" w:lineRule="exact"/>
        <w:rPr>
          <w:sz w:val="20"/>
          <w:szCs w:val="20"/>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25" w:lineRule="exact"/>
        <w:rPr>
          <w:rFonts w:ascii="Arial" w:cs="Arial" w:eastAsia="Arial" w:hAnsi="Arial"/>
          <w:sz w:val="18"/>
          <w:szCs w:val="18"/>
          <w:color w:val="auto"/>
        </w:rPr>
      </w:pPr>
    </w:p>
    <w:p>
      <w:pPr>
        <w:ind w:left="680" w:hanging="321"/>
        <w:spacing w:after="0" w:line="308" w:lineRule="auto"/>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reaching agreement on acceptable terms with prospective clinical research organizations, or CROs, and clinical trial sites, the terms of which can be subject to extensive negotiation and may vary significantly among different CROs and trial sites;</w:t>
      </w:r>
    </w:p>
    <w:p>
      <w:pPr>
        <w:spacing w:after="0" w:line="146" w:lineRule="exact"/>
        <w:rPr>
          <w:rFonts w:ascii="Arial" w:cs="Arial" w:eastAsia="Arial" w:hAnsi="Arial"/>
          <w:sz w:val="17"/>
          <w:szCs w:val="17"/>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approval by an independent institutional review board, or IRB, at each clinical trial site;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 by subject basis for use in clinical trials.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the performance of our CROs may also be interrupted by the ongoing COVID-19 pandemic, including due to travel or quarantine policies, heightened exposure of CRO staff who are healthcare providers to COVID-19 or prioritization of resources toward the pandemic. We could also encounter delays if physicians face unresolved ethical issues associated with enrolling patients in clinical trials of our product candidates in lieu of prescribing existing treatments that have established safety and efficacy profiles.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a clinical trial may be suspended or terminated by us, the IRB for the institutions in which such trials are being conducted, the Data and Safety Monitoring Board or Committee for such trial, or by the FDA or other regulatory authorities due to a number of factors. Those factors could include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of our product candidates are in 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are based on new technologies and manufactured on a patient-by-patient basis for our MultiTAA-specific T cell product candidates we expect that they will require extensive research and development and have substantial manufacturing costs. In addition, the initial estimates of the clinical cost of development may prove to be inadequate, particularly if clinical trial timing or outcome is different than predicted or regulatory agencies require further testing before approval. For example, we anticipate that the COVID-19 pandemic will delay our planned timelines for our Phase 2 trial of MT-401 for the treatment of post-transplant AML, which may impact our cost estimates for this trial. Because our product candidates are based on new technologies and manufactured on a patient-by-patient basis for our MultiTAA-specific T cell product candidates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may be significantly higher per patient than those of more conventional therapeutic technologies or drug products. In addition, our proposed personalized product candidates involve several complex manufacturing and processing steps, the costs of which will be borne by us. Depending on the number of patients we ultimately enroll in our trials, and the number of trials we may need to conduct, our overall clinical trial costs may be higher than for more conventional treatments. Further, delays and interruptions to ongoing trials related to the COVID-19 pandemic may also increase the duration and costs of such trials.</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nor that we will reach our primary endpoints. Delays in recruitment, lack of clinical benefit or unacceptable side effects would delay our clinical trials.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COVID-19 pandemic is also likely to cause disruptions to our clinical programs. For example, we expect that we will be delayed in initiating our Phase 2 trial of MT-401 for post-transplant AML per previously communicated timelines. The COVID-19 pandemic may also result in difficulties in initiating clinical sites and enrolling patients, the diversion of healthcare resources away from clinical trials and other challenges related to travel or quarantine policies that may impede patient movement or interrupt healthcare services.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or our regulators, may suspend or terminate our clinical trials for a variety of reasons. For example, in the fourth quarter of 2019 the FDA placed a clinical hold on our IND of MT-401 for the treatment of patients with post-transplant AML and requested certain information regarding quality and technical specifications for two reagents supplied by third party vendors that are used in our manufacturing process but not present in the final product infused to patients. In February 2020, the FDA lifted the clinical hold, permitting us to initiate a Phase 2 clinical trial with a safety lead-in portion but placed a partial clinical hold on the trial for the use of MT-401 manufactured using one of the reagents supplied by our alternative supplier. Our alternate supplier has provided the new reagent for MT-401, but continues to be delayed in providing the final data and certificate of analysis required by the FDA to satisfy the requirements for lifting the partial hold, which will delay our ability to initiate the trial per previously communicated timelines. The FDA may not agree that our response addresses all of their concerns and the partial clinical hold may remain in place and further delay the initiation of the trial. In addition, our ability to successfully work with our reagent supplier may be limited or further delayed due to the effects of the COVID-19 pandemic.</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voluntarily suspend or terminate our clinical trials at any time if we believe they present an unacceptable risk to the patients enrolled in our clinical trials or do not demonstrate clinical benefit. For example, in November 2019 we elected to suspend our Phase 2 clinical trial of TPIV200 for the treatment of platinum-sensitive advanced ovarian cancer based on an unblinded review of interim results conducted by an independent Data and Safety Monitoring Board, or DSMB. Although the DSMB did not express any safety concerns with respect to TPIV200, we elected to suspend the trial because it did not meet the threshold for probability of clinical benefit based upon our pre-specified criteria.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 The lengthy approval process, as well as the unpredictability of future clinical trial results, may result in us failing to obtain regulatory approval for our product candidates, which would materially harm our business, results of operations and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earlier preclinical and clinical trials may not be predictive of future clinical trial results.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Failure can occur at any time during the clinical trial process. The results of preclinical testing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a single academic clinical site for a limited number of indications. We will have to conduct larger, well-controlled trials in our proposed indications at multiple sites to verify the results obtained to date and to support any regulatory submissions for further clinical development of our product candidates. Our assumptions related to our product candidates, such as with respect to lack of toxicity and manufacturing cost estimates, are based on early limited clinical trials and current manufacturing processes at Baylor College of Medicine, or BCM, and may prove to be incorrect. Several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any Phase 2, Phase 3, or other clinical trials we may conduct will demonstrate consistent or adequate efficacy and safety with respect to the proposed indication for use sufficient to receive regulatory approval or market our product candidates.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including with respect to challenges related to enrollment, manufacturing and our reliance on third parties to conduct, supervise or monitor some or all aspects of our clinical trials. We may experience numerous unforeseen events during, or as a result of, any future clinical trials that we conduct that could delay or prevent our ability to receive marketing approval or commercialize our product candidates.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example, we expect that we will be delayed in initiating our planned Phase 2 trial of MT-401 for post-transplant AML due to the COVID-19 pandemic. As previously announced, the FDA placed a partial clinical hold for the use of MT-401 manufactured using one of the reagents supplied by our alternative supplier. Our alternate supplier has provided the new reagent for MT-401, but continues to be delayed in providing the final data and certificate of analysis required by the FDA to satisfy the requirements for lifting the partial hold. We cannot guarantee when, or if, we will be successful in these efforts. Further, as a result of the COVID-19 pandemic, we will be delayed in our ability to enroll the first three patients in the safety lead-in portion of the trial required by the FDA. The pandemic may also impact our other clinical programs.</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clinical trials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side effects caused by the product candidate, the administration process or related procedures also can cause adverse side effects. If any such adverse events occur,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In addition, these side effects may not be appropriately recognized or managed by the treating medical staff, as toxicities resulting from personalized cell therapy, as with our MultiTAA-specific T cell therapy products, are not normally encountered in the general patient population and by medical personnel. Any of these occurrences may harm our ability to develop other product candidates, and may harm our business, financial condition and prospects significantly.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 stage testing have later been found to cause side effects that prevented further development of the product candidate.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170" w:lineRule="exact"/>
        <w:rPr>
          <w:sz w:val="20"/>
          <w:szCs w:val="20"/>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 or other requirements subject to a REMS;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achieve or maintain third-party payor coverage and adequate reimbursement;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Generally, a product that has orphan drug designation and subsequently receives the first FDA approval for the disease for which it has such designation is entitled to orphan drug exclusive approval (or exclusivity), which means that the FDA may not approve any other applications to market the same drug or biologic for the same indication for seven years, except in limited circumstances, such as a showing of clinical superiority to the product with orphan drug exclusivity. A designated orphan drug may not receive orphan drug exclusivity if it is approved for a use that is broader than the indication for which it received orphan designation.</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has granted orphan drug designation for MT-401 for the treatment of AML after receiving an allogenic stem cell transplant. We may seek orphan drug designation for other indications or product candidates.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or European Medicines Agency, or the EMA,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may not be successful in establishing our own manufacturing infrastructure for supply of our requirements of product candidates for use in clinical trials and for commercial sale. Until our new manufacturing facility is operational, we will be dependent on third-party vendors to design, build, maintain and support our manufacturing and cell processing facilities.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currently do not operate our own facility that may be used as our clinical-scale manufacturing and processing facility. We currently rely on third-party contract manufacturing organizations, or CMOs, for manufacture of our vaccine product candidates. For 2020, we anticipate that we will initially rely solely on the cGMP manufacturing facility within BCM for the manufacturing of our MultiTAA-specific T cell therapy-based product candidates. BCM has currently restricted access to its facilities due to the COVID-19 pandemic, and we are currently unable to conduct any manufacturing activities for MT-401. If the cGMP manufacturing facility of BCM, which does manufacture for itself and other parties, experiences capacity constraints, other disruptions, or delays in manufacturing our MultiTAA-specific T cell therapy-based product candidates, our planned clinical trials and necessary manufacturing capabilities will be disrupted or delayed, which will adversely affect our ability to conduct and further develop our business as currently planned. Further, the cGMP manufacturing facility is most likely too small to conduct the pivotal clinical studies being planned by us, so we will need to develop our own cGMP manufacturing capacity that will be adequate for such clinical trials with respect to our MultiTAA-specific T cell therapy-based product candidates.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Third-party manufacturers may not be able to meet our needs concerning timing, quantity, or quality.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 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We intend to continue to enter into additional third-party agreements in the future. However, we may not be able to negotiate any additional agreements successfully. Even if established, these relationships may not be scientifically or commercially successful.</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begun to develop our own cGMP manufacturing capacity that would be capable of supporting our manufacturing needs with respect to our clinical trials, particularly with respect to pivotal studies. We expect that the development of our own manufacturing facility will provide us with enhanced control of material supply for both clinical trials and the commercial market, enable the more rapid implementation of process changes, and allow for better long-term margins. We intend to begin a process technology transfer to develop in-house manufacturing capabilities in 2021. In order to transfer our MultiTAA-specific T cell manufacturing from or expand our manufacturing capabilities beyond BCM pursuant to our development plans, we will need access to the standard operating procedures and the specific batch production records that are used to manufacture the product candidates. If BCM does not support the transfer of our manufacturing processes or impedes our ability to transfer the manufacturing processes of its product candidates to us, our planned clinical trials and additional necessary manufacturing capabilities will be delayed, which will adversely affect our ability to conduct and further develop our business as currently planned.</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Establishment of our own manufacturing facility is subject to many risks. We do not have extensive experience in developing a manufacturing facility and may never be successful in developing our own manufacturing facility or capability. For example, the establishment of a cell-therapy manufacturing facility is a complex endeavor requiring knowledgeable individuals. Creating an internal manufacturing infrastructure will rely upon building out a complex facility and finding personnel with an appropriate background and training to staff and operate the facility. Should we be unable to find these individuals, we may need to rely on external contractors or train additional personnel to fill needed roles. There are a small number of individuals with experience in cell therapy, and the competition for these individuals is high.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transportation difficulties and numerous other factors that could prevent us from realizing the intended benefits of our manufacturing strategy and have a material adverse effect on our clinical development and/or commercialization plans.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manufacturing process for any product candidates that we may develop is subject to the FDA and foreign regulatory authority approval process, and we will need to contract with manufacturers who can meet all applicable FDA and foreign regulatory authority requirements on an ongoing basis. If we or our CMOs are unable to reliably produce products to specifications acceptable to the FDA, or other regulatory authorities, we may not obtain or maintain the approvals we need to commercialize any approved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clinical development and/or commercialization plans.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manufacturing process is reliant upon the specialized equipment, and other specialty materials, which may not be available to us on acceptable terms or at all. For some of this equipment and materials, we rely or may rely on sole-source vendors or a limited number of vendors, which could impair our ability to manufacture and supply our product candidates.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depend on a limited number of vendors for supply of certain materials and equipment used in the manufacture of our MultiTAA-specific T cell therapy-based product candidates. For example, we will purchase equipment and reagents critical for the manufacture of our product candidates from Wilson Wolf (a company controlled by our director John Wilson), JPT Peptide Technologies and other suppliers. Some of our suppliers may not have the capacity to support commercial products manufactured under cGMP by biopharmaceutical firms or may otherwise be ill-equipped to support our needs. We also may not have supply contracts with many of these suppliers and may not be able to obtain supply contracts with them on acceptable terms or at all.</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Accordingly, we may not be able to obtain key materials and equipment to support clinical or commercial manufacturing. Further, the FDA may determine that our manufacturing process, or the materials required for the manufacture of our product candidates, are not acceptable, which would require us to find alternative suppliers or processes, which may not be available on favorable terms, if at all. For example, the FDA has requested additional data from us regarding the new reagent we intend to use to manufacture MT-401 before we can proceed with the remainder of our planned Phase 2 trial of MT-401 for the treatment of post-transplant AML.</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some of this equipment and materials, we may rely, and may now and/or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operating results or our ability to conduct clinical trials, either of which could significantly harm our business. As we continue to develop and scale our manufacturing process, we may need to obtain rights to and supplies of specific materials and equipment to be used as part of that process. For example, our MultiTAA-specific T cell manufacturing process is based, in part, upon the G-Rex® cell culture device manufactured by Wilson Wolf, which is used by many cell therapy developers, both in commercial and academic settings. Although we do hold the license to patents from BCM that could be used to prevent third parties from developing similar and competing processes, we do not own any exclusive rights to the G-Rex®. We may not be able to obtain rights to such materials and equipment on commercially reasonable terms, or at all, and if we are unable to alter our process in a commercially viable manner to avoid the use of such materials or find a suitable substitute, it would have a material adverse effect on our business.</w:t>
      </w:r>
    </w:p>
    <w:p>
      <w:pPr>
        <w:spacing w:after="0" w:line="18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The manufacture of our product candidates is complex, and we may encounter difficulties in production, particularly with respect to process development or scaling up of our manufacturing capabilities. If we, or any of our third-party manufacturers encounter such difficulties, our ability to supply our product candidates for clinical trials, or our product candidates for patients, if approved, could be delayed or stopped, or we may be unable to maintain a commercially viable cost structure.</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product candidates are biologics, and the process of manufacturing our product candidates is complex, highly regulated and subject to multiple risks. For example, the manufacture of our MultiTAA-specific T cell therapy-based product candidates involves complex processes, including drawing blood from patients/donors, manufacturing the clinical product, and ultimately infusing the product into a patient. As a result of the complexities, the cost to manufacture biologics is generally higher than traditional small molecule chemical</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compounds, and the manufacturing process is less reliable and is more difficult to reproduce. Our manufacturing processes will be susceptible to product loss or failure due to any of the following: logistical issues associated with the collection of blood cells, or starting material, from the patient or a donor, shipping such material to the manufacturing site, shipping the final product back to the patient, and infusing the patient with the product; manufacturing issues associated with the variability in patients’ or donor’s starting cells;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or a donor’s cells, or later-developed product at any point in the process, the manufacturing process for that patient will need to be restarted and the resulting delay may adversely affect that patient’s outcome and/or the results of clinical trials.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our MultiTAA-specific T cell therapy-based product candidates are manufactured for each particular patient, we will be required to maintain a chain of identity with respect to the patient’s/donor’s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 candidates from the market. Further, as product candidates are developed through preclinical to late 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Currently, our product candidates are manufactured using processes developed by BCM, our third-party research institution collaborator. Although we are working to develop our own commercially viable processes,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No assurance can be given that we will be able to develop a new, FDA-compliant, more efficient, lower cost manufacturing process upon which our business plan to commercialize MultiTAA-based product candidates is dependent.</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cooperation with our current contract manufacturers, we intend to develop improved methods for generating and selecting T cells, and to develop methods for large-scale production of our current product candidates that are in accordance with current cGMP procedures. Developing a new, scaled-up, pharmaceutical manufacturing process that can more efficiently and cost effectively, and in a more automated manner produce, measure and control the physical and/or chemical attributes of our product candidates in a cGMP facility is subject to many uncertainties and difficulties. We have never manufactured our adoptive T cell therapy product candidate on a commercial scale. As a result, we cannot give any assurance that we will be able to establish a manufacturing process that can produce our product candidates at a cost or in quantities necessary to make them commercially viable. Moreover, we and our third- party manufacturers will have to continually adhere to current cGMP regulations enforced by the FDA through its facilities inspection program. If these facilities cannot pass a pre-approval plant inspection, the FDA premarket approval of our product candidates will not be granted. In complying with cGMP and foreign regulatory requirements, we and any of our third-party manufacturers will be obligated to expend time, money and effort in production, record-keeping and quality control to assure that our product candidates meet applicable specifications and other requirements. If we or any of our third-party manufacturers fail to comply with these requirements, we may be subject to regulatory action. No assurance can be given that we will be able to develop such manufacturing process, or that our partners will thereafter be able to establish and operate such a production facility.</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may have difficulty demonstrating that the product candidates produced from our new processes are identical to the existing products. The FDA may require additional clinical testing before permitting a larger clinical trial with the new processes, and such drug substance may not be as efficacious in the new clinical trials. Cellular products are not considered to be well characterized products because there are hundreds of markers present on T cells, and even small changes in manufacturing processes could alter the cell subtypes. It is unclear at this time which of those markers are critical for success of T cells to combat cancer, so our ability to predict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outcomes with newer manufacturing processes is limited. The changes that we may make to the existing manufacturing process may require additional testing, which may increase costs and timelines associated with these developments. In addition to developing a multi-antigen T cell-based therapy on existing adoptive T cell therapy technology, we are currently evaluating the desirability of conducting clinical trials of our product candidates in combination with other existing drugs. These combination therapies will require additional testing, and clinical trials will require additional FDA regulatory approval and will increase our future cost of development.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 Including BCM</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strategic relationship with BCM is dependent, in part, upon our ongoing relationship with key medical and scientific personnel and advisors.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MultiTAA-specific T cell therapy has been developed through our collaboration with the Center for Cell and Gene Therapy at BCM, founded by Malcolm K. Brenner, M.D., Ph.D., a recognized pioneer in immuno-oncology. Our strategic relationship with BCM is dependent, in part, on our relationship with certain key employees and advisors, some of whom serve on our Scientific Advisory board, and in particular Dr. Vera, our founder and Chief Development Officer. If Dr. Vera discontinues his employment with us, our relationship with BCM may deteriorate, and our business could be harmed. We may also be dependent on BCM facilities and personnel to conduct research and development and manufacturing activities in the future.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have an exclusive license agreement with BCM under which we received a worldwide, exclusive license to BCM’s rights in and to three patent families to develop and commercialize the MultiTAA-specific T cell product candidates, we will need to enter into additional agreements with BCM with respect to (i) a strategic alliance to advance preclinical research, early stage clinical trials, and Phase 2 clinical trials with respect to our product candidates, as well as continued access to our clinical data, and (ii) product manufacturing and support, including personnel and space at the institution for the foreseeable future. Any delays in entering into new strategic agreements with BCM related to our product candidates could delay the development, manufacture, and clinical trials of our product candidates.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important element of our intellectual property portfolio is to license additional rights and technologies from BCM. Our inability to license the rights and technologies that we have identified, or newly developed MultiTAA-specific T cell technology that we may in the future identify, could have a material adverse impact on our ability to complete the development of our product candidates or to develop additional product candidates. No assurance can be given that we will be successful in licensing any additional rights or technologies from BCM and others. Failure to obtain additional rights and licenses may detrimentally affect our planned development of additional product candidates and could increase the cost, and extend the timelines associated with our development of such other product candidates.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establish or maintain the third-party relationships, including strategic collaborations, that are necessary to develop, commercialize and/or market some or all of our product candidates.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it has generated, and the perceived risks specific to developing our product candidates. If we are unable to obtain or maintain these agreements, we may not be able to clinically develop, formulate, manufacture, obtain regulatory approvals for or commercialize our product candidates. Management of any third-party relationships will require significant time and effort from our management team, coordination of our research and development programs with the research and development priorities of our collaborators and effective allocation of our resources to multiple projects.</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their research and development programs or the commercialization, marketing or distribution of their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technologies in preference to those being developed in collaboration with us. Finally, if we fail to make required milestones or royalty payments to our collaborators or to observe other obligations in our agreements with them, our collaborators may have the right to terminate those agreements.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product candidates, and we may rely even more on strategic collaborations for research, development, marketing and commercialization of our other immunotherapies. If we are unsuccessful in securing such strategic collaborations, we may be unable to commercialize any approved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 promotion or other collaborative arrangements, our product revenues are likely to be lower than if we directly marketed and sold any products that we may develop.</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3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Efforts to ensure that our business arrangements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in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develop our business. In addition, the approval and commercialization of any of our product candidates outside the United States will also likely subject us to foreign equivalents of the healthcare laws mentioned above, among other foreign laws.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84" w:lineRule="exact"/>
        <w:rPr>
          <w:sz w:val="20"/>
          <w:szCs w:val="20"/>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efficacy and safety of our product candidates as demonstrated in clinical trials and post-marketing experience;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indications for which our product candidates may be approved;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physicians and patients of our product candidates as safe and effective;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and perceived advantages of our product candidates over alternative treatments;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of our product candidates seen in a broader patient group, including our use outside the approved indications should physicians choose to prescribe for such uses;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of market introduction of our product candidates as well as competitive products;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pricing and the availability of coverage and adequate reimbursement by third-party payors and government authorities;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 marketing studies related to the cost effectiveness of a product, to qualify for reimbursement, which could be costly and divert our resources. If government and other health care payors were not to provide adequate coverage and reimbursement levels for any of our products if approved, market acceptance and commercial success would be reduced.</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MultiTAA-specific T cell therapy may be provided to patients in combination with other agents provided by third parties. The cost of such combination therapy may increase the overall cost of MultiTAA-specific T cell therapy and may result in issues regarding the allocation of reimbursements between our therapy and the other agents, all of which may adversely affect our ability to obtain reimbursement coverage for the combination therapy from third-party medical insurers.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future success is highly dependent upon our key personnel, and our ability to attract, retain, and motivate additional qualified personnel. We will also be required to establish sales and marketing capabilities or enter into agreements with third parties to market and sell any approved products.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and consultants, including Peter Hoang, our President and Chief Executive Officer, Juan Vera, M.D., our Chief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Development and Scientific Officer, and Mythili Koneru, M.D., Ph.D. our Chief Medical Officer as well as others. The loss of the services of any of our executive officers, other key employees, and other scientific and medical advisors, and our inability to find suitable replacements could result in delays in product development and harm to our business. We have a priority to quickly train additional qualified scientific and medical personnel to ensure the ability to maintain business continuity. Any delays in training such personnel could delay the development, manufacture, and clinical trials of our product candidates.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us.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development of our product candidates, and unable to adequately address our management needs.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currently have an organization for the sale, marketing and distribution of any approved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Potential competitors in the market for treating hematological malignancies are companies such as Juno Therapeutics/Celgene/Bristol-Myers Squibb, Roche/Genentech, Merck, Novartis, Kite Pharma/Gilead, Amgen, Pfizer, and GlaxoSmithKline, which already have products on the market or in development. Other companies, such as Cellectis, Bluebird Bio, and AdaptImmune, which are focused on genetically engineered T cell technologies to treat cancer, may also be competitors. Furthermore, companies such as Iovance, Immatics, WindMIL Therapeutics, Mana Therapeutics, Tessa Therapeutics and Torque Therapeutics (now Repetoire Immune Medicines) are developing non-genetically modified T cell therapies such as tumor infiltrating lymphocytes and marrow infiltrating lymphocytes therapies that may compete with our product candidates. All these companies, and most of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Universities and public and private research institutions in the U.S. and around the world are also potential competitors. While these universities and public and private research institutions primarily have educational objectives, they may develop proprietary technologies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lead to other FDA approved therapies or that secure patent protection that we may need for the development of our technologies and product candidates.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lead product candidate is a therapy for the treatment of refractory AML. Currently, there are numerous companies that are developing various alternate treatments for AML. Accordingly, we face significant competition in the AML treatment space from multiple companies. Even if we obtain regulatory approval for our lead product candidate, the availability and price of competitors’ products could limit the demand and the price we will be able to charge for our therapy. We may not be able to implement our business plan if the acceptance of our product candidates is inhibited by price competition or the reluctance of physicians to switch from other methods of treatment to our product, or if physicians switch to other new therapies, drugs or biologic products or choose to reserve our product candidates for use in limited circumstances.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competition comes from both biotechnology firms and from major pharmaceutical companies. Many of these companies have substantially greater financial, marketing, and human resources than us. We also experience competition in the development of our immunotherapies from universities, other research institutions and others in acquiring technology from such universities and institutions.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FDA often approves new oncology therapies initially only for use in patients with relapsed or refractory metastatic disease. We expect to initially seek approval of our product candidates in this setting. Subsequently, for those product candidates that prove to be sufficiently beneficial, if any, we would expect to seek approval in earlier lines of treatment and potentially as a first line therapy.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guarantee, however, that our product candidates, even if approved, would be approved for earlier lines of therapy, and, prior to any such approvals, we may have to conduct additional clinical trials.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in a position to receive second or third-line therapy, and who have the potential to benefit from treatment with our product candidates, are based on our research and estimates. These estimates have been derived from a variety of sources, including scientific literature, surveys of clinics, patient foundations, or market research by third parties, and may prove to be incorrect.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Further, new studies may change the estimated incidence or prevalence of these cancers. The number of treatable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to initially target a small patient population that suffers from AML. Even if we obtain significant market share for our product candidates, because the potential target populations are small, we may never achieve profitability without obtaining regulatory approval for additional indications, and we may spend large amounts of money trying to obtain approval for product candidates that have an uncertain commercial market.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regulatory pathways for biosimilar competition could reduce the duration of market exclusivity for our products.</w:t>
      </w:r>
    </w:p>
    <w:p>
      <w:pPr>
        <w:spacing w:after="0" w:line="2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federal ACA enacted in 2010, there is an abbreviated path in the United States for regulatory approval of products that are demonstrated to be “biosimilar” or “interchangeable” with an FDA-approved biological product. The 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approved by the FDA. However, the term of regulatory exclusivity may not remain at 12 years in the United States and could be shortened. A number of jurisdictions outside of the United States have also established abbreviated pathways for regulatory approval of biological products that are biosimilar to earlier versions of biological products. For example, the European Union has had an established regulatory pathway for biosimilars since 2005.</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increased likelihood of biosimilar competition has increased the risk of loss of innovators’ market exclusivity. Due to this risk, and uncertainties regarding patent protection, if one of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8" w:lineRule="exact"/>
        <w:rPr>
          <w:sz w:val="20"/>
          <w:szCs w:val="20"/>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inability to obtain sufficient product liability insurance at an acceptable cost to protect against potential product liability claims could inhibit or prevent the commercialization of products we develop, alone or with collaborators. Our insurance policies may also have various exclusions, and we may be subject to a product liability claim for which we have no insurance coverage. While we obtained clinical trial insurance for our Phase II clinical trials, we may have to pay amounts awarded by a court or negotiated in a settlement that exceed our coverage limitations or that are not covered by our insurance, and we may not have, or be able to obtain, sufficient capital to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 such amounts. Even if our agreements with any future collaborators entitle us to indemnification against losses, such indemnification may not be available or adequate should any claim arise.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multiple roles of certain of Dr. Vera, our Chief Development and Scientific Officer, and John Wilson, our director, could limit their time and availability to us, and create, or appear to create, conflicts of interest.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 Vera is a co-founder and member of Allovir Inc., or Allovir. Allovir has technology which is being developed under a license agreement with BCM by the same research group at BCM. Allovir is a clinical-stage biopharmaceutical company that is investigating and developing virus-specific T cell therapy technology for the prevention and/or treatment of viral infections. Accordingly, Dr. Vera may have other commitments that would, at times, limit his availability to us. Other research being conducted by Dr. Vera may, at times, receive higher priority than research on our programs, which may, in turn, delay the development or commercialization of our product candidates.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John Wilson is a co-founder, member and director of Allovir and is a director of our company. Both of these individuals have certain fiduciary or other obligations to us and certain fiduciary or other obligations to Allovir and, in the case of Dr. Vera to BCM. Such multiple obligations may in the future result in a conflict of interest with respect to presenting other potential business opportunities to us or to Allovir. A conflict of interest also may arise concerning the timing and scope of the parties’ planned and ongoing clinical trials, investigational new drug application filings and the parties’ opportunities for marketing their respective product candidates, as well as our intellectual property rights with those of Allovir. In addition, they may be faced with decisions that could have different implications for us than for Allovir. Consequently, there is no assurance that these members of our board and management will always act in our best interests in all situations should a conflict arise.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cybersecurity/information systems risk.</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Cybersecurity incidents have increased in number and severity recently and it is expected that these trends will continue. Despite the implementation of security measures, our internal computer systems, and those of our manufacturers and other third parties on which we rely, are vulnerable to damage from computer viruses, unauthorized access, natural disasters, fire, terrorism, successful breaches, employee malfeasance, or human or technological error, war and telecommunication and electrical failures. In addition, our systems safeguard important confidential personal data regarding our subjects.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 Should we be affected by such an incident, we may incur substantial costs and suffer other negative consequences, which may include investigation costs and costs to engage specialized consultants; remediation costs, such as liability for stolen assets or information, repairs of system damage, and incentives to customers or business partners in an effort to maintain relationships after an attack; and litigation and legal risks, including regulatory actions by state and federal regulators. We have cybersecurity insurance for a breach event covering expenses for notification, credit monitoring, investigation, crisis management, public relations and legal advice. We also maintain property and casualty insurance that may cover restoration of data, certain physical damage or third-party injuries caused by potential cybersecurity incidents. However, damage and claims arising from such incidents may not be covered or may exceed the amount of any insurance available.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commercial success is dependent in part on our ability to obtain, maintain, and enforce the patents and other proprietary rights that we have licensed and may develop, and on our ability to avoid infringing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are directed to the technology. There can be no assurance that our patent applications or those of our licensor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seek to protect our proprietary technology and processes, in part, by entering into confidentiality agreements with relevant employees, consultants, scientific advisors, and contractors. We also seek to preserve the integrity and confidentiality of our data and trade secrets by maintaining physical security of the premises and physical and electronic security of the information technology systems. While we have confidence in these individuals, organizations, and systems, agreements or security measures may be breached, and we may not have adequate remedies for any breach. In addition, trade secrets may otherwise become known or be independently discovered by competitors. To the extent that the consultants, contractors or collaborators use intellectual property owned by others in their work for us, disputes may arise as to the rights in related or resulting know-how and inventions.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we have patents and patent applications in other countries, we cannot be certain that the claims in other pending U.S. or European patent applications, international patent applications, and patent applications in certain other foreign territories directed to methods of generating multi-antigen specific T cell product candidates, or our other product candidates, will be considered patentable by the USPTO, courts in the United States or by the patent offices and courts in foreign countries, nor can we be certain that the claims in our issued European patent will not be found invalid or unenforceable if challenged.</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of our intellectual property rights are currently licensed from BCM and the Mayo Foundation, so that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165" w:lineRule="exact"/>
        <w:rPr>
          <w:sz w:val="20"/>
          <w:szCs w:val="20"/>
          <w:color w:val="auto"/>
        </w:rPr>
      </w:pPr>
    </w:p>
    <w:p>
      <w:pPr>
        <w:jc w:val="both"/>
        <w:ind w:left="680" w:hanging="321"/>
        <w:spacing w:after="0" w:line="311"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48" w:lineRule="exact"/>
        <w:rPr>
          <w:rFonts w:ascii="Arial" w:cs="Arial" w:eastAsia="Arial" w:hAnsi="Arial"/>
          <w:sz w:val="16"/>
          <w:szCs w:val="16"/>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otherwise may not provide any competitive advantage;</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us, and many of whom have made significant investments in competing technologies, may seek or may have already obtained patents that will limit, interfere with or eliminate our ability to make, use and sell our potential product candidates;</w:t>
      </w:r>
    </w:p>
    <w:p>
      <w:pPr>
        <w:spacing w:after="0" w:line="183"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3" w:lineRule="exact"/>
        <w:rPr>
          <w:rFonts w:ascii="Arial" w:cs="Arial" w:eastAsia="Arial" w:hAnsi="Arial"/>
          <w:sz w:val="18"/>
          <w:szCs w:val="18"/>
          <w:color w:val="auto"/>
        </w:rPr>
      </w:pPr>
    </w:p>
    <w:p>
      <w:pPr>
        <w:ind w:left="680" w:hanging="321"/>
        <w:spacing w:after="0" w:line="308" w:lineRule="auto"/>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prosecution of patent applications, or to maintain the patents, directed to technology that we license from third parties. We may also require the cooperation of one of our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identification of third-party patent rights that may be relevant to our technology is difficult because patent searching is imperfect due to differences in terminology among patents, incomplete databases and the difficulty in assessing the meaning of patent claims. The issuance of a patent is not conclusive as to its inventorship, scope, validity or enforceability and it is uncertain how much protection, if any, will be given to the patents we have licensed from a licensor if either the licensor or we attempt to enforce the patents and/or if they are challenged in court or in other proceedings, such as oppositions, which may be brought in foreign jurisdictions to challenge the validity of a patent. A third party may challenge our patents, if issued, or the patent rights that we license from others in the courts or patent offices in the United States and abroad. It is possible that a competitor may successfully challenge our patents or that a challenge will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them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 that its activities are not covered by, that is, do not infringe, our patents.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 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on any terms.</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we, our licensing partners, or any potential future collaborator initiates legal proceedings against a third party to enforce a patent directed to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non-obviousness or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are no longer directed to our product candidates. The outcome following legal assertions of invalidity and unenforceability is unpredictable, and prior art could render our patents or those of our licensors invalid or could prevent a patent from issuing from one or more of our pending patent applications. There is no assurance that all potentially relevant prior art relating to our patents and patent applications has been found.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If a defendant were to prevail on a legal assertion of invalidity and/or unenforceability, we would lose at least part, and perhaps all, of the patent protection on our product candidates. In addition, if the breadth or strength of protection provided by our</w:t>
      </w:r>
    </w:p>
    <w:p>
      <w:pPr>
        <w:sectPr>
          <w:pgSz w:w="11900" w:h="16838" w:orient="portrait"/>
          <w:cols w:equalWidth="0" w:num="1">
            <w:col w:w="9920"/>
          </w:cols>
          <w:pgMar w:left="980" w:top="517"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patents and patent applications is threatened, it could dissuade companies from collaborating with us to license, develop or commercialize current or future product candidates. Such a loss of patent protection could have a material adverse impact on our business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potential competitors or other entities may have or acquire patent or proprietary rights that they could enforce against our licensors. There is a substantial amount of litigation, both within and outside the United States, involving patent and other intellectual property rights in the biotechnology and pharmaceutical industries, including patent infringement lawsuits, interferences, oppositions, reexaminations, inter partes review proceedings and post-grant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If they do so, then they could limit our ability to make, use, sell, offer for sale or import our product candidates and products that may be approved in the future, or impair our competitive position by requiring us to alter our product candidates, pay licensing fees or cease activities.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later issue as patents that our product candidates may infringe. If our product candidates conflict with patent rights of others, third parties could bring legal actions against us or our collaborators, licensees, suppliers or customers, claiming damages and seeking to enjoin manufacturing and marketing of the affected product candidates. If these legal actions are successful, in addition to any potential liability for damages, we could be required to obtain a license in order to continue to manufacture or market the affected product candidates. We may not prevail in any legal action and a required license under the patent may not be available on acceptable terms or at all.</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 candidates.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Changes in either the patent laws or in the interpretations of patent laws in the United States and other countries may diminish the value of our intellectual property. We cannot predict the breadth of claims that may be allowed or enforced in our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inter-partes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these decisions, we cannot predict how future decisions by the courts, the U.S. Congress or the USPTO may impact the value of our patents.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its inventions in all countries outside the United States, or from selling or importing products made using its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patents or other intellectual property rights may not be effective or sufficient to prevent them from competing.</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is common in the biotechnology and pharmaceutical industries, in addition to our employees, we engage the services of consultants to assist us in the development of our product candidates. We have received confidential and proprietary information from third parties. We employ individuals or engage consultants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any obligations under our existing license agreements or any future license agreements, or disputes arise with respect to those agreements, it could have a negative impact on our business and our intellectual property rights.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party to license agreements with BCM and the Mayo Foundation that impose, and we may enter into additional licensing arrangements with third parties that may impose, diligence, development and commercialization timelines, milestone payment, royalty, insurance and other obligations on us. Our rights to use the licensed intellectual property are subject to the continuation of and our compliance with the terms of these agreements. Disputes may arise regarding our rights to intellectual property licensed to us from a third party, including but not limited to:</w:t>
      </w:r>
    </w:p>
    <w:p>
      <w:pPr>
        <w:spacing w:after="0" w:line="188" w:lineRule="exact"/>
        <w:rPr>
          <w:sz w:val="20"/>
          <w:szCs w:val="20"/>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creation or use of intellectual property by us, alone or with our licensors and collaborators;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and duration of our payment obligations;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rights upon termination of such agreement;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and duration of exclusivity obligations of each party to the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our license agreement with BCM for our MultiTAA-specific T cell therapy technologies, we are currently required to pay both substantial milestone payments and royalties to BCM based on our revenues from sales of any approved products utilizing the licensed technologies, and these payments could adversely affect the overall profitability for us of any products that we may seek to commercialize. In order to maintain our license rights under the BCM license agreement, we will need to meet certain specified milestones, subject to certain cure provisions, in the development of our product candidates. Similarly, we are also required to pay both substantial milestone payments and royalties to the Mayo Foundation based on our revenues from sales of our products utilizing those licensed technologies. There is no assurance that we will be successful in meeting all of the milestones in our licenses in the future on a timely basis or at all.</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upon a liquidity event (as defined in our BCM license agreement with BCM) of the licensee under the BCM license agreement (which, the licensee shall be the Company), BCM will receive a liquidity incentive payment of 0.5% of the liquidity event proceeds (as defined in the BCM license agreement) received by such licensee or its stockholders in the liquidity event, thereby diluting the amount of proceeds available to the licensee or its stockholders in a liquidity event.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our patents and other intellectual property.</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our product candidates for an adequate amount of time.</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sufficient rights to exclude others from commercializing products similar or identical to our product candidates.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our technologies are in-licensed from third parties, and the protection of those technologies is not entirely within our control.</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world-wide exclusive licenses from the Mayo Foundation on (i) a novel set of Class II HER2/neu peptide antigens, (ii) a novel Class I HER2/neu antigen, and (iii) a novel set of Class II Folate Receptor Alpha peptide antigens. We have a world-wide exclusive license from BCM of the rights in and to three patent families to develop and commercialize MultiTAA-specific T cell product candidates in the field of oncology. As a result of these in-licenses, we could lose the right to develop each of the technologies if:</w:t>
      </w:r>
    </w:p>
    <w:p>
      <w:pPr>
        <w:spacing w:after="0" w:line="157" w:lineRule="exact"/>
        <w:rPr>
          <w:sz w:val="20"/>
          <w:szCs w:val="20"/>
          <w:color w:val="auto"/>
        </w:rPr>
      </w:pPr>
    </w:p>
    <w:p>
      <w:pPr>
        <w:ind w:left="680" w:right="2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Mayo Foundation or BCM seeks to terminate our license in contravention of the license agreements;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Foundation or BCM or others for other rights that are necessary to develop the technology that we have already in-licensed.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any of the above occurs, we could lose the right to use the in-licensed intellectual property, which would adversely affect our ability to commercialize our technologies, products or services. The loss of any current or future licenses from Mayo Foundation or BCM, or the exclusivity rights provided by such license agreements, could materially harm our financial condition and operating results.</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upon patents and licensed technologies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ability to compete effectively depends on our ability to maintain the proprietary nature of our technologies and the proprietary technology of others with whom we have entered into collaboration and licensing agreements. 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Competitors may infringe our intellectual property rights or those of our licensors. To counter infringement or unauthorized use, we may be required to file infringement claims, which can be expensive and time-consuming. In addition, in a patent infringement proceeding, a court may decide that one or more of the patents which we own or in-license is not valid or is unenforceable, and/or is not infringed.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addition, litigation may be necessary to enforce our issued patents, to protect our trade secrets and know-how, or to determine the enforceability, scope, and validity of the proprietary rights of others. We may not prevail in any lawsuits that we initiate, and the damages or other remedies awarded, if any, may not be commercially meaningful.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governmental fees on any issued patent and/or pending patent applications will be due to the USPTO and foreign patent agencies in several stages over the lifetime of our patents and/or applications. The USPTO and various foreign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development.</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Should third parties file patent applications or be issued patents claiming technology also used or claimed by us, we may be required to participate in interference or derivation proceedings in the USPTO to determine priority of invention. We may be required to participate in interference or derivation proceedings involving our issued patents and pending applications. An unfavorable outcome could require us to cease using the related technology or to attempt to license rights from the prevailing party. Our business could be harmed if the prevailing party does not offer us a license on commercially acceptable terms.</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lawsuit for infringement or contractual breaches, even if frivolous, we will require considerable time commitments on the part of management, our attorneys and consultants. Defending these types of proceedings or legal actions involve considerable expense and could negatively affect our financial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 candidates.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the patents underlying the licenses might not be valid and enforceable. To the extent any product candidates developed by us are based on licensed technology, royalty payments on the licenses will reduce our gross profit from such product sales and may render the sales of such product candidates uneconomical. In addition, the loss of any current or future licenses or the exclusivity rights provided therein could materially harm our business financial condition and our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current and future product candidates,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 candidates, which may lengthen the regulatory review process, increase our development costs and delay or prevent their commercialization.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adoptive T cell therapy using MultiTAA-specific T cells has been approved for marketing in the U.S.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T cell therapy product. We will not be able to commercialize any of our potential product candidates until we obtain FDA approval, and so any delay in obtaining, or inability to obtain, FDA approval would harm our proposed business.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we violate regulatory requirements at any stage, whether before or after marketing approval is obtained, we may be fined, forced to remove a product from the market and experience other adverse consequences including delay, which could materially harm our business development. Additionally, we may not be able to obtain the labeling claims necessary or desirable for the promotion of our products. We may also be required to undertake post-marketing trials. Prescription drugs may be promoted only for the approved indications in accordance with the approved label.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 but the FDA does restrict manufacturer’s communications on the subject of off-label use of their products. In addition, if we or others identify side effects after any of our adoptive T cell therapy products are on the market, or if manufacturing problems occur, regulatory approval may be withdrawn, and reformulation of our products may be required.</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92" w:lineRule="exact"/>
        <w:rPr>
          <w:sz w:val="20"/>
          <w:szCs w:val="20"/>
          <w:color w:val="auto"/>
        </w:rPr>
      </w:pPr>
    </w:p>
    <w:p>
      <w:pPr>
        <w:ind w:left="680" w:right="20" w:hanging="321"/>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any approved product candidates will be harmed.</w:t>
      </w:r>
    </w:p>
    <w:p>
      <w:pPr>
        <w:spacing w:after="0" w:line="178"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w:t>
      </w:r>
    </w:p>
    <w:p>
      <w:pPr>
        <w:spacing w:after="0" w:line="14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Such laws include:</w:t>
      </w:r>
    </w:p>
    <w:p>
      <w:pPr>
        <w:spacing w:after="0" w:line="225" w:lineRule="exact"/>
        <w:rPr>
          <w:sz w:val="20"/>
          <w:szCs w:val="20"/>
          <w:color w:val="auto"/>
        </w:rPr>
      </w:pPr>
    </w:p>
    <w:p>
      <w:pPr>
        <w:jc w:val="both"/>
        <w:ind w:left="680" w:hanging="321"/>
        <w:spacing w:after="0" w:line="279"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71" w:lineRule="exact"/>
        <w:rPr>
          <w:rFonts w:ascii="Arial" w:cs="Arial" w:eastAsia="Arial" w:hAnsi="Arial"/>
          <w:sz w:val="17"/>
          <w:szCs w:val="17"/>
          <w:color w:val="auto"/>
        </w:rPr>
      </w:pPr>
    </w:p>
    <w:p>
      <w:pPr>
        <w:jc w:val="both"/>
        <w:ind w:left="680" w:hanging="321"/>
        <w:spacing w:after="0" w:line="279"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71" w:lineRule="exact"/>
        <w:rPr>
          <w:rFonts w:ascii="Arial" w:cs="Arial" w:eastAsia="Arial" w:hAnsi="Arial"/>
          <w:sz w:val="17"/>
          <w:szCs w:val="17"/>
          <w:color w:val="auto"/>
        </w:rPr>
      </w:pPr>
    </w:p>
    <w:p>
      <w:pPr>
        <w:jc w:val="both"/>
        <w:ind w:left="680" w:right="20" w:hanging="321"/>
        <w:spacing w:after="0" w:line="263"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w:t>
      </w:r>
    </w:p>
    <w:p>
      <w:pPr>
        <w:spacing w:after="0" w:line="183" w:lineRule="exact"/>
        <w:rPr>
          <w:rFonts w:ascii="Arial" w:cs="Arial" w:eastAsia="Arial" w:hAnsi="Arial"/>
          <w:sz w:val="18"/>
          <w:szCs w:val="18"/>
          <w:color w:val="auto"/>
        </w:rPr>
      </w:pPr>
    </w:p>
    <w:p>
      <w:pPr>
        <w:jc w:val="both"/>
        <w:ind w:left="680" w:hanging="321"/>
        <w:spacing w:after="0" w:line="275"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its implementing regulations, which also imposes obligations, including mandatory contractual terms,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176" w:lineRule="exact"/>
        <w:rPr>
          <w:rFonts w:ascii="Arial" w:cs="Arial" w:eastAsia="Arial" w:hAnsi="Arial"/>
          <w:sz w:val="17"/>
          <w:szCs w:val="17"/>
          <w:color w:val="auto"/>
        </w:rPr>
      </w:pPr>
    </w:p>
    <w:p>
      <w:pPr>
        <w:jc w:val="both"/>
        <w:ind w:left="680" w:hanging="321"/>
        <w:spacing w:after="0" w:line="254"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as defined by such law, and teaching hospitals, and applicable manufacturers and applicable group purchasing organizations to report annually to CMS ownership and investment interests held by physicians and their immediate family members. . 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 and</w:t>
      </w:r>
    </w:p>
    <w:p>
      <w:pPr>
        <w:spacing w:after="0" w:line="191" w:lineRule="exact"/>
        <w:rPr>
          <w:rFonts w:ascii="Arial" w:cs="Arial" w:eastAsia="Arial" w:hAnsi="Arial"/>
          <w:sz w:val="18"/>
          <w:szCs w:val="18"/>
          <w:color w:val="auto"/>
        </w:rPr>
      </w:pPr>
    </w:p>
    <w:p>
      <w:pPr>
        <w:jc w:val="both"/>
        <w:ind w:left="680" w:hanging="321"/>
        <w:spacing w:after="0" w:line="289" w:lineRule="auto"/>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analogous state, local, and foreign laws and regulations, such as state anti-kickback and false claims laws, which may apply to sales or marketing arrangements and claims involving healthcare items or services reimbursed by non-governmental third 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or drug pricing; state and local laws that require the registration of pharmaceutical sales representatives; state and local “drug takeback” laws and regulations; and state and foreign laws governing the privacy and security of health information in some circumstances, many of which differ from each other in significant ways and often are not preempted by HIPAA, thus complicating compliance efforts.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Efforts to ensure that our business arrangements will comply with applicable healthcare laws may involve substantial costs. While our interactions with healthcare professionals have been structured to comply with these laws and related guidance, it is possible that governmental and enforcement authorities will conclude that our business practices may not comply with current or future statutes, regulations or case law interpreting applicable fraud and abuse or other healthcare laws. If our operations or activities are found to be in violation of any of the laws described above or any other governmental regulations that apply to us, we may be subject to, without limitation, significant civil, criminal and administrative penalties, damages, monetary fines, disgorgement,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laws, contractual damages, reputational harm, diminished profits and future earnings and curtailment or restructuring of our operations, any of which could adversely affect our ability to operate.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any sales of our product once commercialized outside the U.S. will also likely subject us to foreign equivalents of the healthcare laws mentioned above, among other foreign laws.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in the United States and other countries may affect the prices we may obtain for our product candidates and increase the difficulty and cost to commercialize our product candidates.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our ability to profitably sell any product candidates for which we have obtained marketing approval.</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example, the Patient Protection and Affordable Care Act, as amended by the Health Care and Education Reconciliation Act, or the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Since January 2017, President Trump has signed executive orders and other directives designed to delay, circumvent, or loosen certain requirements mandated by the ACA. Concurrently, Congress has considered legislation that would repeal or repeal and replace all or part of the ACA. While Congress has not passed repeal legislation, several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On December 14, 2018, a Texas U.S. District Court Judge ruled that the ACA is unconstitutional in its entirety because the “individual mandate” was repealed by Congress as part of the Tax Cuts and Jobs Act. Further, on December 18, 2019, the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It is unclear how such litigation and other efforts to repeal and replace the ACA will impact the ACA and our business. Congress may consider other legislation to repeal or replace elements of the ACA. These actions may result in increased health insurance premiums and reduce the number of people with health insurance in the United States and have other effects that could adversely affect U.S. health insurance markets and the ability of patients to have access to therapies that our product candidates can provide.</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other federal health reform measures have been proposed and adopted in the United States. For example, as a result of the Budget Control Act of 2011 and subsequent legislative amendments thereto, providers are subject to Medicare payment reductions of 2% per fiscal year through 2030 unless additional Congressional action is taken.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ended the use of the statutory formula, also referred to as the Sustainable Growth Rate, for clinician payment and also introduced a quality payment program, or the Quality Payment Program, under which certain individual Medicare providers will be subject to certain incentives or penalties based on new program quality standards. This Quality Payment Program provides clinicians with two ways to participate, including through the Advanced Alternative Payment Models, or APMs, and the Merit-based Incentive Payment System, or MIPS. In November 2019, CMS issued a final rule finalizing the changes to the Quality Payment Program. It is still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ectPr>
          <w:pgSz w:w="11900" w:h="16838" w:orient="portrait"/>
          <w:cols w:equalWidth="0" w:num="1">
            <w:col w:w="9920"/>
          </w:cols>
          <w:pgMar w:left="980" w:top="517"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HHS has solicited feedback on some of these measures and has implemented others under its existing authority.</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example, in May 2019, CMS issued a final rule to allow Medicare Advantage Plans the option of using step therapy for Part B drugs beginning January 1, 2020. This final rule codified CMS’s policy change that was effective January 1, 2019. Further, on July 24, 2020, President Trump signed four additional Executive Orders designed to reduce the cost of drugs. Although a number of these, and other measures may require additional authorization to become effective, Congress and the executive branch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our ability to commercialize our products, generate revenue or attain profitability. It is possible that additional governmental action is taken to address the COVID-19 pandemic. For example, on August 6, 2020, the Trump administration issued another executive order that instructs the federal government to develop a list of “essential” medicines and then buy them and other medical supplies from U.S. manufacturers instead of from companies around the world, including China. The order is meant to reduce regulatory barriers to domestic pharmaceutical manufacturing and catalyze manufacturing technologies needed to keep drug prices low and the production of drug products in the United States.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the 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current U.S. administration and Congress could carry out significant changes in legislation, regulation, and government policy (including with respect to the possible repeal of all or portions of the ACA, possible changes in the existing treaty and trade relationships with other countries, and tax reform).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 and Operations as a Public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listing of our common stock on Nasdaq does not assure that a meaningful, consistent and liquid trading market currently exists or will exist in the future. 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company or our operating performance. These fluctuations could cause you to lose part or all of your investment in our common stock. Those factors that could cause fluctuations include, but are not limited to, the following: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thinly traded nature of our common stock;</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actual or anticipated changes in our net loss or fluctuations in our operating results or in the expectations of securities analysts;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our preclinical studies and clinical trials or delays in anticipated timing;</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 or sales of large blocks of our stock and sales by insiders and our institutional investors;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announcements of new collaboration agreements with strategic partners or developments by our existing collaboration partners;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acquisitions, mergers or business combinations;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trends, including changes in interest rates, and other national and global conditions, including the ongoing COVID-19 pandemic and related global economic uncertainty;</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events affecting BCM, Mayo Clinic, Mayo Foundation for Medical Education and Research or any future collaborators;</w:t>
      </w:r>
    </w:p>
    <w:p>
      <w:pPr>
        <w:spacing w:after="0" w:line="236" w:lineRule="exact"/>
        <w:rPr>
          <w:rFonts w:ascii="Arial" w:cs="Arial" w:eastAsia="Arial" w:hAnsi="Arial"/>
          <w:sz w:val="17"/>
          <w:szCs w:val="17"/>
          <w:color w:val="auto"/>
        </w:rPr>
      </w:pPr>
    </w:p>
    <w:p>
      <w:pPr>
        <w:ind w:left="680" w:right="20" w:hanging="321"/>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new product candidates or technologies, commercial relationships or other events, including the results of clinical trials, or variations in our quarterly operating results;</w:t>
      </w:r>
    </w:p>
    <w:p>
      <w:pPr>
        <w:spacing w:after="0" w:line="170" w:lineRule="exact"/>
        <w:rPr>
          <w:rFonts w:ascii="Arial" w:cs="Arial" w:eastAsia="Arial" w:hAnsi="Arial"/>
          <w:sz w:val="18"/>
          <w:szCs w:val="18"/>
          <w:color w:val="auto"/>
        </w:rPr>
      </w:pPr>
    </w:p>
    <w:p>
      <w:pPr>
        <w:ind w:left="680" w:hanging="321"/>
        <w:spacing w:after="0" w:line="342" w:lineRule="auto"/>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regulatory developments in the United States and other countries, including changes in the structure of healthcare payment systems, or other positive and negative events relating to healthcare and the overall pharmaceutical and biotechnology sectors;</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our common stock to maintain listing requirements on Nasdaq;</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any litigation to which we are a party;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discussion of our company or our stock price by the financial and scientific press and in online investor communities.</w:t>
      </w:r>
    </w:p>
    <w:p>
      <w:pPr>
        <w:spacing w:after="0" w:line="2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Sales of additional equity securities may adversely affect the market price of our common stock and your rights may be reduced. Our stockholders may experience dilution in the future and it may adversely affect the market price of our securities.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drug development and sale, general and administrative costs. Until such time, if ever, as we can generate substantial product revenue, we expect to fund our cash requirements through a combination of equity offerings, debt financings and potential collaboration, license and development agreements. We do not currently have a committed external source of funds. To the extent that we sell equity securities or convertible debt securities, your ownership interest will be diluted, and the terms of these securities may include liquidation or other preferences that adversely affect your rights as a common stockholder. The sale or the proposed sale of substantial amounts of our common stock or other equity securities in the public markets may adversely affect the market price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2020, we had 48.0 million shares of our common stock issued and outstanding. Those outstanding shares represent a minority of our authorized shares, meaning that the ownership position of the current stockholders could be diluted significantly were we to issue a large number of additional shares. In addition, as of September 30, 2020, there were outstanding warrants to purchase up to approximately 21.0 million shares of our common stock at a weighted average exercise price of $4.49 per share, and options exercisable for an aggregate of approximately 5.9 million shares of common stock at a weighted average exercise price of $6.31 per share. We have registered the resale of the shares issuable upon exercise of our outstanding warrants, and as a result the shares issued upon exercise will be tradable by the exercising party. Upon such registration, the holders may sell these shares in the public markets from time to time, without limitations on the timing, amount, or method of sale. If our stock price rises, the holders may exercise their warrants and options and sell a large number of shares. This could cause the market price of our common stock to decline and cause existing stockholders to experience significant further dilution.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We are also required to disclose significant changes made in our internal control procedures on a quarterly basis.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comply with Section 404, we have engaged in the costly and challenging process of compiling the system and processing documentation necessary to perform the evaluation needed to comply with Section 404. Our compliance with Section 404 requires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ectPr>
          <w:pgSz w:w="11900" w:h="16838" w:orient="portrait"/>
          <w:cols w:equalWidth="0" w:num="1">
            <w:col w:w="9920"/>
          </w:cols>
          <w:pgMar w:left="980" w:top="517"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net operating losses and certain other tax attributes to offset future taxable income may be subject to limitation.</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net operating loss, or NOL, carryforwards could expire unused and be unavailable to offset future income tax liabilities because of their limited duration or because of restrictions under U.S. tax law. Our NOLs generated in tax years ending on or prior to December 31, 2017 are permitted to be carried forward for only 20 years under applicable U.S. tax law. Our federal NOLs generated in tax years ending after December 31, 2017 may be carried forward indefinitely, but the deductibility of federal NOLs generated in tax years beginning after December 31, 2020 is subject to certain limitations. It is uncertain if and to what extent various states will conform to the Tax Act.</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under Section 382 and Section 383 of the Internal Revenue Code of 1986, as amended, or, the Code, and corresponding provisions of state law, if a corporation undergoes an “ownership change,” its ability to use its pre-change NOL carryforwards and other pre-change tax attributes (such as research tax credits) to offset its post-change income may be limited. A Section 382 “ownership change” generally occurs if one or more stockholders or groups of stockholders who own at least 5% of our stock increase their ownership by more than 50 percentage points (by value) over their lowest ownership percentage over a rolling three-year period. We may have experienced ownership changes in the past and may experience ownership changes in the future as a result of shifts in our stock ownership (some of which are outside our control). As a result, if we earn net taxable income, our ability to use our pre- change NOLs to offset such taxable income may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Consequently, even if we achieve profitability, we may not be able to utilize a material portion of our net operating loss carryforwards and certain other tax attributes, which could have a material adverse effect on cash flow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our company.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Tax Act, enacted many significant changes to the U.S. tax laws, including changes in corporate tax rates,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of our outstanding warrants contain or contained prior to being amended, or may be deemed to contain from time to time, embedded derivative rights in accordance with U.S. Generally Accepted Accounting Principles, or GAAP.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September 30, 2020, the fair value of the derivative liability-warrants was $0. Changes in the valuations of these rights, the valuation methodology or the assumptions on which the valuations are based could cause us to take charges to our earnings, which would adversely impact our results of operations.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399"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did not record any issuances of unregistered securities during the nine months ended September 30, 2020.</w:t>
      </w:r>
    </w:p>
    <w:p>
      <w:pPr>
        <w:spacing w:after="0" w:line="221"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6283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Incorporated by</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Reference</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Filing</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1"/>
        </w:trPr>
        <w:tc>
          <w:tcPr>
            <w:tcW w:w="9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60" w:type="dxa"/>
            <w:vAlign w:val="bottom"/>
            <w:gridSpan w:val="4"/>
            <w:vMerge w:val="restart"/>
          </w:tcPr>
          <w:p>
            <w:pPr>
              <w:ind w:left="580"/>
              <w:spacing w:after="0"/>
              <w:rPr>
                <w:sz w:val="20"/>
                <w:szCs w:val="20"/>
                <w:color w:val="auto"/>
              </w:rPr>
            </w:pPr>
            <w:r>
              <w:rPr>
                <w:rFonts w:ascii="Arial" w:cs="Arial" w:eastAsia="Arial" w:hAnsi="Arial"/>
                <w:sz w:val="14"/>
                <w:szCs w:val="14"/>
                <w:b w:val="1"/>
                <w:bCs w:val="1"/>
                <w:color w:val="auto"/>
              </w:rPr>
              <w:t>Exhibit description</w:t>
            </w: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 no.</w:t>
            </w:r>
          </w:p>
        </w:tc>
        <w:tc>
          <w:tcPr>
            <w:tcW w:w="200" w:type="dxa"/>
            <w:vAlign w:val="bottom"/>
            <w:vMerge w:val="restart"/>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vMerge w:val="restart"/>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426"/>
        </w:trPr>
        <w:tc>
          <w:tcPr>
            <w:tcW w:w="720" w:type="dxa"/>
            <w:vAlign w:val="bottom"/>
          </w:tcPr>
          <w:p>
            <w:pPr>
              <w:ind w:left="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3000" w:type="dxa"/>
            <w:vAlign w:val="bottom"/>
            <w:gridSpan w:val="7"/>
          </w:tcPr>
          <w:p>
            <w:pPr>
              <w:spacing w:after="0"/>
              <w:rPr>
                <w:rFonts w:ascii="Arial" w:cs="Arial" w:eastAsia="Arial" w:hAnsi="Arial"/>
                <w:sz w:val="18"/>
                <w:szCs w:val="18"/>
                <w:u w:val="single" w:color="auto"/>
                <w:color w:val="0000EE"/>
                <w:w w:val="96"/>
              </w:rPr>
            </w:pPr>
            <w:hyperlink r:id="rId81">
              <w:r>
                <w:rPr>
                  <w:rFonts w:ascii="Arial" w:cs="Arial" w:eastAsia="Arial" w:hAnsi="Arial"/>
                  <w:sz w:val="18"/>
                  <w:szCs w:val="18"/>
                  <w:u w:val="single" w:color="auto"/>
                  <w:color w:val="0000EE"/>
                  <w:w w:val="96"/>
                </w:rPr>
                <w:t>Certificate of Incorporation (Delaware).</w:t>
              </w:r>
            </w:hyperlink>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136"/>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ind w:left="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3000" w:type="dxa"/>
            <w:vAlign w:val="bottom"/>
            <w:gridSpan w:val="7"/>
          </w:tcPr>
          <w:p>
            <w:pPr>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Bylaws of Marker Therapeutics, Inc.</w:t>
              </w:r>
            </w:hyperlink>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136"/>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20" w:type="dxa"/>
            <w:vAlign w:val="bottom"/>
          </w:tcPr>
          <w:p>
            <w:pPr>
              <w:ind w:left="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Form of Stock Option Grant Notice and Stock</w:t>
              </w:r>
            </w:hyperlink>
          </w:p>
        </w:tc>
        <w:tc>
          <w:tcPr>
            <w:tcW w:w="100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Option</w:t>
              </w:r>
            </w:hyperlink>
          </w:p>
        </w:tc>
        <w:tc>
          <w:tcPr>
            <w:tcW w:w="1080" w:type="dxa"/>
            <w:vAlign w:val="bottom"/>
          </w:tcPr>
          <w:p>
            <w:pPr>
              <w:ind w:left="14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Agreement</w:t>
              </w:r>
            </w:hyperlink>
          </w:p>
        </w:tc>
        <w:tc>
          <w:tcPr>
            <w:tcW w:w="880" w:type="dxa"/>
            <w:vAlign w:val="bottom"/>
            <w:gridSpan w:val="3"/>
          </w:tcPr>
          <w:p>
            <w:pPr>
              <w:ind w:left="16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under</w:t>
              </w:r>
            </w:hyperlink>
          </w:p>
        </w:tc>
        <w:tc>
          <w:tcPr>
            <w:tcW w:w="380" w:type="dxa"/>
            <w:vAlign w:val="bottom"/>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the</w:t>
              </w:r>
            </w:hyperlink>
          </w:p>
        </w:tc>
        <w:tc>
          <w:tcPr>
            <w:tcW w:w="1660" w:type="dxa"/>
            <w:vAlign w:val="bottom"/>
            <w:gridSpan w:val="7"/>
          </w:tcPr>
          <w:p>
            <w:pPr>
              <w:ind w:left="12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Marker</w:t>
              </w:r>
            </w:hyperlink>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tcBorders>
              <w:top w:val="single" w:sz="8" w:color="0000EE"/>
            </w:tcBorders>
            <w:gridSpan w:val="8"/>
          </w:tcPr>
          <w:p>
            <w:pPr>
              <w:spacing w:after="0"/>
              <w:rPr>
                <w:rFonts w:ascii="Arial" w:cs="Arial" w:eastAsia="Arial" w:hAnsi="Arial"/>
                <w:sz w:val="18"/>
                <w:szCs w:val="18"/>
                <w:u w:val="single" w:color="auto"/>
                <w:color w:val="0000EE"/>
                <w:w w:val="91"/>
              </w:rPr>
            </w:pPr>
            <w:hyperlink w:anchor="page65">
              <w:r>
                <w:rPr>
                  <w:rFonts w:ascii="Arial" w:cs="Arial" w:eastAsia="Arial" w:hAnsi="Arial"/>
                  <w:sz w:val="18"/>
                  <w:szCs w:val="18"/>
                  <w:u w:val="single" w:color="auto"/>
                  <w:color w:val="0000EE"/>
                  <w:w w:val="91"/>
                </w:rPr>
                <w:t>Therapeutics, Inc. 2020 Equity Incentive Plan.</w:t>
              </w:r>
            </w:hyperlink>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92"/>
        </w:trPr>
        <w:tc>
          <w:tcPr>
            <w:tcW w:w="720" w:type="dxa"/>
            <w:vAlign w:val="bottom"/>
          </w:tcPr>
          <w:p>
            <w:pPr>
              <w:ind w:left="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368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74">
              <w:r>
                <w:rPr>
                  <w:rFonts w:ascii="Arial" w:cs="Arial" w:eastAsia="Arial" w:hAnsi="Arial"/>
                  <w:sz w:val="18"/>
                  <w:szCs w:val="18"/>
                  <w:color w:val="0000EE"/>
                  <w:w w:val="97"/>
                </w:rPr>
                <w:t>Form of Restricted Stock Unit Grant Notice and</w:t>
              </w:r>
            </w:hyperlink>
          </w:p>
        </w:tc>
        <w:tc>
          <w:tcPr>
            <w:tcW w:w="98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Restricted Stock Unit Award Agreement under the</w:t>
              </w:r>
            </w:hyperlink>
          </w:p>
        </w:tc>
        <w:tc>
          <w:tcPr>
            <w:tcW w:w="100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60" w:type="dxa"/>
            <w:vAlign w:val="bottom"/>
            <w:gridSpan w:val="1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Marker Therapeutics, Inc. 2020 Equity Incentive</w:t>
              </w:r>
            </w:hyperlink>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Plan.</w:t>
              </w:r>
            </w:hyperlink>
          </w:p>
        </w:tc>
        <w:tc>
          <w:tcPr>
            <w:tcW w:w="10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81">
              <w:r>
                <w:rPr>
                  <w:rFonts w:ascii="Arial" w:cs="Arial" w:eastAsia="Arial" w:hAnsi="Arial"/>
                  <w:sz w:val="18"/>
                  <w:szCs w:val="18"/>
                  <w:color w:val="0000EE"/>
                  <w:w w:val="95"/>
                </w:rPr>
                <w:t>Certification of Chief Executive Officer Pursuant</w:t>
              </w:r>
            </w:hyperlink>
          </w:p>
        </w:tc>
        <w:tc>
          <w:tcPr>
            <w:tcW w:w="100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60" w:type="dxa"/>
            <w:vAlign w:val="bottom"/>
            <w:gridSpan w:val="1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to Rule 13a-14(a) or 15d-14(a) of the Securities</w:t>
              </w:r>
            </w:hyperlink>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Exchange Act of 1933, as amended.</w:t>
              </w:r>
            </w:hyperlink>
          </w:p>
        </w:tc>
        <w:tc>
          <w:tcPr>
            <w:tcW w:w="3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82">
              <w:r>
                <w:rPr>
                  <w:rFonts w:ascii="Arial" w:cs="Arial" w:eastAsia="Arial" w:hAnsi="Arial"/>
                  <w:sz w:val="18"/>
                  <w:szCs w:val="18"/>
                  <w:color w:val="0000EE"/>
                  <w:w w:val="97"/>
                </w:rPr>
                <w:t>Certification of Chief Financial Officer Pursuant</w:t>
              </w:r>
            </w:hyperlink>
          </w:p>
        </w:tc>
        <w:tc>
          <w:tcPr>
            <w:tcW w:w="100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60" w:type="dxa"/>
            <w:vAlign w:val="bottom"/>
            <w:gridSpan w:val="1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to Rule 13a-14(a) or 15d-14(a) of the Securities</w:t>
              </w:r>
            </w:hyperlink>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Exchange Act of 1933, as amended.</w:t>
              </w:r>
            </w:hyperlink>
          </w:p>
        </w:tc>
        <w:tc>
          <w:tcPr>
            <w:tcW w:w="3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83">
              <w:r>
                <w:rPr>
                  <w:rFonts w:ascii="Arial" w:cs="Arial" w:eastAsia="Arial" w:hAnsi="Arial"/>
                  <w:sz w:val="18"/>
                  <w:szCs w:val="18"/>
                  <w:color w:val="0000EE"/>
                  <w:w w:val="95"/>
                </w:rPr>
                <w:t>Certification of Chief Executive Officer Pursuant</w:t>
              </w:r>
            </w:hyperlink>
          </w:p>
        </w:tc>
        <w:tc>
          <w:tcPr>
            <w:tcW w:w="100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60" w:type="dxa"/>
            <w:vAlign w:val="bottom"/>
            <w:gridSpan w:val="14"/>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to Rule 13a-14(a) or 15d-14(a) of the Securities</w:t>
              </w:r>
            </w:hyperlink>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Exchange Act of 1933, as amended.</w:t>
              </w:r>
            </w:hyperlink>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3360" w:type="dxa"/>
            <w:vAlign w:val="bottom"/>
            <w:gridSpan w:val="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Certification  of  Chief  Financial  Officer</w:t>
              </w:r>
            </w:hyperlink>
          </w:p>
        </w:tc>
        <w:tc>
          <w:tcPr>
            <w:tcW w:w="1300" w:type="dxa"/>
            <w:vAlign w:val="bottom"/>
            <w:gridSpan w:val="6"/>
          </w:tcPr>
          <w:p>
            <w:pPr>
              <w:ind w:left="20"/>
              <w:spacing w:after="0"/>
              <w:rPr>
                <w:rFonts w:ascii="Arial" w:cs="Arial" w:eastAsia="Arial" w:hAnsi="Arial"/>
                <w:sz w:val="18"/>
                <w:szCs w:val="18"/>
                <w:color w:val="0000EE"/>
              </w:rPr>
            </w:pPr>
            <w:hyperlink w:anchor="page84">
              <w:r>
                <w:rPr>
                  <w:rFonts w:ascii="Arial" w:cs="Arial" w:eastAsia="Arial" w:hAnsi="Arial"/>
                  <w:sz w:val="18"/>
                  <w:szCs w:val="18"/>
                  <w:color w:val="0000EE"/>
                </w:rPr>
                <w:t>and</w:t>
              </w:r>
            </w:hyperlink>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Principal Financial Officer pursuant to 18 U.S.C.</w:t>
              </w:r>
            </w:hyperlink>
          </w:p>
        </w:tc>
        <w:tc>
          <w:tcPr>
            <w:tcW w:w="100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60" w:type="dxa"/>
            <w:vAlign w:val="bottom"/>
            <w:gridSpan w:val="1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1350 as adopted pursuant to Section 906 of the</w:t>
              </w:r>
            </w:hyperlink>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Sarbanes-Oxley Act of 2002.</w:t>
              </w:r>
            </w:hyperlink>
          </w:p>
        </w:tc>
        <w:tc>
          <w:tcPr>
            <w:tcW w:w="3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Cover Page Interactive Data File (formatted as Inline XBRL and contained in Exhibit 101 filed herewith).</w:t>
      </w:r>
    </w:p>
    <w:p>
      <w:pPr>
        <w:spacing w:after="0" w:line="211" w:lineRule="exact"/>
        <w:rPr>
          <w:sz w:val="20"/>
          <w:szCs w:val="20"/>
          <w:color w:val="auto"/>
        </w:rPr>
      </w:pPr>
    </w:p>
    <w:p>
      <w:pPr>
        <w:jc w:val="both"/>
        <w:ind w:firstLine="8"/>
        <w:spacing w:after="0" w:line="259"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 INC.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772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77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Anthony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and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64" w:name="page65"/>
    <w:bookmarkEnd w:id="64"/>
    <w:p>
      <w:pPr>
        <w:jc w:val="right"/>
        <w:spacing w:after="0"/>
        <w:rPr>
          <w:sz w:val="20"/>
          <w:szCs w:val="20"/>
          <w:color w:val="auto"/>
        </w:rPr>
      </w:pPr>
      <w:r>
        <w:rPr>
          <w:rFonts w:ascii="Arial" w:cs="Arial" w:eastAsia="Arial" w:hAnsi="Arial"/>
          <w:sz w:val="25"/>
          <w:szCs w:val="25"/>
          <w:b w:val="1"/>
          <w:bCs w:val="1"/>
          <w:color w:val="auto"/>
        </w:rPr>
        <w:t>Exhibit 10.1</w:t>
      </w:r>
    </w:p>
    <w:p>
      <w:pPr>
        <w:spacing w:after="0" w:line="226" w:lineRule="exact"/>
        <w:rPr>
          <w:sz w:val="20"/>
          <w:szCs w:val="20"/>
          <w:color w:val="auto"/>
        </w:rPr>
      </w:pPr>
    </w:p>
    <w:p>
      <w:pPr>
        <w:ind w:left="3040"/>
        <w:spacing w:after="0"/>
        <w:rPr>
          <w:sz w:val="20"/>
          <w:szCs w:val="20"/>
          <w:color w:val="auto"/>
        </w:rPr>
      </w:pPr>
      <w:r>
        <w:rPr>
          <w:rFonts w:ascii="Arial" w:cs="Arial" w:eastAsia="Arial" w:hAnsi="Arial"/>
          <w:sz w:val="25"/>
          <w:szCs w:val="25"/>
          <w:b w:val="1"/>
          <w:bCs w:val="1"/>
          <w:color w:val="auto"/>
        </w:rPr>
        <w:t>MARKER THERAPEUTICS, INC.</w:t>
      </w:r>
    </w:p>
    <w:p>
      <w:pPr>
        <w:spacing w:after="0" w:line="38" w:lineRule="exact"/>
        <w:rPr>
          <w:sz w:val="20"/>
          <w:szCs w:val="20"/>
          <w:color w:val="auto"/>
        </w:rPr>
      </w:pPr>
    </w:p>
    <w:p>
      <w:pPr>
        <w:ind w:left="2980"/>
        <w:spacing w:after="0"/>
        <w:rPr>
          <w:sz w:val="20"/>
          <w:szCs w:val="20"/>
          <w:color w:val="auto"/>
        </w:rPr>
      </w:pPr>
      <w:r>
        <w:rPr>
          <w:rFonts w:ascii="Arial" w:cs="Arial" w:eastAsia="Arial" w:hAnsi="Arial"/>
          <w:sz w:val="25"/>
          <w:szCs w:val="25"/>
          <w:b w:val="1"/>
          <w:bCs w:val="1"/>
          <w:color w:val="auto"/>
        </w:rPr>
        <w:t>STOCK OPTION GRANT NOTICE</w:t>
      </w:r>
    </w:p>
    <w:p>
      <w:pPr>
        <w:spacing w:after="0" w:line="10" w:lineRule="exact"/>
        <w:rPr>
          <w:sz w:val="20"/>
          <w:szCs w:val="20"/>
          <w:color w:val="auto"/>
        </w:rPr>
      </w:pPr>
    </w:p>
    <w:p>
      <w:pPr>
        <w:ind w:left="2980"/>
        <w:spacing w:after="0"/>
        <w:rPr>
          <w:sz w:val="20"/>
          <w:szCs w:val="20"/>
          <w:color w:val="auto"/>
        </w:rPr>
      </w:pPr>
      <w:r>
        <w:rPr>
          <w:rFonts w:ascii="Arial" w:cs="Arial" w:eastAsia="Arial" w:hAnsi="Arial"/>
          <w:sz w:val="25"/>
          <w:szCs w:val="25"/>
          <w:b w:val="1"/>
          <w:bCs w:val="1"/>
          <w:color w:val="auto"/>
        </w:rPr>
        <w:t>(2020 EQUITY INCENTIVE PLAN)</w:t>
      </w:r>
    </w:p>
    <w:p>
      <w:pPr>
        <w:spacing w:after="0" w:line="200" w:lineRule="exact"/>
        <w:rPr>
          <w:sz w:val="20"/>
          <w:szCs w:val="20"/>
          <w:color w:val="auto"/>
        </w:rPr>
      </w:pPr>
    </w:p>
    <w:p>
      <w:pPr>
        <w:spacing w:after="0" w:line="2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Marker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2020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granted to you (“</w:t>
      </w:r>
      <w:r>
        <w:rPr>
          <w:rFonts w:ascii="Arial" w:cs="Arial" w:eastAsia="Arial" w:hAnsi="Arial"/>
          <w:sz w:val="16"/>
          <w:szCs w:val="16"/>
          <w:b w:val="1"/>
          <w:bCs w:val="1"/>
          <w:i w:val="1"/>
          <w:iCs w:val="1"/>
          <w:color w:val="auto"/>
        </w:rPr>
        <w:t>Optionholder</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 option to purchase the number of shares of the Common Stock set forth below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14605</wp:posOffset>
            </wp:positionV>
            <wp:extent cx="1671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-121920</wp:posOffset>
            </wp:positionV>
            <wp:extent cx="1671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-121920</wp:posOffset>
            </wp:positionV>
            <wp:extent cx="1671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-121920</wp:posOffset>
            </wp:positionV>
            <wp:extent cx="1671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-121920</wp:posOffset>
            </wp:positionV>
            <wp:extent cx="1671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22860</wp:posOffset>
            </wp:positionV>
            <wp:extent cx="1671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-121920</wp:posOffset>
            </wp:positionV>
            <wp:extent cx="1671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227"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Type of Grant:</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Incentive Stock Option]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OR</w:t>
      </w:r>
      <w:r>
        <w:rPr>
          <w:rFonts w:ascii="Arial" w:cs="Arial" w:eastAsia="Arial" w:hAnsi="Arial"/>
          <w:sz w:val="16"/>
          <w:szCs w:val="16"/>
          <w:b w:val="1"/>
          <w:bCs w:val="1"/>
          <w:color w:val="auto"/>
        </w:rPr>
        <w:t xml:space="preserve"> </w:t>
      </w:r>
      <w:r>
        <w:rPr>
          <w:rFonts w:ascii="Arial" w:cs="Arial" w:eastAsia="Arial" w:hAnsi="Arial"/>
          <w:sz w:val="16"/>
          <w:szCs w:val="16"/>
          <w:color w:val="auto"/>
        </w:rPr>
        <w:t>[Nonstatutory Stock Option]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and</w:t>
      </w:r>
    </w:p>
    <w:p>
      <w:pPr>
        <w:spacing w:after="0" w:line="27" w:lineRule="exact"/>
        <w:rPr>
          <w:sz w:val="20"/>
          <w:szCs w:val="20"/>
          <w:color w:val="auto"/>
        </w:rPr>
      </w:pPr>
    </w:p>
    <w:p>
      <w:pPr>
        <w:jc w:val="both"/>
        <w:ind w:left="1620" w:hanging="1619"/>
        <w:spacing w:after="0" w:line="260" w:lineRule="auto"/>
        <w:tabs>
          <w:tab w:leader="none" w:pos="1600" w:val="left"/>
        </w:tabs>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Subject to the Optionholder’s Continuous Service through each applicable vesting date, the Option will vest as follows:</w:t>
      </w:r>
    </w:p>
    <w:p>
      <w:pPr>
        <w:spacing w:after="0" w:line="15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__________________________________________________________________________]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Optionholder Acknowledgements: </w:t>
      </w:r>
      <w:r>
        <w:rPr>
          <w:rFonts w:ascii="Arial" w:cs="Arial" w:eastAsia="Arial" w:hAnsi="Arial"/>
          <w:sz w:val="16"/>
          <w:szCs w:val="16"/>
          <w:color w:val="auto"/>
        </w:rPr>
        <w:t>By your signature below or by electronic acceptance or authentication in a form authorized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 you understand and agree that:</w:t>
      </w:r>
    </w:p>
    <w:p>
      <w:pPr>
        <w:spacing w:after="0" w:line="103" w:lineRule="exact"/>
        <w:rPr>
          <w:sz w:val="20"/>
          <w:szCs w:val="20"/>
          <w:color w:val="auto"/>
        </w:rPr>
      </w:pPr>
    </w:p>
    <w:p>
      <w:pPr>
        <w:jc w:val="both"/>
        <w:ind w:left="66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Option is governed by this Stock Option Grant Notice, and the provisions of the Plan and the Stock Option Agreement and the Notice of Exercise, all of which are made a part of this document. Unless otherwise provided in the Plan, this Grant Notice and the Stock Option Agreement (together,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may not be modified, amended or revised except in a writing signed by you and a duly authorized officer of the Company.</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If the Option is an Incentive Stock Option, it (plus other outstanding Incentive Stock Options granted to you) cannot be first </w:t>
      </w:r>
      <w:r>
        <w:rPr>
          <w:rFonts w:ascii="Arial" w:cs="Arial" w:eastAsia="Arial" w:hAnsi="Arial"/>
          <w:sz w:val="18"/>
          <w:szCs w:val="18"/>
          <w:i w:val="1"/>
          <w:iCs w:val="1"/>
          <w:color w:val="auto"/>
        </w:rPr>
        <w:t xml:space="preserve">exercisable </w:t>
      </w:r>
      <w:r>
        <w:rPr>
          <w:rFonts w:ascii="Arial" w:cs="Arial" w:eastAsia="Arial" w:hAnsi="Arial"/>
          <w:sz w:val="18"/>
          <w:szCs w:val="18"/>
          <w:color w:val="auto"/>
        </w:rPr>
        <w:t>for more than $100,000 in value (measured by exercise price) in any calendar year. Any excess over $100,000 is a</w:t>
      </w:r>
      <w:r>
        <w:rPr>
          <w:rFonts w:ascii="Arial" w:cs="Arial" w:eastAsia="Arial" w:hAnsi="Arial"/>
          <w:sz w:val="18"/>
          <w:szCs w:val="18"/>
          <w:i w:val="1"/>
          <w:iCs w:val="1"/>
          <w:color w:val="auto"/>
        </w:rPr>
        <w:t xml:space="preserve"> </w:t>
      </w:r>
      <w:r>
        <w:rPr>
          <w:rFonts w:ascii="Arial" w:cs="Arial" w:eastAsia="Arial" w:hAnsi="Arial"/>
          <w:sz w:val="18"/>
          <w:szCs w:val="18"/>
          <w:color w:val="auto"/>
        </w:rPr>
        <w:t>Nonstatutory Stock Option.</w:t>
      </w:r>
    </w:p>
    <w:p>
      <w:pPr>
        <w:spacing w:after="0" w:line="75"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7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Option Agreement sets forth the entire understanding between you and the Company regarding the acquisition of Common Stock and supersedes all prior oral and written agreements, promises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546100</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5" w:name="page66"/>
    <w:bookmarkEnd w:id="65"/>
    <w:p>
      <w:pPr>
        <w:jc w:val="both"/>
        <w:ind w:left="660"/>
        <w:spacing w:after="0" w:line="263" w:lineRule="auto"/>
        <w:rPr>
          <w:sz w:val="20"/>
          <w:szCs w:val="20"/>
          <w:color w:val="auto"/>
        </w:rPr>
      </w:pPr>
      <w:r>
        <w:rPr>
          <w:rFonts w:ascii="Arial" w:cs="Arial" w:eastAsia="Arial" w:hAnsi="Arial"/>
          <w:sz w:val="18"/>
          <w:szCs w:val="18"/>
          <w:color w:val="auto"/>
        </w:rPr>
        <w:t>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76" w:lineRule="exact"/>
        <w:rPr>
          <w:sz w:val="20"/>
          <w:szCs w:val="20"/>
          <w:color w:val="auto"/>
        </w:rPr>
      </w:pPr>
    </w:p>
    <w:p>
      <w:pPr>
        <w:jc w:val="both"/>
        <w:ind w:left="660" w:right="20" w:hanging="328"/>
        <w:spacing w:after="0" w:line="31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MARKER THERAPEUTICS, INC.</w:t>
            </w:r>
          </w:p>
        </w:tc>
        <w:tc>
          <w:tcPr>
            <w:tcW w:w="5000" w:type="dxa"/>
            <w:vAlign w:val="bottom"/>
            <w:gridSpan w:val="3"/>
          </w:tcPr>
          <w:p>
            <w:pPr>
              <w:ind w:left="160"/>
              <w:spacing w:after="0"/>
              <w:rPr>
                <w:sz w:val="20"/>
                <w:szCs w:val="20"/>
                <w:color w:val="auto"/>
              </w:rPr>
            </w:pPr>
            <w:r>
              <w:rPr>
                <w:rFonts w:ascii="Arial" w:cs="Arial" w:eastAsia="Arial" w:hAnsi="Arial"/>
                <w:sz w:val="18"/>
                <w:szCs w:val="18"/>
                <w:b w:val="1"/>
                <w:bCs w:val="1"/>
                <w:color w:val="auto"/>
              </w:rPr>
              <w:t>OPTIONHOLDER:</w:t>
            </w:r>
          </w:p>
        </w:tc>
      </w:tr>
      <w:tr>
        <w:trPr>
          <w:trHeight w:val="432"/>
        </w:trPr>
        <w:tc>
          <w:tcPr>
            <w:tcW w:w="4920" w:type="dxa"/>
            <w:vAlign w:val="bottom"/>
            <w:gridSpan w:val="2"/>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4500" w:type="dxa"/>
            <w:vAlign w:val="bottom"/>
            <w:tcBorders>
              <w:top w:val="single" w:sz="8" w:color="auto"/>
            </w:tcBorders>
          </w:tcPr>
          <w:p>
            <w:pPr>
              <w:ind w:left="1900"/>
              <w:spacing w:after="0" w:line="195" w:lineRule="exact"/>
              <w:rPr>
                <w:sz w:val="20"/>
                <w:szCs w:val="20"/>
                <w:color w:val="auto"/>
              </w:rPr>
            </w:pPr>
            <w:r>
              <w:rPr>
                <w:rFonts w:ascii="Arial" w:cs="Arial" w:eastAsia="Arial" w:hAnsi="Arial"/>
                <w:sz w:val="18"/>
                <w:szCs w:val="18"/>
                <w:color w:val="auto"/>
              </w:rPr>
              <w:t>Signature</w:t>
            </w:r>
          </w:p>
        </w:tc>
        <w:tc>
          <w:tcPr>
            <w:tcW w:w="1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ind w:left="1680"/>
              <w:spacing w:after="0" w:line="195" w:lineRule="exact"/>
              <w:rPr>
                <w:sz w:val="20"/>
                <w:szCs w:val="20"/>
                <w:color w:val="auto"/>
              </w:rPr>
            </w:pPr>
            <w:r>
              <w:rPr>
                <w:rFonts w:ascii="Arial" w:cs="Arial" w:eastAsia="Arial" w:hAnsi="Arial"/>
                <w:sz w:val="18"/>
                <w:szCs w:val="18"/>
                <w:color w:val="auto"/>
              </w:rPr>
              <w:t>Signature</w:t>
            </w: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Title:</w:t>
            </w: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Date:</w:t>
            </w:r>
          </w:p>
        </w:tc>
      </w:tr>
      <w:tr>
        <w:trPr>
          <w:trHeight w:val="209"/>
        </w:trPr>
        <w:tc>
          <w:tcPr>
            <w:tcW w:w="420" w:type="dxa"/>
            <w:vAlign w:val="bottom"/>
          </w:tcPr>
          <w:p>
            <w:pPr>
              <w:spacing w:after="0"/>
              <w:rPr>
                <w:sz w:val="20"/>
                <w:szCs w:val="20"/>
                <w:color w:val="auto"/>
              </w:rPr>
            </w:pPr>
            <w:r>
              <w:rPr>
                <w:rFonts w:ascii="Arial" w:cs="Arial" w:eastAsia="Arial" w:hAnsi="Arial"/>
                <w:sz w:val="18"/>
                <w:szCs w:val="18"/>
                <w:color w:val="auto"/>
                <w:w w:val="92"/>
              </w:rPr>
              <w:t>Date:</w:t>
            </w:r>
          </w:p>
        </w:tc>
        <w:tc>
          <w:tcPr>
            <w:tcW w:w="450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Stock Option Agreement, 2020 Equity Incentive Plan,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651510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76" w:right="99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22"/>
          <w:szCs w:val="22"/>
          <w:b w:val="1"/>
          <w:bCs w:val="1"/>
          <w:color w:val="auto"/>
        </w:rPr>
        <w:t>ATTACHMENT I</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791845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22"/>
          <w:szCs w:val="22"/>
          <w:b w:val="1"/>
          <w:bCs w:val="1"/>
          <w:color w:val="auto"/>
        </w:rPr>
        <w:t>ATTACHMENT II</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1289050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25"/>
          <w:szCs w:val="25"/>
          <w:b w:val="1"/>
          <w:bCs w:val="1"/>
          <w:color w:val="auto"/>
        </w:rPr>
        <w:t>MARKER THERAPEUTICS, INC.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2020 EQUITY INCENTIVE PLAN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STOCK OPTION AGREEMENT</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As reflected by your Stock Option Grant Notice (“</w:t>
      </w:r>
      <w:r>
        <w:rPr>
          <w:rFonts w:ascii="Arial" w:cs="Arial" w:eastAsia="Arial" w:hAnsi="Arial"/>
          <w:sz w:val="21"/>
          <w:szCs w:val="21"/>
          <w:b w:val="1"/>
          <w:bCs w:val="1"/>
          <w:i w:val="1"/>
          <w:iCs w:val="1"/>
          <w:color w:val="auto"/>
        </w:rPr>
        <w:t>Grant Notice</w:t>
      </w:r>
      <w:r>
        <w:rPr>
          <w:rFonts w:ascii="Arial" w:cs="Arial" w:eastAsia="Arial" w:hAnsi="Arial"/>
          <w:sz w:val="21"/>
          <w:szCs w:val="21"/>
          <w:color w:val="auto"/>
        </w:rPr>
        <w:t>”) Marker Therapeutics,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has granted you an option under its 2020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to purchase a number of shares of Common Stock at the exercise price indicated in your Grant Notice (the “</w:t>
      </w:r>
      <w:r>
        <w:rPr>
          <w:rFonts w:ascii="Arial" w:cs="Arial" w:eastAsia="Arial" w:hAnsi="Arial"/>
          <w:sz w:val="21"/>
          <w:szCs w:val="21"/>
          <w:b w:val="1"/>
          <w:bCs w:val="1"/>
          <w:i w:val="1"/>
          <w:iCs w:val="1"/>
          <w:color w:val="auto"/>
        </w:rPr>
        <w:t>Option</w:t>
      </w:r>
      <w:r>
        <w:rPr>
          <w:rFonts w:ascii="Arial" w:cs="Arial" w:eastAsia="Arial" w:hAnsi="Arial"/>
          <w:sz w:val="21"/>
          <w:szCs w:val="21"/>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general terms and conditions applicable to your Option are as follows:</w:t>
      </w:r>
    </w:p>
    <w:p>
      <w:pPr>
        <w:spacing w:after="0" w:line="200" w:lineRule="exact"/>
        <w:rPr>
          <w:sz w:val="20"/>
          <w:szCs w:val="20"/>
          <w:color w:val="auto"/>
        </w:rPr>
      </w:pPr>
    </w:p>
    <w:p>
      <w:pPr>
        <w:ind w:firstLine="656"/>
        <w:spacing w:after="0" w:line="256" w:lineRule="auto"/>
        <w:tabs>
          <w:tab w:leader="none" w:pos="144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PLAN DOCUMENT. </w:t>
      </w:r>
      <w:r>
        <w:rPr>
          <w:rFonts w:ascii="Arial" w:cs="Arial" w:eastAsia="Arial" w:hAnsi="Arial"/>
          <w:sz w:val="22"/>
          <w:szCs w:val="22"/>
          <w:color w:val="auto"/>
        </w:rPr>
        <w:t>Your Option is subject to all the provisions of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but not limited to the provisions in:</w:t>
      </w:r>
    </w:p>
    <w:p>
      <w:pPr>
        <w:spacing w:after="0" w:line="168" w:lineRule="exact"/>
        <w:rPr>
          <w:rFonts w:ascii="Arial" w:cs="Arial" w:eastAsia="Arial" w:hAnsi="Arial"/>
          <w:sz w:val="22"/>
          <w:szCs w:val="22"/>
          <w:b w:val="1"/>
          <w:bCs w:val="1"/>
          <w:color w:val="auto"/>
        </w:rPr>
      </w:pPr>
    </w:p>
    <w:p>
      <w:pPr>
        <w:ind w:firstLine="1304"/>
        <w:spacing w:after="0" w:line="250" w:lineRule="auto"/>
        <w:tabs>
          <w:tab w:leader="none" w:pos="2047" w:val="left"/>
        </w:tabs>
        <w:numPr>
          <w:ilvl w:val="1"/>
          <w:numId w:val="29"/>
        </w:numPr>
        <w:rPr>
          <w:rFonts w:ascii="Arial" w:cs="Arial" w:eastAsia="Arial" w:hAnsi="Arial"/>
          <w:sz w:val="22"/>
          <w:szCs w:val="22"/>
          <w:b w:val="1"/>
          <w:bCs w:val="1"/>
          <w:color w:val="auto"/>
        </w:rPr>
      </w:pPr>
      <w:r>
        <w:rPr>
          <w:rFonts w:ascii="Arial" w:cs="Arial" w:eastAsia="Arial" w:hAnsi="Arial"/>
          <w:sz w:val="22"/>
          <w:szCs w:val="22"/>
          <w:color w:val="auto"/>
        </w:rPr>
        <w:t>Section 6 regarding the impact of a Capitalization Adjustment, dissolution, liquidation, or Corporate Transaction on your Option;</w:t>
      </w:r>
    </w:p>
    <w:p>
      <w:pPr>
        <w:spacing w:after="0" w:line="174" w:lineRule="exact"/>
        <w:rPr>
          <w:rFonts w:ascii="Arial" w:cs="Arial" w:eastAsia="Arial" w:hAnsi="Arial"/>
          <w:sz w:val="22"/>
          <w:szCs w:val="22"/>
          <w:b w:val="1"/>
          <w:bCs w:val="1"/>
          <w:color w:val="auto"/>
        </w:rPr>
      </w:pPr>
    </w:p>
    <w:p>
      <w:pPr>
        <w:ind w:firstLine="1304"/>
        <w:spacing w:after="0" w:line="250" w:lineRule="auto"/>
        <w:tabs>
          <w:tab w:leader="none" w:pos="1965" w:val="left"/>
        </w:tabs>
        <w:numPr>
          <w:ilvl w:val="1"/>
          <w:numId w:val="29"/>
        </w:numPr>
        <w:rPr>
          <w:rFonts w:ascii="Arial" w:cs="Arial" w:eastAsia="Arial" w:hAnsi="Arial"/>
          <w:sz w:val="22"/>
          <w:szCs w:val="22"/>
          <w:b w:val="1"/>
          <w:bCs w:val="1"/>
          <w:color w:val="auto"/>
        </w:rPr>
      </w:pPr>
      <w:r>
        <w:rPr>
          <w:rFonts w:ascii="Arial" w:cs="Arial" w:eastAsia="Arial" w:hAnsi="Arial"/>
          <w:sz w:val="22"/>
          <w:szCs w:val="22"/>
          <w:color w:val="auto"/>
        </w:rPr>
        <w:t>Section 9(e) regarding the Company’s retained rights to terminate your Continuous Service notwithstanding the grant of the Option; and</w:t>
      </w:r>
    </w:p>
    <w:p>
      <w:pPr>
        <w:spacing w:after="0" w:line="174" w:lineRule="exact"/>
        <w:rPr>
          <w:rFonts w:ascii="Arial" w:cs="Arial" w:eastAsia="Arial" w:hAnsi="Arial"/>
          <w:sz w:val="22"/>
          <w:szCs w:val="22"/>
          <w:b w:val="1"/>
          <w:bCs w:val="1"/>
          <w:color w:val="auto"/>
        </w:rPr>
      </w:pPr>
    </w:p>
    <w:p>
      <w:pPr>
        <w:ind w:left="1980" w:hanging="676"/>
        <w:spacing w:after="0"/>
        <w:tabs>
          <w:tab w:leader="none" w:pos="1980" w:val="left"/>
        </w:tabs>
        <w:numPr>
          <w:ilvl w:val="1"/>
          <w:numId w:val="29"/>
        </w:numPr>
        <w:rPr>
          <w:rFonts w:ascii="Arial" w:cs="Arial" w:eastAsia="Arial" w:hAnsi="Arial"/>
          <w:sz w:val="22"/>
          <w:szCs w:val="22"/>
          <w:b w:val="1"/>
          <w:bCs w:val="1"/>
          <w:color w:val="auto"/>
        </w:rPr>
      </w:pPr>
      <w:r>
        <w:rPr>
          <w:rFonts w:ascii="Arial" w:cs="Arial" w:eastAsia="Arial" w:hAnsi="Arial"/>
          <w:sz w:val="22"/>
          <w:szCs w:val="22"/>
          <w:color w:val="auto"/>
        </w:rPr>
        <w:t>Section 8(c) regarding the tax consequences of your Option.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80"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EXERCISE.</w:t>
      </w:r>
    </w:p>
    <w:p>
      <w:pPr>
        <w:spacing w:after="0" w:line="212" w:lineRule="exact"/>
        <w:rPr>
          <w:rFonts w:ascii="Arial" w:cs="Arial" w:eastAsia="Arial" w:hAnsi="Arial"/>
          <w:sz w:val="22"/>
          <w:szCs w:val="22"/>
          <w:b w:val="1"/>
          <w:bCs w:val="1"/>
          <w:color w:val="auto"/>
        </w:rPr>
      </w:pPr>
    </w:p>
    <w:p>
      <w:pPr>
        <w:jc w:val="both"/>
        <w:ind w:firstLine="1304"/>
        <w:spacing w:after="0" w:line="235" w:lineRule="auto"/>
        <w:tabs>
          <w:tab w:leader="none" w:pos="1980" w:val="left"/>
        </w:tabs>
        <w:numPr>
          <w:ilvl w:val="1"/>
          <w:numId w:val="30"/>
        </w:numPr>
        <w:rPr>
          <w:rFonts w:ascii="Arial" w:cs="Arial" w:eastAsia="Arial" w:hAnsi="Arial"/>
          <w:sz w:val="22"/>
          <w:szCs w:val="22"/>
          <w:b w:val="1"/>
          <w:bCs w:val="1"/>
          <w:color w:val="auto"/>
        </w:rPr>
      </w:pPr>
      <w:r>
        <w:rPr>
          <w:rFonts w:ascii="Arial" w:cs="Arial" w:eastAsia="Arial" w:hAnsi="Arial"/>
          <w:sz w:val="22"/>
          <w:szCs w:val="22"/>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187" w:lineRule="exact"/>
        <w:rPr>
          <w:rFonts w:ascii="Arial" w:cs="Arial" w:eastAsia="Arial" w:hAnsi="Arial"/>
          <w:sz w:val="22"/>
          <w:szCs w:val="22"/>
          <w:b w:val="1"/>
          <w:bCs w:val="1"/>
          <w:color w:val="auto"/>
        </w:rPr>
      </w:pPr>
    </w:p>
    <w:p>
      <w:pPr>
        <w:ind w:left="2100" w:hanging="796"/>
        <w:spacing w:after="0"/>
        <w:tabs>
          <w:tab w:leader="none" w:pos="2100" w:val="left"/>
        </w:tabs>
        <w:numPr>
          <w:ilvl w:val="1"/>
          <w:numId w:val="30"/>
        </w:numPr>
        <w:rPr>
          <w:rFonts w:ascii="Arial" w:cs="Arial" w:eastAsia="Arial" w:hAnsi="Arial"/>
          <w:sz w:val="19"/>
          <w:szCs w:val="19"/>
          <w:b w:val="1"/>
          <w:bCs w:val="1"/>
          <w:color w:val="auto"/>
        </w:rPr>
      </w:pPr>
      <w:r>
        <w:rPr>
          <w:rFonts w:ascii="Arial" w:cs="Arial" w:eastAsia="Arial" w:hAnsi="Arial"/>
          <w:sz w:val="19"/>
          <w:szCs w:val="19"/>
          <w:color w:val="auto"/>
        </w:rPr>
        <w:t>To the extent permitted by Applicable Law, you may pay your Option exercise price as</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follows:</w:t>
      </w:r>
    </w:p>
    <w:p>
      <w:pPr>
        <w:spacing w:after="0" w:line="188" w:lineRule="exact"/>
        <w:rPr>
          <w:rFonts w:ascii="Arial" w:cs="Arial" w:eastAsia="Arial" w:hAnsi="Arial"/>
          <w:sz w:val="19"/>
          <w:szCs w:val="19"/>
          <w:b w:val="1"/>
          <w:bCs w:val="1"/>
          <w:color w:val="auto"/>
        </w:rPr>
      </w:pPr>
    </w:p>
    <w:p>
      <w:pPr>
        <w:ind w:left="2640" w:hanging="688"/>
        <w:spacing w:after="0"/>
        <w:tabs>
          <w:tab w:leader="none" w:pos="2640" w:val="left"/>
        </w:tabs>
        <w:numPr>
          <w:ilvl w:val="2"/>
          <w:numId w:val="30"/>
        </w:numPr>
        <w:rPr>
          <w:rFonts w:ascii="Arial" w:cs="Arial" w:eastAsia="Arial" w:hAnsi="Arial"/>
          <w:sz w:val="22"/>
          <w:szCs w:val="22"/>
          <w:b w:val="1"/>
          <w:bCs w:val="1"/>
          <w:color w:val="auto"/>
        </w:rPr>
      </w:pPr>
      <w:r>
        <w:rPr>
          <w:rFonts w:ascii="Arial" w:cs="Arial" w:eastAsia="Arial" w:hAnsi="Arial"/>
          <w:sz w:val="22"/>
          <w:szCs w:val="22"/>
          <w:color w:val="auto"/>
        </w:rPr>
        <w:t>cash, check, bank draft or money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641350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14" w:right="999" w:bottom="1440" w:gutter="0" w:footer="0" w:header="0"/>
        </w:sectPr>
      </w:pPr>
    </w:p>
    <w:bookmarkStart w:id="69" w:name="page70"/>
    <w:bookmarkEnd w:id="69"/>
    <w:p>
      <w:pPr>
        <w:jc w:val="both"/>
        <w:ind w:firstLine="1952"/>
        <w:spacing w:after="0"/>
        <w:tabs>
          <w:tab w:leader="none" w:pos="2613" w:val="left"/>
        </w:tabs>
        <w:numPr>
          <w:ilvl w:val="2"/>
          <w:numId w:val="31"/>
        </w:numPr>
        <w:rPr>
          <w:rFonts w:ascii="Arial" w:cs="Arial" w:eastAsia="Arial" w:hAnsi="Arial"/>
          <w:sz w:val="22"/>
          <w:szCs w:val="22"/>
          <w:b w:val="1"/>
          <w:bCs w:val="1"/>
          <w:color w:val="auto"/>
        </w:rPr>
      </w:pPr>
      <w:r>
        <w:rPr>
          <w:rFonts w:ascii="Arial" w:cs="Arial" w:eastAsia="Arial" w:hAnsi="Arial"/>
          <w:sz w:val="22"/>
          <w:szCs w:val="22"/>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186" w:lineRule="exact"/>
        <w:rPr>
          <w:rFonts w:ascii="Arial" w:cs="Arial" w:eastAsia="Arial" w:hAnsi="Arial"/>
          <w:sz w:val="22"/>
          <w:szCs w:val="22"/>
          <w:b w:val="1"/>
          <w:bCs w:val="1"/>
          <w:color w:val="auto"/>
        </w:rPr>
      </w:pPr>
    </w:p>
    <w:p>
      <w:pPr>
        <w:ind w:firstLine="1952"/>
        <w:spacing w:after="0" w:line="328" w:lineRule="auto"/>
        <w:tabs>
          <w:tab w:leader="none" w:pos="2659" w:val="left"/>
        </w:tabs>
        <w:numPr>
          <w:ilvl w:val="2"/>
          <w:numId w:val="31"/>
        </w:numPr>
        <w:rPr>
          <w:rFonts w:ascii="Arial" w:cs="Arial" w:eastAsia="Arial" w:hAnsi="Arial"/>
          <w:sz w:val="19"/>
          <w:szCs w:val="19"/>
          <w:b w:val="1"/>
          <w:bCs w:val="1"/>
          <w:color w:val="auto"/>
        </w:rPr>
      </w:pPr>
      <w:r>
        <w:rPr>
          <w:rFonts w:ascii="Arial" w:cs="Arial" w:eastAsia="Arial" w:hAnsi="Arial"/>
          <w:sz w:val="19"/>
          <w:szCs w:val="19"/>
          <w:color w:val="auto"/>
        </w:rPr>
        <w:t>subject to Company and/or Committee consent at the time of exercise, by delivery of previously owned shares of Common Stock as further described in Section 4(c)(iii) of the Plan; or</w:t>
      </w:r>
    </w:p>
    <w:p>
      <w:pPr>
        <w:spacing w:after="0" w:line="104" w:lineRule="exact"/>
        <w:rPr>
          <w:rFonts w:ascii="Arial" w:cs="Arial" w:eastAsia="Arial" w:hAnsi="Arial"/>
          <w:sz w:val="19"/>
          <w:szCs w:val="19"/>
          <w:b w:val="1"/>
          <w:bCs w:val="1"/>
          <w:color w:val="auto"/>
        </w:rPr>
      </w:pPr>
    </w:p>
    <w:p>
      <w:pPr>
        <w:jc w:val="both"/>
        <w:ind w:firstLine="1952"/>
        <w:spacing w:after="0"/>
        <w:tabs>
          <w:tab w:leader="none" w:pos="2647" w:val="left"/>
        </w:tabs>
        <w:numPr>
          <w:ilvl w:val="2"/>
          <w:numId w:val="31"/>
        </w:numPr>
        <w:rPr>
          <w:rFonts w:ascii="Arial" w:cs="Arial" w:eastAsia="Arial" w:hAnsi="Arial"/>
          <w:sz w:val="22"/>
          <w:szCs w:val="22"/>
          <w:b w:val="1"/>
          <w:bCs w:val="1"/>
          <w:color w:val="auto"/>
        </w:rPr>
      </w:pPr>
      <w:r>
        <w:rPr>
          <w:rFonts w:ascii="Arial" w:cs="Arial" w:eastAsia="Arial" w:hAnsi="Arial"/>
          <w:sz w:val="22"/>
          <w:szCs w:val="22"/>
          <w:color w:val="auto"/>
        </w:rPr>
        <w:t>subject to Company and/or Committee consent at the time of exercise, if the Option is a Nonstatutory Stock Option, by a “net exercise” arrangement as further described in Section 4(c)(iv) of the Plan.</w:t>
      </w:r>
    </w:p>
    <w:p>
      <w:pPr>
        <w:spacing w:after="0" w:line="180" w:lineRule="exact"/>
        <w:rPr>
          <w:rFonts w:ascii="Arial" w:cs="Arial" w:eastAsia="Arial" w:hAnsi="Arial"/>
          <w:sz w:val="22"/>
          <w:szCs w:val="22"/>
          <w:b w:val="1"/>
          <w:bCs w:val="1"/>
          <w:color w:val="auto"/>
        </w:rPr>
      </w:pPr>
    </w:p>
    <w:p>
      <w:pPr>
        <w:ind w:firstLine="656"/>
        <w:spacing w:after="0" w:line="334" w:lineRule="auto"/>
        <w:tabs>
          <w:tab w:leader="none" w:pos="1346"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You may not exercise your Option before the commencement of its term or after its term</w:t>
      </w:r>
      <w:r>
        <w:rPr>
          <w:rFonts w:ascii="Arial" w:cs="Arial" w:eastAsia="Arial" w:hAnsi="Arial"/>
          <w:sz w:val="19"/>
          <w:szCs w:val="19"/>
          <w:b w:val="1"/>
          <w:bCs w:val="1"/>
          <w:color w:val="auto"/>
        </w:rPr>
        <w:t xml:space="preserve"> </w:t>
      </w:r>
      <w:r>
        <w:rPr>
          <w:rFonts w:ascii="Arial" w:cs="Arial" w:eastAsia="Arial" w:hAnsi="Arial"/>
          <w:sz w:val="19"/>
          <w:szCs w:val="19"/>
          <w:color w:val="auto"/>
        </w:rPr>
        <w:t>expires. The term of your option commences on the Date of Grant and expires upon the earliest of the following:</w:t>
      </w:r>
    </w:p>
    <w:p>
      <w:pPr>
        <w:spacing w:after="0" w:line="99" w:lineRule="exact"/>
        <w:rPr>
          <w:rFonts w:ascii="Arial" w:cs="Arial" w:eastAsia="Arial" w:hAnsi="Arial"/>
          <w:sz w:val="19"/>
          <w:szCs w:val="19"/>
          <w:b w:val="1"/>
          <w:bCs w:val="1"/>
          <w:color w:val="auto"/>
        </w:rPr>
      </w:pPr>
    </w:p>
    <w:p>
      <w:pPr>
        <w:ind w:left="1980" w:hanging="676"/>
        <w:spacing w:after="0"/>
        <w:tabs>
          <w:tab w:leader="none" w:pos="1980" w:val="left"/>
        </w:tabs>
        <w:numPr>
          <w:ilvl w:val="1"/>
          <w:numId w:val="32"/>
        </w:numPr>
        <w:rPr>
          <w:rFonts w:ascii="Arial" w:cs="Arial" w:eastAsia="Arial" w:hAnsi="Arial"/>
          <w:sz w:val="22"/>
          <w:szCs w:val="22"/>
          <w:b w:val="1"/>
          <w:bCs w:val="1"/>
          <w:color w:val="auto"/>
        </w:rPr>
      </w:pPr>
      <w:r>
        <w:rPr>
          <w:rFonts w:ascii="Arial" w:cs="Arial" w:eastAsia="Arial" w:hAnsi="Arial"/>
          <w:sz w:val="22"/>
          <w:szCs w:val="22"/>
          <w:color w:val="auto"/>
        </w:rPr>
        <w:t>immediately upon the termination of your Continuous Service for Cause;</w:t>
      </w:r>
    </w:p>
    <w:p>
      <w:pPr>
        <w:spacing w:after="0" w:line="206" w:lineRule="exact"/>
        <w:rPr>
          <w:rFonts w:ascii="Arial" w:cs="Arial" w:eastAsia="Arial" w:hAnsi="Arial"/>
          <w:sz w:val="22"/>
          <w:szCs w:val="22"/>
          <w:b w:val="1"/>
          <w:bCs w:val="1"/>
          <w:color w:val="auto"/>
        </w:rPr>
      </w:pPr>
    </w:p>
    <w:p>
      <w:pPr>
        <w:ind w:firstLine="1304"/>
        <w:spacing w:after="0" w:line="250" w:lineRule="auto"/>
        <w:tabs>
          <w:tab w:leader="none" w:pos="2073" w:val="left"/>
        </w:tabs>
        <w:numPr>
          <w:ilvl w:val="1"/>
          <w:numId w:val="32"/>
        </w:numPr>
        <w:rPr>
          <w:rFonts w:ascii="Arial" w:cs="Arial" w:eastAsia="Arial" w:hAnsi="Arial"/>
          <w:sz w:val="22"/>
          <w:szCs w:val="22"/>
          <w:b w:val="1"/>
          <w:bCs w:val="1"/>
          <w:color w:val="auto"/>
        </w:rPr>
      </w:pPr>
      <w:r>
        <w:rPr>
          <w:rFonts w:ascii="Arial" w:cs="Arial" w:eastAsia="Arial" w:hAnsi="Arial"/>
          <w:sz w:val="22"/>
          <w:szCs w:val="22"/>
          <w:color w:val="auto"/>
        </w:rPr>
        <w:t>three months after the termination of your Continuous Service for any reason other than Cause, Disability or death;</w:t>
      </w:r>
    </w:p>
    <w:p>
      <w:pPr>
        <w:spacing w:after="0" w:line="174" w:lineRule="exact"/>
        <w:rPr>
          <w:rFonts w:ascii="Arial" w:cs="Arial" w:eastAsia="Arial" w:hAnsi="Arial"/>
          <w:sz w:val="22"/>
          <w:szCs w:val="22"/>
          <w:b w:val="1"/>
          <w:bCs w:val="1"/>
          <w:color w:val="auto"/>
        </w:rPr>
      </w:pPr>
    </w:p>
    <w:p>
      <w:pPr>
        <w:ind w:left="1980" w:hanging="676"/>
        <w:spacing w:after="0"/>
        <w:tabs>
          <w:tab w:leader="none" w:pos="1980" w:val="left"/>
        </w:tabs>
        <w:numPr>
          <w:ilvl w:val="1"/>
          <w:numId w:val="32"/>
        </w:numPr>
        <w:rPr>
          <w:rFonts w:ascii="Arial" w:cs="Arial" w:eastAsia="Arial" w:hAnsi="Arial"/>
          <w:sz w:val="22"/>
          <w:szCs w:val="22"/>
          <w:b w:val="1"/>
          <w:bCs w:val="1"/>
          <w:color w:val="auto"/>
        </w:rPr>
      </w:pPr>
      <w:r>
        <w:rPr>
          <w:rFonts w:ascii="Arial" w:cs="Arial" w:eastAsia="Arial" w:hAnsi="Arial"/>
          <w:sz w:val="22"/>
          <w:szCs w:val="22"/>
          <w:color w:val="auto"/>
        </w:rPr>
        <w:t>12 months after the termination of your Continuous Service due to your Disability;</w:t>
      </w:r>
    </w:p>
    <w:p>
      <w:pPr>
        <w:spacing w:after="0" w:line="206" w:lineRule="exact"/>
        <w:rPr>
          <w:rFonts w:ascii="Arial" w:cs="Arial" w:eastAsia="Arial" w:hAnsi="Arial"/>
          <w:sz w:val="22"/>
          <w:szCs w:val="22"/>
          <w:b w:val="1"/>
          <w:bCs w:val="1"/>
          <w:color w:val="auto"/>
        </w:rPr>
      </w:pPr>
    </w:p>
    <w:p>
      <w:pPr>
        <w:ind w:left="1940" w:hanging="636"/>
        <w:spacing w:after="0"/>
        <w:tabs>
          <w:tab w:leader="none" w:pos="1940" w:val="left"/>
        </w:tabs>
        <w:numPr>
          <w:ilvl w:val="1"/>
          <w:numId w:val="32"/>
        </w:numPr>
        <w:rPr>
          <w:rFonts w:ascii="Arial" w:cs="Arial" w:eastAsia="Arial" w:hAnsi="Arial"/>
          <w:sz w:val="22"/>
          <w:szCs w:val="22"/>
          <w:b w:val="1"/>
          <w:bCs w:val="1"/>
          <w:color w:val="auto"/>
        </w:rPr>
      </w:pPr>
      <w:r>
        <w:rPr>
          <w:rFonts w:ascii="Arial" w:cs="Arial" w:eastAsia="Arial" w:hAnsi="Arial"/>
          <w:sz w:val="22"/>
          <w:szCs w:val="22"/>
          <w:color w:val="auto"/>
        </w:rPr>
        <w:t>18 months after your death if you die during your Continuous Service;</w:t>
      </w:r>
    </w:p>
    <w:p>
      <w:pPr>
        <w:spacing w:after="0" w:line="206" w:lineRule="exact"/>
        <w:rPr>
          <w:rFonts w:ascii="Arial" w:cs="Arial" w:eastAsia="Arial" w:hAnsi="Arial"/>
          <w:sz w:val="22"/>
          <w:szCs w:val="22"/>
          <w:b w:val="1"/>
          <w:bCs w:val="1"/>
          <w:color w:val="auto"/>
        </w:rPr>
      </w:pPr>
    </w:p>
    <w:p>
      <w:pPr>
        <w:ind w:right="20" w:firstLine="1304"/>
        <w:spacing w:after="0" w:line="250" w:lineRule="auto"/>
        <w:tabs>
          <w:tab w:leader="none" w:pos="1981" w:val="left"/>
        </w:tabs>
        <w:numPr>
          <w:ilvl w:val="1"/>
          <w:numId w:val="32"/>
        </w:numPr>
        <w:rPr>
          <w:rFonts w:ascii="Arial" w:cs="Arial" w:eastAsia="Arial" w:hAnsi="Arial"/>
          <w:sz w:val="22"/>
          <w:szCs w:val="22"/>
          <w:b w:val="1"/>
          <w:bCs w:val="1"/>
          <w:color w:val="auto"/>
        </w:rPr>
      </w:pPr>
      <w:r>
        <w:rPr>
          <w:rFonts w:ascii="Arial" w:cs="Arial" w:eastAsia="Arial" w:hAnsi="Arial"/>
          <w:sz w:val="22"/>
          <w:szCs w:val="22"/>
          <w:color w:val="auto"/>
        </w:rPr>
        <w:t>immediately upon a Corporate Transaction if the Board has determined that the Option will terminate in connection with a Corporate Transaction,</w:t>
      </w:r>
    </w:p>
    <w:p>
      <w:pPr>
        <w:spacing w:after="0" w:line="174" w:lineRule="exact"/>
        <w:rPr>
          <w:rFonts w:ascii="Arial" w:cs="Arial" w:eastAsia="Arial" w:hAnsi="Arial"/>
          <w:sz w:val="22"/>
          <w:szCs w:val="22"/>
          <w:b w:val="1"/>
          <w:bCs w:val="1"/>
          <w:color w:val="auto"/>
        </w:rPr>
      </w:pPr>
    </w:p>
    <w:p>
      <w:pPr>
        <w:ind w:left="1960" w:hanging="656"/>
        <w:spacing w:after="0"/>
        <w:tabs>
          <w:tab w:leader="none" w:pos="1960" w:val="left"/>
        </w:tabs>
        <w:numPr>
          <w:ilvl w:val="1"/>
          <w:numId w:val="32"/>
        </w:numPr>
        <w:rPr>
          <w:rFonts w:ascii="Arial" w:cs="Arial" w:eastAsia="Arial" w:hAnsi="Arial"/>
          <w:sz w:val="22"/>
          <w:szCs w:val="22"/>
          <w:b w:val="1"/>
          <w:bCs w:val="1"/>
          <w:color w:val="auto"/>
        </w:rPr>
      </w:pPr>
      <w:r>
        <w:rPr>
          <w:rFonts w:ascii="Arial" w:cs="Arial" w:eastAsia="Arial" w:hAnsi="Arial"/>
          <w:sz w:val="22"/>
          <w:szCs w:val="22"/>
          <w:color w:val="auto"/>
        </w:rPr>
        <w:t>the Expiration Date indicated in your Grant Notice; or</w:t>
      </w:r>
    </w:p>
    <w:p>
      <w:pPr>
        <w:spacing w:after="0" w:line="206" w:lineRule="exact"/>
        <w:rPr>
          <w:rFonts w:ascii="Arial" w:cs="Arial" w:eastAsia="Arial" w:hAnsi="Arial"/>
          <w:sz w:val="22"/>
          <w:szCs w:val="22"/>
          <w:b w:val="1"/>
          <w:bCs w:val="1"/>
          <w:color w:val="auto"/>
        </w:rPr>
      </w:pPr>
    </w:p>
    <w:p>
      <w:pPr>
        <w:ind w:left="1980" w:hanging="676"/>
        <w:spacing w:after="0"/>
        <w:tabs>
          <w:tab w:leader="none" w:pos="1980" w:val="left"/>
        </w:tabs>
        <w:numPr>
          <w:ilvl w:val="1"/>
          <w:numId w:val="32"/>
        </w:numPr>
        <w:rPr>
          <w:rFonts w:ascii="Arial" w:cs="Arial" w:eastAsia="Arial" w:hAnsi="Arial"/>
          <w:sz w:val="22"/>
          <w:szCs w:val="22"/>
          <w:b w:val="1"/>
          <w:bCs w:val="1"/>
          <w:color w:val="auto"/>
        </w:rPr>
      </w:pPr>
      <w:r>
        <w:rPr>
          <w:rFonts w:ascii="Arial" w:cs="Arial" w:eastAsia="Arial" w:hAnsi="Arial"/>
          <w:sz w:val="22"/>
          <w:szCs w:val="22"/>
          <w:color w:val="auto"/>
        </w:rPr>
        <w:t>the day before the 10th anniversary of the Date of Grant.</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Notwithstanding the foregoing, if you die during the period provided in Section 3(b) or 3(c) above, the term of your Option shall not expire until the earlier of (i) eighteen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70" w:name="page71"/>
    <w:bookmarkEnd w:id="70"/>
    <w:p>
      <w:pPr>
        <w:jc w:val="both"/>
        <w:ind w:left="-460" w:firstLine="656"/>
        <w:spacing w:after="0" w:line="272" w:lineRule="auto"/>
        <w:tabs>
          <w:tab w:leader="none" w:pos="944"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WITHHOLDING OBLIGATIONS. </w:t>
      </w:r>
      <w:r>
        <w:rPr>
          <w:rFonts w:ascii="Arial" w:cs="Arial" w:eastAsia="Arial" w:hAnsi="Arial"/>
          <w:sz w:val="19"/>
          <w:szCs w:val="19"/>
          <w:color w:val="auto"/>
        </w:rPr>
        <w:t>As further provided in Section 8 of the Plan: (a) you may</w:t>
      </w:r>
      <w:r>
        <w:rPr>
          <w:rFonts w:ascii="Arial" w:cs="Arial" w:eastAsia="Arial" w:hAnsi="Arial"/>
          <w:sz w:val="19"/>
          <w:szCs w:val="19"/>
          <w:b w:val="1"/>
          <w:bCs w:val="1"/>
          <w:color w:val="auto"/>
        </w:rPr>
        <w:t xml:space="preserve"> </w:t>
      </w:r>
      <w:r>
        <w:rPr>
          <w:rFonts w:ascii="Arial" w:cs="Arial" w:eastAsia="Arial" w:hAnsi="Arial"/>
          <w:sz w:val="19"/>
          <w:szCs w:val="19"/>
          <w:color w:val="auto"/>
        </w:rPr>
        <w:t>not exercise your Option unless the applicable tax 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55" w:lineRule="exact"/>
        <w:rPr>
          <w:rFonts w:ascii="Arial" w:cs="Arial" w:eastAsia="Arial" w:hAnsi="Arial"/>
          <w:sz w:val="19"/>
          <w:szCs w:val="19"/>
          <w:b w:val="1"/>
          <w:bCs w:val="1"/>
          <w:color w:val="auto"/>
        </w:rPr>
      </w:pPr>
    </w:p>
    <w:p>
      <w:pPr>
        <w:jc w:val="both"/>
        <w:ind w:left="-460" w:firstLine="656"/>
        <w:spacing w:after="0" w:line="237" w:lineRule="auto"/>
        <w:tabs>
          <w:tab w:leader="none" w:pos="1163"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INCENTIVE STOCK OPTION DISPOSITION REQUIREMENT. </w:t>
      </w:r>
      <w:r>
        <w:rPr>
          <w:rFonts w:ascii="Arial" w:cs="Arial" w:eastAsia="Arial" w:hAnsi="Arial"/>
          <w:sz w:val="22"/>
          <w:szCs w:val="22"/>
          <w:color w:val="auto"/>
        </w:rPr>
        <w:t>If your option is an</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Stock Option, you must notify the Company in 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spacing w:after="0" w:line="181" w:lineRule="exact"/>
        <w:rPr>
          <w:rFonts w:ascii="Arial" w:cs="Arial" w:eastAsia="Arial" w:hAnsi="Arial"/>
          <w:sz w:val="22"/>
          <w:szCs w:val="22"/>
          <w:b w:val="1"/>
          <w:bCs w:val="1"/>
          <w:color w:val="auto"/>
        </w:rPr>
      </w:pPr>
    </w:p>
    <w:p>
      <w:pPr>
        <w:jc w:val="both"/>
        <w:ind w:left="-460" w:firstLine="656"/>
        <w:spacing w:after="0" w:line="243" w:lineRule="auto"/>
        <w:tabs>
          <w:tab w:leader="none" w:pos="90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TRANSFERABILITY. </w:t>
      </w:r>
      <w:r>
        <w:rPr>
          <w:rFonts w:ascii="Arial" w:cs="Arial" w:eastAsia="Arial" w:hAnsi="Arial"/>
          <w:sz w:val="22"/>
          <w:szCs w:val="22"/>
          <w:color w:val="auto"/>
        </w:rPr>
        <w:t>Except as otherwise provided in Section 4(e) of the Plan, your Option is</w:t>
      </w:r>
      <w:r>
        <w:rPr>
          <w:rFonts w:ascii="Arial" w:cs="Arial" w:eastAsia="Arial" w:hAnsi="Arial"/>
          <w:sz w:val="22"/>
          <w:szCs w:val="22"/>
          <w:b w:val="1"/>
          <w:bCs w:val="1"/>
          <w:color w:val="auto"/>
        </w:rPr>
        <w:t xml:space="preserve"> </w:t>
      </w:r>
      <w:r>
        <w:rPr>
          <w:rFonts w:ascii="Arial" w:cs="Arial" w:eastAsia="Arial" w:hAnsi="Arial"/>
          <w:sz w:val="22"/>
          <w:szCs w:val="22"/>
          <w:color w:val="auto"/>
        </w:rPr>
        <w:t>not transferable, except by will or by the applicable laws of descent and distribution, and is exercisable during your life only by you.</w:t>
      </w:r>
    </w:p>
    <w:p>
      <w:pPr>
        <w:spacing w:after="0" w:line="176" w:lineRule="exact"/>
        <w:rPr>
          <w:rFonts w:ascii="Arial" w:cs="Arial" w:eastAsia="Arial" w:hAnsi="Arial"/>
          <w:sz w:val="22"/>
          <w:szCs w:val="22"/>
          <w:b w:val="1"/>
          <w:bCs w:val="1"/>
          <w:color w:val="auto"/>
        </w:rPr>
      </w:pPr>
    </w:p>
    <w:p>
      <w:pPr>
        <w:jc w:val="both"/>
        <w:ind w:left="-460" w:firstLine="656"/>
        <w:spacing w:after="0" w:line="239" w:lineRule="auto"/>
        <w:tabs>
          <w:tab w:leader="none" w:pos="1213"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CORPORATE TRANSACTION. </w:t>
      </w:r>
      <w:r>
        <w:rPr>
          <w:rFonts w:ascii="Arial" w:cs="Arial" w:eastAsia="Arial" w:hAnsi="Arial"/>
          <w:sz w:val="22"/>
          <w:szCs w:val="22"/>
          <w:color w:val="auto"/>
        </w:rPr>
        <w:t>Your Option is subject to the terms of any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governing a Corporate Transaction involving the Company, including, without limitation, a provision for the appointment of a stockholder representative that is authorized to act on your behalf with respect to any escrow, indemnities and any contingent consideration.</w:t>
      </w:r>
    </w:p>
    <w:p>
      <w:pPr>
        <w:spacing w:after="0" w:line="180" w:lineRule="exact"/>
        <w:rPr>
          <w:rFonts w:ascii="Arial" w:cs="Arial" w:eastAsia="Arial" w:hAnsi="Arial"/>
          <w:sz w:val="22"/>
          <w:szCs w:val="22"/>
          <w:b w:val="1"/>
          <w:bCs w:val="1"/>
          <w:color w:val="auto"/>
        </w:rPr>
      </w:pPr>
    </w:p>
    <w:p>
      <w:pPr>
        <w:jc w:val="both"/>
        <w:ind w:left="-460" w:firstLine="656"/>
        <w:spacing w:after="0" w:line="273" w:lineRule="auto"/>
        <w:tabs>
          <w:tab w:leader="none" w:pos="917"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NO LIABILITY FOR TAXES</w:t>
      </w:r>
      <w:r>
        <w:rPr>
          <w:rFonts w:ascii="Arial" w:cs="Arial" w:eastAsia="Arial" w:hAnsi="Arial"/>
          <w:sz w:val="19"/>
          <w:szCs w:val="19"/>
          <w:color w:val="auto"/>
        </w:rPr>
        <w:t>. As a condition to accepting the Option, you hereby (a) agree to</w:t>
      </w:r>
      <w:r>
        <w:rPr>
          <w:rFonts w:ascii="Arial" w:cs="Arial" w:eastAsia="Arial" w:hAnsi="Arial"/>
          <w:sz w:val="19"/>
          <w:szCs w:val="19"/>
          <w:b w:val="1"/>
          <w:bCs w:val="1"/>
          <w:color w:val="auto"/>
        </w:rPr>
        <w:t xml:space="preserve"> </w:t>
      </w:r>
      <w:r>
        <w:rPr>
          <w:rFonts w:ascii="Arial" w:cs="Arial" w:eastAsia="Arial" w:hAnsi="Arial"/>
          <w:sz w:val="19"/>
          <w:szCs w:val="19"/>
          <w:color w:val="auto"/>
        </w:rPr>
        <w:t>not make any claim 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613410</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5" w:right="999" w:bottom="1440" w:gutter="0" w:footer="0" w:header="0"/>
        </w:sectPr>
      </w:pPr>
    </w:p>
    <w:bookmarkStart w:id="71" w:name="page72"/>
    <w:bookmarkEnd w:id="71"/>
    <w:p>
      <w:pPr>
        <w:jc w:val="both"/>
        <w:ind w:left="-460" w:firstLine="656"/>
        <w:spacing w:after="0" w:line="236" w:lineRule="auto"/>
        <w:tabs>
          <w:tab w:leader="none" w:pos="944"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part of this Option Agreement or the Plan is declared by any court or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1" w:lineRule="exact"/>
        <w:rPr>
          <w:rFonts w:ascii="Arial" w:cs="Arial" w:eastAsia="Arial" w:hAnsi="Arial"/>
          <w:sz w:val="22"/>
          <w:szCs w:val="22"/>
          <w:b w:val="1"/>
          <w:bCs w:val="1"/>
          <w:color w:val="auto"/>
        </w:rPr>
      </w:pPr>
    </w:p>
    <w:p>
      <w:pPr>
        <w:jc w:val="both"/>
        <w:ind w:left="-460" w:firstLine="656"/>
        <w:spacing w:after="0" w:line="260" w:lineRule="auto"/>
        <w:tabs>
          <w:tab w:leader="none" w:pos="895" w:val="left"/>
        </w:tabs>
        <w:numPr>
          <w:ilvl w:val="0"/>
          <w:numId w:val="3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DOCUMENTS. </w:t>
      </w:r>
      <w:r>
        <w:rPr>
          <w:rFonts w:ascii="Arial" w:cs="Arial" w:eastAsia="Arial" w:hAnsi="Arial"/>
          <w:sz w:val="21"/>
          <w:szCs w:val="21"/>
          <w:color w:val="auto"/>
        </w:rPr>
        <w:t>You hereby acknowledge receipt of or the right to receive a document</w:t>
      </w:r>
      <w:r>
        <w:rPr>
          <w:rFonts w:ascii="Arial" w:cs="Arial" w:eastAsia="Arial" w:hAnsi="Arial"/>
          <w:sz w:val="21"/>
          <w:szCs w:val="21"/>
          <w:b w:val="1"/>
          <w:bCs w:val="1"/>
          <w:color w:val="auto"/>
        </w:rPr>
        <w:t xml:space="preserve"> </w:t>
      </w:r>
      <w:r>
        <w:rPr>
          <w:rFonts w:ascii="Arial" w:cs="Arial" w:eastAsia="Arial" w:hAnsi="Arial"/>
          <w:sz w:val="21"/>
          <w:szCs w:val="21"/>
          <w:color w:val="auto"/>
        </w:rPr>
        <w:t>providing the information required by Rule 428(b)(1) promulgated under the Securities Act, which includes the Prospectus. In addition, you acknowledge receipt of the Company’s Trading Policy.</w:t>
      </w:r>
    </w:p>
    <w:p>
      <w:pPr>
        <w:spacing w:after="0" w:line="160" w:lineRule="exact"/>
        <w:rPr>
          <w:rFonts w:ascii="Arial" w:cs="Arial" w:eastAsia="Arial" w:hAnsi="Arial"/>
          <w:sz w:val="21"/>
          <w:szCs w:val="21"/>
          <w:b w:val="1"/>
          <w:bCs w:val="1"/>
          <w:color w:val="auto"/>
        </w:rPr>
      </w:pPr>
    </w:p>
    <w:p>
      <w:pPr>
        <w:jc w:val="both"/>
        <w:ind w:left="-460" w:right="20" w:firstLine="656"/>
        <w:spacing w:after="0" w:line="334" w:lineRule="auto"/>
        <w:tabs>
          <w:tab w:leader="none" w:pos="86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QUESTIONS. </w:t>
      </w:r>
      <w:r>
        <w:rPr>
          <w:rFonts w:ascii="Arial" w:cs="Arial" w:eastAsia="Arial" w:hAnsi="Arial"/>
          <w:sz w:val="19"/>
          <w:szCs w:val="19"/>
          <w:color w:val="auto"/>
        </w:rPr>
        <w:t>If you have questions regarding these or any other terms and conditions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to your Option, including a summary of the applicable federal income tax consequences please see the Prospectus.</w:t>
      </w:r>
    </w:p>
    <w:p>
      <w:pPr>
        <w:spacing w:after="0" w:line="93" w:lineRule="exact"/>
        <w:rPr>
          <w:rFonts w:ascii="Arial" w:cs="Arial" w:eastAsia="Arial" w:hAnsi="Arial"/>
          <w:sz w:val="19"/>
          <w:szCs w:val="19"/>
          <w:b w:val="1"/>
          <w:bCs w:val="1"/>
          <w:color w:val="auto"/>
        </w:rPr>
      </w:pPr>
    </w:p>
    <w:p>
      <w:pPr>
        <w:ind w:left="4120"/>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1210945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55" w:right="99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22"/>
          <w:szCs w:val="22"/>
          <w:b w:val="1"/>
          <w:bCs w:val="1"/>
          <w:color w:val="auto"/>
        </w:rPr>
        <w:t>ATTACHMENT III</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363220</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3" w:name="page74"/>
    <w:bookmarkEnd w:id="73"/>
    <w:p>
      <w:pPr>
        <w:jc w:val="right"/>
        <w:spacing w:after="0"/>
        <w:rPr>
          <w:sz w:val="20"/>
          <w:szCs w:val="20"/>
          <w:color w:val="auto"/>
        </w:rPr>
      </w:pPr>
      <w:r>
        <w:rPr>
          <w:rFonts w:ascii="Arial" w:cs="Arial" w:eastAsia="Arial" w:hAnsi="Arial"/>
          <w:sz w:val="25"/>
          <w:szCs w:val="25"/>
          <w:b w:val="1"/>
          <w:bCs w:val="1"/>
          <w:color w:val="auto"/>
        </w:rPr>
        <w:t>Exhibit 10.2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 xml:space="preserve">RSU AWARD </w:t>
      </w:r>
      <w:r>
        <w:rPr>
          <w:rFonts w:ascii="Arial" w:cs="Arial" w:eastAsia="Arial" w:hAnsi="Arial"/>
          <w:sz w:val="25"/>
          <w:szCs w:val="25"/>
          <w:b w:val="1"/>
          <w:bCs w:val="1"/>
          <w:color w:val="auto"/>
        </w:rPr>
        <w:t>GRANT NOTICE</w:t>
      </w:r>
    </w:p>
    <w:p>
      <w:pPr>
        <w:jc w:val="center"/>
        <w:spacing w:after="0"/>
        <w:rPr>
          <w:sz w:val="20"/>
          <w:szCs w:val="20"/>
          <w:color w:val="auto"/>
        </w:rPr>
      </w:pPr>
      <w:r>
        <w:rPr>
          <w:rFonts w:ascii="Arial" w:cs="Arial" w:eastAsia="Arial" w:hAnsi="Arial"/>
          <w:sz w:val="22"/>
          <w:szCs w:val="22"/>
          <w:b w:val="1"/>
          <w:bCs w:val="1"/>
          <w:color w:val="auto"/>
        </w:rPr>
        <w:t>(2020 EQUITY INCENTIVE PLAN)</w:t>
      </w:r>
    </w:p>
    <w:p>
      <w:pPr>
        <w:spacing w:after="0" w:line="200" w:lineRule="exact"/>
        <w:rPr>
          <w:sz w:val="20"/>
          <w:szCs w:val="20"/>
          <w:color w:val="auto"/>
        </w:rPr>
      </w:pP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Marker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awarded to you (the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the number of restricted stock units specified and on the terms set forth below in consideration of your services (the “</w:t>
      </w:r>
      <w:r>
        <w:rPr>
          <w:rFonts w:ascii="Arial" w:cs="Arial" w:eastAsia="Arial" w:hAnsi="Arial"/>
          <w:sz w:val="17"/>
          <w:szCs w:val="17"/>
          <w:b w:val="1"/>
          <w:bCs w:val="1"/>
          <w:i w:val="1"/>
          <w:iCs w:val="1"/>
          <w:color w:val="auto"/>
        </w:rPr>
        <w:t>RSU Award</w:t>
      </w:r>
      <w:r>
        <w:rPr>
          <w:rFonts w:ascii="Arial" w:cs="Arial" w:eastAsia="Arial" w:hAnsi="Arial"/>
          <w:sz w:val="17"/>
          <w:szCs w:val="17"/>
          <w:color w:val="auto"/>
        </w:rPr>
        <w:t>”). Your RSU Award is subject to all of the terms and conditions as set forth herein and in the Company’s 2020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the Award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14605</wp:posOffset>
            </wp:positionV>
            <wp:extent cx="24599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-121920</wp:posOffset>
            </wp:positionV>
            <wp:extent cx="24599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22860</wp:posOffset>
            </wp:positionV>
            <wp:extent cx="24599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-121920</wp:posOffset>
            </wp:positionV>
            <wp:extent cx="24599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27"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[__________________________________________________________________].</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Notwithstanding the foregoing, vesting shall terminate upon the Participant’s termination of Continuous Service.</w:t>
      </w:r>
    </w:p>
    <w:p>
      <w:pPr>
        <w:spacing w:after="0" w:line="230" w:lineRule="exact"/>
        <w:rPr>
          <w:sz w:val="20"/>
          <w:szCs w:val="20"/>
          <w:color w:val="auto"/>
        </w:rPr>
      </w:pPr>
    </w:p>
    <w:p>
      <w:pPr>
        <w:jc w:val="both"/>
        <w:ind w:left="1620" w:hanging="1619"/>
        <w:spacing w:after="0" w:line="277" w:lineRule="auto"/>
        <w:tabs>
          <w:tab w:leader="none" w:pos="1600" w:val="left"/>
        </w:tabs>
        <w:rPr>
          <w:sz w:val="20"/>
          <w:szCs w:val="20"/>
          <w:color w:val="auto"/>
        </w:rPr>
      </w:pPr>
      <w:r>
        <w:rPr>
          <w:rFonts w:ascii="Arial" w:cs="Arial" w:eastAsia="Arial" w:hAnsi="Arial"/>
          <w:sz w:val="18"/>
          <w:szCs w:val="18"/>
          <w:b w:val="1"/>
          <w:bCs w:val="1"/>
          <w:color w:val="auto"/>
        </w:rPr>
        <w:t>Issuance Schedule:</w:t>
      </w:r>
      <w:r>
        <w:rPr>
          <w:sz w:val="20"/>
          <w:szCs w:val="20"/>
          <w:color w:val="auto"/>
        </w:rPr>
        <w:tab/>
      </w:r>
      <w:r>
        <w:rPr>
          <w:rFonts w:ascii="Arial" w:cs="Arial" w:eastAsia="Arial" w:hAnsi="Arial"/>
          <w:sz w:val="18"/>
          <w:szCs w:val="18"/>
          <w:color w:val="auto"/>
        </w:rPr>
        <w:t>One share of Common Stock will be issued for each restricted stock unit which vests at the time set forth in Section 5 of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Participant Acknowledgements:  </w:t>
      </w:r>
      <w:r>
        <w:rPr>
          <w:rFonts w:ascii="Arial" w:cs="Arial" w:eastAsia="Arial" w:hAnsi="Arial"/>
          <w:sz w:val="16"/>
          <w:szCs w:val="16"/>
          <w:color w:val="auto"/>
        </w:rPr>
        <w:t>By your signature below or by electronic acceptance or authentication in a form authorized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 you understand and agree that:</w:t>
      </w:r>
    </w:p>
    <w:p>
      <w:pPr>
        <w:spacing w:after="0" w:line="211" w:lineRule="exact"/>
        <w:rPr>
          <w:sz w:val="20"/>
          <w:szCs w:val="20"/>
          <w:color w:val="auto"/>
        </w:rPr>
      </w:pPr>
    </w:p>
    <w:p>
      <w:pPr>
        <w:jc w:val="both"/>
        <w:ind w:left="660" w:hanging="328"/>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RSU Award is governed by this RSU Award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the provisions of the Plan and the Agreement, all of which are made a part of this document. Unless otherwise provided in the Plan, this Grant Notice and the Agreement (together, the “</w:t>
      </w:r>
      <w:r>
        <w:rPr>
          <w:rFonts w:ascii="Arial" w:cs="Arial" w:eastAsia="Arial" w:hAnsi="Arial"/>
          <w:sz w:val="18"/>
          <w:szCs w:val="18"/>
          <w:b w:val="1"/>
          <w:bCs w:val="1"/>
          <w:i w:val="1"/>
          <w:iCs w:val="1"/>
          <w:color w:val="auto"/>
        </w:rPr>
        <w:t>RSU Award Agreement</w:t>
      </w:r>
      <w:r>
        <w:rPr>
          <w:rFonts w:ascii="Arial" w:cs="Arial" w:eastAsia="Arial" w:hAnsi="Arial"/>
          <w:sz w:val="18"/>
          <w:szCs w:val="18"/>
          <w:color w:val="auto"/>
        </w:rPr>
        <w:t>”) may not be modified, amended or revised except in a writing signed by you and a duly authorized officer of the Company.</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183"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600710</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MARKER THERAPEUTICS, INC.</w:t>
            </w:r>
          </w:p>
        </w:tc>
        <w:tc>
          <w:tcPr>
            <w:tcW w:w="2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195"/>
        </w:trPr>
        <w:tc>
          <w:tcPr>
            <w:tcW w:w="500" w:type="dxa"/>
            <w:vAlign w:val="bottom"/>
          </w:tcPr>
          <w:p>
            <w:pPr>
              <w:spacing w:after="0"/>
              <w:rPr>
                <w:sz w:val="16"/>
                <w:szCs w:val="16"/>
                <w:color w:val="auto"/>
              </w:rPr>
            </w:pPr>
          </w:p>
        </w:tc>
        <w:tc>
          <w:tcPr>
            <w:tcW w:w="4360" w:type="dxa"/>
            <w:vAlign w:val="bottom"/>
            <w:tcBorders>
              <w:top w:val="single" w:sz="8" w:color="auto"/>
            </w:tcBorders>
          </w:tcPr>
          <w:p>
            <w:pPr>
              <w:ind w:left="1840"/>
              <w:spacing w:after="0" w:line="195" w:lineRule="exact"/>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340" w:type="dxa"/>
            <w:vAlign w:val="bottom"/>
            <w:tcBorders>
              <w:top w:val="single" w:sz="8" w:color="auto"/>
            </w:tcBorders>
          </w:tcPr>
          <w:p>
            <w:pPr>
              <w:ind w:left="1580"/>
              <w:spacing w:after="0" w:line="195" w:lineRule="exact"/>
              <w:rPr>
                <w:sz w:val="20"/>
                <w:szCs w:val="20"/>
                <w:color w:val="auto"/>
              </w:rPr>
            </w:pPr>
            <w:r>
              <w:rPr>
                <w:rFonts w:ascii="Arial" w:cs="Arial" w:eastAsia="Arial" w:hAnsi="Arial"/>
                <w:sz w:val="18"/>
                <w:szCs w:val="18"/>
                <w:color w:val="auto"/>
              </w:rPr>
              <w:t>Signature</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3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RSU Award Agreement,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22"/>
          <w:szCs w:val="22"/>
          <w:b w:val="1"/>
          <w:bCs w:val="1"/>
          <w:color w:val="auto"/>
        </w:rPr>
        <w:t>ATTACHMENT I</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RSU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22"/>
          <w:szCs w:val="22"/>
          <w:b w:val="1"/>
          <w:bCs w:val="1"/>
          <w:color w:val="auto"/>
        </w:rPr>
        <w:t>ATTACHMENT II</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2020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7" w:name="page78"/>
    <w:bookmarkEnd w:id="77"/>
    <w:p>
      <w:pPr>
        <w:ind w:left="3040"/>
        <w:spacing w:after="0"/>
        <w:rPr>
          <w:sz w:val="20"/>
          <w:szCs w:val="20"/>
          <w:color w:val="auto"/>
        </w:rPr>
      </w:pPr>
      <w:r>
        <w:rPr>
          <w:rFonts w:ascii="Arial" w:cs="Arial" w:eastAsia="Arial" w:hAnsi="Arial"/>
          <w:sz w:val="25"/>
          <w:szCs w:val="25"/>
          <w:b w:val="1"/>
          <w:bCs w:val="1"/>
          <w:color w:val="auto"/>
        </w:rPr>
        <w:t>MARKER THERAPEUTICS, INC.</w:t>
      </w:r>
    </w:p>
    <w:p>
      <w:pPr>
        <w:spacing w:after="0" w:line="38" w:lineRule="exact"/>
        <w:rPr>
          <w:sz w:val="20"/>
          <w:szCs w:val="20"/>
          <w:color w:val="auto"/>
        </w:rPr>
      </w:pPr>
    </w:p>
    <w:p>
      <w:pPr>
        <w:ind w:left="3060"/>
        <w:spacing w:after="0"/>
        <w:rPr>
          <w:sz w:val="20"/>
          <w:szCs w:val="20"/>
          <w:color w:val="auto"/>
        </w:rPr>
      </w:pPr>
      <w:r>
        <w:rPr>
          <w:rFonts w:ascii="Arial" w:cs="Arial" w:eastAsia="Arial" w:hAnsi="Arial"/>
          <w:sz w:val="25"/>
          <w:szCs w:val="25"/>
          <w:b w:val="1"/>
          <w:bCs w:val="1"/>
          <w:color w:val="auto"/>
        </w:rPr>
        <w:t>2020 EQUITY INCENTIVE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RSU AWARD AGREEMENT</w:t>
      </w:r>
    </w:p>
    <w:p>
      <w:pPr>
        <w:spacing w:after="0" w:line="22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As reflected by your Restricted Stock Unit Grant Notice (“</w:t>
      </w:r>
      <w:r>
        <w:rPr>
          <w:rFonts w:ascii="Arial" w:cs="Arial" w:eastAsia="Arial" w:hAnsi="Arial"/>
          <w:sz w:val="21"/>
          <w:szCs w:val="21"/>
          <w:b w:val="1"/>
          <w:bCs w:val="1"/>
          <w:i w:val="1"/>
          <w:iCs w:val="1"/>
          <w:color w:val="auto"/>
        </w:rPr>
        <w:t>Grant Notice</w:t>
      </w:r>
      <w:r>
        <w:rPr>
          <w:rFonts w:ascii="Arial" w:cs="Arial" w:eastAsia="Arial" w:hAnsi="Arial"/>
          <w:sz w:val="21"/>
          <w:szCs w:val="21"/>
          <w:color w:val="auto"/>
        </w:rPr>
        <w:t>”) Marker Therapeutics,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has granted you a RSU Award under its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for the number of restricted stock units as indicated in your Grant Notice (the “</w:t>
      </w:r>
      <w:r>
        <w:rPr>
          <w:rFonts w:ascii="Arial" w:cs="Arial" w:eastAsia="Arial" w:hAnsi="Arial"/>
          <w:sz w:val="21"/>
          <w:szCs w:val="21"/>
          <w:b w:val="1"/>
          <w:bCs w:val="1"/>
          <w:i w:val="1"/>
          <w:iCs w:val="1"/>
          <w:color w:val="auto"/>
        </w:rPr>
        <w:t>RSU Award</w:t>
      </w:r>
      <w:r>
        <w:rPr>
          <w:rFonts w:ascii="Arial" w:cs="Arial" w:eastAsia="Arial" w:hAnsi="Arial"/>
          <w:sz w:val="21"/>
          <w:szCs w:val="21"/>
          <w:color w:val="auto"/>
        </w:rPr>
        <w:t>”). The terms of your RSU Award as specified in this RSU Award Agreement for your RSU Award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and the Grant Notice constitute your “</w:t>
      </w:r>
      <w:r>
        <w:rPr>
          <w:rFonts w:ascii="Arial" w:cs="Arial" w:eastAsia="Arial" w:hAnsi="Arial"/>
          <w:sz w:val="21"/>
          <w:szCs w:val="21"/>
          <w:b w:val="1"/>
          <w:bCs w:val="1"/>
          <w:i w:val="1"/>
          <w:iCs w:val="1"/>
          <w:color w:val="auto"/>
        </w:rPr>
        <w:t>RSU Award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Defined terms not explicitly defined in this Agreement but defined in the Grant Notice or the Plan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shall have the same definitions as in the Grant Notice or Plan, as applicable.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general terms applicable to your RSU Award are as follows:</w:t>
      </w:r>
    </w:p>
    <w:p>
      <w:pPr>
        <w:spacing w:after="0" w:line="200" w:lineRule="exact"/>
        <w:rPr>
          <w:sz w:val="20"/>
          <w:szCs w:val="20"/>
          <w:color w:val="auto"/>
        </w:rPr>
      </w:pPr>
    </w:p>
    <w:p>
      <w:pPr>
        <w:ind w:right="20" w:firstLine="656"/>
        <w:spacing w:after="0" w:line="256" w:lineRule="auto"/>
        <w:tabs>
          <w:tab w:leader="none" w:pos="1462"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PLAN DOCUMENT. </w:t>
      </w:r>
      <w:r>
        <w:rPr>
          <w:rFonts w:ascii="Arial" w:cs="Arial" w:eastAsia="Arial" w:hAnsi="Arial"/>
          <w:sz w:val="22"/>
          <w:szCs w:val="22"/>
          <w:color w:val="auto"/>
        </w:rPr>
        <w:t>Your RSU Award is subject to all the provisions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including but not limited to the provisions in:</w:t>
      </w:r>
    </w:p>
    <w:p>
      <w:pPr>
        <w:spacing w:after="0" w:line="168" w:lineRule="exact"/>
        <w:rPr>
          <w:rFonts w:ascii="Arial" w:cs="Arial" w:eastAsia="Arial" w:hAnsi="Arial"/>
          <w:sz w:val="22"/>
          <w:szCs w:val="22"/>
          <w:b w:val="1"/>
          <w:bCs w:val="1"/>
          <w:color w:val="auto"/>
        </w:rPr>
      </w:pPr>
    </w:p>
    <w:p>
      <w:pPr>
        <w:ind w:right="20" w:firstLine="1304"/>
        <w:spacing w:after="0" w:line="250" w:lineRule="auto"/>
        <w:tabs>
          <w:tab w:leader="none" w:pos="2155" w:val="left"/>
        </w:tabs>
        <w:numPr>
          <w:ilvl w:val="1"/>
          <w:numId w:val="36"/>
        </w:numPr>
        <w:rPr>
          <w:rFonts w:ascii="Arial" w:cs="Arial" w:eastAsia="Arial" w:hAnsi="Arial"/>
          <w:sz w:val="22"/>
          <w:szCs w:val="22"/>
          <w:b w:val="1"/>
          <w:bCs w:val="1"/>
          <w:color w:val="auto"/>
        </w:rPr>
      </w:pPr>
      <w:r>
        <w:rPr>
          <w:rFonts w:ascii="Arial" w:cs="Arial" w:eastAsia="Arial" w:hAnsi="Arial"/>
          <w:sz w:val="22"/>
          <w:szCs w:val="22"/>
          <w:color w:val="auto"/>
        </w:rPr>
        <w:t>Section 6 of the Plan regarding the impact of a Capitalization Adjustment, dissolution, liquidation, or Corporate Transaction on your RSU Award;</w:t>
      </w:r>
    </w:p>
    <w:p>
      <w:pPr>
        <w:spacing w:after="0" w:line="174" w:lineRule="exact"/>
        <w:rPr>
          <w:rFonts w:ascii="Arial" w:cs="Arial" w:eastAsia="Arial" w:hAnsi="Arial"/>
          <w:sz w:val="22"/>
          <w:szCs w:val="22"/>
          <w:b w:val="1"/>
          <w:bCs w:val="1"/>
          <w:color w:val="auto"/>
        </w:rPr>
      </w:pPr>
    </w:p>
    <w:p>
      <w:pPr>
        <w:ind w:firstLine="1304"/>
        <w:spacing w:after="0" w:line="250" w:lineRule="auto"/>
        <w:tabs>
          <w:tab w:leader="none" w:pos="2248" w:val="left"/>
        </w:tabs>
        <w:numPr>
          <w:ilvl w:val="1"/>
          <w:numId w:val="36"/>
        </w:numPr>
        <w:rPr>
          <w:rFonts w:ascii="Arial" w:cs="Arial" w:eastAsia="Arial" w:hAnsi="Arial"/>
          <w:sz w:val="22"/>
          <w:szCs w:val="22"/>
          <w:b w:val="1"/>
          <w:bCs w:val="1"/>
          <w:color w:val="auto"/>
        </w:rPr>
      </w:pPr>
      <w:r>
        <w:rPr>
          <w:rFonts w:ascii="Arial" w:cs="Arial" w:eastAsia="Arial" w:hAnsi="Arial"/>
          <w:sz w:val="22"/>
          <w:szCs w:val="22"/>
          <w:color w:val="auto"/>
        </w:rPr>
        <w:t>Section 9(e) of the Plan regarding the Company’s retained rights to terminate your Continuous Service notwithstanding the grant of the RSU Award; and</w:t>
      </w:r>
    </w:p>
    <w:p>
      <w:pPr>
        <w:spacing w:after="0" w:line="174" w:lineRule="exact"/>
        <w:rPr>
          <w:rFonts w:ascii="Arial" w:cs="Arial" w:eastAsia="Arial" w:hAnsi="Arial"/>
          <w:sz w:val="22"/>
          <w:szCs w:val="22"/>
          <w:b w:val="1"/>
          <w:bCs w:val="1"/>
          <w:color w:val="auto"/>
        </w:rPr>
      </w:pPr>
    </w:p>
    <w:p>
      <w:pPr>
        <w:ind w:left="1980" w:hanging="676"/>
        <w:spacing w:after="0"/>
        <w:tabs>
          <w:tab w:leader="none" w:pos="1980" w:val="left"/>
        </w:tabs>
        <w:numPr>
          <w:ilvl w:val="1"/>
          <w:numId w:val="36"/>
        </w:numPr>
        <w:rPr>
          <w:rFonts w:ascii="Arial" w:cs="Arial" w:eastAsia="Arial" w:hAnsi="Arial"/>
          <w:sz w:val="22"/>
          <w:szCs w:val="22"/>
          <w:b w:val="1"/>
          <w:bCs w:val="1"/>
          <w:color w:val="auto"/>
        </w:rPr>
      </w:pPr>
      <w:r>
        <w:rPr>
          <w:rFonts w:ascii="Arial" w:cs="Arial" w:eastAsia="Arial" w:hAnsi="Arial"/>
          <w:sz w:val="22"/>
          <w:szCs w:val="22"/>
          <w:color w:val="auto"/>
        </w:rPr>
        <w:t>Section 8(c) of the Plan regarding the tax consequences of your RSU Award.</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63" w:lineRule="exact"/>
        <w:rPr>
          <w:sz w:val="20"/>
          <w:szCs w:val="20"/>
          <w:color w:val="auto"/>
        </w:rPr>
      </w:pPr>
    </w:p>
    <w:p>
      <w:pPr>
        <w:jc w:val="both"/>
        <w:ind w:firstLine="656"/>
        <w:spacing w:after="0" w:line="247" w:lineRule="auto"/>
        <w:tabs>
          <w:tab w:leader="none" w:pos="1320" w:val="left"/>
        </w:tabs>
        <w:numPr>
          <w:ilvl w:val="0"/>
          <w:numId w:val="3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GRANT OF THE RSU AWARD. </w:t>
      </w:r>
      <w:r>
        <w:rPr>
          <w:rFonts w:ascii="Arial" w:cs="Arial" w:eastAsia="Arial" w:hAnsi="Arial"/>
          <w:sz w:val="21"/>
          <w:szCs w:val="21"/>
          <w:color w:val="auto"/>
        </w:rPr>
        <w:t>This RSU Award represents your right to be issued on a future</w:t>
      </w:r>
      <w:r>
        <w:rPr>
          <w:rFonts w:ascii="Arial" w:cs="Arial" w:eastAsia="Arial" w:hAnsi="Arial"/>
          <w:sz w:val="21"/>
          <w:szCs w:val="21"/>
          <w:b w:val="1"/>
          <w:bCs w:val="1"/>
          <w:color w:val="auto"/>
        </w:rPr>
        <w:t xml:space="preserve"> </w:t>
      </w:r>
      <w:r>
        <w:rPr>
          <w:rFonts w:ascii="Arial" w:cs="Arial" w:eastAsia="Arial" w:hAnsi="Arial"/>
          <w:sz w:val="21"/>
          <w:szCs w:val="21"/>
          <w:color w:val="auto"/>
        </w:rPr>
        <w:t>date the number of 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Arial" w:cs="Arial" w:eastAsia="Arial" w:hAnsi="Arial"/>
          <w:sz w:val="21"/>
          <w:szCs w:val="21"/>
          <w:b w:val="1"/>
          <w:bCs w:val="1"/>
          <w:i w:val="1"/>
          <w:iCs w:val="1"/>
          <w:color w:val="auto"/>
        </w:rPr>
        <w:t>Restricted Stock Units</w:t>
      </w:r>
      <w:r>
        <w:rPr>
          <w:rFonts w:ascii="Arial" w:cs="Arial" w:eastAsia="Arial" w:hAnsi="Arial"/>
          <w:sz w:val="21"/>
          <w:szCs w:val="21"/>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71" w:lineRule="exact"/>
        <w:rPr>
          <w:rFonts w:ascii="Arial" w:cs="Arial" w:eastAsia="Arial" w:hAnsi="Arial"/>
          <w:sz w:val="21"/>
          <w:szCs w:val="21"/>
          <w:b w:val="1"/>
          <w:bCs w:val="1"/>
          <w:color w:val="auto"/>
        </w:rPr>
      </w:pPr>
    </w:p>
    <w:p>
      <w:pPr>
        <w:ind w:right="320" w:firstLine="656"/>
        <w:spacing w:after="0" w:line="243" w:lineRule="auto"/>
        <w:tabs>
          <w:tab w:leader="none" w:pos="1296"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You will receive no benefit or adjustment to this Award with respect to any cash</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stock dividend or other distribution except as provided in the Plan with respect to a Capitalization Adjustment.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8" w:name="page79"/>
    <w:bookmarkEnd w:id="78"/>
    <w:p>
      <w:pPr>
        <w:ind w:right="120" w:firstLine="656"/>
        <w:spacing w:after="0" w:line="245" w:lineRule="auto"/>
        <w:tabs>
          <w:tab w:leader="none" w:pos="1296"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WITHHOLDING OBLIGATIONS. </w:t>
      </w:r>
      <w:r>
        <w:rPr>
          <w:rFonts w:ascii="Arial" w:cs="Arial" w:eastAsia="Arial" w:hAnsi="Arial"/>
          <w:sz w:val="21"/>
          <w:szCs w:val="21"/>
          <w:color w:val="auto"/>
        </w:rPr>
        <w:t>As further provided in Section 8 of the Plan, you hereby</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authorize withholding from payroll and any other amounts payable to you, and otherwise agree to make adequate provision for, any sums required to satisfy the federal, state, local and foreign tax withholding obligations, if any, which arise in connection with your RSU Award (the “</w:t>
      </w:r>
      <w:r>
        <w:rPr>
          <w:rFonts w:ascii="Arial" w:cs="Arial" w:eastAsia="Arial" w:hAnsi="Arial"/>
          <w:sz w:val="21"/>
          <w:szCs w:val="21"/>
          <w:b w:val="1"/>
          <w:bCs w:val="1"/>
          <w:i w:val="1"/>
          <w:iCs w:val="1"/>
          <w:color w:val="auto"/>
        </w:rPr>
        <w:t>Withholding Taxes</w:t>
      </w:r>
      <w:r>
        <w:rPr>
          <w:rFonts w:ascii="Arial" w:cs="Arial" w:eastAsia="Arial" w:hAnsi="Arial"/>
          <w:sz w:val="21"/>
          <w:szCs w:val="21"/>
          <w:color w:val="auto"/>
        </w:rPr>
        <w:t>”) in accordance with the withholding procedures established by the Company. Unless the Withholding Taxes are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81" w:lineRule="exact"/>
        <w:rPr>
          <w:rFonts w:ascii="Arial" w:cs="Arial" w:eastAsia="Arial" w:hAnsi="Arial"/>
          <w:sz w:val="21"/>
          <w:szCs w:val="21"/>
          <w:b w:val="1"/>
          <w:bCs w:val="1"/>
          <w:color w:val="auto"/>
        </w:rPr>
      </w:pPr>
    </w:p>
    <w:p>
      <w:pPr>
        <w:ind w:left="1300" w:hanging="644"/>
        <w:spacing w:after="0"/>
        <w:tabs>
          <w:tab w:leader="none" w:pos="130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DATE OF ISSUANCE.</w:t>
      </w:r>
    </w:p>
    <w:p>
      <w:pPr>
        <w:spacing w:after="0" w:line="212" w:lineRule="exact"/>
        <w:rPr>
          <w:rFonts w:ascii="Arial" w:cs="Arial" w:eastAsia="Arial" w:hAnsi="Arial"/>
          <w:sz w:val="22"/>
          <w:szCs w:val="22"/>
          <w:b w:val="1"/>
          <w:bCs w:val="1"/>
          <w:color w:val="auto"/>
        </w:rPr>
      </w:pPr>
    </w:p>
    <w:p>
      <w:pPr>
        <w:jc w:val="both"/>
        <w:ind w:firstLine="1304"/>
        <w:spacing w:after="0" w:line="234" w:lineRule="auto"/>
        <w:tabs>
          <w:tab w:leader="none" w:pos="2034" w:val="left"/>
        </w:tabs>
        <w:numPr>
          <w:ilvl w:val="1"/>
          <w:numId w:val="38"/>
        </w:numPr>
        <w:rPr>
          <w:rFonts w:ascii="Arial" w:cs="Arial" w:eastAsia="Arial" w:hAnsi="Arial"/>
          <w:sz w:val="22"/>
          <w:szCs w:val="22"/>
          <w:b w:val="1"/>
          <w:bCs w:val="1"/>
          <w:color w:val="auto"/>
        </w:rPr>
      </w:pPr>
      <w:r>
        <w:rPr>
          <w:rFonts w:ascii="Arial" w:cs="Arial" w:eastAsia="Arial" w:hAnsi="Arial"/>
          <w:sz w:val="22"/>
          <w:szCs w:val="22"/>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22"/>
          <w:szCs w:val="22"/>
          <w:b w:val="1"/>
          <w:bCs w:val="1"/>
          <w:i w:val="1"/>
          <w:iCs w:val="1"/>
          <w:color w:val="auto"/>
        </w:rPr>
        <w:t>Original</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Issuance Date</w:t>
      </w:r>
      <w:r>
        <w:rPr>
          <w:rFonts w:ascii="Arial" w:cs="Arial" w:eastAsia="Arial" w:hAnsi="Arial"/>
          <w:sz w:val="22"/>
          <w:szCs w:val="22"/>
          <w:color w:val="auto"/>
        </w:rPr>
        <w:t>.”</w:t>
      </w:r>
    </w:p>
    <w:p>
      <w:pPr>
        <w:spacing w:after="0" w:line="190" w:lineRule="exact"/>
        <w:rPr>
          <w:rFonts w:ascii="Arial" w:cs="Arial" w:eastAsia="Arial" w:hAnsi="Arial"/>
          <w:sz w:val="22"/>
          <w:szCs w:val="22"/>
          <w:b w:val="1"/>
          <w:bCs w:val="1"/>
          <w:color w:val="auto"/>
        </w:rPr>
      </w:pPr>
    </w:p>
    <w:p>
      <w:pPr>
        <w:ind w:firstLine="1304"/>
        <w:spacing w:after="0" w:line="250" w:lineRule="auto"/>
        <w:tabs>
          <w:tab w:leader="none" w:pos="1951" w:val="left"/>
        </w:tabs>
        <w:numPr>
          <w:ilvl w:val="1"/>
          <w:numId w:val="38"/>
        </w:numPr>
        <w:rPr>
          <w:rFonts w:ascii="Arial" w:cs="Arial" w:eastAsia="Arial" w:hAnsi="Arial"/>
          <w:sz w:val="22"/>
          <w:szCs w:val="22"/>
          <w:b w:val="1"/>
          <w:bCs w:val="1"/>
          <w:color w:val="auto"/>
        </w:rPr>
      </w:pPr>
      <w:r>
        <w:rPr>
          <w:rFonts w:ascii="Arial" w:cs="Arial" w:eastAsia="Arial" w:hAnsi="Arial"/>
          <w:sz w:val="22"/>
          <w:szCs w:val="22"/>
          <w:color w:val="auto"/>
        </w:rPr>
        <w:t>If the Original Issuance Date falls on a date that is not a business day, delivery shall instead occur on the next following business day. In addition, if:</w:t>
      </w:r>
    </w:p>
    <w:p>
      <w:pPr>
        <w:spacing w:after="0" w:line="174" w:lineRule="exact"/>
        <w:rPr>
          <w:rFonts w:ascii="Arial" w:cs="Arial" w:eastAsia="Arial" w:hAnsi="Arial"/>
          <w:sz w:val="22"/>
          <w:szCs w:val="22"/>
          <w:b w:val="1"/>
          <w:bCs w:val="1"/>
          <w:color w:val="auto"/>
        </w:rPr>
      </w:pPr>
    </w:p>
    <w:p>
      <w:pPr>
        <w:jc w:val="both"/>
        <w:ind w:firstLine="1952"/>
        <w:spacing w:after="0" w:line="279" w:lineRule="auto"/>
        <w:tabs>
          <w:tab w:leader="none" w:pos="2823" w:val="left"/>
        </w:tabs>
        <w:numPr>
          <w:ilvl w:val="2"/>
          <w:numId w:val="38"/>
        </w:numPr>
        <w:rPr>
          <w:rFonts w:ascii="Arial" w:cs="Arial" w:eastAsia="Arial" w:hAnsi="Arial"/>
          <w:sz w:val="19"/>
          <w:szCs w:val="19"/>
          <w:b w:val="1"/>
          <w:bCs w:val="1"/>
          <w:color w:val="auto"/>
        </w:rPr>
      </w:pPr>
      <w:r>
        <w:rPr>
          <w:rFonts w:ascii="Arial" w:cs="Arial" w:eastAsia="Arial" w:hAnsi="Arial"/>
          <w:sz w:val="19"/>
          <w:szCs w:val="19"/>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9"/>
          <w:szCs w:val="19"/>
          <w:b w:val="1"/>
          <w:bCs w:val="1"/>
          <w:i w:val="1"/>
          <w:iCs w:val="1"/>
          <w:color w:val="auto"/>
        </w:rPr>
        <w:t>10b5-1 Arrangement</w:t>
      </w:r>
      <w:r>
        <w:rPr>
          <w:rFonts w:ascii="Arial" w:cs="Arial" w:eastAsia="Arial" w:hAnsi="Arial"/>
          <w:sz w:val="19"/>
          <w:szCs w:val="19"/>
          <w:color w:val="auto"/>
        </w:rPr>
        <w:t xml:space="preserve">)), </w:t>
      </w:r>
      <w:r>
        <w:rPr>
          <w:rFonts w:ascii="Arial" w:cs="Arial" w:eastAsia="Arial" w:hAnsi="Arial"/>
          <w:sz w:val="19"/>
          <w:szCs w:val="19"/>
          <w:i w:val="1"/>
          <w:iCs w:val="1"/>
          <w:color w:val="auto"/>
        </w:rPr>
        <w:t>and</w:t>
      </w:r>
    </w:p>
    <w:p>
      <w:pPr>
        <w:spacing w:after="0" w:line="150" w:lineRule="exact"/>
        <w:rPr>
          <w:rFonts w:ascii="Arial" w:cs="Arial" w:eastAsia="Arial" w:hAnsi="Arial"/>
          <w:sz w:val="19"/>
          <w:szCs w:val="19"/>
          <w:b w:val="1"/>
          <w:bCs w:val="1"/>
          <w:color w:val="auto"/>
        </w:rPr>
      </w:pPr>
    </w:p>
    <w:p>
      <w:pPr>
        <w:jc w:val="both"/>
        <w:ind w:firstLine="1952"/>
        <w:spacing w:after="0" w:line="282" w:lineRule="auto"/>
        <w:tabs>
          <w:tab w:leader="none" w:pos="2721" w:val="left"/>
        </w:tabs>
        <w:numPr>
          <w:ilvl w:val="2"/>
          <w:numId w:val="38"/>
        </w:numPr>
        <w:rPr>
          <w:rFonts w:ascii="Arial" w:cs="Arial" w:eastAsia="Arial" w:hAnsi="Arial"/>
          <w:sz w:val="19"/>
          <w:szCs w:val="19"/>
          <w:b w:val="1"/>
          <w:bCs w:val="1"/>
          <w:color w:val="auto"/>
        </w:rPr>
      </w:pPr>
      <w:r>
        <w:rPr>
          <w:rFonts w:ascii="Arial" w:cs="Arial" w:eastAsia="Arial" w:hAnsi="Arial"/>
          <w:sz w:val="19"/>
          <w:szCs w:val="19"/>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47" w:lineRule="exact"/>
        <w:rPr>
          <w:sz w:val="20"/>
          <w:szCs w:val="20"/>
          <w:color w:val="auto"/>
        </w:rPr>
      </w:pPr>
    </w:p>
    <w:p>
      <w:pPr>
        <w:jc w:val="both"/>
        <w:ind w:firstLine="656"/>
        <w:spacing w:after="0" w:line="235" w:lineRule="auto"/>
        <w:tabs>
          <w:tab w:leader="none" w:pos="1404" w:val="left"/>
        </w:tabs>
        <w:numPr>
          <w:ilvl w:val="0"/>
          <w:numId w:val="39"/>
        </w:numPr>
        <w:rPr>
          <w:rFonts w:ascii="Arial" w:cs="Arial" w:eastAsia="Arial" w:hAnsi="Arial"/>
          <w:sz w:val="22"/>
          <w:szCs w:val="22"/>
          <w:b w:val="1"/>
          <w:bCs w:val="1"/>
          <w:color w:val="auto"/>
        </w:rPr>
      </w:pPr>
      <w:r>
        <w:rPr>
          <w:rFonts w:ascii="Arial" w:cs="Arial" w:eastAsia="Arial" w:hAnsi="Arial"/>
          <w:sz w:val="22"/>
          <w:szCs w:val="22"/>
          <w:u w:val="single" w:color="auto"/>
          <w:color w:val="auto"/>
        </w:rPr>
        <w:t>then</w:t>
      </w:r>
      <w:r>
        <w:rPr>
          <w:rFonts w:ascii="Arial" w:cs="Arial" w:eastAsia="Arial" w:hAnsi="Arial"/>
          <w:sz w:val="22"/>
          <w:szCs w:val="22"/>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22"/>
          <w:szCs w:val="22"/>
          <w:u w:val="single" w:color="auto"/>
          <w:color w:val="auto"/>
        </w:rPr>
        <w:t>if and only if</w:t>
      </w:r>
      <w:r>
        <w:rPr>
          <w:rFonts w:ascii="Arial" w:cs="Arial" w:eastAsia="Arial" w:hAnsi="Arial"/>
          <w:sz w:val="22"/>
          <w:szCs w:val="22"/>
          <w:color w:val="auto"/>
        </w:rPr>
        <w:t xml:space="preserve"> permitted in a manner that complies with Treasury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79" w:name="page80"/>
    <w:bookmarkEnd w:id="79"/>
    <w:p>
      <w:pPr>
        <w:jc w:val="both"/>
        <w:spacing w:after="0" w:line="297" w:lineRule="auto"/>
        <w:rPr>
          <w:sz w:val="20"/>
          <w:szCs w:val="20"/>
          <w:color w:val="auto"/>
        </w:rPr>
      </w:pPr>
      <w:r>
        <w:rPr>
          <w:rFonts w:ascii="Arial" w:cs="Arial" w:eastAsia="Arial" w:hAnsi="Arial"/>
          <w:sz w:val="19"/>
          <w:szCs w:val="19"/>
          <w:color w:val="auto"/>
        </w:rPr>
        <w:t>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34" w:lineRule="exact"/>
        <w:rPr>
          <w:sz w:val="20"/>
          <w:szCs w:val="20"/>
          <w:color w:val="auto"/>
        </w:rPr>
      </w:pPr>
    </w:p>
    <w:p>
      <w:pPr>
        <w:ind w:left="1980" w:hanging="676"/>
        <w:spacing w:after="0"/>
        <w:tabs>
          <w:tab w:leader="none" w:pos="1980" w:val="left"/>
        </w:tabs>
        <w:numPr>
          <w:ilvl w:val="1"/>
          <w:numId w:val="40"/>
        </w:numPr>
        <w:rPr>
          <w:rFonts w:ascii="Arial" w:cs="Arial" w:eastAsia="Arial" w:hAnsi="Arial"/>
          <w:sz w:val="19"/>
          <w:szCs w:val="19"/>
          <w:b w:val="1"/>
          <w:bCs w:val="1"/>
          <w:color w:val="auto"/>
        </w:rPr>
      </w:pPr>
      <w:r>
        <w:rPr>
          <w:rFonts w:ascii="Arial" w:cs="Arial" w:eastAsia="Arial" w:hAnsi="Arial"/>
          <w:sz w:val="19"/>
          <w:szCs w:val="19"/>
          <w:color w:val="auto"/>
        </w:rPr>
        <w:t>To the extent the RSU Award is a Non-Exempt RSU Award, the provisions of Section 11 of</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Plan shall apply.</w:t>
      </w:r>
    </w:p>
    <w:p>
      <w:pPr>
        <w:spacing w:after="0" w:line="182" w:lineRule="exact"/>
        <w:rPr>
          <w:rFonts w:ascii="Arial" w:cs="Arial" w:eastAsia="Arial" w:hAnsi="Arial"/>
          <w:sz w:val="19"/>
          <w:szCs w:val="19"/>
          <w:b w:val="1"/>
          <w:bCs w:val="1"/>
          <w:color w:val="auto"/>
        </w:rPr>
      </w:pPr>
    </w:p>
    <w:p>
      <w:pPr>
        <w:ind w:firstLine="656"/>
        <w:spacing w:after="0" w:line="256" w:lineRule="auto"/>
        <w:tabs>
          <w:tab w:leader="none" w:pos="1589"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TRANSFERABILITY. </w:t>
      </w:r>
      <w:r>
        <w:rPr>
          <w:rFonts w:ascii="Arial" w:cs="Arial" w:eastAsia="Arial" w:hAnsi="Arial"/>
          <w:sz w:val="22"/>
          <w:szCs w:val="22"/>
          <w:color w:val="auto"/>
        </w:rPr>
        <w:t>Except as otherwise provided in the Plan, your RSU Award is not</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transferable, except by will or by the applicable laws of descent and distribution</w:t>
      </w:r>
    </w:p>
    <w:p>
      <w:pPr>
        <w:spacing w:after="0" w:line="162" w:lineRule="exact"/>
        <w:rPr>
          <w:rFonts w:ascii="Arial" w:cs="Arial" w:eastAsia="Arial" w:hAnsi="Arial"/>
          <w:sz w:val="22"/>
          <w:szCs w:val="22"/>
          <w:b w:val="1"/>
          <w:bCs w:val="1"/>
          <w:color w:val="auto"/>
        </w:rPr>
      </w:pPr>
    </w:p>
    <w:p>
      <w:pPr>
        <w:jc w:val="both"/>
        <w:ind w:firstLine="656"/>
        <w:spacing w:after="0" w:line="239" w:lineRule="auto"/>
        <w:tabs>
          <w:tab w:leader="none" w:pos="1466"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CORPORATE TRANSACTION. </w:t>
      </w:r>
      <w:r>
        <w:rPr>
          <w:rFonts w:ascii="Arial" w:cs="Arial" w:eastAsia="Arial" w:hAnsi="Arial"/>
          <w:sz w:val="22"/>
          <w:szCs w:val="22"/>
          <w:color w:val="auto"/>
        </w:rPr>
        <w:t>Your RSU Award is subject to the terms of any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governing a Corporate Transaction involving the Company, including, without limitation, a provision for the appointment of a stockholder representative that is authorized to act on your behalf with respect to any escrow, indemnities and any contingent consideration.</w:t>
      </w:r>
    </w:p>
    <w:p>
      <w:pPr>
        <w:spacing w:after="0" w:line="180" w:lineRule="exact"/>
        <w:rPr>
          <w:rFonts w:ascii="Arial" w:cs="Arial" w:eastAsia="Arial" w:hAnsi="Arial"/>
          <w:sz w:val="22"/>
          <w:szCs w:val="22"/>
          <w:b w:val="1"/>
          <w:bCs w:val="1"/>
          <w:color w:val="auto"/>
        </w:rPr>
      </w:pPr>
    </w:p>
    <w:p>
      <w:pPr>
        <w:jc w:val="both"/>
        <w:ind w:firstLine="656"/>
        <w:spacing w:after="0" w:line="283" w:lineRule="auto"/>
        <w:tabs>
          <w:tab w:leader="none" w:pos="1296"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NO LIABILITY FOR TAXES</w:t>
      </w:r>
      <w:r>
        <w:rPr>
          <w:rFonts w:ascii="Arial" w:cs="Arial" w:eastAsia="Arial" w:hAnsi="Arial"/>
          <w:sz w:val="19"/>
          <w:szCs w:val="19"/>
          <w:color w:val="auto"/>
        </w:rPr>
        <w:t>. As a condition to accepting the RSU Award, you hereby (a) agree</w:t>
      </w:r>
      <w:r>
        <w:rPr>
          <w:rFonts w:ascii="Arial" w:cs="Arial" w:eastAsia="Arial" w:hAnsi="Arial"/>
          <w:sz w:val="19"/>
          <w:szCs w:val="19"/>
          <w:b w:val="1"/>
          <w:bCs w:val="1"/>
          <w:color w:val="auto"/>
        </w:rPr>
        <w:t xml:space="preserve"> </w:t>
      </w:r>
      <w:r>
        <w:rPr>
          <w:rFonts w:ascii="Arial" w:cs="Arial" w:eastAsia="Arial" w:hAnsi="Arial"/>
          <w:sz w:val="19"/>
          <w:szCs w:val="19"/>
          <w:color w:val="auto"/>
        </w:rPr>
        <w:t>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42" w:lineRule="exact"/>
        <w:rPr>
          <w:rFonts w:ascii="Arial" w:cs="Arial" w:eastAsia="Arial" w:hAnsi="Arial"/>
          <w:sz w:val="19"/>
          <w:szCs w:val="19"/>
          <w:b w:val="1"/>
          <w:bCs w:val="1"/>
          <w:color w:val="auto"/>
        </w:rPr>
      </w:pPr>
    </w:p>
    <w:p>
      <w:pPr>
        <w:jc w:val="both"/>
        <w:ind w:firstLine="656"/>
        <w:spacing w:after="0" w:line="236" w:lineRule="auto"/>
        <w:tabs>
          <w:tab w:leader="none" w:pos="1634"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part of this Agreement or the Plan is declared by any court or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1" w:lineRule="exact"/>
        <w:rPr>
          <w:rFonts w:ascii="Arial" w:cs="Arial" w:eastAsia="Arial" w:hAnsi="Arial"/>
          <w:sz w:val="22"/>
          <w:szCs w:val="22"/>
          <w:b w:val="1"/>
          <w:bCs w:val="1"/>
          <w:color w:val="auto"/>
        </w:rPr>
      </w:pPr>
    </w:p>
    <w:p>
      <w:pPr>
        <w:jc w:val="both"/>
        <w:ind w:firstLine="656"/>
        <w:spacing w:after="0" w:line="260" w:lineRule="auto"/>
        <w:tabs>
          <w:tab w:leader="none" w:pos="1355" w:val="left"/>
        </w:tabs>
        <w:numPr>
          <w:ilvl w:val="0"/>
          <w:numId w:val="4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DOCUMENTS. </w:t>
      </w:r>
      <w:r>
        <w:rPr>
          <w:rFonts w:ascii="Arial" w:cs="Arial" w:eastAsia="Arial" w:hAnsi="Arial"/>
          <w:sz w:val="21"/>
          <w:szCs w:val="21"/>
          <w:color w:val="auto"/>
        </w:rPr>
        <w:t>You hereby acknowledge receipt of or the right to receive a document</w:t>
      </w:r>
      <w:r>
        <w:rPr>
          <w:rFonts w:ascii="Arial" w:cs="Arial" w:eastAsia="Arial" w:hAnsi="Arial"/>
          <w:sz w:val="21"/>
          <w:szCs w:val="21"/>
          <w:b w:val="1"/>
          <w:bCs w:val="1"/>
          <w:color w:val="auto"/>
        </w:rPr>
        <w:t xml:space="preserve"> </w:t>
      </w:r>
      <w:r>
        <w:rPr>
          <w:rFonts w:ascii="Arial" w:cs="Arial" w:eastAsia="Arial" w:hAnsi="Arial"/>
          <w:sz w:val="21"/>
          <w:szCs w:val="21"/>
          <w:color w:val="auto"/>
        </w:rPr>
        <w:t>providing the information required by Rule 428(b)(1) promulgated under the Securities Act, which includes the Prospectus. In addition, you acknowledge receipt of the Company’s Trading Policy.</w:t>
      </w:r>
    </w:p>
    <w:p>
      <w:pPr>
        <w:spacing w:after="0" w:line="160" w:lineRule="exact"/>
        <w:rPr>
          <w:rFonts w:ascii="Arial" w:cs="Arial" w:eastAsia="Arial" w:hAnsi="Arial"/>
          <w:sz w:val="21"/>
          <w:szCs w:val="21"/>
          <w:b w:val="1"/>
          <w:bCs w:val="1"/>
          <w:color w:val="auto"/>
        </w:rPr>
      </w:pPr>
    </w:p>
    <w:p>
      <w:pPr>
        <w:jc w:val="both"/>
        <w:ind w:firstLine="656"/>
        <w:spacing w:after="0" w:line="243" w:lineRule="auto"/>
        <w:tabs>
          <w:tab w:leader="none" w:pos="132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QUESTIONS. </w:t>
      </w:r>
      <w:r>
        <w:rPr>
          <w:rFonts w:ascii="Arial" w:cs="Arial" w:eastAsia="Arial" w:hAnsi="Arial"/>
          <w:sz w:val="22"/>
          <w:szCs w:val="22"/>
          <w:color w:val="auto"/>
        </w:rPr>
        <w:t>If you have questions regarding these or any other terms and conditions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to your RSU Award, including a summary of the applicable federal income tax consequences please see the Prospectus.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L. Hoang, certify that:</w:t>
      </w:r>
    </w:p>
    <w:p>
      <w:pPr>
        <w:spacing w:after="0" w:line="225"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79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76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9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1008"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980" w:hanging="324"/>
        <w:spacing w:after="0" w:line="286" w:lineRule="auto"/>
        <w:tabs>
          <w:tab w:leader="none" w:pos="109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1128"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1064"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7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1013"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hanging="324"/>
        <w:spacing w:after="0" w:line="277" w:lineRule="auto"/>
        <w:tabs>
          <w:tab w:leader="none" w:pos="107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Peter L. Hoang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Kim, certify that:</w:t>
      </w:r>
    </w:p>
    <w:p>
      <w:pPr>
        <w:spacing w:after="0" w:line="225"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7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7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9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1008"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980" w:hanging="324"/>
        <w:spacing w:after="0" w:line="286" w:lineRule="auto"/>
        <w:tabs>
          <w:tab w:leader="none" w:pos="109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1128"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1064"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7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1013"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hanging="324"/>
        <w:spacing w:after="0" w:line="277" w:lineRule="auto"/>
        <w:tabs>
          <w:tab w:leader="none" w:pos="1072"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9, 2020</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31457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Anthony Kim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Peter L. Hoang, the Chief Executive Officer of Marker Therapeutics, Inc. (the “Company”) hereby certifies, pursuant to 18 U.S.C. Section 1350, as adopted pursuant to Section 906 of the Sarbanes-Oxley Act of 2002, that, to the best of his knowledge, the Quarterly Report on Form 10-Q for the period ending September 30, 2020,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28289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Anthony Kim, the Chief Financial Officer of Marker Therapeutics, Inc. (the “Company”) hereby certifies, pursuant to 18 U.S.C. Section 1350, as adopted pursuant to Section 906 of the Sarbanes-Oxley Act of 2002, that, to the best of his knowledge, the Quarterly Report on Form 10-Q for the period ending September 30, 2020,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28803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Anthony Kim</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o"/>
      <w:numFmt w:val="bullet"/>
      <w:start w:val="1"/>
    </w:lvl>
  </w:abstractNum>
  <w:abstractNum w:abstractNumId="5">
    <w:nsid w:val="8EDBDAB"/>
    <w:multiLevelType w:val="hybridMultilevel"/>
    <w:lvl w:ilvl="0">
      <w:lvlJc w:val="left"/>
      <w:lvlText w:val="o"/>
      <w:numFmt w:val="bullet"/>
      <w:start w:val="1"/>
    </w:lvl>
  </w:abstractNum>
  <w:abstractNum w:abstractNumId="6">
    <w:nsid w:val="79838CB2"/>
    <w:multiLevelType w:val="hybridMultilevel"/>
    <w:lvl w:ilvl="0">
      <w:lvlJc w:val="left"/>
      <w:lvlText w:val="o"/>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lvl w:ilvl="1">
      <w:lvlJc w:val="left"/>
      <w:lvlText w:val="(%2)"/>
      <w:numFmt w:val="lowerLetter"/>
      <w:start w:val="1"/>
    </w:lvl>
  </w:abstractNum>
  <w:abstractNum w:abstractNumId="29">
    <w:nsid w:val="3804823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0">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1">
    <w:nsid w:val="7724C67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2">
    <w:nsid w:val="5C482A97"/>
    <w:multiLevelType w:val="hybridMultilevel"/>
    <w:lvl w:ilvl="0">
      <w:lvlJc w:val="left"/>
      <w:lvlText w:val="%1."/>
      <w:numFmt w:val="decimal"/>
      <w:start w:val="4"/>
    </w:lvl>
  </w:abstractNum>
  <w:abstractNum w:abstractNumId="33">
    <w:nsid w:val="2463B9EA"/>
    <w:multiLevelType w:val="hybridMultilevel"/>
    <w:lvl w:ilvl="0">
      <w:lvlJc w:val="left"/>
      <w:lvlText w:val="%1."/>
      <w:numFmt w:val="decimal"/>
      <w:start w:val="9"/>
    </w:lvl>
    <w:lvl w:ilvl="1">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lvl w:ilvl="1">
      <w:lvlJc w:val="left"/>
      <w:lvlText w:val="(%2)"/>
      <w:numFmt w:val="lowerLetter"/>
      <w:start w:val="1"/>
    </w:lvl>
  </w:abstractNum>
  <w:abstractNum w:abstractNumId="36">
    <w:nsid w:val="2D517796"/>
    <w:multiLevelType w:val="hybridMultilevel"/>
    <w:lvl w:ilvl="0">
      <w:lvlJc w:val="left"/>
      <w:lvlText w:val="%1."/>
      <w:numFmt w:val="decimal"/>
      <w:start w:val="2"/>
    </w:lvl>
  </w:abstractNum>
  <w:abstractNum w:abstractNumId="37">
    <w:nsid w:val="580BD78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8">
    <w:nsid w:val="153EA438"/>
    <w:multiLevelType w:val="hybridMultilevel"/>
    <w:lvl w:ilvl="0">
      <w:lvlJc w:val="left"/>
      <w:lvlText w:val="(%1)"/>
      <w:numFmt w:val="lowerRoman"/>
      <w:start w:val="3"/>
    </w:lvl>
  </w:abstractNum>
  <w:abstractNum w:abstractNumId="39">
    <w:nsid w:val="3855585C"/>
    <w:multiLevelType w:val="hybridMultilevel"/>
    <w:lvl w:ilvl="0">
      <w:lvlJc w:val="left"/>
      <w:lvlText w:val="%1"/>
      <w:numFmt w:val="decimal"/>
      <w:start w:val="1"/>
    </w:lvl>
    <w:lvl w:ilvl="1">
      <w:lvlJc w:val="left"/>
      <w:lvlText w:val="(%2)"/>
      <w:numFmt w:val="lowerLetter"/>
      <w:start w:val="3"/>
    </w:lvl>
  </w:abstractNum>
  <w:abstractNum w:abstractNumId="40">
    <w:nsid w:val="70A64E2A"/>
    <w:multiLevelType w:val="hybridMultilevel"/>
    <w:lvl w:ilvl="0">
      <w:lvlJc w:val="left"/>
      <w:lvlText w:val="%1."/>
      <w:numFmt w:val="decimal"/>
      <w:start w:val="6"/>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81" Type="http://schemas.openxmlformats.org/officeDocument/2006/relationships/hyperlink" Target="https://www.sec.gov/Archives/edgar/data/1094038/000114420418054209/tv504951_ex3-4.htm" TargetMode="External"/><Relationship Id="rId82" Type="http://schemas.openxmlformats.org/officeDocument/2006/relationships/hyperlink" Target="https://www.sec.gov/Archives/edgar/data/1094038/000114420418054209/tv504951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2020-11-09T15:44:20Z</dcterms:created>
  <dcterms:modified xsi:type="dcterms:W3CDTF">2020-11-09T15:44:20Z</dcterms:modified>
</cp:coreProperties>
</file>