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0" w:lineRule="exact"/>
        <w:rPr>
          <w:sz w:val="24"/>
          <w:szCs w:val="24"/>
          <w:color w:val="auto"/>
        </w:rPr>
      </w:pPr>
    </w:p>
    <w:p>
      <w:pPr>
        <w:spacing w:after="0" w:line="246" w:lineRule="exact"/>
        <w:rPr>
          <w:sz w:val="24"/>
          <w:szCs w:val="24"/>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ANNUAL REPORT PURSUANT TO SECTION 13 OR 15(d) OF THE SECURITIES EXCHANGE ACT OF 1934</w:t>
      </w:r>
    </w:p>
    <w:p>
      <w:pPr>
        <w:spacing w:after="0" w:line="22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2013</w:t>
      </w:r>
    </w:p>
    <w:p>
      <w:pPr>
        <w:spacing w:after="0" w:line="229" w:lineRule="exact"/>
        <w:rPr>
          <w:sz w:val="24"/>
          <w:szCs w:val="24"/>
          <w:color w:val="auto"/>
        </w:rPr>
      </w:pPr>
    </w:p>
    <w:p>
      <w:pPr>
        <w:ind w:left="660" w:right="2060" w:hanging="652"/>
        <w:spacing w:after="0" w:line="498" w:lineRule="auto"/>
        <w:tabs>
          <w:tab w:leader="none" w:pos="16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________________ to ________________.</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Commission file number 000-27239</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TAPIMMUNE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4" w:lineRule="exact"/>
        <w:rPr>
          <w:sz w:val="24"/>
          <w:szCs w:val="24"/>
          <w:color w:val="auto"/>
        </w:rPr>
      </w:pPr>
    </w:p>
    <w:tbl>
      <w:tblPr>
        <w:tblLayout w:type="fixed"/>
        <w:tblInd w:w="80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580" w:type="dxa"/>
            <w:vAlign w:val="bottom"/>
            <w:gridSpan w:val="3"/>
          </w:tcPr>
          <w:p>
            <w:pPr>
              <w:jc w:val="center"/>
              <w:ind w:right="30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74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88-0277072</w:t>
            </w:r>
          </w:p>
        </w:tc>
      </w:tr>
      <w:tr>
        <w:trPr>
          <w:trHeight w:val="20"/>
        </w:trPr>
        <w:tc>
          <w:tcPr>
            <w:tcW w:w="1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5440" w:type="dxa"/>
            <w:vAlign w:val="bottom"/>
            <w:gridSpan w:val="5"/>
          </w:tcPr>
          <w:p>
            <w:pPr>
              <w:jc w:val="center"/>
              <w:ind w:right="114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of organization)</w:t>
            </w:r>
          </w:p>
        </w:tc>
        <w:tc>
          <w:tcPr>
            <w:tcW w:w="3740" w:type="dxa"/>
            <w:vAlign w:val="bottom"/>
            <w:gridSpan w:val="5"/>
          </w:tcPr>
          <w:p>
            <w:pPr>
              <w:jc w:val="center"/>
              <w:ind w:left="10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37"/>
        </w:trPr>
        <w:tc>
          <w:tcPr>
            <w:tcW w:w="5440" w:type="dxa"/>
            <w:vAlign w:val="bottom"/>
            <w:gridSpan w:val="5"/>
          </w:tcPr>
          <w:p>
            <w:pPr>
              <w:jc w:val="center"/>
              <w:ind w:right="1340"/>
              <w:spacing w:after="0"/>
              <w:rPr>
                <w:sz w:val="20"/>
                <w:szCs w:val="20"/>
                <w:color w:val="auto"/>
              </w:rPr>
            </w:pPr>
            <w:r>
              <w:rPr>
                <w:rFonts w:ascii="Times New Roman" w:cs="Times New Roman" w:eastAsia="Times New Roman" w:hAnsi="Times New Roman"/>
                <w:sz w:val="18"/>
                <w:szCs w:val="18"/>
                <w:b w:val="1"/>
                <w:bCs w:val="1"/>
                <w:color w:val="auto"/>
                <w:w w:val="99"/>
              </w:rPr>
              <w:t>1551 Eastlake Avenue East, Suite 100</w:t>
            </w: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8"/>
        </w:trPr>
        <w:tc>
          <w:tcPr>
            <w:tcW w:w="1300" w:type="dxa"/>
            <w:vAlign w:val="bottom"/>
          </w:tcPr>
          <w:p>
            <w:pPr>
              <w:spacing w:after="0"/>
              <w:rPr>
                <w:sz w:val="17"/>
                <w:szCs w:val="17"/>
                <w:color w:val="auto"/>
              </w:rPr>
            </w:pPr>
          </w:p>
        </w:tc>
        <w:tc>
          <w:tcPr>
            <w:tcW w:w="4140" w:type="dxa"/>
            <w:vAlign w:val="bottom"/>
            <w:gridSpan w:val="4"/>
          </w:tcPr>
          <w:p>
            <w:pPr>
              <w:jc w:val="center"/>
              <w:ind w:right="2620"/>
              <w:spacing w:after="0" w:line="198" w:lineRule="exact"/>
              <w:rPr>
                <w:sz w:val="20"/>
                <w:szCs w:val="20"/>
                <w:color w:val="auto"/>
              </w:rPr>
            </w:pPr>
            <w:r>
              <w:rPr>
                <w:rFonts w:ascii="Times New Roman" w:cs="Times New Roman" w:eastAsia="Times New Roman" w:hAnsi="Times New Roman"/>
                <w:sz w:val="18"/>
                <w:szCs w:val="18"/>
                <w:b w:val="1"/>
                <w:bCs w:val="1"/>
                <w:color w:val="auto"/>
                <w:w w:val="98"/>
              </w:rPr>
              <w:t>Seattle, Washington</w:t>
            </w:r>
          </w:p>
        </w:tc>
        <w:tc>
          <w:tcPr>
            <w:tcW w:w="2860" w:type="dxa"/>
            <w:vAlign w:val="bottom"/>
            <w:gridSpan w:val="4"/>
          </w:tcPr>
          <w:p>
            <w:pPr>
              <w:jc w:val="right"/>
              <w:ind w:right="320"/>
              <w:spacing w:after="0" w:line="198" w:lineRule="exact"/>
              <w:rPr>
                <w:sz w:val="20"/>
                <w:szCs w:val="20"/>
                <w:color w:val="auto"/>
              </w:rPr>
            </w:pPr>
            <w:r>
              <w:rPr>
                <w:rFonts w:ascii="Times New Roman" w:cs="Times New Roman" w:eastAsia="Times New Roman" w:hAnsi="Times New Roman"/>
                <w:sz w:val="18"/>
                <w:szCs w:val="18"/>
                <w:b w:val="1"/>
                <w:bCs w:val="1"/>
                <w:color w:val="auto"/>
              </w:rPr>
              <w:t>98102</w:t>
            </w:r>
          </w:p>
        </w:tc>
        <w:tc>
          <w:tcPr>
            <w:tcW w:w="88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1520" w:type="dxa"/>
            <w:vAlign w:val="bottom"/>
            <w:gridSpan w:val="3"/>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237"/>
        </w:trPr>
        <w:tc>
          <w:tcPr>
            <w:tcW w:w="5440" w:type="dxa"/>
            <w:vAlign w:val="bottom"/>
            <w:gridSpan w:val="5"/>
          </w:tcPr>
          <w:p>
            <w:pPr>
              <w:jc w:val="center"/>
              <w:ind w:right="134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740" w:type="dxa"/>
            <w:vAlign w:val="bottom"/>
            <w:gridSpan w:val="5"/>
          </w:tcPr>
          <w:p>
            <w:pPr>
              <w:jc w:val="center"/>
              <w:ind w:left="8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(206) 504-7278</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12(b) of the Act: </w:t>
      </w:r>
      <w:r>
        <w:rPr>
          <w:rFonts w:ascii="Times New Roman" w:cs="Times New Roman" w:eastAsia="Times New Roman" w:hAnsi="Times New Roman"/>
          <w:sz w:val="18"/>
          <w:szCs w:val="18"/>
          <w:b w:val="1"/>
          <w:bCs w:val="1"/>
          <w:u w:val="single" w:color="auto"/>
          <w:color w:val="auto"/>
        </w:rPr>
        <w:t>None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Par Value $0.001</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Yes [ ] No [</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of Section 15(d) of the Act.</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Yes [ ] No [</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w:t>
      </w:r>
    </w:p>
    <w:p>
      <w:pPr>
        <w:spacing w:after="0" w:line="22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 No [ ]</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 No [ ]</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checkmark whether the registrant is a large accelerated filer, an accelerated filer, a non-accelerated filer, or a smaller reporting company.</w:t>
      </w:r>
    </w:p>
    <w:p>
      <w:pPr>
        <w:sectPr>
          <w:pgSz w:w="11900" w:h="16838" w:orient="portrait"/>
          <w:cols w:equalWidth="0" w:num="1">
            <w:col w:w="11420"/>
          </w:cols>
          <w:pgMar w:left="240" w:top="1440" w:right="239" w:bottom="0" w:gutter="0" w:footer="0" w:header="0"/>
        </w:sectPr>
      </w:pP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 o</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 o</w:t>
      </w:r>
    </w:p>
    <w:p>
      <w:pPr>
        <w:spacing w:after="0" w:line="200" w:lineRule="exact"/>
        <w:rPr>
          <w:sz w:val="24"/>
          <w:szCs w:val="24"/>
          <w:color w:val="auto"/>
        </w:rPr>
      </w:pPr>
    </w:p>
    <w:p>
      <w:pPr>
        <w:sectPr>
          <w:pgSz w:w="11900" w:h="16838" w:orient="portrait"/>
          <w:cols w:equalWidth="0" w:num="2">
            <w:col w:w="1760" w:space="620"/>
            <w:col w:w="9040"/>
          </w:cols>
          <w:pgMar w:left="240" w:top="1440" w:right="239" w:bottom="0" w:gutter="0" w:footer="0" w:header="0"/>
          <w:type w:val="continuous"/>
        </w:sectPr>
      </w:pP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 [X]</w:t>
      </w:r>
    </w:p>
    <w:p>
      <w:pPr>
        <w:spacing w:after="0" w:line="211" w:lineRule="exact"/>
        <w:rPr>
          <w:sz w:val="24"/>
          <w:szCs w:val="24"/>
          <w:color w:val="auto"/>
        </w:rPr>
      </w:pPr>
    </w:p>
    <w:p>
      <w:pPr>
        <w:sectPr>
          <w:pgSz w:w="11900" w:h="16838" w:orient="portrait"/>
          <w:cols w:equalWidth="0" w:num="2">
            <w:col w:w="5020" w:space="660"/>
            <w:col w:w="5740"/>
          </w:cols>
          <w:pgMar w:left="240" w:top="1440" w:right="239" w:bottom="0" w:gutter="0" w:footer="0" w:header="0"/>
          <w:type w:val="continuous"/>
        </w:sectPr>
      </w:pP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Yes [ ] No [</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w:t>
      </w:r>
    </w:p>
    <w:p>
      <w:pPr>
        <w:spacing w:after="0" w:line="203" w:lineRule="exact"/>
        <w:rPr>
          <w:sz w:val="24"/>
          <w:szCs w:val="24"/>
          <w:color w:val="auto"/>
        </w:rPr>
      </w:pPr>
    </w:p>
    <w:p>
      <w:pPr>
        <w:sectPr>
          <w:pgSz w:w="11900" w:h="16838" w:orient="portrait"/>
          <w:cols w:equalWidth="0" w:num="2">
            <w:col w:w="8140" w:space="620"/>
            <w:col w:w="2660"/>
          </w:cols>
          <w:pgMar w:left="240" w:top="1440" w:right="239" w:bottom="0" w:gutter="0" w:footer="0" w:header="0"/>
          <w:type w:val="continuous"/>
        </w:sectPr>
      </w:pPr>
    </w:p>
    <w:p>
      <w:pPr>
        <w:spacing w:after="0" w:line="2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computed by reference to the price at which the registrant’s common equity was last sold, as of June 28, 2013 (the last day of the registrant’s most recently completed second fiscal quarter) was approximately $3,423,048.</w:t>
      </w:r>
    </w:p>
    <w:p>
      <w:pPr>
        <w:sectPr>
          <w:pgSz w:w="11900" w:h="16838" w:orient="portrait"/>
          <w:cols w:equalWidth="0" w:num="1">
            <w:col w:w="11420"/>
          </w:cols>
          <w:pgMar w:left="240" w:top="1440" w:right="2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The registrant had 16,058,815 shares of common stock outstanding as of April 10,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873125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filing this Amendment No. 1 (the “Amendment”) on Form 10-K/A to amend our Annual Report on Form 10-K for the fiscal year ended December 31, 2013 (the “Original Filing”) that was filed with the Securities and Exchange Commission on April 15, 2014, solely for the purpose of furnishing Exhibit 101 – Interactive Data File (XBRL Exhibit) required by Rule 405 of Regulation S-T, which was not included with the Original Filing.</w:t>
      </w:r>
    </w:p>
    <w:p>
      <w:pPr>
        <w:spacing w:after="0" w:line="20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is filing Exhibit 101 in accordance with the temporary hardship exemption provided by Rule 201 of Regulation S-T, which extended the date by which the interactive data file is required to be submitted by six business days.</w:t>
      </w:r>
    </w:p>
    <w:p>
      <w:pPr>
        <w:spacing w:after="0" w:line="1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Except as described above, this Amendment No. 1 does not amend any other information set forth in the Original Filing, and the Company has not updated disclosures included therein to reflect any events that occurred subsequent to April 15, 2014.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registration statement. Exhibit numbers correspond to the exhibit requirements of Regulation S-K.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Option Agreement, dated March 18, 2014, between the Company and Ayer Special Situations Fund I, LP*</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Certification of Principal Executive Officer and Acting Principal Accounting Officer pursuant to Securities Exchange Act of 1934</w:t>
            </w:r>
          </w:p>
        </w:tc>
      </w:tr>
      <w:tr>
        <w:trPr>
          <w:trHeight w:val="216"/>
        </w:trPr>
        <w:tc>
          <w:tcPr>
            <w:tcW w:w="1420" w:type="dxa"/>
            <w:vAlign w:val="bottom"/>
          </w:tcPr>
          <w:p>
            <w:pPr>
              <w:spacing w:after="0"/>
              <w:rPr>
                <w:sz w:val="18"/>
                <w:szCs w:val="18"/>
                <w:color w:val="auto"/>
              </w:rPr>
            </w:pPr>
          </w:p>
        </w:tc>
        <w:tc>
          <w:tcPr>
            <w:tcW w:w="10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Rule 13a-14(a) or 15d-14(a).*</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Certification of Principal Executive Officer and Acting Principal Accounting Officer pursuant to 18 U.S.C. Section 1350.*</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441"/>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Filed with our Form 10-K on April 15, 2014</w:t>
            </w:r>
          </w:p>
        </w:tc>
      </w:tr>
      <w:tr>
        <w:trPr>
          <w:trHeight w:val="23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118"/>
        </w:trPr>
        <w:tc>
          <w:tcPr>
            <w:tcW w:w="1420" w:type="dxa"/>
            <w:vAlign w:val="bottom"/>
            <w:tcBorders>
              <w:bottom w:val="single" w:sz="8" w:color="808080"/>
            </w:tcBorders>
          </w:tcPr>
          <w:p>
            <w:pPr>
              <w:spacing w:after="0"/>
              <w:rPr>
                <w:sz w:val="24"/>
                <w:szCs w:val="24"/>
                <w:color w:val="auto"/>
              </w:rPr>
            </w:pPr>
          </w:p>
        </w:tc>
        <w:tc>
          <w:tcPr>
            <w:tcW w:w="100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and 15 (d)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TAPIMMUNE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Glynn Wilson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 and Acting Principal Accounting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16, 2014</w:t>
      </w:r>
    </w:p>
    <w:p>
      <w:pPr>
        <w:spacing w:after="0" w:line="23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on April 16, 2014: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Glynn Wilson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Glynn Wilson, Director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Sherry Grisewood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Sherry Grisewood,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2087880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12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2020-01-26T21:54:27Z</dcterms:created>
  <dcterms:modified xsi:type="dcterms:W3CDTF">2020-01-26T21:54:27Z</dcterms:modified>
</cp:coreProperties>
</file>