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144"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March 31, 2021</w:t>
      </w:r>
    </w:p>
    <w:p>
      <w:pPr>
        <w:spacing w:after="0" w:line="131" w:lineRule="exact"/>
        <w:rPr>
          <w:sz w:val="24"/>
          <w:szCs w:val="24"/>
          <w:color w:val="auto"/>
        </w:rPr>
      </w:pPr>
    </w:p>
    <w:p>
      <w:pPr>
        <w:ind w:left="3720" w:right="1140" w:hanging="3712"/>
        <w:spacing w:after="0" w:line="429"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-16510</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6"/>
                <w:szCs w:val="16"/>
                <w:b w:val="1"/>
                <w:bCs w:val="1"/>
                <w:color w:val="auto"/>
                <w:w w:val="91"/>
              </w:rPr>
              <w:t>Delaware</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56"/>
              <w:spacing w:after="0"/>
              <w:rPr>
                <w:sz w:val="20"/>
                <w:szCs w:val="20"/>
                <w:color w:val="auto"/>
              </w:rPr>
            </w:pPr>
            <w:r>
              <w:rPr>
                <w:rFonts w:ascii="Arial" w:cs="Arial" w:eastAsia="Arial" w:hAnsi="Arial"/>
                <w:sz w:val="16"/>
                <w:szCs w:val="16"/>
                <w:b w:val="1"/>
                <w:bCs w:val="1"/>
                <w:color w:val="auto"/>
              </w:rPr>
              <w:t>45-4497941</w:t>
            </w:r>
          </w:p>
        </w:tc>
      </w:tr>
      <w:tr>
        <w:trPr>
          <w:trHeight w:val="206"/>
        </w:trPr>
        <w:tc>
          <w:tcPr>
            <w:tcW w:w="20" w:type="dxa"/>
            <w:vAlign w:val="bottom"/>
          </w:tcPr>
          <w:p>
            <w:pPr>
              <w:spacing w:after="0"/>
              <w:rPr>
                <w:sz w:val="17"/>
                <w:szCs w:val="17"/>
                <w:color w:val="auto"/>
              </w:rPr>
            </w:pPr>
          </w:p>
        </w:tc>
        <w:tc>
          <w:tcPr>
            <w:tcW w:w="4460" w:type="dxa"/>
            <w:vAlign w:val="bottom"/>
            <w:gridSpan w:val="3"/>
          </w:tcPr>
          <w:p>
            <w:pPr>
              <w:jc w:val="center"/>
              <w:ind w:left="29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gridSpan w:val="3"/>
          </w:tcPr>
          <w:p>
            <w:pPr>
              <w:jc w:val="center"/>
              <w:ind w:right="916"/>
              <w:spacing w:after="0"/>
              <w:rPr>
                <w:sz w:val="20"/>
                <w:szCs w:val="20"/>
                <w:color w:val="auto"/>
              </w:rPr>
            </w:pPr>
            <w:r>
              <w:rPr>
                <w:rFonts w:ascii="Arial" w:cs="Arial" w:eastAsia="Arial" w:hAnsi="Arial"/>
                <w:sz w:val="16"/>
                <w:szCs w:val="16"/>
                <w:color w:val="auto"/>
                <w:w w:val="95"/>
              </w:rPr>
              <w:t>(I.R.S. Employer Identification No.)</w:t>
            </w:r>
          </w:p>
        </w:tc>
      </w:tr>
      <w:tr>
        <w:trPr>
          <w:trHeight w:val="563"/>
        </w:trPr>
        <w:tc>
          <w:tcPr>
            <w:tcW w:w="20" w:type="dxa"/>
            <w:vAlign w:val="bottom"/>
          </w:tcPr>
          <w:p>
            <w:pPr>
              <w:spacing w:after="0"/>
              <w:rPr>
                <w:sz w:val="24"/>
                <w:szCs w:val="24"/>
                <w:color w:val="auto"/>
              </w:rPr>
            </w:pPr>
          </w:p>
        </w:tc>
        <w:tc>
          <w:tcPr>
            <w:tcW w:w="4460" w:type="dxa"/>
            <w:vAlign w:val="bottom"/>
            <w:gridSpan w:val="3"/>
          </w:tcPr>
          <w:p>
            <w:pPr>
              <w:jc w:val="center"/>
              <w:ind w:left="298"/>
              <w:spacing w:after="0"/>
              <w:rPr>
                <w:sz w:val="20"/>
                <w:szCs w:val="20"/>
                <w:color w:val="auto"/>
              </w:rPr>
            </w:pPr>
            <w:r>
              <w:rPr>
                <w:rFonts w:ascii="Arial" w:cs="Arial" w:eastAsia="Arial" w:hAnsi="Arial"/>
                <w:sz w:val="16"/>
                <w:szCs w:val="16"/>
                <w:b w:val="1"/>
                <w:bCs w:val="1"/>
                <w:color w:val="auto"/>
                <w:w w:val="90"/>
              </w:rPr>
              <w:t>3200 Southwest Freeway, Suite 2500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6"/>
                <w:szCs w:val="16"/>
                <w:b w:val="1"/>
                <w:bCs w:val="1"/>
                <w:color w:val="auto"/>
                <w:w w:val="87"/>
              </w:rPr>
              <w:t>Houston, Texas</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36"/>
              <w:spacing w:after="0"/>
              <w:rPr>
                <w:sz w:val="20"/>
                <w:szCs w:val="20"/>
                <w:color w:val="auto"/>
              </w:rPr>
            </w:pPr>
            <w:r>
              <w:rPr>
                <w:rFonts w:ascii="Arial" w:cs="Arial" w:eastAsia="Arial" w:hAnsi="Arial"/>
                <w:sz w:val="16"/>
                <w:szCs w:val="16"/>
                <w:b w:val="1"/>
                <w:bCs w:val="1"/>
                <w:color w:val="auto"/>
              </w:rPr>
              <w:t>77027</w:t>
            </w:r>
          </w:p>
        </w:tc>
      </w:tr>
      <w:tr>
        <w:trPr>
          <w:trHeight w:val="206"/>
        </w:trPr>
        <w:tc>
          <w:tcPr>
            <w:tcW w:w="20" w:type="dxa"/>
            <w:vAlign w:val="bottom"/>
          </w:tcPr>
          <w:p>
            <w:pPr>
              <w:spacing w:after="0"/>
              <w:rPr>
                <w:sz w:val="17"/>
                <w:szCs w:val="17"/>
                <w:color w:val="auto"/>
              </w:rPr>
            </w:pPr>
          </w:p>
        </w:tc>
        <w:tc>
          <w:tcPr>
            <w:tcW w:w="4460" w:type="dxa"/>
            <w:vAlign w:val="bottom"/>
            <w:gridSpan w:val="3"/>
          </w:tcPr>
          <w:p>
            <w:pPr>
              <w:jc w:val="center"/>
              <w:ind w:left="298"/>
              <w:spacing w:after="0"/>
              <w:rPr>
                <w:sz w:val="20"/>
                <w:szCs w:val="20"/>
                <w:color w:val="auto"/>
              </w:rPr>
            </w:pPr>
            <w:r>
              <w:rPr>
                <w:rFonts w:ascii="Arial" w:cs="Arial" w:eastAsia="Arial" w:hAnsi="Arial"/>
                <w:sz w:val="16"/>
                <w:szCs w:val="16"/>
                <w:color w:val="auto"/>
                <w:w w:val="93"/>
              </w:rPr>
              <w:t>(Address of principal executive offices)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jc w:val="center"/>
              <w:ind w:right="1316"/>
              <w:spacing w:after="0"/>
              <w:rPr>
                <w:sz w:val="20"/>
                <w:szCs w:val="20"/>
                <w:color w:val="auto"/>
              </w:rPr>
            </w:pPr>
            <w:r>
              <w:rPr>
                <w:rFonts w:ascii="Arial" w:cs="Arial" w:eastAsia="Arial" w:hAnsi="Arial"/>
                <w:sz w:val="16"/>
                <w:szCs w:val="16"/>
                <w:color w:val="auto"/>
                <w:w w:val="95"/>
              </w:rPr>
              <w:t>(Zip Code)</w:t>
            </w:r>
          </w:p>
        </w:tc>
      </w:tr>
      <w:tr>
        <w:trPr>
          <w:trHeight w:val="557"/>
        </w:trPr>
        <w:tc>
          <w:tcPr>
            <w:tcW w:w="3860" w:type="dxa"/>
            <w:vAlign w:val="bottom"/>
            <w:gridSpan w:val="2"/>
          </w:tcPr>
          <w:p>
            <w:pPr>
              <w:jc w:val="center"/>
              <w:ind w:left="939"/>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460" w:type="dxa"/>
            <w:vAlign w:val="bottom"/>
            <w:tcBorders>
              <w:top w:val="single" w:sz="8" w:color="auto"/>
            </w:tcBorders>
            <w:gridSpan w:val="3"/>
          </w:tcPr>
          <w:p>
            <w:pPr>
              <w:jc w:val="center"/>
              <w:ind w:left="298"/>
              <w:spacing w:after="0"/>
              <w:rPr>
                <w:sz w:val="20"/>
                <w:szCs w:val="20"/>
                <w:color w:val="auto"/>
              </w:rPr>
            </w:pPr>
            <w:r>
              <w:rPr>
                <w:rFonts w:ascii="Arial" w:cs="Arial" w:eastAsia="Arial" w:hAnsi="Arial"/>
                <w:sz w:val="16"/>
                <w:szCs w:val="16"/>
                <w:color w:val="auto"/>
                <w:w w:val="90"/>
              </w:rPr>
              <w:t>(Issuer’s telephone number)</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28"/>
        </w:trPr>
        <w:tc>
          <w:tcPr>
            <w:tcW w:w="448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460" w:type="dxa"/>
            <w:vAlign w:val="bottom"/>
            <w:gridSpan w:val="3"/>
          </w:tcPr>
          <w:p>
            <w:pPr>
              <w:ind w:left="136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Trading Symbol(s)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2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6"/>
                <w:szCs w:val="16"/>
                <w:color w:val="auto"/>
                <w:w w:val="97"/>
              </w:rPr>
              <w:t>MRKR</w:t>
            </w: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9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73"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56"/>
        </w:trPr>
        <w:tc>
          <w:tcPr>
            <w:tcW w:w="2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25"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right="154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April 30, 2021, the Company had 83,013,929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r>
      <w:tr>
        <w:trPr>
          <w:trHeight w:val="844"/>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9"/>
          </w:tcPr>
          <w:p>
            <w:pPr>
              <w:ind w:left="108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and December 31,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for the three months ended March 31, 2021 and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Stockholders' Equity for the three months ended March 31, 2021 and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March 31, 2021 and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8200" w:type="dxa"/>
            <w:vAlign w:val="bottom"/>
            <w:gridSpan w:val="2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rPr>
              <w:t>MARKER THERAPEUTICS, INC.</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64,507,575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1,962,924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67,471,366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24,410,865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10,298,225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3,570,736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Right-of-use assets,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10,592,490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20,890,715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21,203,950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2"/>
              </w:rPr>
              <w:t>Total assets</w:t>
            </w:r>
          </w:p>
        </w:tc>
        <w:tc>
          <w:tcPr>
            <w:tcW w:w="38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88,362,081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Lease liability</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4,147,336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11,719,826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11,719,826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15,867,162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Commitments and contingencies (see Note 10)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outstanding at March 31, 2021 and December 31, 2020, respectively</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7"/>
              </w:rPr>
              <w:t>Common stock, $0.001 par value, 150 million shares authorized, 83.0 million and 50.7 million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shares issued and outstanding as of March 31, 2021 and December 31, 2020, respectively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437,430,839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383,533,326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(365,018,934)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(356,239,484)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72,494,919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88,362,081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85"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Three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5,643,029</w:t>
            </w:r>
          </w:p>
        </w:tc>
        <w:tc>
          <w:tcPr>
            <w:tcW w:w="100" w:type="dxa"/>
            <w:vAlign w:val="bottom"/>
          </w:tcPr>
          <w:p>
            <w:pPr>
              <w:spacing w:after="0"/>
              <w:rPr>
                <w:sz w:val="18"/>
                <w:szCs w:val="18"/>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3,816,618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8,780,987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(8,779,450)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(6,485,644)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56,470,247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46,084,383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50,731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383,533,326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(356,239,484)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27,344,573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00"/>
              <w:spacing w:after="0" w:line="201" w:lineRule="exact"/>
              <w:rPr>
                <w:sz w:val="20"/>
                <w:szCs w:val="20"/>
                <w:color w:val="auto"/>
              </w:rPr>
            </w:pPr>
            <w:r>
              <w:rPr>
                <w:rFonts w:ascii="Arial" w:cs="Arial" w:eastAsia="Arial" w:hAnsi="Arial"/>
                <w:sz w:val="18"/>
                <w:szCs w:val="18"/>
                <w:color w:val="auto"/>
              </w:rPr>
              <w:t>Issuance of common stock for cash (net of</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offering costs of $3.9 million)</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32,282,857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52,520,475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(8,779,450)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(8,779,450)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83,013,929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437,430,839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(365,018,934)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72,494,919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45,728,831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371,573,909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(327,533,414)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44,086,223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Warrants exercised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458,334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Issuance of common stock as commitment</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fee for future financing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345,357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1,344,592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(6,485,644)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(6,485,644)</w:t>
            </w:r>
          </w:p>
        </w:tc>
        <w:tc>
          <w:tcPr>
            <w:tcW w:w="0" w:type="dxa"/>
            <w:vAlign w:val="bottom"/>
          </w:tcPr>
          <w:p>
            <w:pPr>
              <w:spacing w:after="0"/>
              <w:rPr>
                <w:sz w:val="1"/>
                <w:szCs w:val="1"/>
                <w:color w:val="auto"/>
              </w:rPr>
            </w:pPr>
          </w:p>
        </w:tc>
      </w:tr>
      <w:tr>
        <w:trPr>
          <w:trHeight w:val="209"/>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46,532,522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373,467,697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(334,019,058)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39,495,171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Three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(8,779,450)</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(6,485,644)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502,743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1,377,038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(2,442,581)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(64,329)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(9,060,261)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(4,099,066)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(441,134)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(441,134)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52,656,588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warrants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52,656,588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43,155,193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(3,648,887)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21,352,382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43,903,949</w:t>
            </w:r>
          </w:p>
        </w:tc>
        <w:tc>
          <w:tcPr>
            <w:tcW w:w="0" w:type="dxa"/>
            <w:vAlign w:val="bottom"/>
          </w:tcPr>
          <w:p>
            <w:pPr>
              <w:spacing w:after="0"/>
              <w:rPr>
                <w:sz w:val="1"/>
                <w:szCs w:val="1"/>
                <w:color w:val="auto"/>
              </w:rPr>
            </w:pPr>
          </w:p>
        </w:tc>
      </w:tr>
      <w:tr>
        <w:trPr>
          <w:trHeight w:val="20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64,507,575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40,255,062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Offering cost not yet paid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103,830</w:t>
            </w:r>
          </w:p>
        </w:tc>
        <w:tc>
          <w:tcPr>
            <w:tcW w:w="220" w:type="dxa"/>
            <w:vAlign w:val="bottom"/>
          </w:tcPr>
          <w:p>
            <w:pPr>
              <w:spacing w:after="0"/>
              <w:rPr>
                <w:sz w:val="18"/>
                <w:szCs w:val="18"/>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Reclassifications between construction in progress and fixed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6,789,098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Issuance of common stock as commitment fee for future financing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for the condensed consolidated statement of operations are not necessarily indicative of results to be expected for the year ending December 31, 2021 or for any future interim period. The condensed consolidated balance sheet at March 31, 2021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2020 and notes thereto included in the Company’s annual report on Form 10-K filed on March 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2021, the Company had cash and cash equivalents of approximately $64.5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March 16, 2021, the Company issued an aggregate of 32,282,857 shares of its common stock, for net proceeds of $52.6 million.</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the Company’s clinical and research and development plans and its timing expectations related to the progress of its programs, the Company expects that its cash and cash equivalents as of March 31, 2021 will enable the Company to fund its operating expenses and capital expenditure requirements into the first quarter of 2023.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340" w:hanging="332"/>
        <w:spacing w:after="0" w:line="250" w:lineRule="auto"/>
        <w:tabs>
          <w:tab w:leader="none" w:pos="3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the Company’s liquidity. In addition, a recession or market correction resulting from the spread of COVID-19 could materially affect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has adopted the new standard effective January 1, 2021 and has concluded that the adoption of this standard did not have a material impact on its condensed consolidated financial statements and related disclosures.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net loss per share for the three months ended March 31, 2021 and 2020, respectively:</w:t>
      </w:r>
    </w:p>
    <w:p>
      <w:pPr>
        <w:spacing w:after="0" w:line="253"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For the Three Months Ended</w:t>
      </w:r>
    </w:p>
    <w:p>
      <w:pPr>
        <w:jc w:val="center"/>
        <w:ind w:left="7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(8,779,450)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(6,485,644)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56,470,247</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46,084,383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and diluted</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For the 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59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6,291,000</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purchase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20,830,000</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21,381,000</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28,320,000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27,672,000</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RECEIVABLES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Company’s lease agreement for its manufacturing facility, the Company incurred and paid for the construction invoices directly for both the structural improvements of the facility and the building of the manufacturing modular cleanroom (i.e. leasehold improvements and manufacturing equipment). In accordance with the agreement, upon completion of the facility’s construction, the Company was owed up to $1.0 million as reimbursement, and as such a landlord receivable was recorded, which provides for a legal right to receive construction reimbursements from the landlord for tenant improvement allowances. During the fiscal year ended 2020, the Company recorded a $1.0 million receivable in its condensed consolidated financial statements. The Company received the $1.0 million reimbursement in April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March 31, 2021 and December 31,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 Useful Lives</w:t>
            </w: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and manufacturing equipment</w:t>
            </w: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32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rPr>
              <w:t>life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3,156,000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289,000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11,392,000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(1,094,000)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6,789,000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Total fixed assets,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10,298,000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10,360,000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$6.8 million was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During January 2021, $4.0 million of the costs previously recorded as construction in progress were recorded to lab and manufacturing equipment and $2.8 million were recorded to leasehold improvements.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three months ended March 31, 2021 and 2020 was approximately $0.5 million and $0.03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Company had total operating lease liabilities of approximately $12.2 million and right-of-use assets of approximately $10.6 million, which were included in the condensed consolidated balance sheet.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quantitative information about the Company’s operating leases for the three months ended March 31, 2021 and 2020, respectively:</w:t>
      </w:r>
    </w:p>
    <w:p>
      <w:pPr>
        <w:spacing w:after="0" w:line="175"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For the 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425,000</w:t>
            </w:r>
          </w:p>
        </w:tc>
        <w:tc>
          <w:tcPr>
            <w:tcW w:w="160" w:type="dxa"/>
            <w:vAlign w:val="bottom"/>
          </w:tcPr>
          <w:p>
            <w:pPr>
              <w:spacing w:after="0"/>
              <w:rPr>
                <w:sz w:val="18"/>
                <w:szCs w:val="18"/>
                <w:color w:val="auto"/>
              </w:rPr>
            </w:pP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133,000</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558,000</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238,000</w:t>
            </w:r>
          </w:p>
        </w:tc>
        <w:tc>
          <w:tcPr>
            <w:tcW w:w="160" w:type="dxa"/>
            <w:vAlign w:val="bottom"/>
          </w:tcPr>
          <w:p>
            <w:pPr>
              <w:spacing w:after="0"/>
              <w:rPr>
                <w:sz w:val="18"/>
                <w:szCs w:val="18"/>
                <w:color w:val="auto"/>
              </w:rPr>
            </w:pP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Weighted-average discount rate as of adoption date – operating leases</w:t>
            </w:r>
          </w:p>
        </w:tc>
        <w:tc>
          <w:tcPr>
            <w:tcW w:w="3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418"/>
        </w:trPr>
        <w:tc>
          <w:tcPr>
            <w:tcW w:w="696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31, 2021</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8,772,000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16,131,000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3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Operating lease liabilities included in the Condensed Consolidated Balance Sheet at March 31, 2021</w:t>
            </w: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March 31, 2021 and December 31, 2020, respectively:</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1,888,000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2,935,000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1,694,000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3,674,000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6,013,000</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arbitration proceeding was brought against the Company before the Financial Industry Regulatory Authority, Inc. by a broker seeking to be paid approximately $1.0 million as compensation for two financing transactions that occurred in 2018,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11, 2021, the Company entered into an underwriting agreement with Piper Sandler &amp; Co., as representative of the several underwriters, to issue and sell 28,572,000 shares of common stock of the Company in an underwritten public offering. The offering price to the public was $1.75 per share. In addition, the Company granted the underwriters an option to purchase, for a period of 30 days, up to an additional 4,285,800 shares of common stock, which such option was partially exercised with respect to 3,710,857 shares. An aggregate of 32,282,857 shares of the Company’s common stock was issued for net proceeds of $52.6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March 31, 2021 and changes during the period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95"/>
              </w:rPr>
              <w:t>20,830,000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March 31, 2021</w:t>
            </w: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5"/>
              </w:rPr>
              <w:t>20,830,000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10, 2021, pursuant to the Company’s 2020 Equity Incentive Plan, the compensation committee of the Company’s board of directors approved a total of 740,000 options to purchase the Company’s common stock as equity-based incentive awards to the Company’s executive officers, other than the Chief Executive Officer. Each option award was granted with an exercise price of $3.29 per share, the closing price of the Company’s common stock on the Nasdaq Global Market on February 10, 2021, with the option award vesting in 48 equal monthly installments over a four-year period, subject to such executive officer’s continued service on the applicable vesting date. Additionally, on February 10, 2021, the compensation committee of the Company’s board of directors approved a total of 260,000 options to purchase the Company’s common stock to non-executive employees of the Company as equity-based incentive awards. Each option award was granted with an exercise price of $3.29 per share, the closing price of the Company’s common stock on the Nasdaq Global Market on February 10, 2021,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upon the recommendation of the compensation committee and pursuant to the Company’s 2020 Equity Incentive Plan, the Company’s board of directors approved a total of 430,000 options to purchase the Company’s common stock as (equity-based incentive awards to the Company’s Chief Executive Officer. The option award was granted with an exercise price of $3.06 per share, the closing price of the Company’s common stock on the Nasdaq Global Market on February 11, 2021, with the option award vesting in 48 equal monthly installments over a four-year period, subject to such Chief Executive Officer’s continued service on the applicable vesting date.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above awards were in addition to 90,000 stock option awards issued during the three months ended March 31, 2021 to new employees upon their commencement of employment with the Company. Each option award was granted with an exercise price of $1.47 per share, the closing price of the Company’s common stock on the Nasdaq Global Market on January 4, 2021, with 25% of the option award vesting in one year and the remaining 75% vesting in 36 equal monthly installments thereafter over a three-year period, subject to such employee's continued service on the applicable vesting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Intrinsic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6,001,814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1,520,000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 / Expired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March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7,490,191</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333,000</w:t>
            </w:r>
          </w:p>
        </w:tc>
        <w:tc>
          <w:tcPr>
            <w:tcW w:w="16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2,977,761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three months ended March 31, 2021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term (years)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95 %</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30"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For the Three Months Ended</w:t>
      </w:r>
    </w:p>
    <w:p>
      <w:pPr>
        <w:jc w:val="center"/>
        <w:ind w:left="7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8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696,000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781,000</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681,000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564,000</w:t>
            </w: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2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1,377,000</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1,345,000</w:t>
            </w:r>
          </w:p>
        </w:tc>
      </w:tr>
      <w:tr>
        <w:trPr>
          <w:trHeight w:val="20"/>
        </w:trPr>
        <w:tc>
          <w:tcPr>
            <w:tcW w:w="4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total stock-based compensation cost related to unvested awards not yet recognized was $12.7 million. The expected weighted average period compensation costs to be recognized was approximately 2.5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months ended March 31, 2021 and 2020, respectively.</w:t>
      </w:r>
    </w:p>
    <w:p>
      <w:pPr>
        <w:spacing w:after="0" w:line="175"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For the Three Months Ended</w:t>
      </w:r>
    </w:p>
    <w:p>
      <w:pPr>
        <w:jc w:val="center"/>
        <w:ind w:left="70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Bio-Techne Corporation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468,000</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2018 and February 2020, the Company entered in Sponsored Research Agreements with BCM, which provided for the conduct of research for the Company by credentialed personnel at BCM’s Center for Cell and Gene Therapy.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the Company entered in a Clinical Supply Agreement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is serving as the President of the Protein Sciences Segment of Bio-Techne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months ended March 31, 2021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expect to complete the safety lead-in portion of the trial in the first half of 2021. We anticipate that we will initiate the remainder of the Phase 2 trial in the third quarter of 2021 and complete enrollment of 20 patients in that phase of the trial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2020,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151765</wp:posOffset>
            </wp:positionV>
            <wp:extent cx="6172200" cy="267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March 31,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5,643,000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1,826,000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8,781,000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6,644,000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2,137,000</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(8,781,000)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(6,644,000)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(8,779,000)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(6,486,000)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(2,293,000)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Weighted average number of common shares outstanding,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56,470,000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46,084,000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10,386,000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7"/>
        </w:trPr>
        <w:tc>
          <w:tcPr>
            <w:tcW w:w="52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March 31, 2021 were $8.8 million compared to $6.6 million during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increased by 48% to $5.6 million for the three months ended March 31, 2021, compared to $3.8 million for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$1.8 million in 2021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4"/>
        </w:numPr>
        <w:rPr>
          <w:rFonts w:ascii="Courier New" w:cs="Courier New" w:eastAsia="Courier New" w:hAnsi="Courier New"/>
          <w:sz w:val="16"/>
          <w:szCs w:val="16"/>
          <w:color w:val="auto"/>
        </w:rPr>
      </w:pPr>
      <w:r>
        <w:rPr>
          <w:rFonts w:ascii="Arial" w:cs="Arial" w:eastAsia="Arial" w:hAnsi="Arial"/>
          <w:sz w:val="16"/>
          <w:szCs w:val="16"/>
          <w:color w:val="auto"/>
        </w:rPr>
        <w:t>increase of $0.6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rent and utilities,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other expenses, and</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6"/>
          <w:szCs w:val="16"/>
          <w:color w:val="auto"/>
        </w:rPr>
      </w:pPr>
      <w:r>
        <w:rPr>
          <w:rFonts w:ascii="Arial" w:cs="Arial" w:eastAsia="Arial" w:hAnsi="Arial"/>
          <w:sz w:val="16"/>
          <w:szCs w:val="16"/>
          <w:color w:val="auto"/>
        </w:rPr>
        <w:t>increase of $0.4 million in depreciation expenses primarily attributable to our manufacturing facility and related expenses.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$3.1 million and $2.8 million for the three months ended March 31, 2021 and 2020, respectively. The increase in general and administrative expenses was mainly comprised of increases in rent, insurance expenses and in headcount-related expenses, offset by a decrease in legal and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$2,000 and $0.1 million for the three months ended March 31, 2021 and 2020, respectively, and was attributable to interest income relating to funds that are held in U.S. Treasury notes and U.S. government agency-backed securities. As part of the reaction to the COVID-19 pandemic, the Federal Reserve cut rates in mid-March of 2020 to a range of 0.0% - 0.25%. As such, we recorded lower interest income during the three months ended March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our net loss during the three months ended March 31, 2021 compared to the three months ended March 31, 2020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working capital as of March 31, 2021 and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2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64,508,000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21,352,000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Working capital</w:t>
            </w:r>
          </w:p>
        </w:tc>
        <w:tc>
          <w:tcPr>
            <w:tcW w:w="29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63,324,000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18,009,000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2021 and 2020:</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Three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(9,060,000)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(4,099,000)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52,656,000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43,155,000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(3,649,000)</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during the three months ended March 31, 2021 was $9.1 million compared to $4.1 million for the same period last year. The changes in cash flow from operating activities during the three months ended March 31, 2020 were due to $8.8 million of net losses and a $2.4 million decrease from changes in operating assets and liabilities. This was offset by $1.4 million of stock-based compensation, $0.5 million of depreciation expense and $0.3 million right-of-use asset amortization and lease liability accretion.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$0.4 million and $0.1 million for the purchase of property and equipment during the three months ended March 31, 2021 and 2020, respectively. The increase relates to purchases of laboratory equipment for the manufacturing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$52.7 million during the three months ended March 31, 2021, due to the net proceeds received from the underwritten public offering. Net cash provided by financing activities was $0.6 million during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16, 2021, we issued an aggregate of 32,282,857 shares of our common stock, for net proceeds of $52.6 million pursuant to an underwritten public offering. As of March 31, 2021, we had working capital of $63.3 million, compared to working capital of $18.0 million as of December 31, 2020. Based on our clinical and research and development plans and our timing expectations related to the progress of our programs, we expect that our cash and cash equivalents as of March 31, 2021 will enable us to fund our operating expenses and capital expenditure requirements into the first quarter of 2023.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79"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68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80" w:right="20" w:hanging="321"/>
        <w:spacing w:after="0" w:line="290"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three months ended March 31, 2021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we were not a party to any legal proceedings that, in the opinion of management, are likely to have a material adverse effect on our business.</w:t>
      </w:r>
    </w:p>
    <w:p>
      <w:pPr>
        <w:spacing w:after="0" w:line="1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2020, filed with the Securities and Exchange Commission on March 9, 2021. There have been no material changes to the risk factors described in that report.</w:t>
      </w:r>
    </w:p>
    <w:p>
      <w:pPr>
        <w:spacing w:after="0" w:line="18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three months ended March 31, 2021.</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62922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20" w:type="dxa"/>
            <w:vAlign w:val="bottom"/>
            <w:gridSpan w:val="2"/>
            <w:vMerge w:val="continue"/>
          </w:tcPr>
          <w:p>
            <w:pPr>
              <w:spacing w:after="0"/>
              <w:rPr>
                <w:sz w:val="9"/>
                <w:szCs w:val="9"/>
                <w:color w:val="auto"/>
              </w:rPr>
            </w:pPr>
          </w:p>
        </w:tc>
        <w:tc>
          <w:tcPr>
            <w:tcW w:w="3320" w:type="dxa"/>
            <w:vAlign w:val="bottom"/>
            <w:gridSpan w:val="6"/>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320" w:type="dxa"/>
            <w:vAlign w:val="bottom"/>
            <w:tcBorders>
              <w:bottom w:val="single" w:sz="8" w:color="auto"/>
            </w:tcBorders>
            <w:gridSpan w:val="6"/>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320" w:type="dxa"/>
            <w:vAlign w:val="bottom"/>
            <w:gridSpan w:val="6"/>
          </w:tcPr>
          <w:p>
            <w:pPr>
              <w:spacing w:after="0"/>
              <w:rPr>
                <w:rFonts w:ascii="Arial" w:cs="Arial" w:eastAsia="Arial" w:hAnsi="Arial"/>
                <w:sz w:val="18"/>
                <w:szCs w:val="18"/>
                <w:color w:val="0000EE"/>
              </w:rPr>
            </w:pPr>
            <w:hyperlink r:id="rId45">
              <w:r>
                <w:rPr>
                  <w:rFonts w:ascii="Arial" w:cs="Arial" w:eastAsia="Arial" w:hAnsi="Arial"/>
                  <w:sz w:val="18"/>
                  <w:szCs w:val="18"/>
                  <w:color w:val="0000EE"/>
                </w:rPr>
                <w:t>Certificate of Incorporation (Delaware).</w:t>
              </w:r>
            </w:hyperlink>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Bylaws of Marker Therapeutics, Inc.</w:t>
              </w:r>
            </w:hyperlink>
          </w:p>
        </w:tc>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Certification of Chief Executive Officer Pursuant</w:t>
              </w:r>
            </w:hyperlink>
          </w:p>
        </w:tc>
        <w:tc>
          <w:tcPr>
            <w:tcW w:w="1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to Rule 13a-14(a) or 15d-14(a) of the Securities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Exchange Act of 1933, as amended.</w:t>
              </w:r>
            </w:hyperlink>
          </w:p>
        </w:tc>
        <w:tc>
          <w:tcPr>
            <w:tcW w:w="700" w:type="dxa"/>
            <w:vAlign w:val="bottom"/>
            <w:tcBorders>
              <w:top w:val="single" w:sz="8" w:color="0000EE"/>
            </w:tcBorders>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Certification of Chief Financial Officer Pursuant</w:t>
              </w:r>
            </w:hyperlink>
          </w:p>
        </w:tc>
        <w:tc>
          <w:tcPr>
            <w:tcW w:w="1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to Rule 13a-14(a) or 15d-14(a) of the Securities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Exchange Act of 1933, as amended.</w:t>
              </w:r>
            </w:hyperlink>
          </w:p>
        </w:tc>
        <w:tc>
          <w:tcPr>
            <w:tcW w:w="700" w:type="dxa"/>
            <w:vAlign w:val="bottom"/>
            <w:tcBorders>
              <w:top w:val="single" w:sz="8" w:color="0000EE"/>
            </w:tcBorders>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Certification of Chief Executive Officer Pursuant</w:t>
              </w:r>
            </w:hyperlink>
          </w:p>
        </w:tc>
        <w:tc>
          <w:tcPr>
            <w:tcW w:w="1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to Rule 13a-14(a) or 15d-14(a) of the Securities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Exchange Act of 1933, as amended.</w:t>
              </w:r>
            </w:hyperlink>
          </w:p>
        </w:tc>
        <w:tc>
          <w:tcPr>
            <w:tcW w:w="720" w:type="dxa"/>
            <w:vAlign w:val="bottom"/>
            <w:tcBorders>
              <w:top w:val="single" w:sz="8" w:color="0000EE"/>
            </w:tcBorders>
            <w:gridSpan w:val="4"/>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32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Certification  of  Chief  Financial  Officer</w:t>
              </w:r>
            </w:hyperlink>
          </w:p>
        </w:tc>
        <w:tc>
          <w:tcPr>
            <w:tcW w:w="1340" w:type="dxa"/>
            <w:vAlign w:val="bottom"/>
            <w:gridSpan w:val="5"/>
          </w:tcPr>
          <w:p>
            <w:pPr>
              <w:ind w:left="60"/>
              <w:spacing w:after="0"/>
              <w:rPr>
                <w:rFonts w:ascii="Arial" w:cs="Arial" w:eastAsia="Arial" w:hAnsi="Arial"/>
                <w:sz w:val="18"/>
                <w:szCs w:val="18"/>
                <w:color w:val="0000EE"/>
              </w:rPr>
            </w:pPr>
            <w:hyperlink w:anchor="page27">
              <w:r>
                <w:rPr>
                  <w:rFonts w:ascii="Arial" w:cs="Arial" w:eastAsia="Arial" w:hAnsi="Arial"/>
                  <w:sz w:val="18"/>
                  <w:szCs w:val="18"/>
                  <w:color w:val="0000EE"/>
                </w:rPr>
                <w:t>and</w:t>
              </w:r>
            </w:hyperlink>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Principal Financial Officer pursuant to 18 U.S.C.</w:t>
              </w:r>
            </w:hyperlink>
          </w:p>
        </w:tc>
        <w:tc>
          <w:tcPr>
            <w:tcW w:w="10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1350 as adopted pursuant to Section 906 of the</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Sarbanes-Oxley Act of 2002.</w:t>
              </w:r>
            </w:hyperlink>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77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77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and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12,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12,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and Accounting</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ending March 31, 2021,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Date:May 12,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wp:posOffset>
            </wp:positionV>
            <wp:extent cx="282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ending March 31, 2021,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Date:May 12,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wp:posOffset>
            </wp:positionV>
            <wp:extent cx="28289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5" Type="http://schemas.openxmlformats.org/officeDocument/2006/relationships/hyperlink" Target="https://www.sec.gov/Archives/edgar/data/1094038/000114420418054209/tv504951_ex3-4.htm" TargetMode="External"/><Relationship Id="rId46"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2021-05-12T15:32:48Z</dcterms:created>
  <dcterms:modified xsi:type="dcterms:W3CDTF">2021-05-12T15:32:48Z</dcterms:modified>
</cp:coreProperties>
</file>