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3742055</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2450 Holcombe Blvd, TMC Partners Office 1.311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Texas 77021</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both"/>
        <w:ind w:left="1260" w:right="1260"/>
        <w:spacing w:after="0" w:line="260"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“Company”). The meeting will be held on Friday, May 1, 2026 at 10:00 a.m. Eastern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https://web.viewproxy.com/markertherapeutics/2026AM </w:t>
      </w:r>
      <w:r>
        <w:rPr>
          <w:rFonts w:ascii="Times New Roman" w:cs="Times New Roman" w:eastAsia="Times New Roman" w:hAnsi="Times New Roman"/>
          <w:sz w:val="18"/>
          <w:szCs w:val="18"/>
          <w:color w:val="auto"/>
        </w:rPr>
        <w:t>no later than 11:59 p.m. Eastern Time on Thursday,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2026. The meeting will be held for the following purposes:</w:t>
      </w:r>
    </w:p>
    <w:p>
      <w:pPr>
        <w:spacing w:after="0" w:line="117" w:lineRule="exact"/>
        <w:rPr>
          <w:sz w:val="20"/>
          <w:szCs w:val="20"/>
          <w:color w:val="auto"/>
        </w:rPr>
      </w:pPr>
    </w:p>
    <w:p>
      <w:pPr>
        <w:ind w:left="1980" w:right="1260"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five nominees for director to hold office until the next Annual Meeting of Stockholders.</w:t>
      </w:r>
    </w:p>
    <w:p>
      <w:pPr>
        <w:spacing w:after="0" w:line="94" w:lineRule="exact"/>
        <w:rPr>
          <w:rFonts w:ascii="Times New Roman" w:cs="Times New Roman" w:eastAsia="Times New Roman" w:hAnsi="Times New Roman"/>
          <w:sz w:val="18"/>
          <w:szCs w:val="18"/>
          <w:color w:val="auto"/>
        </w:rPr>
      </w:pPr>
    </w:p>
    <w:p>
      <w:pPr>
        <w:ind w:left="1980" w:right="1260"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80" w:lineRule="exact"/>
        <w:rPr>
          <w:rFonts w:ascii="Times New Roman" w:cs="Times New Roman" w:eastAsia="Times New Roman" w:hAnsi="Times New Roman"/>
          <w:sz w:val="18"/>
          <w:szCs w:val="18"/>
          <w:color w:val="auto"/>
        </w:rPr>
      </w:pPr>
    </w:p>
    <w:p>
      <w:pPr>
        <w:jc w:val="both"/>
        <w:ind w:left="1980" w:right="1260"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increase the number of authorized shares of our Common Stock from 30,000,000 shares of Common Stock to 130,000,000 shares of Common Stock.</w:t>
      </w:r>
    </w:p>
    <w:p>
      <w:pPr>
        <w:spacing w:after="0" w:line="108" w:lineRule="exact"/>
        <w:rPr>
          <w:rFonts w:ascii="Times New Roman" w:cs="Times New Roman" w:eastAsia="Times New Roman" w:hAnsi="Times New Roman"/>
          <w:sz w:val="18"/>
          <w:szCs w:val="18"/>
          <w:color w:val="auto"/>
        </w:rPr>
      </w:pPr>
    </w:p>
    <w:p>
      <w:pPr>
        <w:ind w:left="1980" w:right="1260"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revise the voting threshold required for an increase or decrease of Common Stock.</w:t>
      </w:r>
    </w:p>
    <w:p>
      <w:pPr>
        <w:spacing w:after="0" w:line="94" w:lineRule="exact"/>
        <w:rPr>
          <w:rFonts w:ascii="Times New Roman" w:cs="Times New Roman" w:eastAsia="Times New Roman" w:hAnsi="Times New Roman"/>
          <w:sz w:val="18"/>
          <w:szCs w:val="18"/>
          <w:color w:val="auto"/>
        </w:rPr>
      </w:pPr>
    </w:p>
    <w:p>
      <w:pPr>
        <w:jc w:val="both"/>
        <w:ind w:left="1980" w:right="1260"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CBIZ CPAs P.C. (“CBIZ”) as the independent registered public accounting firm of the Company for its fiscal year ending December 31, 2026.</w:t>
      </w:r>
    </w:p>
    <w:p>
      <w:pPr>
        <w:spacing w:after="0" w:line="94" w:lineRule="exact"/>
        <w:rPr>
          <w:rFonts w:ascii="Times New Roman" w:cs="Times New Roman" w:eastAsia="Times New Roman" w:hAnsi="Times New Roman"/>
          <w:sz w:val="18"/>
          <w:szCs w:val="18"/>
          <w:color w:val="auto"/>
        </w:rPr>
      </w:pPr>
    </w:p>
    <w:p>
      <w:pPr>
        <w:jc w:val="both"/>
        <w:ind w:left="1980" w:right="1260"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adoption of Proposal 3 is insufficient.</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1260"/>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10, 2026. Only stockholders of record at the close of business on that date may vote at the meeting or any adjournment thereof.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80" w:type="dxa"/>
            <w:vAlign w:val="bottom"/>
            <w:tcBorders>
              <w:right w:val="single" w:sz="8" w:color="auto"/>
            </w:tcBorders>
          </w:tcPr>
          <w:p>
            <w:pPr>
              <w:spacing w:after="0"/>
              <w:rPr>
                <w:sz w:val="23"/>
                <w:szCs w:val="23"/>
                <w:color w:val="auto"/>
              </w:rPr>
            </w:pPr>
          </w:p>
        </w:tc>
        <w:tc>
          <w:tcPr>
            <w:tcW w:w="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60" w:type="dxa"/>
            <w:vAlign w:val="bottom"/>
            <w:tcBorders>
              <w:top w:val="single" w:sz="8" w:color="auto"/>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c>
          <w:tcPr>
            <w:tcW w:w="1240" w:type="dxa"/>
            <w:vAlign w:val="bottom"/>
          </w:tcPr>
          <w:p>
            <w:pPr>
              <w:spacing w:after="0"/>
              <w:rPr>
                <w:sz w:val="23"/>
                <w:szCs w:val="23"/>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7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for the Virtual Annual Meeting of Stockholders</w:t>
            </w:r>
          </w:p>
        </w:tc>
        <w:tc>
          <w:tcPr>
            <w:tcW w:w="1240" w:type="dxa"/>
            <w:vAlign w:val="bottom"/>
          </w:tcPr>
          <w:p>
            <w:pPr>
              <w:spacing w:after="0"/>
              <w:rPr>
                <w:sz w:val="18"/>
                <w:szCs w:val="18"/>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4"/>
              </w:rPr>
              <w:t>to Be Held on Friday, May 1, 2026 at 10:00 a.m. Eastern Time.</w:t>
            </w:r>
          </w:p>
        </w:tc>
        <w:tc>
          <w:tcPr>
            <w:tcW w:w="1240" w:type="dxa"/>
            <w:vAlign w:val="bottom"/>
          </w:tcPr>
          <w:p>
            <w:pPr>
              <w:spacing w:after="0"/>
              <w:rPr>
                <w:sz w:val="20"/>
                <w:szCs w:val="20"/>
                <w:color w:val="auto"/>
              </w:rPr>
            </w:pPr>
          </w:p>
        </w:tc>
      </w:tr>
      <w:tr>
        <w:trPr>
          <w:trHeight w:val="302"/>
        </w:trPr>
        <w:tc>
          <w:tcPr>
            <w:tcW w:w="1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Register for the virtual Annual Meeting</w:t>
            </w: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 xml:space="preserve">via </w:t>
            </w:r>
            <w:r>
              <w:rPr>
                <w:rFonts w:ascii="Times New Roman" w:cs="Times New Roman" w:eastAsia="Times New Roman" w:hAnsi="Times New Roman"/>
                <w:sz w:val="18"/>
                <w:szCs w:val="18"/>
                <w:b w:val="1"/>
                <w:bCs w:val="1"/>
                <w:i w:val="1"/>
                <w:iCs w:val="1"/>
                <w:color w:val="auto"/>
                <w:w w:val="95"/>
              </w:rPr>
              <w:t>https://web.viewproxy.com/markertherapeutics/2026AM</w:t>
            </w:r>
          </w:p>
        </w:tc>
        <w:tc>
          <w:tcPr>
            <w:tcW w:w="1240" w:type="dxa"/>
            <w:vAlign w:val="bottom"/>
          </w:tcPr>
          <w:p>
            <w:pPr>
              <w:spacing w:after="0"/>
              <w:rPr>
                <w:sz w:val="20"/>
                <w:szCs w:val="20"/>
                <w:color w:val="auto"/>
              </w:rPr>
            </w:pPr>
          </w:p>
        </w:tc>
      </w:tr>
      <w:tr>
        <w:trPr>
          <w:trHeight w:val="304"/>
        </w:trPr>
        <w:tc>
          <w:tcPr>
            <w:tcW w:w="1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c>
          <w:tcPr>
            <w:tcW w:w="1240" w:type="dxa"/>
            <w:vAlign w:val="bottom"/>
          </w:tcPr>
          <w:p>
            <w:pPr>
              <w:spacing w:after="0"/>
              <w:rPr>
                <w:sz w:val="24"/>
                <w:szCs w:val="24"/>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i w:val="1"/>
                <w:iCs w:val="1"/>
                <w:color w:val="auto"/>
              </w:rPr>
              <w:t>http://www.web.viewproxy.com/markertherapeutics/2026AM</w:t>
            </w:r>
          </w:p>
        </w:tc>
        <w:tc>
          <w:tcPr>
            <w:tcW w:w="1240" w:type="dxa"/>
            <w:vAlign w:val="bottom"/>
          </w:tcPr>
          <w:p>
            <w:pPr>
              <w:spacing w:after="0"/>
              <w:rPr>
                <w:sz w:val="20"/>
                <w:szCs w:val="20"/>
                <w:color w:val="auto"/>
              </w:rPr>
            </w:pPr>
          </w:p>
        </w:tc>
      </w:tr>
      <w:tr>
        <w:trPr>
          <w:trHeight w:val="68"/>
        </w:trPr>
        <w:tc>
          <w:tcPr>
            <w:tcW w:w="1280" w:type="dxa"/>
            <w:vAlign w:val="bottom"/>
            <w:tcBorders>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60" w:type="dxa"/>
            <w:vAlign w:val="bottom"/>
            <w:tcBorders>
              <w:bottom w:val="single" w:sz="8" w:color="auto"/>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r>
      <w:tr>
        <w:trPr>
          <w:trHeight w:val="945"/>
        </w:trPr>
        <w:tc>
          <w:tcPr>
            <w:tcW w:w="1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Juan Vera, 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 M.D.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r>
    </w:p>
    <w:p>
      <w:pPr>
        <w:spacing w:after="0" w:line="223" w:lineRule="exact"/>
        <w:rPr>
          <w:sz w:val="20"/>
          <w:szCs w:val="20"/>
          <w:color w:val="auto"/>
        </w:rPr>
      </w:pPr>
    </w:p>
    <w:p>
      <w:pPr>
        <w:jc w:val="both"/>
        <w:ind w:left="1360" w:right="519"/>
        <w:spacing w:after="0" w:line="272"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5854065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9"/>
        </w:trPr>
        <w:tc>
          <w:tcPr>
            <w:tcW w:w="6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100" w:type="dxa"/>
            <w:vAlign w:val="bottom"/>
            <w:gridSpan w:val="5"/>
            <w:shd w:val="clear" w:color="auto" w:fill="CCEEFF"/>
          </w:tcPr>
          <w:p>
            <w:pPr>
              <w:spacing w:after="0"/>
              <w:rPr>
                <w:sz w:val="19"/>
                <w:szCs w:val="19"/>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7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100" w:type="dxa"/>
            <w:vAlign w:val="bottom"/>
            <w:gridSpan w:val="5"/>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shd w:val="clear" w:color="auto" w:fill="CCEEFF"/>
              </w:rPr>
              <w:t>INFORMATION REGARDING THE BOARD OF DIRECTORS AND CORPORATE GOVERNANCE</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shd w:val="clear" w:color="auto" w:fill="CCEEFF"/>
              </w:rPr>
              <w:t>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3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AMENDMENT TO INCREASE AUTHORIZED COMMON STOCK</w:t>
            </w:r>
          </w:p>
        </w:tc>
        <w:tc>
          <w:tcPr>
            <w:tcW w:w="1420" w:type="dxa"/>
            <w:vAlign w:val="bottom"/>
            <w:gridSpan w:val="6"/>
            <w:shd w:val="clear" w:color="auto" w:fill="CCEEFF"/>
          </w:tcPr>
          <w:p>
            <w:pPr>
              <w:spacing w:after="0"/>
              <w:rPr>
                <w:sz w:val="19"/>
                <w:szCs w:val="19"/>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18</w:t>
            </w:r>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3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PROPOSAL 4 AMENDMENT TO CHANGE VOTING THRESHOLD</w:t>
            </w:r>
          </w:p>
        </w:tc>
        <w:tc>
          <w:tcPr>
            <w:tcW w:w="1420" w:type="dxa"/>
            <w:vAlign w:val="bottom"/>
            <w:gridSpan w:val="6"/>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5 RATIFICATION OF SELECTION OF INDEPENDENT REGISTERED PUBLIC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08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6 PROPOSAL TO ADJOURN MEETING</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1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840" w:type="dxa"/>
            <w:vAlign w:val="bottom"/>
            <w:gridSpan w:val="17"/>
            <w:shd w:val="clear" w:color="auto" w:fill="CCEEFF"/>
          </w:tcPr>
          <w:p>
            <w:pPr>
              <w:spacing w:after="0"/>
              <w:rPr>
                <w:sz w:val="21"/>
                <w:szCs w:val="21"/>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21"/>
                <w:szCs w:val="2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EXECUTIVE COMPENSATION AND KEY EMPLOYEES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35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280" w:type="dxa"/>
            <w:vAlign w:val="bottom"/>
            <w:gridSpan w:val="12"/>
            <w:shd w:val="clear" w:color="auto" w:fill="CCEEFF"/>
          </w:tcPr>
          <w:p>
            <w:pPr>
              <w:spacing w:after="0"/>
              <w:rPr>
                <w:sz w:val="21"/>
                <w:szCs w:val="21"/>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20" w:type="dxa"/>
            <w:vAlign w:val="bottom"/>
            <w:shd w:val="clear" w:color="auto" w:fill="CCEEFF"/>
          </w:tcPr>
          <w:p>
            <w:pPr>
              <w:spacing w:after="0"/>
              <w:rPr>
                <w:sz w:val="21"/>
                <w:szCs w:val="2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4280" w:type="dxa"/>
            <w:vAlign w:val="bottom"/>
            <w:gridSpan w:val="12"/>
          </w:tcPr>
          <w:p>
            <w:pPr>
              <w:spacing w:after="0"/>
              <w:rPr>
                <w:sz w:val="21"/>
                <w:szCs w:val="21"/>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A CERTIFICATE OF AMENDMENT TO INCREASE AUTHORIZED SHARES</w:t>
            </w:r>
          </w:p>
        </w:tc>
        <w:tc>
          <w:tcPr>
            <w:tcW w:w="7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A-1</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APPENDIX B CERTIFICATE OF AMENDMENT TO CHANGE VOTING THRESHOLD</w:t>
            </w:r>
          </w:p>
        </w:tc>
        <w:tc>
          <w:tcPr>
            <w:tcW w:w="7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B-1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C PROXY CARD</w:t>
            </w:r>
          </w:p>
        </w:tc>
        <w:tc>
          <w:tcPr>
            <w:tcW w:w="100" w:type="dxa"/>
            <w:vAlign w:val="bottom"/>
            <w:shd w:val="clear" w:color="auto" w:fill="CCEEFF"/>
          </w:tcPr>
          <w:p>
            <w:pPr>
              <w:spacing w:after="0"/>
              <w:rPr>
                <w:sz w:val="21"/>
                <w:szCs w:val="21"/>
                <w:color w:val="auto"/>
              </w:rPr>
            </w:pPr>
          </w:p>
        </w:tc>
        <w:tc>
          <w:tcPr>
            <w:tcW w:w="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C-1</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2450 Holcombe Blvd, TMC Partners Office 1.311</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 77021</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MAY 1, 2026</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2026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mail these proxy materials on or about March 20, 2026 to all stockholders of record entitled to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web.viewproxy.com/markertherapeutics/2026AM </w:t>
      </w:r>
      <w:r>
        <w:rPr>
          <w:rFonts w:ascii="Times New Roman" w:cs="Times New Roman" w:eastAsia="Times New Roman" w:hAnsi="Times New Roman"/>
          <w:sz w:val="18"/>
          <w:szCs w:val="18"/>
          <w:color w:val="auto"/>
        </w:rPr>
        <w:t>by 11:59 p.m. Eastern Time on Thursday, April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48"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10, 2026 will be entitled to vote at the Annual Meeting. On this record date, there were 16,673,127 shares of common stock outstanding and entitled to vote.</w:t>
      </w: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on March 10, 2026, your shares were registered directly in your name with Marker’s transfer agent, Equiniti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stockholder of record, your virtual control number will be on your Notice of Internet Availability of Proxy Materials or proxy card.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Shares Registered in the Name of a Broker or Bank</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on March 10, 2026,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https://web.viewproxy.com/markertherapeutics/2026AM</w:t>
      </w:r>
      <w:r>
        <w:rPr>
          <w:rFonts w:ascii="Times New Roman" w:cs="Times New Roman" w:eastAsia="Times New Roman" w:hAnsi="Times New Roman"/>
          <w:sz w:val="18"/>
          <w:szCs w:val="18"/>
          <w:color w:val="auto"/>
        </w:rPr>
        <w:t xml:space="preserve">.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11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five directors (Proposal 1);</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increase the number of authorized shares of our Common Stock from 30,000,000 shares of Common Stock to 130,000,000 shares of Common Stock (Proposal 3);</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revise the voting threshold required for an increase or decrease of Common Stock (Proposal 4);</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CBIZ as the independent registered public accounting firm of the Company for its fiscal year ending December 31, 2026 (Proposal 5); and</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adoption of Proposal 3 is insufficient (Proposal 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Proposals 2 through 6, you may vote “For” or “Against” or abstain from voting.</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Thursday, April 30, 2026 to be counted.</w:t>
      </w:r>
    </w:p>
    <w:p>
      <w:pPr>
        <w:spacing w:after="0" w:line="56"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Thursday, April 30, 2026 to be counted.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236855</wp:posOffset>
            </wp:positionV>
            <wp:extent cx="521208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371" w:lineRule="exact"/>
        <w:rPr>
          <w:sz w:val="20"/>
          <w:szCs w:val="20"/>
          <w:color w:val="auto"/>
        </w:rPr>
      </w:pPr>
    </w:p>
    <w:p>
      <w:pPr>
        <w:jc w:val="both"/>
        <w:ind w:left="1320" w:right="47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March 10, 2026.</w:t>
      </w:r>
    </w:p>
    <w:p>
      <w:pPr>
        <w:spacing w:after="0" w:line="172"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90"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9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40"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five nominees for director;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compensation of the Company’s named executive officers;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our Certificate of Incorporation, as amended, to increase the number of authorized shares of our Common Stock;</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our Certificate of Incorporation, to revise the voting threshold required for an increase or decrease of Common Stock;</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selection by the Audit Committee of the Board of Directors of CBIZ as the independent registered public accounting firm of the Company for its fiscal year ending December 31, 2026;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adjournment of the Annual Meeting in the event that the number of shares of Common Stock present or represented by proxy at the Annual Meeting and voting “FOR” the adoption of Proposal 3 is insufficient.</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4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2, and 4 are considered to be “non-routine” under such rules, meaning that your broker may not vote your shares on those proposals in the absence of your voting instructions. However, Proposals 3, 5 and 6 are considered to be “routine” under such rules, meaning that if you do not return voting instructions to your broker by its deadline, your shares may be voted by your broker in its discretion on Proposal 3, Proposal 5 and Proposal 6.</w:t>
      </w:r>
    </w:p>
    <w:p>
      <w:pPr>
        <w:spacing w:after="0" w:line="19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5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2450 Holcombe Blvd, TMC Partners Office 1.311, Houston, Texas 77021.</w:t>
      </w:r>
    </w:p>
    <w:p>
      <w:pPr>
        <w:spacing w:after="0" w:line="9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You may attend the Annual Meeting virtually and vote online. Simply attending the meeting virtually will not, by itself, revoke your proxy.</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be included in next year’s proxy materials, your written proposal must be received by our Secretary not earlier than December 31, 2026 (the 120th day prior to the first anniversary of this year’s annual meeting) and not later than January 29, 2027 (the 90th day prior to the first anniversary of this year’s annual meeting). Stockholder proposals and director nominations should be addressed to Marker Therapeutics, Inc., Attention: Secretary, 2450 Holcombe Blvd, TMC Partners Office 1.311, Houston, Texas 77021. Your notice to the Secretary must set forth information specified in our bylaws.</w:t>
      </w:r>
    </w:p>
    <w:p>
      <w:pPr>
        <w:spacing w:after="0" w:line="33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 any material interest you have in that proposal.</w:t>
      </w:r>
    </w:p>
    <w:p>
      <w:pPr>
        <w:spacing w:after="0" w:line="153"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2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108"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Proposals 2, 3, 4, 5, and 6, votes “For” and “Against,” abstentions and, if applicable, broker non-votes. Abstentions will be counted towards the vote total for each of Proposals 2, 3, 4, 5, and 6, and will have the same effect as “Against” votes. Broker non-votes on Proposals 1, 2, and 4 will have no effect and will not be counted towards the vote total for any of those proposals. Since brokers have authority to vote on your behalf with respect to Proposals 3, 5, and 6, we do not expect broker non-votes on these proposals.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Proposals 1, 2, and 4 are considered to be “non-routine” under stock exchange rules and we therefore expect broker non-votes on these proposals. However, as Proposals 3, 5 and 6 are considered “routine” under stock exchange rules, we do not expect broker non-votes on these proposals.</w:t>
      </w: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Proposal 1, the election of directors, the five nominees receiving the most “For” votes from the holders of shares present at the meeting or represented by proxy and entitled to vote on the election of directors will be elected. Only votes “For” will affect the outcome.</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Proposal 2, the advisory approval of the compensation of the Company’s named executive officers, will be considered to be approved if it receives “For” votes from the holders of a majority of shares present at the meeting or represented by proxy and entitled to vote on the matter. If you “Abstain” from voting, it will have the same effect as an “Against” vote. Broker non-votes will have no effect.</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Proposal 3, the approval of the amendment to the Company’s Certificate of Incorporation to increase the authorized Common Stock will be considered to be approved if it receives “For” votes from the holders of a majority of shares of common stock outstanding and entitled to vote on the matter. If you “Abstain” from voting, it will have the same effect as an “Against” vote. Since brokers have authority to vote on your behalf with respect to Proposal 3, we do not expect broker non-votes on this proposal.</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Proposal 4, the approval of the amendment to the Company’s Certificate of Incorporation to revise the voting threshold for increases or decreases to the Company’s authorized Common Stock will be considered to be approved if it receives “For” votes from the holders of a majority of the shares of common stock outstanding and entitled to vote on the matter. If you “Abstain” from voting, it will have the same effect as an “Against” vote. Broker non-votes will have no effect.</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For Proposal 5, the ratification of the selection of CBIZ, as the Company’s independent registered public accounting firm for fiscal year 2026, will be approved if it receives “For” votes from the holders of a majority of shares present at the meeting or represented by proxy and entitled to vote on the matter. If you “Abstain” from voting, it will have the same effect as an “Against” vote. Since brokers have authority to vote on your behalf with respect to Proposal 5, we do not expect broker non-votes on this proposal.</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Proposal 6, the approval of the adjournment of the Annual Meeting in the event that the number of shares of Common Stock present or represented by proxy at the Annual Meeting and voting “FOR” the adoption of Proposal 3 are insufficient will be considered to be approved if it receives “For” votes from the holders of a majority of shares present at the meeting or represented by proxy and entitled to vote on the matter. If you “Abstain” from voting, it will have the same effect as an “Against” vote. Since brokers have authority to vote on your behalf with respect to Proposal 6, we do not expect broker non-votes on this proposal.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one-third of the outstanding shares entitled to vote are present online at the virtual meeting or represented by proxy. On the record date, there were 16,673,127 shares outstanding and entitled to vote. Thus, the holders of 5,557,709 shares must be present online at the virtual meeting or represented by proxy at the meeting to have a quorum.</w:t>
      </w:r>
    </w:p>
    <w:p>
      <w:pPr>
        <w:spacing w:after="0" w:line="11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at the meeting or represented by proxy may adjourn the meeting to another date.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Only stockholders of record as of March 10, 2026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web.viewproxy.com/markertherapeutics/2026AM </w:t>
      </w:r>
      <w:r>
        <w:rPr>
          <w:rFonts w:ascii="Times New Roman" w:cs="Times New Roman" w:eastAsia="Times New Roman" w:hAnsi="Times New Roman"/>
          <w:sz w:val="18"/>
          <w:szCs w:val="18"/>
          <w:color w:val="auto"/>
        </w:rPr>
        <w:t>by 11:59 p.m. Eastern Time on Thursday, April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once you join the meeting, you can type your question in the questions/chat box in the meeting portal.</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9:45 a.m. Eastern Time on May 1, 2026, the day of the meeting, so that any technical difficulties may be addressed before the annual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five directors, all of whom are nominees for re-election as a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See “Information Regarding the Board of Directors and Corporate Governance – Nominating and Corporate Governance Committee.”</w:t>
      </w:r>
    </w:p>
    <w:p>
      <w:pPr>
        <w:spacing w:after="0" w:line="10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The four directors then in office attended the 2025 Annual Meeting of Stockholders.</w:t>
      </w:r>
    </w:p>
    <w:p>
      <w:pPr>
        <w:spacing w:after="0" w:line="9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five nominees receiving the highest number of affirmative votes will be elected. Shares represented by executed proxies will be voted, if authority to do so is not withheld, for the election of the five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4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brief biographies below include information, as of March 10, 2026,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65</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Eansor joined the Board in October 2018 and became the chair of the Board following the Annual Meeting in 2022.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 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62</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May 2019. He previously served as a member of the board of directors of Zosano Pharma Corp. from May 2018 to May 2022 and as a director of LOXO Oncology from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62</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Dr. Knobil joined the Board in December 2021. Dr. Knobil currently serves as Chief Medical Officer at Altesa BioSciences, Inc. and previously served as Chief Medical Officer of Agilent Technologies Inc., a position she held from April 2021 to January 2024.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2017 to December 2018, and as Chief Medical Officer for Pharmaceuticals at GSK from 2015 to 2017. She served as a member of the board of directors of Arena Pharmaceuticals, Inc. from June 2020 until its acquisition by Pfizer Inc. in March 2022. Dr. Knobil currently serves on the Board of Directors of Nimbus Therapeutics, LLC, KorroBio, Inc. and Pliant Therapeutics, Inc.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46</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Vera began service as our President and Chief Executive Officer effective May 1, 2023. Dr. Vera also serves as our Principal Executive Officer and Principal Financial Officer. He joined the Board in October 2018 and previously served as our Chief Operating Officer from November 2021 to April 2023 and served as our Chief Scientific Officer from October 2018 to April 2023. Dr. Vera is a co-inventor of the Multi-Antigen Recognizing (MAR)-T cell technology and co-founder of our predecessor, Marker Cell Therapy, Inc. Dr. Vera has held various positions at the Center for Cell and Gene Therapy at Baylor College of Medicine, most recently was an Associate Professor at Baylor.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MAR-T cell technology, qualifies him to serve on the Board.</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Kathryn Penkus Corzo, </w:t>
      </w:r>
      <w:r>
        <w:rPr>
          <w:rFonts w:ascii="Times New Roman" w:cs="Times New Roman" w:eastAsia="Times New Roman" w:hAnsi="Times New Roman"/>
          <w:sz w:val="18"/>
          <w:szCs w:val="18"/>
          <w:color w:val="auto"/>
        </w:rPr>
        <w:t>age 64</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Kathryn Penkus Corzo, RPh, MBA, served on the Board of Directors of Matinas Biopharma Holdings, Inc. between September 2021 and November 2024 and is currently the President and Chief Operating Officer of bit.bio. Prior to bit.bio, Ms. Corzo was a partner at Takeda Ventures, Inc., the corporate investment arm of Takeda Pharmaceutical Company Limited (TSE: 4502/NYSE: TAK) (“Takeda”), and the head of the Oncology Cell Therapy Development at Takeda, a global biopharmaceutical company, a position she has held since 2020. Prior to joining Takeda, Ms. Corzo was Vice President of the R&amp;D Global Pharma Head where she oversaw the Myeloma portfolio from 2015 to 2019 at Sanofi (SAN.PA) and also held positions of increasing responsibility at Sanofi Genzyme, a specialty care global business unit of Sanofi, from 2010 to 2015. Prior to joining Sanofi, Ms. Corzo worked at Hoffman – La Roche, Roche Molecular Systems, Eli Lilly and Syndax from 1989 to 2010, during which time she held management and leadership roles in operations, global clinical development, medical affairs, business development, market access and brand management across multiple therapeutic products and indications. The Board believes that Ms. Corzo is qualified to serve on our Board due to her broad experience in the life sciences industry.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ATRIX</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five directors serving on the Board as of March 10, 2026, in accordance with Nasdaq listing Rule 5605(f). Each term used in the table has the definition provided in the rule and related instructions.</w:t>
      </w:r>
    </w:p>
    <w:p>
      <w:pPr>
        <w:spacing w:after="0" w:line="134" w:lineRule="exact"/>
        <w:rPr>
          <w:sz w:val="20"/>
          <w:szCs w:val="20"/>
          <w:color w:val="auto"/>
        </w:rPr>
      </w:pPr>
    </w:p>
    <w:tbl>
      <w:tblPr>
        <w:tblLayout w:type="fixed"/>
        <w:tblInd w:w="1630" w:type="dxa"/>
        <w:tblCellMar>
          <w:top w:w="0" w:type="dxa"/>
          <w:left w:w="0" w:type="dxa"/>
          <w:bottom w:w="0" w:type="dxa"/>
          <w:right w:w="0" w:type="dxa"/>
        </w:tblCellMar>
      </w:tblPr>
      <w:tr>
        <w:trPr>
          <w:trHeight w:val="338"/>
        </w:trPr>
        <w:tc>
          <w:tcPr>
            <w:tcW w:w="200" w:type="dxa"/>
            <w:vAlign w:val="bottom"/>
            <w:tcBorders>
              <w:top w:val="single" w:sz="8" w:color="auto"/>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0" w:type="dxa"/>
            <w:vAlign w:val="bottom"/>
            <w:tcBorders>
              <w:top w:val="single" w:sz="8" w:color="auto"/>
              <w:bottom w:val="single" w:sz="8" w:color="auto"/>
            </w:tcBorders>
            <w:gridSpan w:val="4"/>
          </w:tcPr>
          <w:p>
            <w:pPr>
              <w:ind w:left="1840"/>
              <w:spacing w:after="0"/>
              <w:rPr>
                <w:sz w:val="20"/>
                <w:szCs w:val="20"/>
                <w:color w:val="auto"/>
              </w:rPr>
            </w:pPr>
            <w:r>
              <w:rPr>
                <w:rFonts w:ascii="Times New Roman" w:cs="Times New Roman" w:eastAsia="Times New Roman" w:hAnsi="Times New Roman"/>
                <w:sz w:val="18"/>
                <w:szCs w:val="18"/>
                <w:b w:val="1"/>
                <w:bCs w:val="1"/>
                <w:color w:val="auto"/>
              </w:rPr>
              <w:t>Board Diversity Matrix (as of March 10, 2026)</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820" w:type="dxa"/>
            <w:vAlign w:val="bottom"/>
            <w:tcBorders>
              <w:left w:val="single" w:sz="8" w:color="auto"/>
              <w:bottom w:val="single" w:sz="8" w:color="auto"/>
            </w:tcBorders>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Total Number of Directors</w:t>
            </w:r>
          </w:p>
        </w:tc>
        <w:tc>
          <w:tcPr>
            <w:tcW w:w="112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200" w:type="dxa"/>
            <w:vAlign w:val="bottom"/>
            <w:tcBorders>
              <w:left w:val="single" w:sz="8" w:color="auto"/>
              <w:bottom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spacing w:after="0"/>
              <w:rPr>
                <w:sz w:val="21"/>
                <w:szCs w:val="21"/>
                <w:color w:val="auto"/>
              </w:rPr>
            </w:pP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CCCC"/>
          </w:tcPr>
          <w:p>
            <w:pPr>
              <w:spacing w:after="0"/>
              <w:rPr>
                <w:sz w:val="21"/>
                <w:szCs w:val="21"/>
                <w:color w:val="auto"/>
              </w:rPr>
            </w:pPr>
          </w:p>
        </w:tc>
        <w:tc>
          <w:tcPr>
            <w:tcW w:w="3620" w:type="dxa"/>
            <w:vAlign w:val="bottom"/>
            <w:tcBorders>
              <w:bottom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-1379220</wp:posOffset>
            </wp:positionV>
            <wp:extent cx="5143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342900"/>
                    </a:xfrm>
                    <a:prstGeom prst="rect">
                      <a:avLst/>
                    </a:prstGeom>
                    <a:noFill/>
                  </pic:spPr>
                </pic:pic>
              </a:graphicData>
            </a:graphic>
          </wp:anchor>
        </w:drawing>
      </w:r>
    </w:p>
    <w:p>
      <w:pPr>
        <w:spacing w:after="0" w:line="11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1, 2024 can be found in our proxy statement for the 2024 Annual Meeting filed with the SEC on April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02" w:lineRule="exact"/>
        <w:rPr>
          <w:sz w:val="20"/>
          <w:szCs w:val="20"/>
          <w:color w:val="auto"/>
        </w:rPr>
      </w:pPr>
    </w:p>
    <w:p>
      <w:pPr>
        <w:jc w:val="both"/>
        <w:ind w:left="1260" w:right="419"/>
        <w:spacing w:after="0" w:line="233"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four directors who are standing for re-election at the Annual Meeting are independent directors within the meaning of the applicable Nasdaq listing standards: David Eansor, Steven Elms, Katharine Knobil and Kathryn Penkus Corzo. In making this determination, the Board found that none of these directors or nominees for director had a material or other disqualifying relationship with the Company. There are no family relationships between any of our directors, executive officers, or nominees.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62" w:lineRule="exact"/>
        <w:rPr>
          <w:sz w:val="20"/>
          <w:szCs w:val="20"/>
          <w:color w:val="auto"/>
        </w:rPr>
      </w:pPr>
    </w:p>
    <w:p>
      <w:pPr>
        <w:jc w:val="both"/>
        <w:ind w:left="1260" w:right="419"/>
        <w:spacing w:after="0" w:line="233" w:lineRule="auto"/>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of Directors met eight times during the last fiscal year. Each director attended 75% or more of the number of meetings of the Board and of the committees on which they served held during the portion of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each of the Board committees: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Nominating and</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Compensation</w:t>
            </w:r>
          </w:p>
        </w:tc>
        <w:tc>
          <w:tcPr>
            <w:tcW w:w="220" w:type="dxa"/>
            <w:vAlign w:val="bottom"/>
          </w:tcPr>
          <w:p>
            <w:pPr>
              <w:spacing w:after="0"/>
              <w:rPr>
                <w:sz w:val="21"/>
                <w:szCs w:val="21"/>
                <w:color w:val="auto"/>
              </w:rPr>
            </w:pP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Corporate Governance</w:t>
            </w:r>
          </w:p>
        </w:tc>
      </w:tr>
      <w:tr>
        <w:trPr>
          <w:trHeight w:val="20"/>
        </w:trPr>
        <w:tc>
          <w:tcPr>
            <w:tcW w:w="4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Eansor</w:t>
            </w:r>
          </w:p>
        </w:tc>
        <w:tc>
          <w:tcPr>
            <w:tcW w:w="20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 ​</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Elms</w:t>
            </w:r>
          </w:p>
        </w:tc>
        <w:tc>
          <w:tcPr>
            <w:tcW w:w="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Kathryn Penkus Corzo</w:t>
            </w:r>
          </w:p>
        </w:tc>
        <w:tc>
          <w:tcPr>
            <w:tcW w:w="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2025</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-848360</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currently is composed of three directors: David Eansor, Kathryn Penkus Corzo and Steven Elms, with Mr. Eansor serving as chairman. The Audit Committee met four times during fiscal year 2025.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The Board of Directors has also determined that Mr. Eansor qualifies as an “audit committee financial expert,” as defined in applicable SEC rules.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 Chair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Kathryn Penkus Corzo</w:t>
      </w:r>
    </w:p>
    <w:p>
      <w:pPr>
        <w:spacing w:after="0" w:line="191"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and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60" w:lineRule="exact"/>
        <w:rPr>
          <w:sz w:val="20"/>
          <w:szCs w:val="20"/>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4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 xml:space="preserve">The Compensation Committee currently is composed of three directors: David Eansor, Steven Elms and Katharine Knobil, with Mr. Eansor serving as chairman. All current members of the Company’s Compensation Committee are independent (as independence is currently defined in Rule 5605(d)(2) of the Nasdaq listing standards). The Compensation Committee met four times during fiscal year 2025.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pacing w:after="0" w:line="11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2023,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32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 -Officer Stock Option Subcommittee, composed of Dr. Juan Vera, during his service as our President and Chief Executive Officer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year 2025, the subcommittee did not grant options to non-officer employees.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1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two directors: Katharine Knobil and Kathryn Penkus Corzo, with Dr. Knobil serving as chairperson. All members of the Nominating and Corporate Governance Committee are independent (as independence is currently defined in Rule 5605(a)(2) of the Nasdaq listing standards). The Nominating and Corporate Governance Committee met four times during fiscal year 2025.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pacing w:after="0" w:line="328"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continued commitment to diversity and inclusion.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333"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The Company also previously granted board observer rights to New Enterprise Associates 16, L.P. (“NEA”), pursuant to which NEA may designate either a board observer or a director until a change of control transaction occurs or NEA ceases to own at least 250,000 shares (as adjusted for the ten-for-one (10:1) reverse stock split we completed on January 26, 2023 (the “Reverse Stock Split”)) of the Company’s common stock. NEA has designated a non-voting observer to the Board.</w:t>
      </w:r>
    </w:p>
    <w:p>
      <w:pPr>
        <w:spacing w:after="0" w:line="11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2450 Holcombe Blvd, TMC Partners Office 1.311, Houston, Texas 77021,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2450 Holcombe Blvd, TMC Partners Office 1.311, Houston, Texas 77021. All communications will be compiled by the Secretary of the Company and submitted to the Board or the individual directors on a periodic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all officers, directors and employees, including our principal executive officer, principal financial officer, principal accounting officer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7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08"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at the meeting or represented by proxy and entitled to vote on the matter at the annual meeting. The next scheduled say-on-pay vote will be held at our 2027 Annual Meeting.</w:t>
      </w:r>
    </w:p>
    <w:p>
      <w:pPr>
        <w:spacing w:after="0" w:line="17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ERTIFICATE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NCREASE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p>
    <w:p>
      <w:pPr>
        <w:spacing w:after="0" w:line="3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OMMON STOCK</w:t>
      </w:r>
    </w:p>
    <w:p>
      <w:pPr>
        <w:spacing w:after="0" w:line="15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is requesting stockholder approval of an amendment to the Company’s Certificate of Incorporation to increase the Company’s authorized number of shares of common stock from 30,000,000 shares to 130,000,000 shares. The text of the proposed form of Certificate of Amendment to our Certificate of Incorporation is attached hereto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amendment would have rights identical to the currently outstanding common stock of the Company. Adoption of the proposed amendment and issuance of the common stock would not affect the rights of the holders of currently outstanding common stock of the Company, except for effects incidental to increasing the number of shares of the Company’s common stock outstanding, such as dilution of the earnings per share and voting rights of current holders of common stock. If the amendment is adopted, it will become effective upon filing of a Certificate of Amendment of the Company’s Certificate of Incorporation with the Secretary of State of the State of Delaware.</w:t>
      </w:r>
    </w:p>
    <w:p>
      <w:pPr>
        <w:spacing w:after="0" w:line="32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addition to the 16,673,127 shares of common stock outstanding on March 10, 2026, the Board has reserved an aggregate of (i) 1,611,783 shares of common stock for outstanding stock awards granted under the 2020 Equity Incentive Plan, (ii) 59,150 shares of common stock for outstanding stock awards for future issuance under the Company’s 2020 Equity Incentive Plan, (iii) 151,100 shares of common stock for outstanding stock awards under the Company’s 2014 Omnibus Stock Option Plan and (iv) 7,672,865 shares of common stock for issuance upon exercise of outstanding warrants.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Although at present, the Board of Directors has no plans to issue the additional shares of Common Stock, the Board desires to have the shares available to provide flexibility to use its capital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the Company’s business or pipeline through the acquisition of other businesses or product candidates; and other purposes.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and entitled to vote will be required to approve this Proposal 3.</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4</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ERTIFICATE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p>
    <w:p>
      <w:pPr>
        <w:spacing w:after="0" w:line="2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5"/>
          <w:szCs w:val="15"/>
          <w:b w:val="1"/>
          <w:bCs w:val="1"/>
          <w:color w:val="auto"/>
        </w:rPr>
        <w:t>DJUST</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9"/>
          <w:szCs w:val="19"/>
          <w:b w:val="1"/>
          <w:bCs w:val="1"/>
          <w:color w:val="auto"/>
        </w:rPr>
        <w:t xml:space="preserve"> V</w:t>
      </w:r>
      <w:r>
        <w:rPr>
          <w:rFonts w:ascii="Times New Roman" w:cs="Times New Roman" w:eastAsia="Times New Roman" w:hAnsi="Times New Roman"/>
          <w:sz w:val="15"/>
          <w:szCs w:val="15"/>
          <w:b w:val="1"/>
          <w:bCs w:val="1"/>
          <w:color w:val="auto"/>
        </w:rPr>
        <w:t>OTING</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EQUIREMENTS</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OR</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ERTAIN</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UTURE</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MENDMENTS</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ERTIFICATE</w:t>
      </w:r>
    </w:p>
    <w:p>
      <w:pPr>
        <w:spacing w:after="0" w:line="1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LIGN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242(D)(2)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DGCL</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is asking stockholders to approve an amendment to the Company’s Certificate of Incorporation to adjust the voting requirements for certain future charter amendments to align with Section 242(d)(2) of the DGCL (“</w:t>
      </w:r>
      <w:r>
        <w:rPr>
          <w:rFonts w:ascii="Times New Roman" w:cs="Times New Roman" w:eastAsia="Times New Roman" w:hAnsi="Times New Roman"/>
          <w:sz w:val="18"/>
          <w:szCs w:val="18"/>
          <w:b w:val="1"/>
          <w:bCs w:val="1"/>
          <w:color w:val="auto"/>
        </w:rPr>
        <w:t>Voting Requirement Amendment</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Many corporations have historically struggled to obtain the necessary stockholder approval to effect increases in their authorized stock due to low turnout by retail investors. Delaware law recognized this reality and recently amended Section 242 of the DGCL. Pursuant to new Section 242(d)(2) of the DGCL, unless otherwise required by a corporation’s charter, the threshold for stockholder approval of a charter amendment to implement an increase or decrease in the number of authorized shares of a class of capital stock of a corporation or to effect a reverse stock split with respect to issued shares of a class of capital stock of a corporation is the affirmative vote of a majority of the votes cast,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w:t>
      </w:r>
    </w:p>
    <w:p>
      <w:pPr>
        <w:spacing w:after="0" w:line="11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Thus, Section 242(d)(2) would permit a corporation such as the Company, which has a single class of stock that is listed on a national securities exchange, to approve an amendment to its charter to increase the authorized shares of such class with a majority of the votes cast by the holders of the shares of such class, rather than a majority of the outstanding shares of such class. Unfortunately, our charter, currently includes language that requires a majority in voting power of the outstanding shares entitled to vote in addition to the affirmative vote of a majority of the outstanding shares of each class entitled to vote as a class with respect to a charter amendment to increase its authorized shares of common stock, and thus prevents the Company from availing itself of the lower stockholder voting requirement under Section 242(d)(2) of the DGCL.</w:t>
      </w:r>
    </w:p>
    <w:p>
      <w:pPr>
        <w:spacing w:after="0" w:line="11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believes it could face significant challenges in securing the vote of the holders of a majority of the outstanding shares of its common stock in the future. A majority of the Company’s stockholders are retail investors who generally hold smaller numbers of shares than institutional investors.</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Board of Directors has concluded that, due to the difficulty of securing the stockholder vote to increase the authorized shares of common stock under the current charter, it is advisable and in the best interests of the stockholders to amend the Company’s charter to align the existing voting threshold with DGCL Section 242(d)(2). The amended charter would enable the Company to take advantage of the recent amendments to the DGCL that would permit it to increase its authorized shares of common stock, or to effect a reverse split of the common stock, with a majority of the votes cast, as permitted by recent amendments to Delaware law. The Board believes that the current voting requirement effectively gives disproportionate influence to stockholders who fail to vote on these matters, as their non-votes have the same effect as votes against a proposal to approve such matters. This is inconsistent with fundamental principles of corporate democracy, where decisions should be made by those stockholders who choose to participate in the voting process. The Voting Requirement Amendment would ensure that corporate decisions are made by engaged stockholders who actually cast votes, rather than being determined by stockholder apathy or the practical difficulties of share lending and foreign ownership structures. This approach is consistent with modern corporate governance practices and the recent amendments to Delaware law that recognize the challenges faced by publicly traded companies with significant retail ownership.</w:t>
      </w:r>
    </w:p>
    <w:p>
      <w:pPr>
        <w:spacing w:after="0" w:line="12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If the Voting Requirement Amendment is approved, assuming the Company continues to satisfy the conditions on the use of the reduced voting standard under Section 242(d), future proposed amendments to increase or decrease our authorized shares of common stock, or to effect a reverse split of our common stock, may be approved by the holders of a majority of the votes cast on the proposal, counting only the votes cast for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against the proposal. Under the revised voting standard, only votes actually cast “for” or “against” such proposals would be counted in determining whether the proposals are approved. Broker non-votes, abstentions, and shares not present at the meeting would have no effect on the outcome of the vote (assuming a quorum is present). This is in contrast to the current standard, which requires the affirmative vote of a majority of all outstanding shares, meaning that shares not voted effectively count as votes against the proposal. Our Board of Directors believes the proposed amendment to align the voting thresholds for the matters described above with Section 242(d)(2) of the DGCL is critical to ensuring that the Company is able to increase or decrease its authorized shares, or implement reverse stock splits, in the future if necessary.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the Voting Requirement Amendment</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the Voting Requirement Amendment is approved, our charter will, consistent with Section 242(d)(2) of the DGCL, (i) allow an approval of an increase or decrease in the number of authorized shares of a class of stock by the affirmative vote of a majority of the votes cast that are entitled to vote thereon and (ii) allow a reverse stock split of such class to be approved by the affirmative vote of a majority of the votes cast that are entitled to vote thereon, so long as (x) the applicable class of the Company’s shares is listed on a national securities exchange immediately before the charter amendment becomes effective and (y) the Company meets exchange listing requirements concerning minimum number of stockholders immediately after the amendment becomes effective.</w:t>
      </w: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Amendment only affects the voting standard for (i) increases or decreases in authorized shares and</w:t>
      </w:r>
    </w:p>
    <w:p>
      <w:pPr>
        <w:spacing w:after="0" w:line="27" w:lineRule="exact"/>
        <w:rPr>
          <w:sz w:val="20"/>
          <w:szCs w:val="20"/>
          <w:color w:val="auto"/>
        </w:rPr>
      </w:pPr>
    </w:p>
    <w:p>
      <w:pPr>
        <w:jc w:val="both"/>
        <w:ind w:left="1260" w:right="419"/>
        <w:spacing w:after="0" w:line="255" w:lineRule="auto"/>
        <w:tabs>
          <w:tab w:leader="none" w:pos="16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stock splits (and, under certain circumstances, forward stock splits). All other charter amendments will continue to require approval under the voting standards currently set forth in the Company’s charter and applicable Delaware law.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Text of the Proposed Voting Requirement Amendment</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the Voting Requirement Amendment is approved by the requisite stockholder vote, Section B paragraph 2 of Article IV of our charter will be amended in its entirety as follows:</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or Undesignated Preferred Stock may be increased or decreased (but not below the number of shares of such class then outstanding) by the requisite vote of the holders of the Common Stock of the Corporation entitled to vote thereon as provided in Section 242(d)(2) of the DGCL, and no vote of the holders of either the Common Stock or Undesignated Preferred Stock voting separately as a class shall be required therefor irrespective of the provisions of Section 242(b)(2) of the DGCL.”</w:t>
      </w:r>
    </w:p>
    <w:p>
      <w:pPr>
        <w:spacing w:after="0" w:line="12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 xml:space="preserve">The text of the proposed form of Certificate of Amendment to our Certificate of Incorporation is attached hereto as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Timing and Effect of the Proposed Voting Requirement Amendment</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the Voting Requirement Amendment is approved by our stockholders, the Company, as promptly as practicable, will file a Certificate of Amendment with the Delaware Secretary of State, which will become effective immediately upon such filing. If the proposed Voting Requirement Amendment is not approved by stockholders, the charter will not reflect this change. In accordance with the DGCL and the resolutions of the Board authorizing the amendments to Article IV of the charter, the Board may elect to abandon or delay Proposal 4 without further action by the stockholders at any time prior to the effectiveness of the filing of the Certificate of Amendment with the Secretary of State of the State of Delaware if it determines, in its sole discretion at any time, that Proposal 4 is no longer in the best interests of the Company.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of common stock outstanding and entitled to vote on the matter is required.</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5</w:t>
      </w:r>
    </w:p>
    <w:p>
      <w:pPr>
        <w:spacing w:after="0" w:line="24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2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77"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CBIZ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CBIZ has audited the Company’s financial statements since 2025. A representative of CBIZ is not expected to be present at the Annual Meeting.</w:t>
      </w:r>
    </w:p>
    <w:p>
      <w:pPr>
        <w:spacing w:after="0" w:line="6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CBIZ as the Company’s independent registered public accounting firm. However, the Audit Committee of the Board is submitting the selection of CBIZ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26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Based on information provided by Marcum LLP (“Marcum”), the former independent registered public accounting firm of the Company, CBIZ acquired the attest business of Marcum, effective November 1, 2024. Marcum continued to serve as the Company’s independent registered public accounting firm through August 6, 2025. On August 6, 2025, Marcum resigned as the Company’s independent registered public accounting firm and CBIZ was engaged to serve as the independent registered public accounting firm of the Company for the year ending December 31, 2025, effective beginning with the review of the Company’s condensed consolidated financial statements for the quarter ended June 30, 2025. The engagement of CBIZ was approved by the Company’s Board of Directors. The services previously provided by Marcum will now be provided by CBIZ.</w:t>
      </w:r>
    </w:p>
    <w:p>
      <w:pPr>
        <w:spacing w:after="0" w:line="261"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Marcum’s report regarding the Company’s consolidated financial statements for the years ended December 31, 2024 and 2023 did not contain any adverse opinion or disclaimer of opinion and were not qualified or modified as to uncertainty, audit scope, or accounting principles, except that such report contained an explanatory paragraph regarding substantial doubt about the Company’s ability to continue as a going concern.</w:t>
      </w:r>
    </w:p>
    <w:p>
      <w:pPr>
        <w:spacing w:after="0" w:line="26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During the years ended December 31, 2024 and 2023, and through August 6, 2025, the date of Marcum’s resignation,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the subject matter of the disagreements in connection with Marcum’s reports on the Company’s financial statements, and (b) no “reportable events” (as​ defined in Item 304(a)(1)(v) of Regulation S-K and the related instructions).</w:t>
      </w:r>
    </w:p>
    <w:p>
      <w:pPr>
        <w:spacing w:after="0" w:line="4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Prior to engaging CBIZ CPAs, neither the Company nor anyone acting on its behalf consulted CBIZ regarding (i) the application of accounting principles to a specified transaction, either completed or proposed, or the type of audit opinion that might be rendered on the Company’s financial statements, and no written report was provided to the Company or oral advice was provided that CBIZ concluded was an important factor considered by the Company in reaching a decision as to the accounting, auditing or financial reporting issue, or (ii) any matter that was either the subject of a disagreement (as described in Item 304(a)(1)(iv) of Regulation S- K and the related instructions) or a reportable event (as described in Item 304(a)(1)(v) of Regulation S-K and the related instructions).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2025 and 2024 by CBIZ, the Company’s principal accountant.</w:t>
      </w:r>
    </w:p>
    <w:p>
      <w:pPr>
        <w:spacing w:after="0" w:line="12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22225</wp:posOffset>
            </wp:positionV>
            <wp:extent cx="1028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80" w:type="dxa"/>
            <w:vAlign w:val="bottom"/>
            <w:tcBorders>
              <w:bottom w:val="single" w:sz="8" w:color="CCEDFF"/>
            </w:tcBorders>
          </w:tcPr>
          <w:p>
            <w:pPr>
              <w:spacing w:after="0"/>
              <w:rPr>
                <w:sz w:val="3"/>
                <w:szCs w:val="3"/>
                <w:color w:val="auto"/>
              </w:rPr>
            </w:pPr>
          </w:p>
        </w:tc>
        <w:tc>
          <w:tcPr>
            <w:tcW w:w="220" w:type="dxa"/>
            <w:vAlign w:val="bottom"/>
            <w:tcBorders>
              <w:bottom w:val="single" w:sz="8" w:color="CCED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CCED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96"/>
        </w:trPr>
        <w:tc>
          <w:tcPr>
            <w:tcW w:w="6380" w:type="dxa"/>
            <w:vAlign w:val="bottom"/>
            <w:shd w:val="clear" w:color="auto" w:fill="CCEDFF"/>
          </w:tcPr>
          <w:p>
            <w:pPr>
              <w:spacing w:after="0" w:line="19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(1)</w:t>
            </w:r>
          </w:p>
        </w:tc>
        <w:tc>
          <w:tcPr>
            <w:tcW w:w="1140" w:type="dxa"/>
            <w:vAlign w:val="bottom"/>
            <w:tcBorders>
              <w:right w:val="single" w:sz="8" w:color="CCEDFF"/>
            </w:tcBorders>
            <w:gridSpan w:val="3"/>
            <w:shd w:val="clear" w:color="auto" w:fill="CCEDFF"/>
          </w:tcPr>
          <w:p>
            <w:pPr>
              <w:jc w:val="right"/>
              <w:ind w:right="220"/>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274,000</w:t>
            </w:r>
          </w:p>
        </w:tc>
        <w:tc>
          <w:tcPr>
            <w:tcW w:w="680" w:type="dxa"/>
            <w:vAlign w:val="bottom"/>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292,000</w:t>
            </w:r>
          </w:p>
        </w:tc>
      </w:tr>
      <w:tr>
        <w:trPr>
          <w:trHeight w:val="68"/>
        </w:trPr>
        <w:tc>
          <w:tcPr>
            <w:tcW w:w="6380" w:type="dxa"/>
            <w:vAlign w:val="bottom"/>
            <w:shd w:val="clear" w:color="auto" w:fill="CCEDFF"/>
          </w:tcPr>
          <w:p>
            <w:pPr>
              <w:spacing w:after="0"/>
              <w:rPr>
                <w:sz w:val="5"/>
                <w:szCs w:val="5"/>
                <w:color w:val="auto"/>
              </w:rPr>
            </w:pPr>
          </w:p>
        </w:tc>
        <w:tc>
          <w:tcPr>
            <w:tcW w:w="220" w:type="dxa"/>
            <w:vAlign w:val="bottom"/>
            <w:tcBorders>
              <w:right w:val="single" w:sz="8" w:color="CCEDFF"/>
            </w:tcBorders>
            <w:shd w:val="clear" w:color="auto" w:fill="CCEDFF"/>
          </w:tcPr>
          <w:p>
            <w:pPr>
              <w:spacing w:after="0"/>
              <w:rPr>
                <w:sz w:val="5"/>
                <w:szCs w:val="5"/>
                <w:color w:val="auto"/>
              </w:rPr>
            </w:pPr>
          </w:p>
        </w:tc>
        <w:tc>
          <w:tcPr>
            <w:tcW w:w="920" w:type="dxa"/>
            <w:vAlign w:val="bottom"/>
            <w:tcBorders>
              <w:right w:val="single" w:sz="8" w:color="CCEDFF"/>
            </w:tcBorders>
            <w:gridSpan w:val="2"/>
            <w:shd w:val="clear" w:color="auto" w:fill="CCEDFF"/>
          </w:tcPr>
          <w:p>
            <w:pPr>
              <w:jc w:val="right"/>
              <w:ind w:right="880"/>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shd w:val="clear" w:color="auto" w:fill="CCEDFF"/>
          </w:tcPr>
          <w:p>
            <w:pPr>
              <w:jc w:val="right"/>
              <w:ind w:right="569"/>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638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6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$274,000</w:t>
            </w:r>
          </w:p>
        </w:tc>
        <w:tc>
          <w:tcPr>
            <w:tcW w:w="680" w:type="dxa"/>
            <w:vAlign w:val="bottom"/>
          </w:tcPr>
          <w:p>
            <w:pPr>
              <w:jc w:val="right"/>
              <w:spacing w:after="0"/>
              <w:rPr>
                <w:sz w:val="20"/>
                <w:szCs w:val="20"/>
                <w:color w:val="auto"/>
              </w:rPr>
            </w:pPr>
            <w:r>
              <w:rPr>
                <w:rFonts w:ascii="Times New Roman" w:cs="Times New Roman" w:eastAsia="Times New Roman" w:hAnsi="Times New Roman"/>
                <w:sz w:val="35"/>
                <w:szCs w:val="35"/>
                <w:color w:val="auto"/>
                <w:w w:val="97"/>
                <w:vertAlign w:val="subscript"/>
              </w:rPr>
              <w:t>​</w:t>
            </w:r>
            <w:r>
              <w:rPr>
                <w:rFonts w:ascii="Times New Roman" w:cs="Times New Roman" w:eastAsia="Times New Roman" w:hAnsi="Times New Roman"/>
                <w:sz w:val="18"/>
                <w:szCs w:val="18"/>
                <w:color w:val="auto"/>
                <w:w w:val="97"/>
              </w:rPr>
              <w:t>$292,000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-489585</wp:posOffset>
            </wp:positionV>
            <wp:extent cx="47663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8256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620" w:right="419" w:hanging="360"/>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7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CBIZ.</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CBIZ is compatible with maintaining the principal accountant’s independence.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at the meeting or represented by proxy and entitled to vote on the matter at the Annual Meeting will be required to ratify the selection of CBIZ.</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6</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DJOURNMENT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w:t>
      </w:r>
    </w:p>
    <w:p>
      <w:pPr>
        <w:spacing w:after="0" w:line="229" w:lineRule="exact"/>
        <w:rPr>
          <w:sz w:val="20"/>
          <w:szCs w:val="20"/>
          <w:color w:val="auto"/>
        </w:rPr>
      </w:pPr>
    </w:p>
    <w:p>
      <w:pPr>
        <w:jc w:val="center"/>
        <w:ind w:left="1900" w:right="220"/>
        <w:spacing w:after="0" w:line="264"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UT</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NLY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RESENT</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EPRESENTED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Y</w:t>
      </w:r>
      <w:r>
        <w:rPr>
          <w:rFonts w:ascii="Times New Roman" w:cs="Times New Roman" w:eastAsia="Times New Roman" w:hAnsi="Times New Roman"/>
          <w:sz w:val="20"/>
          <w:szCs w:val="20"/>
          <w:b w:val="1"/>
          <w:bCs w:val="1"/>
          <w:color w:val="auto"/>
        </w:rPr>
        <w:t>​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NNUAL</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EETING</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DOPTION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 3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b w:val="1"/>
          <w:bCs w:val="1"/>
          <w:color w:val="auto"/>
        </w:rPr>
        <w:t>INSUFFICIENT)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Adjournment of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Annual Meeting and voting “FOR” the adoption of Proposal 3 is insufficient to approve such proposal, we may move to adjourn the Annual Meeting in order to enable us to solicit additional proxies in favor of the adoption of Proposal 3. In that event, we will ask stockholders to vote only upon the Adjournment Proposal or Proposal 3, and not on any other proposal discussed in this Proxy Statement.</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vote of the holders of a majority of the shares at the meeting or represented by proxy and entitled to vote on the matter at the Annual Meeting.</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6"/>
          <w:szCs w:val="16"/>
          <w:b w:val="1"/>
          <w:bCs w:val="1"/>
          <w:color w:val="auto"/>
        </w:rPr>
        <w:t>EY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MPLOYEES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officers and key employees and their respective ages as of March 10, 2026 are as follows:</w:t>
      </w: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4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Treasurer and Director</w:t>
            </w:r>
          </w:p>
        </w:tc>
      </w:tr>
      <w:tr>
        <w:trPr>
          <w:trHeight w:val="311"/>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Bernadette Madel,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Operations and External Communications</w:t>
            </w: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biography of Juan Vera is set forth in “Proposal 1: Election of Directors” above.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15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Maria-Bernadette Madel, Ph.D. </w:t>
      </w:r>
      <w:r>
        <w:rPr>
          <w:rFonts w:ascii="Times New Roman" w:cs="Times New Roman" w:eastAsia="Times New Roman" w:hAnsi="Times New Roman"/>
          <w:sz w:val="18"/>
          <w:szCs w:val="18"/>
          <w:color w:val="auto"/>
        </w:rPr>
        <w:t>has served as our Director of Corporate Operations and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since December 2023. Dr. Madel joined the Company in 2022 after accruing valuable experience in academic institutions, including Baylor College of Medicine. Dr. Madel earned a B.Sc. and M.Sc. in Molecular Medicine from the Medical University of Innsbruck, Austria, and a Ph.D. in Immunology and Microbiology from the University Côte d’Azur, Nice,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 2026 by: (i) each director and nominee for director; (ii) each named executive officer; (iii) 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March 1, 2026.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67"/>
        </w:trPr>
        <w:tc>
          <w:tcPr>
            <w:tcW w:w="5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2"/>
              </w:rPr>
              <w:t>Beneficial Ownership</w:t>
            </w:r>
            <w:r>
              <w:rPr>
                <w:rFonts w:ascii="Times New Roman" w:cs="Times New Roman" w:eastAsia="Times New Roman" w:hAnsi="Times New Roman"/>
                <w:sz w:val="23"/>
                <w:szCs w:val="23"/>
                <w:b w:val="1"/>
                <w:bCs w:val="1"/>
                <w:color w:val="auto"/>
                <w:w w:val="92"/>
                <w:vertAlign w:val="superscript"/>
              </w:rPr>
              <w:t>(1)</w:t>
            </w:r>
          </w:p>
        </w:tc>
        <w:tc>
          <w:tcPr>
            <w:tcW w:w="6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50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D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CCEDFF"/>
            </w:tcBorders>
          </w:tcPr>
          <w:p>
            <w:pPr>
              <w:spacing w:after="0"/>
              <w:rPr>
                <w:sz w:val="21"/>
                <w:szCs w:val="21"/>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Percent of Total</w:t>
            </w:r>
          </w:p>
        </w:tc>
        <w:tc>
          <w:tcPr>
            <w:tcW w:w="40" w:type="dxa"/>
            <w:vAlign w:val="bottom"/>
          </w:tcPr>
          <w:p>
            <w:pPr>
              <w:spacing w:after="0"/>
              <w:rPr>
                <w:sz w:val="21"/>
                <w:szCs w:val="21"/>
                <w:color w:val="auto"/>
              </w:rPr>
            </w:pPr>
          </w:p>
        </w:tc>
      </w:tr>
      <w:tr>
        <w:trPr>
          <w:trHeight w:val="257"/>
        </w:trPr>
        <w:tc>
          <w:tcPr>
            <w:tcW w:w="5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DFF"/>
          </w:tcPr>
          <w:p>
            <w:pPr>
              <w:spacing w:after="0"/>
              <w:rPr>
                <w:sz w:val="22"/>
                <w:szCs w:val="22"/>
                <w:color w:val="auto"/>
              </w:rPr>
            </w:pP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tcBorders>
              <w:right w:val="single" w:sz="8" w:color="CCEDFF"/>
            </w:tcBorders>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Enterprise Associates</w:t>
            </w:r>
            <w:r>
              <w:rPr>
                <w:rFonts w:ascii="Times New Roman" w:cs="Times New Roman" w:eastAsia="Times New Roman" w:hAnsi="Times New Roman"/>
                <w:sz w:val="23"/>
                <w:szCs w:val="23"/>
                <w:color w:val="auto"/>
                <w:vertAlign w:val="superscript"/>
              </w:rPr>
              <w:t>(2)</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​4,196,428</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Alyeska Fund GP, LLC</w:t>
            </w:r>
            <w:r>
              <w:rPr>
                <w:rFonts w:ascii="Times New Roman" w:cs="Times New Roman" w:eastAsia="Times New Roman" w:hAnsi="Times New Roman"/>
                <w:sz w:val="23"/>
                <w:szCs w:val="23"/>
                <w:color w:val="auto"/>
                <w:vertAlign w:val="superscript"/>
              </w:rPr>
              <w:t>(3)</w:t>
            </w:r>
          </w:p>
        </w:tc>
        <w:tc>
          <w:tcPr>
            <w:tcW w:w="1220" w:type="dxa"/>
            <w:vAlign w:val="bottom"/>
            <w:gridSpan w:val="2"/>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​1,875,000</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Blue Owl Capital Holdings LP</w:t>
            </w:r>
            <w:r>
              <w:rPr>
                <w:rFonts w:ascii="Times New Roman" w:cs="Times New Roman" w:eastAsia="Times New Roman" w:hAnsi="Times New Roman"/>
                <w:sz w:val="23"/>
                <w:szCs w:val="23"/>
                <w:color w:val="auto"/>
                <w:vertAlign w:val="superscript"/>
              </w:rPr>
              <w:t>(4)</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​3,125,000</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DFF"/>
          </w:tcPr>
          <w:p>
            <w:pPr>
              <w:spacing w:after="0"/>
              <w:rPr>
                <w:sz w:val="22"/>
                <w:szCs w:val="22"/>
                <w:color w:val="auto"/>
              </w:rPr>
            </w:pP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tcBorders>
              <w:right w:val="single" w:sz="8" w:color="CCEDFF"/>
            </w:tcBorders>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(5)</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30,944</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Steven Elms</w:t>
            </w:r>
            <w:r>
              <w:rPr>
                <w:rFonts w:ascii="Times New Roman" w:cs="Times New Roman" w:eastAsia="Times New Roman" w:hAnsi="Times New Roman"/>
                <w:sz w:val="23"/>
                <w:szCs w:val="23"/>
                <w:color w:val="auto"/>
                <w:vertAlign w:val="superscript"/>
              </w:rPr>
              <w:t>(6)</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387,918</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 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Juan Vera</w:t>
            </w:r>
            <w:r>
              <w:rPr>
                <w:rFonts w:ascii="Times New Roman" w:cs="Times New Roman" w:eastAsia="Times New Roman" w:hAnsi="Times New Roman"/>
                <w:sz w:val="23"/>
                <w:szCs w:val="23"/>
                <w:color w:val="auto"/>
                <w:vertAlign w:val="superscript"/>
              </w:rPr>
              <w:t>(7)</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490,625</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2.9%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Katharine Knobil</w:t>
            </w:r>
            <w:r>
              <w:rPr>
                <w:rFonts w:ascii="Times New Roman" w:cs="Times New Roman" w:eastAsia="Times New Roman" w:hAnsi="Times New Roman"/>
                <w:sz w:val="23"/>
                <w:szCs w:val="23"/>
                <w:color w:val="auto"/>
                <w:vertAlign w:val="superscript"/>
              </w:rPr>
              <w:t>(8)</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38,650</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Kathryn Penkus Corzo</w:t>
            </w:r>
            <w:r>
              <w:rPr>
                <w:rFonts w:ascii="Times New Roman" w:cs="Times New Roman" w:eastAsia="Times New Roman" w:hAnsi="Times New Roman"/>
                <w:sz w:val="23"/>
                <w:szCs w:val="23"/>
                <w:color w:val="auto"/>
                <w:vertAlign w:val="superscript"/>
              </w:rPr>
              <w:t>(9)</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32,800</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All executive officers and directors as a group (5 persons)</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980,937</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-1971040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-1971040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63" w:lineRule="exact"/>
        <w:rPr>
          <w:sz w:val="20"/>
          <w:szCs w:val="20"/>
          <w:color w:val="auto"/>
        </w:rPr>
      </w:pPr>
    </w:p>
    <w:p>
      <w:pPr>
        <w:jc w:val="both"/>
        <w:ind w:left="1620" w:right="419" w:hanging="360"/>
        <w:spacing w:after="0" w:line="25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16,673,127 shares outstanding on March 10, 2026 adjusted as required by rules promulgated by the SEC.</w:t>
      </w:r>
    </w:p>
    <w:p>
      <w:pPr>
        <w:spacing w:after="0" w:line="25"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November 17, 2025, with the SEC by New Enterprise Associates 16, L.P. (“NEA 16”) and its affiliates. Consists of (a) 1,625,678 shares of common stock and (b) 2,570,750 warrants to purchase shares of the Company’s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32"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November 14, 2025 with the SEC by Alyeska Investment Group L.P. and its affiliates. Consists of (a) 332,550 shares of Common Stock and</w:t>
      </w:r>
    </w:p>
    <w:p>
      <w:pPr>
        <w:jc w:val="both"/>
        <w:ind w:left="1620" w:right="419"/>
        <w:spacing w:after="0" w:line="253" w:lineRule="auto"/>
        <w:tabs>
          <w:tab w:leader="none" w:pos="19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1,542,450 shares of the Company’s Common Stock, (the “Warrants”). However, per their terms, the Warrants can only be exercised into such number of shares that would constitute 9.99% of the total number of Common Stock. The principal business address for all entities and individuals affiliated with Alyeska Investment Group L.P. is 77 West Wacker Drive, 7th Floor, Chicago, IL 60601.</w:t>
      </w:r>
    </w:p>
    <w:p>
      <w:pPr>
        <w:spacing w:after="0" w:line="242"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May 15, 2025 with the SEC by Blue Owl Capital Holdings LP. Consists of (a) 554,250 shares of Common Stock, par value $0.001 and</w:t>
      </w:r>
    </w:p>
    <w:p>
      <w:pPr>
        <w:jc w:val="both"/>
        <w:ind w:left="1620" w:right="419"/>
        <w:spacing w:after="0" w:line="260" w:lineRule="auto"/>
        <w:tabs>
          <w:tab w:leader="none" w:pos="19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2,570,750 shares of the Issuer’s Common Stock (the “Warrants”). However, per their terms, the Warrants can only be exercised into such number of shares that would constitute 9.99%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of the total number of Common Stock. The principal business address for Blue Owl Capital Holdings LP is 399 Park Avenue, New York, NY 10022.</w:t>
      </w:r>
    </w:p>
    <w:p>
      <w:pPr>
        <w:spacing w:after="0" w:line="27" w:lineRule="exact"/>
        <w:rPr>
          <w:sz w:val="20"/>
          <w:szCs w:val="20"/>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27,250 shares of common stock issuable upon exercise of options within 60 days of May 1, 2026.</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314,285 shares of common stock held directly by Aisling Capital where Mr. Elms shares voting and dispositive power (b) warrants to purchase 51,415 shares of Company Common Stock which is directly held by Aisling Capital where Mr. Elms shares voting and dispositive power, (c) 2,968 shares of common stock held directly by Mr. Elms and (d) 19,250 shares of common stock issuable upon exercise of options within 60 days of May 1, 2026.</w:t>
      </w:r>
    </w:p>
    <w:p>
      <w:pPr>
        <w:spacing w:after="0" w:line="3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267,184 shares of common stock, and (b) 146,577 shares of common stock issuable upon exercise of options within 60 days of May 1, 2026.</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38,500 shares of common stock issuable upon exercise of options within 60 days of May 1, 2026.</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32,800 shares of common stock issuable upon exercise of options within 60 days of May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2025, all Section 16(a) filing requirements applicable to its officers, directors and greater than ten percent beneficial owners were complied with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the fiscal years ended December 31, 2025 and 2024. Our named executive officers for the fiscal year ended December 31, 2025 are as follows:</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Juan Vera, M.D., our President and Chief Executive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6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2025 and 2024, respectively.</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4"/>
                <w:szCs w:val="14"/>
                <w:color w:val="auto"/>
              </w:rPr>
            </w:pPr>
          </w:p>
        </w:tc>
        <w:tc>
          <w:tcPr>
            <w:tcW w:w="6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17"/>
                <w:szCs w:val="17"/>
                <w:b w:val="1"/>
                <w:bCs w:val="1"/>
                <w:color w:val="auto"/>
                <w:w w:val="93"/>
                <w:vertAlign w:val="superscript"/>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8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260" w:type="dxa"/>
            <w:vAlign w:val="bottom"/>
            <w:tcBorders>
              <w:top w:val="single" w:sz="8" w:color="auto"/>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80" w:type="dxa"/>
            <w:vAlign w:val="bottom"/>
            <w:tcBorders>
              <w:top w:val="single" w:sz="8" w:color="CCEDFF"/>
              <w:bottom w:val="single" w:sz="8" w:color="CCEDFF"/>
            </w:tcBorders>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auto"/>
              <w:bottom w:val="single" w:sz="8" w:color="CCEDFF"/>
            </w:tcBorders>
            <w:shd w:val="clear" w:color="auto" w:fill="CCED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DFF"/>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auto"/>
              <w:bottom w:val="single" w:sz="8" w:color="CCEDFF"/>
            </w:tcBorders>
            <w:shd w:val="clear" w:color="auto" w:fill="CCED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DFF"/>
              <w:bottom w:val="single" w:sz="8" w:color="CCEDFF"/>
            </w:tcBorders>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DFF"/>
            </w:tcBorders>
            <w:shd w:val="clear" w:color="auto" w:fill="CCED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DFF"/>
            </w:tcBorders>
            <w:shd w:val="clear" w:color="auto" w:fill="CCED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7"/>
            <w:shd w:val="clear" w:color="auto" w:fill="CCEDFF"/>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​2025</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​415,385</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265,995</w:t>
            </w:r>
          </w:p>
        </w:tc>
        <w:tc>
          <w:tcPr>
            <w:tcW w:w="1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D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D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4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ind w:left="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​741,190</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2260" w:type="dxa"/>
            <w:vAlign w:val="bottom"/>
            <w:gridSpan w:val="2"/>
            <w:vMerge w:val="restart"/>
            <w:shd w:val="clear" w:color="auto" w:fill="CCEDFF"/>
          </w:tcPr>
          <w:p>
            <w:pPr>
              <w:ind w:left="180"/>
              <w:spacing w:after="0" w:line="211" w:lineRule="exact"/>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3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3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620" w:type="dxa"/>
            <w:vAlign w:val="bottom"/>
            <w:shd w:val="clear" w:color="auto" w:fill="CCEDFF"/>
          </w:tcPr>
          <w:p>
            <w:pPr>
              <w:spacing w:after="0"/>
              <w:rPr>
                <w:sz w:val="5"/>
                <w:szCs w:val="5"/>
                <w:color w:val="auto"/>
              </w:rPr>
            </w:pPr>
          </w:p>
        </w:tc>
        <w:tc>
          <w:tcPr>
            <w:tcW w:w="140" w:type="dxa"/>
            <w:vAlign w:val="bottom"/>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860" w:type="dxa"/>
            <w:vAlign w:val="bottom"/>
            <w:shd w:val="clear" w:color="auto" w:fill="CCEDFF"/>
          </w:tcPr>
          <w:p>
            <w:pPr>
              <w:spacing w:after="0"/>
              <w:rPr>
                <w:sz w:val="5"/>
                <w:szCs w:val="5"/>
                <w:color w:val="auto"/>
              </w:rPr>
            </w:pPr>
          </w:p>
        </w:tc>
        <w:tc>
          <w:tcPr>
            <w:tcW w:w="4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880" w:type="dxa"/>
            <w:vAlign w:val="bottom"/>
            <w:shd w:val="clear" w:color="auto" w:fill="CCEDFF"/>
          </w:tcPr>
          <w:p>
            <w:pPr>
              <w:spacing w:after="0"/>
              <w:rPr>
                <w:sz w:val="5"/>
                <w:szCs w:val="5"/>
                <w:color w:val="auto"/>
              </w:rPr>
            </w:pPr>
          </w:p>
        </w:tc>
        <w:tc>
          <w:tcPr>
            <w:tcW w:w="2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600" w:type="dxa"/>
            <w:vAlign w:val="bottom"/>
            <w:shd w:val="clear" w:color="auto" w:fill="CCEDFF"/>
          </w:tcPr>
          <w:p>
            <w:pPr>
              <w:spacing w:after="0"/>
              <w:rPr>
                <w:sz w:val="5"/>
                <w:szCs w:val="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260" w:type="dxa"/>
            <w:vAlign w:val="bottom"/>
            <w:gridSpan w:val="2"/>
            <w:vMerge w:val="continue"/>
            <w:shd w:val="clear" w:color="auto" w:fill="CCEDFF"/>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3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DFF"/>
          </w:tcPr>
          <w:p>
            <w:pPr>
              <w:spacing w:after="0"/>
              <w:rPr>
                <w:sz w:val="16"/>
                <w:szCs w:val="16"/>
                <w:color w:val="auto"/>
              </w:rPr>
            </w:pPr>
          </w:p>
        </w:tc>
        <w:tc>
          <w:tcPr>
            <w:tcW w:w="1900" w:type="dxa"/>
            <w:vAlign w:val="bottom"/>
            <w:shd w:val="clear" w:color="auto" w:fill="CCEDFF"/>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​400,000</w:t>
            </w: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​400,000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-556895</wp:posOffset>
            </wp:positionV>
            <wp:extent cx="3317240" cy="403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7240" cy="40322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-728345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-728345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-728345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-728345</wp:posOffset>
            </wp:positionV>
            <wp:extent cx="1289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-728345</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-728345</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7" w:lineRule="exact"/>
        <w:rPr>
          <w:sz w:val="20"/>
          <w:szCs w:val="20"/>
          <w:color w:val="auto"/>
        </w:rPr>
      </w:pPr>
    </w:p>
    <w:p>
      <w:pPr>
        <w:jc w:val="both"/>
        <w:ind w:left="2340" w:right="419" w:hanging="360"/>
        <w:spacing w:after="0" w:line="252" w:lineRule="auto"/>
        <w:tabs>
          <w:tab w:leader="none" w:pos="2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years ended December 31, 2025 and December 31, 2024, as computed in accordance with Financial Accounting Standard Board Accounting Standards Codification Topic 718 for stock-based compensation transactions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266"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Vera was appointed President and Chief Executive officer effective May 1, 2023. Throughout 2025, he also served as the Company’s principal financial officer.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5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In 2023,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91" w:lineRule="exact"/>
        <w:rPr>
          <w:sz w:val="20"/>
          <w:szCs w:val="20"/>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94"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As part of its engagement in 2023,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in 2023 the Compensation Committee approved the recommendations.</w:t>
      </w:r>
    </w:p>
    <w:p>
      <w:pPr>
        <w:spacing w:after="0" w:line="10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21"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35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2025 and 2024, as determined by the Board or Compensation Committee, as applicable:</w:t>
      </w:r>
    </w:p>
    <w:p>
      <w:pPr>
        <w:spacing w:after="0" w:line="128"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2024 Annual</w:t>
            </w:r>
          </w:p>
        </w:tc>
        <w:tc>
          <w:tcPr>
            <w:tcW w:w="40" w:type="dxa"/>
            <w:vAlign w:val="bottom"/>
          </w:tcPr>
          <w:p>
            <w:pPr>
              <w:spacing w:after="0"/>
              <w:rPr>
                <w:sz w:val="14"/>
                <w:szCs w:val="14"/>
                <w:color w:val="auto"/>
              </w:rPr>
            </w:pPr>
          </w:p>
        </w:tc>
      </w:tr>
      <w:tr>
        <w:trPr>
          <w:trHeight w:val="190"/>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7"/>
              </w:rPr>
              <w:t>Base Salary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 ($)</w:t>
            </w:r>
          </w:p>
        </w:tc>
        <w:tc>
          <w:tcPr>
            <w:tcW w:w="40" w:type="dxa"/>
            <w:vAlign w:val="bottom"/>
          </w:tcPr>
          <w:p>
            <w:pPr>
              <w:spacing w:after="0"/>
              <w:rPr>
                <w:sz w:val="16"/>
                <w:szCs w:val="16"/>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04"/>
        </w:trPr>
        <w:tc>
          <w:tcPr>
            <w:tcW w:w="30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200" w:type="dxa"/>
            <w:vAlign w:val="bottom"/>
            <w:shd w:val="clear" w:color="auto" w:fill="CCEDFF"/>
          </w:tcPr>
          <w:p>
            <w:pPr>
              <w:jc w:val="center"/>
              <w:ind w:left="42"/>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$415,385</w:t>
            </w:r>
          </w:p>
        </w:tc>
        <w:tc>
          <w:tcPr>
            <w:tcW w:w="34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-205105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-205105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2025, the target annual incentive opportunities as a percentage of base salary for our named executive officers was 40% for Dr. Vera.</w:t>
      </w:r>
    </w:p>
    <w:p>
      <w:pPr>
        <w:spacing w:after="0" w:line="109" w:lineRule="exact"/>
        <w:rPr>
          <w:sz w:val="20"/>
          <w:szCs w:val="20"/>
          <w:color w:val="auto"/>
        </w:rPr>
      </w:pPr>
    </w:p>
    <w:p>
      <w:pPr>
        <w:jc w:val="both"/>
        <w:ind w:left="1260" w:right="419"/>
        <w:spacing w:after="0" w:line="269" w:lineRule="auto"/>
        <w:rPr>
          <w:sz w:val="20"/>
          <w:szCs w:val="20"/>
          <w:color w:val="auto"/>
        </w:rPr>
      </w:pPr>
      <w:r>
        <w:rPr>
          <w:rFonts w:ascii="Times New Roman" w:cs="Times New Roman" w:eastAsia="Times New Roman" w:hAnsi="Times New Roman"/>
          <w:sz w:val="18"/>
          <w:szCs w:val="18"/>
          <w:color w:val="auto"/>
        </w:rPr>
        <w:t>For 2025 and 2024,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based on each executive’s and our corporate performance in 2024 and 2025, respectively. The annual incentives paid to the named executive officers for 2024 performance, if any, are included in the Summary Compensation Table above.</w:t>
      </w:r>
    </w:p>
    <w:p>
      <w:pPr>
        <w:spacing w:after="0" w:line="107"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In 2024, the Board did not grant any awards to any of its officers. In 2025, the Board determined to pay Dr. Vera his award in the form of stock options. Such stock options were granted under the Company’s 2020 Plan and are set forth in the table below. 50,000 of such stock options were granted on February 12, 2025 and in three equal annual installments commencing on the first anniversary of the grant date and the remainder of the shares subsequently vest in equal annual installments over the second and third anniversary of the grant date upon the continued performance of services by Dr. Vera through the vesting dates. 250,000 of such options were granted on October 31, 2025 and vest in four equal annual installments commencing on first anniversary of the grant date and the remainder of the shares subsequently vest in equal annual installments over the second, third and fourth anniversary of the grant date upon the continued performance of services by Dr. Vera through the vesting dates.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 In Lieu</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2025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40" w:type="dxa"/>
            <w:vAlign w:val="bottom"/>
          </w:tcPr>
          <w:p>
            <w:pPr>
              <w:spacing w:after="0"/>
              <w:rPr>
                <w:sz w:val="14"/>
                <w:szCs w:val="14"/>
                <w:color w:val="auto"/>
              </w:rPr>
            </w:pPr>
          </w:p>
        </w:tc>
      </w:tr>
      <w:tr>
        <w:trPr>
          <w:trHeight w:val="214"/>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 Options)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Fair Value ($)</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spacing w:after="0"/>
              <w:rPr>
                <w:sz w:val="18"/>
                <w:szCs w:val="18"/>
                <w:color w:val="auto"/>
              </w:rPr>
            </w:pPr>
          </w:p>
        </w:tc>
      </w:tr>
      <w:tr>
        <w:trPr>
          <w:trHeight w:val="304"/>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300" w:type="dxa"/>
            <w:vAlign w:val="bottom"/>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300,000</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265,995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-205105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-205105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145415</wp:posOffset>
            </wp:positionV>
            <wp:extent cx="1834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53" w:lineRule="exact"/>
        <w:rPr>
          <w:sz w:val="20"/>
          <w:szCs w:val="20"/>
          <w:color w:val="auto"/>
        </w:rPr>
      </w:pPr>
    </w:p>
    <w:p>
      <w:pPr>
        <w:jc w:val="both"/>
        <w:ind w:left="2340" w:right="419" w:hanging="360"/>
        <w:spacing w:after="0" w:line="254" w:lineRule="auto"/>
        <w:tabs>
          <w:tab w:leader="none" w:pos="2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2023,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2025 and 2024 performance are included in the “Non-Equity Incentive Plan Compensation” column of the Summary Compensation Table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December 31, 2025 with respect to the 2020 Plan:</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Available for</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Future Issuance</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Securities to be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Compensation Plans</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 Upon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(Excluding</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c>
          <w:tcPr>
            <w:tcW w:w="40" w:type="dxa"/>
            <w:vAlign w:val="bottom"/>
          </w:tcPr>
          <w:p>
            <w:pPr>
              <w:spacing w:after="0"/>
              <w:rPr>
                <w:sz w:val="14"/>
                <w:szCs w:val="14"/>
                <w:color w:val="auto"/>
              </w:rPr>
            </w:pPr>
          </w:p>
        </w:tc>
      </w:tr>
      <w:tr>
        <w:trPr>
          <w:trHeight w:val="2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 w:type="dxa"/>
            <w:vAlign w:val="bottom"/>
            <w:tcBorders>
              <w:bottom w:val="single" w:sz="8" w:color="CCED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Options (A)</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DFF"/>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(B)</w:t>
            </w:r>
          </w:p>
        </w:tc>
        <w:tc>
          <w:tcPr>
            <w:tcW w:w="220" w:type="dxa"/>
            <w:vAlign w:val="bottom"/>
            <w:tcBorders>
              <w:bottom w:val="single" w:sz="8" w:color="CCEDFF"/>
            </w:tcBorders>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(A)) (C)</w:t>
            </w:r>
          </w:p>
        </w:tc>
        <w:tc>
          <w:tcPr>
            <w:tcW w:w="40" w:type="dxa"/>
            <w:vAlign w:val="bottom"/>
          </w:tcPr>
          <w:p>
            <w:pPr>
              <w:spacing w:after="0"/>
              <w:rPr>
                <w:sz w:val="18"/>
                <w:szCs w:val="18"/>
                <w:color w:val="auto"/>
              </w:rPr>
            </w:pPr>
          </w:p>
        </w:tc>
      </w:tr>
      <w:tr>
        <w:trPr>
          <w:trHeight w:val="250"/>
        </w:trPr>
        <w:tc>
          <w:tcPr>
            <w:tcW w:w="42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stockholders:</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DFF"/>
          </w:tcPr>
          <w:p>
            <w:pPr>
              <w:spacing w:after="0"/>
              <w:rPr>
                <w:sz w:val="21"/>
                <w:szCs w:val="21"/>
                <w:color w:val="auto"/>
              </w:rPr>
            </w:pPr>
          </w:p>
        </w:tc>
        <w:tc>
          <w:tcPr>
            <w:tcW w:w="380" w:type="dxa"/>
            <w:vAlign w:val="bottom"/>
            <w:tcBorders>
              <w:right w:val="single" w:sz="8" w:color="CCEDFF"/>
            </w:tcBorders>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1,762,878</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59,150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2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w:t>
            </w:r>
          </w:p>
        </w:tc>
        <w:tc>
          <w:tcPr>
            <w:tcW w:w="20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42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420" w:type="dxa"/>
            <w:vAlign w:val="bottom"/>
            <w:shd w:val="clear" w:color="auto" w:fill="CCEDFF"/>
          </w:tcPr>
          <w:p>
            <w:pPr>
              <w:spacing w:after="0"/>
              <w:rPr>
                <w:sz w:val="19"/>
                <w:szCs w:val="19"/>
                <w:color w:val="auto"/>
              </w:rPr>
            </w:pPr>
          </w:p>
        </w:tc>
        <w:tc>
          <w:tcPr>
            <w:tcW w:w="3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380" w:type="dxa"/>
            <w:vAlign w:val="bottom"/>
            <w:tcBorders>
              <w:right w:val="single" w:sz="8" w:color="CCEDFF"/>
            </w:tcBorders>
            <w:shd w:val="clear" w:color="auto" w:fill="CCEDFF"/>
          </w:tcPr>
          <w:p>
            <w:pPr>
              <w:spacing w:after="0"/>
              <w:rPr>
                <w:sz w:val="19"/>
                <w:szCs w:val="19"/>
                <w:color w:val="auto"/>
              </w:rPr>
            </w:pPr>
          </w:p>
        </w:tc>
        <w:tc>
          <w:tcPr>
            <w:tcW w:w="40" w:type="dxa"/>
            <w:vAlign w:val="bottom"/>
          </w:tcPr>
          <w:p>
            <w:pPr>
              <w:spacing w:after="0"/>
              <w:rPr>
                <w:sz w:val="19"/>
                <w:szCs w:val="19"/>
                <w:color w:val="auto"/>
              </w:rPr>
            </w:pPr>
          </w:p>
        </w:tc>
      </w:tr>
      <w:tr>
        <w:trPr>
          <w:trHeight w:val="280"/>
        </w:trPr>
        <w:tc>
          <w:tcPr>
            <w:tcW w:w="42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DFF"/>
          </w:tcPr>
          <w:p>
            <w:pPr>
              <w:spacing w:after="0"/>
              <w:rPr>
                <w:sz w:val="24"/>
                <w:szCs w:val="24"/>
                <w:color w:val="auto"/>
              </w:rPr>
            </w:pPr>
          </w:p>
        </w:tc>
        <w:tc>
          <w:tcPr>
            <w:tcW w:w="100" w:type="dxa"/>
            <w:vAlign w:val="bottom"/>
            <w:shd w:val="clear" w:color="auto" w:fill="CCEDFF"/>
          </w:tcPr>
          <w:p>
            <w:pPr>
              <w:spacing w:after="0"/>
              <w:rPr>
                <w:sz w:val="24"/>
                <w:szCs w:val="24"/>
                <w:color w:val="auto"/>
              </w:rPr>
            </w:pP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DFF"/>
          </w:tcPr>
          <w:p>
            <w:pPr>
              <w:spacing w:after="0"/>
              <w:rPr>
                <w:sz w:val="24"/>
                <w:szCs w:val="24"/>
                <w:color w:val="auto"/>
              </w:rPr>
            </w:pPr>
          </w:p>
        </w:tc>
        <w:tc>
          <w:tcPr>
            <w:tcW w:w="380" w:type="dxa"/>
            <w:vAlign w:val="bottom"/>
            <w:tcBorders>
              <w:right w:val="single" w:sz="8" w:color="CCEDFF"/>
            </w:tcBorders>
            <w:shd w:val="clear" w:color="auto" w:fill="CCED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ind w:left="360"/>
              <w:spacing w:after="0" w:line="283"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DFF"/>
          </w:tcPr>
          <w:p>
            <w:pPr>
              <w:spacing w:after="0" w:line="20" w:lineRule="exact"/>
              <w:rPr>
                <w:sz w:val="1"/>
                <w:szCs w:val="1"/>
                <w:color w:val="auto"/>
              </w:rPr>
            </w:pPr>
          </w:p>
        </w:tc>
        <w:tc>
          <w:tcPr>
            <w:tcW w:w="2340" w:type="dxa"/>
            <w:vAlign w:val="bottom"/>
            <w:shd w:val="clear" w:color="auto" w:fill="CCEDFF"/>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20" w:type="dxa"/>
            <w:vAlign w:val="bottom"/>
            <w:shd w:val="clear" w:color="auto" w:fill="CCEDFF"/>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360" w:type="dxa"/>
            <w:vAlign w:val="bottom"/>
            <w:shd w:val="clear" w:color="auto" w:fill="CCED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DFF"/>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380" w:type="dxa"/>
            <w:vAlign w:val="bottom"/>
            <w:shd w:val="clear" w:color="auto" w:fill="CCED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Borders>
              <w:right w:val="single" w:sz="8" w:color="CCEDFF"/>
            </w:tcBorders>
            <w:shd w:val="clear" w:color="auto" w:fill="CCED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42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DFF"/>
          </w:tcPr>
          <w:p>
            <w:pPr>
              <w:spacing w:after="0"/>
              <w:rPr>
                <w:sz w:val="24"/>
                <w:szCs w:val="24"/>
                <w:color w:val="auto"/>
              </w:rPr>
            </w:pPr>
          </w:p>
        </w:tc>
        <w:tc>
          <w:tcPr>
            <w:tcW w:w="100" w:type="dxa"/>
            <w:vAlign w:val="bottom"/>
            <w:shd w:val="clear" w:color="auto" w:fill="CCEDFF"/>
          </w:tcPr>
          <w:p>
            <w:pPr>
              <w:spacing w:after="0"/>
              <w:rPr>
                <w:sz w:val="24"/>
                <w:szCs w:val="24"/>
                <w:color w:val="auto"/>
              </w:rPr>
            </w:pP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DFF"/>
          </w:tcPr>
          <w:p>
            <w:pPr>
              <w:ind w:left="36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2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DFF"/>
          </w:tcPr>
          <w:p>
            <w:pPr>
              <w:spacing w:after="0"/>
              <w:rPr>
                <w:sz w:val="24"/>
                <w:szCs w:val="24"/>
                <w:color w:val="auto"/>
              </w:rPr>
            </w:pPr>
          </w:p>
        </w:tc>
        <w:tc>
          <w:tcPr>
            <w:tcW w:w="380" w:type="dxa"/>
            <w:vAlign w:val="bottom"/>
            <w:tcBorders>
              <w:right w:val="single" w:sz="8" w:color="CCEDFF"/>
            </w:tcBorders>
            <w:shd w:val="clear" w:color="auto" w:fill="CCED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DFF"/>
            </w:tcBorders>
          </w:tcPr>
          <w:p>
            <w:pPr>
              <w:spacing w:after="0" w:line="20" w:lineRule="exact"/>
              <w:rPr>
                <w:sz w:val="1"/>
                <w:szCs w:val="1"/>
                <w:color w:val="auto"/>
              </w:rPr>
            </w:pPr>
          </w:p>
        </w:tc>
        <w:tc>
          <w:tcPr>
            <w:tcW w:w="234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D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
        </w:trPr>
        <w:tc>
          <w:tcPr>
            <w:tcW w:w="1940" w:type="dxa"/>
            <w:vAlign w:val="bottom"/>
            <w:tcBorders>
              <w:bottom w:val="single" w:sz="8" w:color="auto"/>
            </w:tcBorders>
          </w:tcPr>
          <w:p>
            <w:pPr>
              <w:spacing w:after="0"/>
              <w:rPr>
                <w:sz w:val="5"/>
                <w:szCs w:val="5"/>
                <w:color w:val="auto"/>
              </w:rPr>
            </w:pPr>
          </w:p>
        </w:tc>
        <w:tc>
          <w:tcPr>
            <w:tcW w:w="2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-290830</wp:posOffset>
            </wp:positionV>
            <wp:extent cx="240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4654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-1122045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-1122045</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-1122045</wp:posOffset>
            </wp:positionV>
            <wp:extent cx="128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0" w:lineRule="exact"/>
        <w:rPr>
          <w:sz w:val="20"/>
          <w:szCs w:val="20"/>
          <w:color w:val="auto"/>
        </w:rPr>
      </w:pPr>
    </w:p>
    <w:p>
      <w:pPr>
        <w:jc w:val="both"/>
        <w:ind w:left="1620" w:right="419" w:hanging="360"/>
        <w:spacing w:after="0" w:line="257" w:lineRule="auto"/>
        <w:tabs>
          <w:tab w:leader="none" w:pos="1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Board of Directors approved a 2020 Plan and it was submitted to stockholders for approval in connection with the Company’s 2020 annual meeting of stockholders. On May 24, 2022 at the Company’s 2022 Annual Meeting the stockholders approved an amendment to the plan which provided for an additional 8,500,000 shares to be added to the available shares. On January 23, 2023, the Company effected a reverse stocks split, of the Company’s common stock by a ratio of one-for-ten (1:10).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color w:val="auto"/>
        </w:rPr>
        <w:t>amended the 2020 Plan provides the aggregate number of shares of Common Stock that may be issued under the 2020 Plan will not exceed the sum of (i) 850,000 new shares that were approved at the Company’s 2022 Annual Meeting of Stockholders; plus (ii) 326,000 shares remaining available for grant of new awards under the 2020 Plan as originally adopted; plus (iii) the number of shares remaining available for the grant of new awards under the Prior Plans as of immediately prior to the effective date of the 2020 Plan; plus (iv) the number of Returning Shares, if any, as such shares become available from time to time. “Prior Plans” mean the TapImmune Inc. 2014 Omnibus Stock Ownership Plan and the Tap Immune Inc. 2009 Stock Incentive Plan, each as amended. The “Returning Shares” are shares of our common stock subject to outstanding awards granted under the Prior Plans that on or following the effective date of the 2020 Plan: (i) are not issued because such award or any portion thereof expires or otherwise terminates without all of the shares covered by such award having been issued; (ii) are not issued because such award or any portion thereof is settled in cash; (iii) are forfeited back to or repurchased by us because of the failure to meet a contingency or condition required for the vesting of such shares, (iv) are withheld or reacquired by us to satisfy the exercise, strike or purchase price; or (v) are withheld or reacquired by us to satisfy a tax withholding obligation.</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7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2025.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2025.</w:t>
      </w:r>
    </w:p>
    <w:p>
      <w:pPr>
        <w:spacing w:after="0" w:line="400"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9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Juan Vera</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Vera in July 2019. Under the terms of his employment agreement, Dr. Vera is eligible to receive a base salary of $350,000 and an annual target incentive opportunity of 35% of his annual base salary based upon the assessment by the Compensation Committee of Dr. Vera’s performance and other conditions as the Board shall have determined in its sole discretion on an annual basis. Pursuant to his employment agreement, Dr. Vera is subject to a covenant not to disclose our confidential information during his employment term and an assignment of intellectual property rights. Also, during his employment term and for a period of 12 months thereafter, Dr. Vera has covenanted not to compete with us and not to solicit any of our customers, vendors or employees.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Dr. Vera’s employment agreement, if his employment is terminated by us for cause or by Dr. Vera without good reason (each as defined in his employment agreement) during the term of the agreement, he will be entitled to receive his Accrued Compensation. If Dr. Vera’s employment is terminated by us without cause or by Dr. Vera for good reason, subject to Dr. Vera’s execution of a release of claims against us, and in addition to the payment of the Accrued Compensation, Dr. Vera will be entitled to (i) a payment equal to 12 months of his annual base salary as in effect at the termination date and (ii) a pro-rated bonus payment equal to his target annual performance bonus for the calendar year in which his employment was terminated (the “Vera Additional Severance Payments”). Dr. Vera will also be eligible for continued health insurance coverage until the earliest of (i) 12 months after the date of Dr. Vera’s termination, (ii) the expiration of Dr. Vera’s eligibility for COBRA coverage and (iii) the date Dr. Vera becomes eligible for substantially equivalent health insurance coverage.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Dr. Vera’s employment is terminated by us without cause or by him for good reason during the period of 12 months following a change in control of us (as defined in his employment agreement), in lieu of the Additional Severance Payments and health insurance coverage described above and subject to Dr. Vera’s execution of a release of claims, Dr. Vera will be entitled to (i) a payment equal to 12 months of his annual base salary as in effect at the termination date, (ii) a bonus payment equal to his target annual performance bonus for the year of termination and (iii) vesting of all of Dr. Vera’s outstanding equity awards subject to time-based vesting requirements, such that all such equity awards will be fully vested as of the date of Dr. Vera’s termination.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31, 2025</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2025, as adjusted for the ten-for-one (10:1) reverse stock split we completed on January 26, 2023 (the “Reverse Stock Split”).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7"/>
                <w:szCs w:val="17"/>
                <w:b w:val="1"/>
                <w:bCs w:val="1"/>
                <w:color w:val="auto"/>
                <w:w w:val="94"/>
                <w:vertAlign w:val="superscript"/>
              </w:rPr>
              <w:t>(1)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1"/>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r>
      <w:tr>
        <w:trPr>
          <w:trHeight w:val="214"/>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D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20" w:type="dxa"/>
            <w:vAlign w:val="bottom"/>
            <w:tcBorders>
              <w:bottom w:val="single" w:sz="8" w:color="CCEDFF"/>
            </w:tcBorders>
          </w:tcPr>
          <w:p>
            <w:pPr>
              <w:spacing w:after="0"/>
              <w:rPr>
                <w:sz w:val="18"/>
                <w:szCs w:val="18"/>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Exercisable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DFF"/>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Unexercisable</w:t>
            </w:r>
            <w:r>
              <w:rPr>
                <w:rFonts w:ascii="Times New Roman" w:cs="Times New Roman" w:eastAsia="Times New Roman" w:hAnsi="Times New Roman"/>
                <w:sz w:val="17"/>
                <w:szCs w:val="17"/>
                <w:b w:val="1"/>
                <w:bCs w:val="1"/>
                <w:color w:val="auto"/>
                <w:w w:val="95"/>
                <w:vertAlign w:val="superscript"/>
              </w:rPr>
              <w:t>(4)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D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60" w:type="dxa"/>
            <w:vAlign w:val="bottom"/>
          </w:tcPr>
          <w:p>
            <w:pPr>
              <w:spacing w:after="0"/>
              <w:rPr>
                <w:sz w:val="18"/>
                <w:szCs w:val="18"/>
                <w:color w:val="auto"/>
              </w:rPr>
            </w:pPr>
          </w:p>
        </w:tc>
      </w:tr>
      <w:tr>
        <w:trPr>
          <w:trHeight w:val="291"/>
        </w:trPr>
        <w:tc>
          <w:tcPr>
            <w:tcW w:w="27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060" w:type="dxa"/>
            <w:vAlign w:val="bottom"/>
            <w:gridSpan w:val="2"/>
            <w:shd w:val="clear" w:color="auto" w:fill="CCEDFF"/>
          </w:tcPr>
          <w:p>
            <w:pPr>
              <w:jc w:val="center"/>
              <w:ind w:right="20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10/31/2025</w:t>
            </w:r>
          </w:p>
        </w:tc>
        <w:tc>
          <w:tcPr>
            <w:tcW w:w="4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250,000</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DFF"/>
          </w:tcPr>
          <w:p>
            <w:pPr>
              <w:jc w:val="right"/>
              <w:ind w:right="22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$0.9877</w:t>
            </w:r>
          </w:p>
        </w:tc>
        <w:tc>
          <w:tcPr>
            <w:tcW w:w="980" w:type="dxa"/>
            <w:vAlign w:val="bottom"/>
            <w:shd w:val="clear" w:color="auto" w:fill="CCEDFF"/>
          </w:tcPr>
          <w:p>
            <w:pPr>
              <w:jc w:val="cente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10/31/2035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1060" w:type="dxa"/>
            <w:vAlign w:val="bottom"/>
            <w:gridSpan w:val="2"/>
            <w:shd w:val="clear" w:color="auto" w:fill="CCEDFF"/>
          </w:tcPr>
          <w:p>
            <w:pPr>
              <w:jc w:val="center"/>
              <w:ind w:right="200"/>
              <w:spacing w:after="0"/>
              <w:rPr>
                <w:sz w:val="20"/>
                <w:szCs w:val="20"/>
                <w:color w:val="auto"/>
              </w:rPr>
            </w:pPr>
            <w:r>
              <w:rPr>
                <w:rFonts w:ascii="Times New Roman" w:cs="Times New Roman" w:eastAsia="Times New Roman" w:hAnsi="Times New Roman"/>
                <w:sz w:val="18"/>
                <w:szCs w:val="18"/>
                <w:color w:val="auto"/>
              </w:rPr>
              <w:t>​ 2/12/2025</w:t>
            </w: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​16,666</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 33,334</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2/12/2035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5/10/2023</w:t>
            </w:r>
          </w:p>
        </w:tc>
        <w:tc>
          <w:tcPr>
            <w:tcW w:w="220" w:type="dxa"/>
            <w:vAlign w:val="bottom"/>
            <w:shd w:val="clear" w:color="auto" w:fill="CCEDFF"/>
          </w:tcPr>
          <w:p>
            <w:pPr>
              <w:spacing w:after="0"/>
              <w:rPr>
                <w:sz w:val="23"/>
                <w:szCs w:val="23"/>
                <w:color w:val="auto"/>
              </w:rPr>
            </w:pPr>
          </w:p>
        </w:tc>
        <w:tc>
          <w:tcPr>
            <w:tcW w:w="4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5/10/2033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2/27/2023</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 9,680</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 36,807</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2/27/2032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2/17/2022</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 7,336</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8,665</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2/17/2032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2/10/2021</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 9,923</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4,077</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32.90</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2/10/2031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3/10/2020</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​13,127</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3/10/2030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2560" w:type="dxa"/>
            <w:vAlign w:val="bottom"/>
            <w:shd w:val="clear" w:color="auto" w:fill="CCEDFF"/>
          </w:tcPr>
          <w:p>
            <w:pPr>
              <w:spacing w:after="0"/>
              <w:rPr>
                <w:sz w:val="24"/>
                <w:szCs w:val="24"/>
                <w:color w:val="auto"/>
              </w:rPr>
            </w:pPr>
          </w:p>
        </w:tc>
        <w:tc>
          <w:tcPr>
            <w:tcW w:w="200" w:type="dxa"/>
            <w:vAlign w:val="bottom"/>
            <w:shd w:val="clear" w:color="auto" w:fill="CCEDFF"/>
          </w:tcPr>
          <w:p>
            <w:pPr>
              <w:spacing w:after="0"/>
              <w:rPr>
                <w:sz w:val="24"/>
                <w:szCs w:val="24"/>
                <w:color w:val="auto"/>
              </w:rPr>
            </w:pPr>
          </w:p>
        </w:tc>
        <w:tc>
          <w:tcPr>
            <w:tcW w:w="840" w:type="dxa"/>
            <w:vAlign w:val="bottom"/>
            <w:shd w:val="clear" w:color="auto" w:fill="CCEDFF"/>
          </w:tcPr>
          <w:p>
            <w:pPr>
              <w:jc w:val="center"/>
              <w:spacing w:after="0" w:line="338"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10/19/2018</w:t>
            </w:r>
          </w:p>
        </w:tc>
        <w:tc>
          <w:tcPr>
            <w:tcW w:w="220" w:type="dxa"/>
            <w:vAlign w:val="bottom"/>
            <w:shd w:val="clear" w:color="auto" w:fill="CCEDFF"/>
          </w:tcPr>
          <w:p>
            <w:pPr>
              <w:spacing w:after="0"/>
              <w:rPr>
                <w:sz w:val="24"/>
                <w:szCs w:val="24"/>
                <w:color w:val="auto"/>
              </w:rPr>
            </w:pPr>
          </w:p>
        </w:tc>
        <w:tc>
          <w:tcPr>
            <w:tcW w:w="920" w:type="dxa"/>
            <w:vAlign w:val="bottom"/>
            <w:gridSpan w:val="2"/>
            <w:shd w:val="clear" w:color="auto" w:fill="CCEDFF"/>
          </w:tcPr>
          <w:p>
            <w:pPr>
              <w:jc w:val="right"/>
              <w:ind w:right="110"/>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50,000</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91.80</w:t>
            </w:r>
          </w:p>
        </w:tc>
        <w:tc>
          <w:tcPr>
            <w:tcW w:w="980" w:type="dxa"/>
            <w:vAlign w:val="bottom"/>
            <w:shd w:val="clear" w:color="auto" w:fill="CCEDFF"/>
          </w:tcPr>
          <w:p>
            <w:pPr>
              <w:jc w:val="center"/>
              <w:spacing w:after="0" w:line="338"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10/19/2028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-1439545</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-1439545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-1439545</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-1439545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-1439545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825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67" w:lineRule="exact"/>
        <w:rPr>
          <w:sz w:val="20"/>
          <w:szCs w:val="20"/>
          <w:color w:val="auto"/>
        </w:rPr>
      </w:pPr>
    </w:p>
    <w:p>
      <w:pPr>
        <w:jc w:val="both"/>
        <w:ind w:left="1620" w:right="41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Plan.</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68"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64"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40"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were canceled after separation and Vested Options were canceled 90 days after separation.</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TEM</w:t>
      </w:r>
      <w:r>
        <w:rPr>
          <w:rFonts w:ascii="Times New Roman" w:cs="Times New Roman" w:eastAsia="Times New Roman" w:hAnsi="Times New Roman"/>
          <w:sz w:val="18"/>
          <w:szCs w:val="18"/>
          <w:b w:val="1"/>
          <w:bCs w:val="1"/>
          <w:color w:val="auto"/>
        </w:rPr>
        <w:t xml:space="preserve"> 402(V) P</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ERFORMANCE</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for the fiscal years listed below. In calculating the compensation actually paid amounts reflected in these columns, the fair value or change in fair value, as applicable, of the equity award adjustments included in such calculations were computed in accordance with FASB ASC Topic 718.</w:t>
      </w: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Disclosure</w:t>
      </w:r>
    </w:p>
    <w:p>
      <w:pPr>
        <w:spacing w:after="0" w:line="162"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140" w:type="dxa"/>
            <w:vAlign w:val="bottom"/>
          </w:tcPr>
          <w:p>
            <w:pPr>
              <w:spacing w:after="0"/>
              <w:rPr>
                <w:sz w:val="12"/>
                <w:szCs w:val="12"/>
                <w:color w:val="auto"/>
              </w:rPr>
            </w:pPr>
          </w:p>
        </w:tc>
        <w:tc>
          <w:tcPr>
            <w:tcW w:w="820" w:type="dxa"/>
            <w:vAlign w:val="bottom"/>
            <w:gridSpan w:val="2"/>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80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PEO 1</w:t>
            </w:r>
            <w:r>
              <w:rPr>
                <w:rFonts w:ascii="Times New Roman" w:cs="Times New Roman" w:eastAsia="Times New Roman" w:hAnsi="Times New Roman"/>
                <w:sz w:val="17"/>
                <w:szCs w:val="17"/>
                <w:b w:val="1"/>
                <w:bCs w:val="1"/>
                <w:color w:val="auto"/>
                <w:w w:val="95"/>
                <w:vertAlign w:val="superscript"/>
              </w:rPr>
              <w:t>(1)</w:t>
            </w:r>
          </w:p>
        </w:tc>
        <w:tc>
          <w:tcPr>
            <w:tcW w:w="140" w:type="dxa"/>
            <w:vAlign w:val="bottom"/>
          </w:tcPr>
          <w:p>
            <w:pPr>
              <w:spacing w:after="0"/>
              <w:rPr>
                <w:sz w:val="15"/>
                <w:szCs w:val="15"/>
                <w:color w:val="auto"/>
              </w:rPr>
            </w:pPr>
          </w:p>
        </w:tc>
        <w:tc>
          <w:tcPr>
            <w:tcW w:w="820" w:type="dxa"/>
            <w:vAlign w:val="bottom"/>
            <w:gridSpan w:val="2"/>
          </w:tcPr>
          <w:p>
            <w:pPr>
              <w:jc w:val="center"/>
              <w:ind w:right="21"/>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PEO 1</w:t>
            </w:r>
            <w:r>
              <w:rPr>
                <w:rFonts w:ascii="Times New Roman" w:cs="Times New Roman" w:eastAsia="Times New Roman" w:hAnsi="Times New Roman"/>
                <w:sz w:val="8"/>
                <w:szCs w:val="8"/>
                <w:b w:val="1"/>
                <w:bCs w:val="1"/>
                <w:color w:val="auto"/>
              </w:rPr>
              <w:t>(1)(2)(3)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9"/>
              <w:spacing w:after="0" w:line="176" w:lineRule="exact"/>
              <w:rPr>
                <w:sz w:val="20"/>
                <w:szCs w:val="20"/>
                <w:color w:val="auto"/>
              </w:rPr>
            </w:pPr>
            <w:r>
              <w:rPr>
                <w:rFonts w:ascii="Times New Roman" w:cs="Times New Roman" w:eastAsia="Times New Roman" w:hAnsi="Times New Roman"/>
                <w:sz w:val="14"/>
                <w:szCs w:val="14"/>
                <w:b w:val="1"/>
                <w:bCs w:val="1"/>
                <w:color w:val="auto"/>
                <w:w w:val="95"/>
              </w:rPr>
              <w:t>PEO 2</w:t>
            </w:r>
            <w:r>
              <w:rPr>
                <w:rFonts w:ascii="Times New Roman" w:cs="Times New Roman" w:eastAsia="Times New Roman" w:hAnsi="Times New Roman"/>
                <w:sz w:val="17"/>
                <w:szCs w:val="17"/>
                <w:b w:val="1"/>
                <w:bCs w:val="1"/>
                <w:color w:val="auto"/>
                <w:w w:val="95"/>
                <w:vertAlign w:val="superscript"/>
              </w:rPr>
              <w:t>(1)</w:t>
            </w:r>
          </w:p>
        </w:tc>
        <w:tc>
          <w:tcPr>
            <w:tcW w:w="8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PEO 2</w:t>
            </w:r>
            <w:r>
              <w:rPr>
                <w:rFonts w:ascii="Times New Roman" w:cs="Times New Roman" w:eastAsia="Times New Roman" w:hAnsi="Times New Roman"/>
                <w:sz w:val="8"/>
                <w:szCs w:val="8"/>
                <w:b w:val="1"/>
                <w:bCs w:val="1"/>
                <w:color w:val="auto"/>
              </w:rPr>
              <w:t>(1)(2)(3)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161"/>
              <w:spacing w:after="0" w:line="176" w:lineRule="exact"/>
              <w:rPr>
                <w:sz w:val="20"/>
                <w:szCs w:val="20"/>
                <w:color w:val="auto"/>
              </w:rPr>
            </w:pPr>
            <w:r>
              <w:rPr>
                <w:rFonts w:ascii="Times New Roman" w:cs="Times New Roman" w:eastAsia="Times New Roman" w:hAnsi="Times New Roman"/>
                <w:sz w:val="14"/>
                <w:szCs w:val="14"/>
                <w:b w:val="1"/>
                <w:bCs w:val="1"/>
                <w:color w:val="auto"/>
                <w:w w:val="89"/>
              </w:rPr>
              <w:t>NEOs</w:t>
            </w:r>
            <w:r>
              <w:rPr>
                <w:rFonts w:ascii="Times New Roman" w:cs="Times New Roman" w:eastAsia="Times New Roman" w:hAnsi="Times New Roman"/>
                <w:sz w:val="17"/>
                <w:szCs w:val="17"/>
                <w:b w:val="1"/>
                <w:bCs w:val="1"/>
                <w:color w:val="auto"/>
                <w:w w:val="89"/>
                <w:vertAlign w:val="superscript"/>
              </w:rPr>
              <w:t>(1)</w:t>
            </w:r>
          </w:p>
        </w:tc>
        <w:tc>
          <w:tcPr>
            <w:tcW w:w="140" w:type="dxa"/>
            <w:vAlign w:val="bottom"/>
          </w:tcPr>
          <w:p>
            <w:pPr>
              <w:spacing w:after="0"/>
              <w:rPr>
                <w:sz w:val="15"/>
                <w:szCs w:val="15"/>
                <w:color w:val="auto"/>
              </w:rPr>
            </w:pPr>
          </w:p>
        </w:tc>
        <w:tc>
          <w:tcPr>
            <w:tcW w:w="820" w:type="dxa"/>
            <w:vAlign w:val="bottom"/>
            <w:gridSpan w:val="2"/>
          </w:tcPr>
          <w:p>
            <w:pPr>
              <w:jc w:val="center"/>
              <w:ind w:right="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8"/>
                <w:szCs w:val="8"/>
                <w:b w:val="1"/>
                <w:bCs w:val="1"/>
                <w:color w:val="auto"/>
              </w:rPr>
              <w:t>(1)(2)(3)</w:t>
            </w:r>
          </w:p>
        </w:tc>
        <w:tc>
          <w:tcPr>
            <w:tcW w:w="80" w:type="dxa"/>
            <w:vAlign w:val="bottom"/>
          </w:tcPr>
          <w:p>
            <w:pPr>
              <w:spacing w:after="0"/>
              <w:rPr>
                <w:sz w:val="15"/>
                <w:szCs w:val="15"/>
                <w:color w:val="auto"/>
              </w:rPr>
            </w:pPr>
          </w:p>
        </w:tc>
        <w:tc>
          <w:tcPr>
            <w:tcW w:w="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on TSR</w:t>
            </w:r>
            <w:r>
              <w:rPr>
                <w:rFonts w:ascii="Times New Roman" w:cs="Times New Roman" w:eastAsia="Times New Roman" w:hAnsi="Times New Roman"/>
                <w:sz w:val="17"/>
                <w:szCs w:val="17"/>
                <w:b w:val="1"/>
                <w:bCs w:val="1"/>
                <w:color w:val="auto"/>
                <w:w w:val="95"/>
                <w:vertAlign w:val="superscript"/>
              </w:rPr>
              <w:t>(4)</w:t>
            </w:r>
          </w:p>
        </w:tc>
        <w:tc>
          <w:tcPr>
            <w:tcW w:w="14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Net Income</w:t>
            </w:r>
          </w:p>
        </w:tc>
        <w:tc>
          <w:tcPr>
            <w:tcW w:w="60" w:type="dxa"/>
            <w:vAlign w:val="bottom"/>
          </w:tcPr>
          <w:p>
            <w:pPr>
              <w:spacing w:after="0"/>
              <w:rPr>
                <w:sz w:val="15"/>
                <w:szCs w:val="15"/>
                <w:color w:val="auto"/>
              </w:rPr>
            </w:pPr>
          </w:p>
        </w:tc>
      </w:tr>
      <w:tr>
        <w:trPr>
          <w:trHeight w:val="214"/>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8"/>
                <w:szCs w:val="18"/>
                <w:color w:val="auto"/>
              </w:rPr>
            </w:pPr>
          </w:p>
        </w:tc>
        <w:tc>
          <w:tcPr>
            <w:tcW w:w="62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Millions)</w:t>
            </w:r>
          </w:p>
        </w:tc>
      </w:tr>
      <w:tr>
        <w:trPr>
          <w:trHeight w:val="20"/>
        </w:trPr>
        <w:tc>
          <w:tcPr>
            <w:tcW w:w="800" w:type="dxa"/>
            <w:vAlign w:val="bottom"/>
            <w:tcBorders>
              <w:right w:val="single" w:sz="8" w:color="CCED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DFF"/>
            </w:tcBorders>
            <w:shd w:val="clear" w:color="auto" w:fill="CCED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shd w:val="clear" w:color="auto" w:fill="CCEDFF"/>
          </w:tcPr>
          <w:p>
            <w:pPr>
              <w:jc w:val="center"/>
              <w:ind w:right="19"/>
              <w:spacing w:after="0"/>
              <w:rPr>
                <w:sz w:val="20"/>
                <w:szCs w:val="20"/>
                <w:color w:val="auto"/>
              </w:rPr>
            </w:pPr>
            <w:r>
              <w:rPr>
                <w:rFonts w:ascii="Times New Roman" w:cs="Times New Roman" w:eastAsia="Times New Roman" w:hAnsi="Times New Roman"/>
                <w:sz w:val="18"/>
                <w:szCs w:val="18"/>
                <w:color w:val="auto"/>
              </w:rPr>
              <w:t>​415,385</w:t>
            </w:r>
          </w:p>
        </w:tc>
        <w:tc>
          <w:tcPr>
            <w:tcW w:w="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641,447 ​​​</w:t>
            </w:r>
          </w:p>
        </w:tc>
        <w:tc>
          <w:tcPr>
            <w:tcW w:w="12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DFF"/>
            </w:tcBorders>
            <w:shd w:val="clear" w:color="auto" w:fill="CCED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DFF"/>
            </w:tcBorders>
            <w:shd w:val="clear" w:color="auto" w:fill="CCED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DFF"/>
            </w:tcBorders>
            <w:shd w:val="clear" w:color="auto" w:fill="CCEDFF"/>
          </w:tcPr>
          <w:p>
            <w:pPr>
              <w:jc w:val="right"/>
              <w:ind w:right="21"/>
              <w:spacing w:after="0"/>
              <w:rPr>
                <w:sz w:val="20"/>
                <w:szCs w:val="20"/>
                <w:color w:val="auto"/>
              </w:rPr>
            </w:pPr>
            <w:r>
              <w:rPr>
                <w:rFonts w:ascii="Times New Roman" w:cs="Times New Roman" w:eastAsia="Times New Roman" w:hAnsi="Times New Roman"/>
                <w:sz w:val="18"/>
                <w:szCs w:val="18"/>
                <w:color w:val="auto"/>
              </w:rPr>
              <w:t>47.91</w:t>
            </w:r>
          </w:p>
        </w:tc>
        <w:tc>
          <w:tcPr>
            <w:tcW w:w="14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​(12.16)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96,778 ​​​</w:t>
            </w:r>
          </w:p>
        </w:tc>
        <w:tc>
          <w:tcPr>
            <w:tcW w:w="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56.55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0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right w:val="single" w:sz="8" w:color="CCEDFF"/>
            </w:tcBorders>
            <w:gridSpan w:val="2"/>
            <w:shd w:val="clear" w:color="auto" w:fill="CCEDFF"/>
          </w:tcPr>
          <w:p>
            <w:pPr>
              <w:jc w:val="right"/>
              <w:ind w:right="76"/>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581,895</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61"/>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505,413</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shd w:val="clear" w:color="auto" w:fill="CCEDFF"/>
          </w:tcPr>
          <w:p>
            <w:pPr>
              <w:jc w:val="center"/>
              <w:ind w:right="19"/>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585,675</w:t>
            </w:r>
          </w:p>
        </w:tc>
        <w:tc>
          <w:tcPr>
            <w:tcW w:w="1140" w:type="dxa"/>
            <w:vAlign w:val="bottom"/>
            <w:gridSpan w:val="5"/>
            <w:shd w:val="clear" w:color="auto" w:fill="CCEDFF"/>
          </w:tcPr>
          <w:p>
            <w:pPr>
              <w:jc w:val="right"/>
              <w:spacing w:after="0" w:line="324" w:lineRule="exact"/>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1,144,350 </w:t>
            </w:r>
            <w:r>
              <w:rPr>
                <w:rFonts w:ascii="Times New Roman" w:cs="Times New Roman" w:eastAsia="Times New Roman" w:hAnsi="Times New Roman"/>
                <w:sz w:val="35"/>
                <w:szCs w:val="35"/>
                <w:color w:val="auto"/>
                <w:vertAlign w:val="subscript"/>
              </w:rPr>
              <w:t>​​​</w:t>
            </w:r>
          </w:p>
        </w:tc>
        <w:tc>
          <w:tcPr>
            <w:tcW w:w="840" w:type="dxa"/>
            <w:vAlign w:val="bottom"/>
            <w:tcBorders>
              <w:right w:val="single" w:sz="8" w:color="CCEDFF"/>
            </w:tcBorders>
            <w:gridSpan w:val="2"/>
            <w:shd w:val="clear" w:color="auto" w:fill="CCEDFF"/>
          </w:tcPr>
          <w:p>
            <w:pPr>
              <w:jc w:val="right"/>
              <w:ind w:right="81"/>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220,103</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62"/>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108,382</w:t>
            </w:r>
          </w:p>
        </w:tc>
        <w:tc>
          <w:tcPr>
            <w:tcW w:w="800" w:type="dxa"/>
            <w:vAlign w:val="bottom"/>
            <w:tcBorders>
              <w:right w:val="single" w:sz="8" w:color="CCEDFF"/>
            </w:tcBorders>
            <w:gridSpan w:val="3"/>
            <w:shd w:val="clear" w:color="auto" w:fill="CCEDFF"/>
          </w:tcPr>
          <w:p>
            <w:pPr>
              <w:jc w:val="right"/>
              <w:ind w:right="21"/>
              <w:spacing w:after="0" w:line="324" w:lineRule="exact"/>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206.84</w:t>
            </w:r>
          </w:p>
        </w:tc>
        <w:tc>
          <w:tcPr>
            <w:tcW w:w="14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DFF"/>
          </w:tcPr>
          <w:p>
            <w:pPr>
              <w:ind w:left="6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(8.24)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-548005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-548005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-548005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-548005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-548005</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-548005</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-548005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-548005</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jc w:val="both"/>
        <w:ind w:left="1620" w:right="4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was our PEO (PEO 1) through April 30, 2023. Juan Vera became our PEO (PEO 2) effective May 1, 2023. For 2023, the Non-PEO NEO was Mythili Koneru. There were no Non-PEO NEOs for 2024 or 2025.</w:t>
      </w:r>
    </w:p>
    <w:p>
      <w:pPr>
        <w:spacing w:after="0" w:line="5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as set forth below. Equity values are calculated in accordance with FASB ASC Topic 718. Amounts in the Exclusion of Option Awards column are the totals from the Option Awards column set forth in the Summary Compensation Table.</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PEO 2</w:t>
            </w:r>
          </w:p>
        </w:tc>
        <w:tc>
          <w:tcPr>
            <w:tcW w:w="40" w:type="dxa"/>
            <w:vAlign w:val="bottom"/>
          </w:tcPr>
          <w:p>
            <w:pPr>
              <w:spacing w:after="0"/>
              <w:rPr>
                <w:sz w:val="14"/>
                <w:szCs w:val="14"/>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​415,385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74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$226,063 </w:t>
            </w:r>
            <w:r>
              <w:rPr>
                <w:rFonts w:ascii="Times New Roman" w:cs="Times New Roman" w:eastAsia="Times New Roman" w:hAnsi="Times New Roman"/>
                <w:sz w:val="35"/>
                <w:szCs w:val="35"/>
                <w:color w:val="auto"/>
                <w:vertAlign w:val="subscript"/>
              </w:rPr>
              <w:t>​​ ​</w:t>
            </w:r>
          </w:p>
        </w:tc>
        <w:tc>
          <w:tcPr>
            <w:tcW w:w="20" w:type="dxa"/>
            <w:vAlign w:val="bottom"/>
          </w:tcPr>
          <w:p>
            <w:pPr>
              <w:spacing w:after="0"/>
              <w:rPr>
                <w:sz w:val="24"/>
                <w:szCs w:val="24"/>
                <w:color w:val="auto"/>
              </w:rPr>
            </w:pPr>
          </w:p>
        </w:tc>
        <w:tc>
          <w:tcPr>
            <w:tcW w:w="88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$641,447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97"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Vesting-Date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Vesting</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at Last</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Other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Last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Remained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 as of</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Forefeited</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Not</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Inclusion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Last Day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Otherwise</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Included</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PEO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D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shd w:val="clear" w:color="auto" w:fill="CCEDFF"/>
              </w:rPr>
              <w:t>2025</w:t>
            </w:r>
          </w:p>
        </w:tc>
        <w:tc>
          <w:tcPr>
            <w:tcW w:w="1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96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w w:val="97"/>
                <w:vertAlign w:val="subscript"/>
                <w:shd w:val="clear" w:color="auto" w:fill="CCEDFF"/>
              </w:rPr>
              <w:t>​</w:t>
            </w:r>
            <w:r>
              <w:rPr>
                <w:rFonts w:ascii="Times New Roman" w:cs="Times New Roman" w:eastAsia="Times New Roman" w:hAnsi="Times New Roman"/>
                <w:sz w:val="18"/>
                <w:szCs w:val="18"/>
                <w:color w:val="auto"/>
                <w:w w:val="97"/>
                <w:shd w:val="clear" w:color="auto" w:fill="CCEDFF"/>
              </w:rPr>
              <w:t>$ 378,429</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1120" w:type="dxa"/>
            <w:vAlign w:val="bottom"/>
            <w:gridSpan w:val="2"/>
            <w:shd w:val="clear" w:color="auto" w:fill="CCEDFF"/>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 xml:space="preserve">$ (98,116) </w:t>
            </w:r>
            <w:r>
              <w:rPr>
                <w:rFonts w:ascii="Times New Roman" w:cs="Times New Roman" w:eastAsia="Times New Roman" w:hAnsi="Times New Roman"/>
                <w:sz w:val="35"/>
                <w:szCs w:val="35"/>
                <w:color w:val="auto"/>
                <w:vertAlign w:val="subscript"/>
                <w:shd w:val="clear" w:color="auto" w:fill="CCEDFF"/>
              </w:rPr>
              <w:t>​​ ​</w:t>
            </w:r>
          </w:p>
        </w:tc>
        <w:tc>
          <w:tcPr>
            <w:tcW w:w="80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w:t>
            </w:r>
          </w:p>
        </w:tc>
        <w:tc>
          <w:tcPr>
            <w:tcW w:w="1120" w:type="dxa"/>
            <w:vAlign w:val="bottom"/>
            <w:gridSpan w:val="4"/>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 ​ ​</w:t>
            </w:r>
            <w:r>
              <w:rPr>
                <w:rFonts w:ascii="Times New Roman" w:cs="Times New Roman" w:eastAsia="Times New Roman" w:hAnsi="Times New Roman"/>
                <w:sz w:val="18"/>
                <w:szCs w:val="18"/>
                <w:color w:val="auto"/>
                <w:shd w:val="clear" w:color="auto" w:fill="CCEDFF"/>
              </w:rPr>
              <w:t>$(54,250)</w:t>
            </w:r>
            <w:r>
              <w:rPr>
                <w:rFonts w:ascii="Times New Roman" w:cs="Times New Roman" w:eastAsia="Times New Roman" w:hAnsi="Times New Roman"/>
                <w:sz w:val="35"/>
                <w:szCs w:val="35"/>
                <w:color w:val="auto"/>
                <w:vertAlign w:val="subscript"/>
                <w:shd w:val="clear" w:color="auto" w:fill="CCEDFF"/>
              </w:rPr>
              <w:t>​​ ​</w:t>
            </w:r>
          </w:p>
        </w:tc>
        <w:tc>
          <w:tcPr>
            <w:tcW w:w="80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76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w:t>
            </w:r>
          </w:p>
        </w:tc>
        <w:tc>
          <w:tcPr>
            <w:tcW w:w="880" w:type="dxa"/>
            <w:vAlign w:val="bottom"/>
            <w:gridSpan w:val="3"/>
            <w:shd w:val="clear" w:color="auto" w:fill="CCEDFF"/>
          </w:tcPr>
          <w:p>
            <w:pP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 ​​</w:t>
            </w:r>
            <w:r>
              <w:rPr>
                <w:rFonts w:ascii="Times New Roman" w:cs="Times New Roman" w:eastAsia="Times New Roman" w:hAnsi="Times New Roman"/>
                <w:sz w:val="18"/>
                <w:szCs w:val="18"/>
                <w:color w:val="auto"/>
                <w:shd w:val="clear" w:color="auto" w:fill="CCEDFF"/>
              </w:rPr>
              <w:t>$226,063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-205105</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-205105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-205105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-205105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-205105</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-205105</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-205105</wp:posOffset>
            </wp:positionV>
            <wp:extent cx="120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 w:lineRule="exact"/>
        <w:rPr>
          <w:sz w:val="20"/>
          <w:szCs w:val="20"/>
          <w:color w:val="auto"/>
        </w:rPr>
      </w:pPr>
    </w:p>
    <w:p>
      <w:pPr>
        <w:jc w:val="both"/>
        <w:ind w:left="1620" w:right="419" w:hanging="360"/>
        <w:spacing w:after="0" w:line="275"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2022 through the end of the listed year. Historical stock performance is not necessarily indicative of future stock performance.</w:t>
      </w:r>
    </w:p>
    <w:p>
      <w:pPr>
        <w:spacing w:after="0" w:line="388" w:lineRule="exact"/>
        <w:rPr>
          <w:sz w:val="20"/>
          <w:szCs w:val="20"/>
          <w:color w:val="auto"/>
        </w:rPr>
      </w:pPr>
    </w:p>
    <w:p>
      <w:pPr>
        <w:jc w:val="both"/>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Total Shareholder Return (“TSR”)</w:t>
      </w:r>
    </w:p>
    <w:p>
      <w:pPr>
        <w:spacing w:after="0" w:line="106"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cumulative TSR over the three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109855</wp:posOffset>
            </wp:positionV>
            <wp:extent cx="5031740" cy="2871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317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97790</wp:posOffset>
            </wp:positionV>
            <wp:extent cx="5031740" cy="2828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317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our non-employee directors:</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2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72"/>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Paid in Cash</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3"/>
              </w:rPr>
              <w:t>($)</w:t>
            </w:r>
            <w:r>
              <w:rPr>
                <w:rFonts w:ascii="Times New Roman" w:cs="Times New Roman" w:eastAsia="Times New Roman" w:hAnsi="Times New Roman"/>
                <w:sz w:val="19"/>
                <w:szCs w:val="19"/>
                <w:b w:val="1"/>
                <w:bCs w:val="1"/>
                <w:color w:val="auto"/>
                <w:w w:val="83"/>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3"/>
          </w:tcPr>
          <w:p>
            <w:pPr>
              <w:jc w:val="right"/>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  ($)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4180" w:type="dxa"/>
            <w:vAlign w:val="bottom"/>
            <w:shd w:val="clear" w:color="auto" w:fill="000000"/>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David Eansor</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99,000</w:t>
            </w:r>
          </w:p>
        </w:tc>
        <w:tc>
          <w:tcPr>
            <w:tcW w:w="22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209,385</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​308,385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Steven Elms</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52,500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209,385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​261,885​</w:t>
            </w:r>
          </w:p>
        </w:tc>
        <w:tc>
          <w:tcPr>
            <w:tcW w:w="0" w:type="dxa"/>
            <w:vAlign w:val="bottom"/>
          </w:tcPr>
          <w:p>
            <w:pPr>
              <w:spacing w:after="0"/>
              <w:rPr>
                <w:sz w:val="1"/>
                <w:szCs w:val="1"/>
                <w:color w:val="auto"/>
              </w:rPr>
            </w:pPr>
          </w:p>
        </w:tc>
      </w:tr>
      <w:tr>
        <w:trPr>
          <w:trHeight w:val="243"/>
        </w:trPr>
        <w:tc>
          <w:tcPr>
            <w:tcW w:w="4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Katharine Knobil</w:t>
            </w:r>
          </w:p>
        </w:tc>
        <w:tc>
          <w:tcPr>
            <w:tcW w:w="2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60,500</w:t>
            </w:r>
          </w:p>
        </w:tc>
        <w:tc>
          <w:tcPr>
            <w:tcW w:w="22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209,385</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​269,885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Kathryn Penkus Corzo</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-629920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-629920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-629920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149860</wp:posOffset>
            </wp:positionV>
            <wp:extent cx="18345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46" w:lineRule="exact"/>
        <w:rPr>
          <w:sz w:val="20"/>
          <w:szCs w:val="20"/>
          <w:color w:val="auto"/>
        </w:rPr>
      </w:pPr>
    </w:p>
    <w:p>
      <w:pPr>
        <w:jc w:val="both"/>
        <w:ind w:left="2340" w:right="1139" w:hanging="360"/>
        <w:spacing w:after="0" w:line="266"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Vera did not earn compensation during 2025 for his service on the Board of Directors. As a named executive officer, Dr. Vera’s compensation is fully reflected in the “Summary Compensation Table” above.</w:t>
      </w:r>
    </w:p>
    <w:p>
      <w:pPr>
        <w:spacing w:after="0" w:line="40" w:lineRule="exact"/>
        <w:rPr>
          <w:rFonts w:ascii="Times New Roman" w:cs="Times New Roman" w:eastAsia="Times New Roman" w:hAnsi="Times New Roman"/>
          <w:sz w:val="18"/>
          <w:szCs w:val="18"/>
          <w:color w:val="auto"/>
        </w:rPr>
      </w:pPr>
    </w:p>
    <w:p>
      <w:pPr>
        <w:jc w:val="both"/>
        <w:ind w:left="2340" w:right="1139" w:hanging="360"/>
        <w:spacing w:after="0" w:line="255"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stock options awarded to the directors during the fiscal year ended December 31, 2025 for his or her service on the Board of Directors,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2025. Pursuant to this program, each of our directors who is not an employee of the Company is eligible to receive compensation for service on our Board of Directors and committees thereof.</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$30,000 (in addition to the annual cash retainer given to all eligible directors). The chairperson of the Audit Committee of our Board of Directors is entitled to receive an additional annual cash retainer in the amount of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Plan, with the shares vesting in 36 equal monthly installments, subject to continued service as a director through the vesting dates.</w:t>
      </w:r>
    </w:p>
    <w:p>
      <w:pPr>
        <w:spacing w:after="0" w:line="99"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Plan (the “Annual Grant”), with the Annual Grant shares vesting on the first anniversary of the date of grant, subject to continued service as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director though the vesting date. During 2024, due to oversight, the Company did make an Annual Grant to its non-employee directors. In 2025, to correct such oversight and recognize the contributions of its non-employee directors for 2024, in addition to the 2025 Annual Grant, the Company granted to its non-employee directors, who served as directors during 2024, a non-statutory stock option to purchase shares of our common stock having a value of $100,000 under our 2020 Plan.</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the terms of the transaction, (c) the availability of other sources for comparable services or products and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4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former member of our board of directors, is the CEO of Wilson Wolf Manufacturing Corporation. In 2023, we purchased $277,000 of cell culture devices from Wilson Wolf Manufacturing Corporation. In 2025, we did not purchase cell culture devices from Wilson Wolf Manufacturing Corporation.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of Assets to Cell Ready LLC</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On June 26, 2023, we completed the transaction with Cell Ready, LLC, or Cell Ready, pursuant to a Purchase Agreement, or the Cell Ready Purchase Agreement, dated May 1, 2023, by and between the Company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Cell Ready. Cell Ready is owned by one of our former directors, Mr. John Wilson. Pursuant to the Cell Ready Purchase Agreement, effective as of the closing date,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Cell Ready acquired the Purchased Assets for total consideration of $19.0 million.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with Cell Ready LLC</w:t>
      </w:r>
    </w:p>
    <w:p>
      <w:pPr>
        <w:spacing w:after="0" w:line="14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or MSA, with Cell Ready, LLC, or Cell Ready. Cell Ready, which is owned by one of our former directors, Mr. John Wilson, is a contract development and manufacturing organization (CDMO). Under the MSA, Cell Ready performed a wide variety of services for us, including manufacturing in support of our clinical trials. Pursuant to the MSA, the Company could contract with Cell Ready for the provision of various products and services from time to time by entering into work orders with Cell Ready. On February 22, 2024, the Company entered into Work Order #1 under the MSA, pursuant to which Cell Ready provided the Company with GMP drug product for Marker MT-401 and/or MT-601. The services included the delivery of final drug product and quality control testing. The Company also requested Cell Ready to provide general support services in connection therewith.</w:t>
      </w:r>
    </w:p>
    <w:p>
      <w:pPr>
        <w:spacing w:after="0" w:line="32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During 2023, we paid approximately $1.3M to Cell Ready for outsourced product development and manufacturing services. During 2024, we paid approximately $5.5M to Cell Ready for outsourced product development and manufacturing services.</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1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w:t>
      </w:r>
    </w:p>
    <w:p>
      <w:pPr>
        <w:jc w:val="both"/>
        <w:ind w:left="1260" w:right="419"/>
        <w:spacing w:after="0"/>
        <w:tabs>
          <w:tab w:leader="none" w:pos="15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or controlled by a party prior to the effective date of the MSA or (b) developed or acquired by a party independently from performance under the MSA without the use of, reliance on, or access to the other party’s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AlloVir, Inc.</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Until June 2023, we were party to a services agreement with AlloVir, Inc. (“AlloVir”), pursuant to which we provided AlloVir with development services. Juan Vera, our Chief Executive Officer, Principal Executive Officer, Principal Accounting Officer, President and director, served on the board of directors of AlloVir.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This year, we expect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Stockholders may revoke their consent to householding at any time by contacting Alliance Advisors, LLC either by calling toll-free at 1-866-206-7099, or by writing to Alliance Advisors, Proxy Logistics, 150 Clove Road, Suite 400 Little Falls, NJ 07424. The Company will remove you from the householding program within 30 days of receipt of your request, following which you will receive an individual copy of our disclosure document.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Juan Vera,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13716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20, 2026</w:t>
      </w:r>
    </w:p>
    <w:p>
      <w:pPr>
        <w:spacing w:after="0" w:line="140"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2025 is available without charge upon written request to Marker Therapeutics, Inc., Attention: Secretary, Marker Therapeutics, Inc., 2450 Holcombe Blvd, TMC Partners Office 1.311, Houston, Texas 77021.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8"/>
          <w:szCs w:val="18"/>
          <w:b w:val="1"/>
          <w:bCs w:val="1"/>
          <w:color w:val="auto"/>
        </w:rPr>
        <w:t>FORM OF AMENDMENT TO CERTIFICATE OF INCORPORATION</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WITH RESPECT TO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131"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IRST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name of this corporation is Marker Therapeutics, Inc., and the date on which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Incorporation of this corporation was originally filed with the Secretary of State of the State of Delaware was October 17, 2018, under the original name Marker Therapeutics, Inc.</w:t>
      </w:r>
    </w:p>
    <w:p>
      <w:pPr>
        <w:spacing w:after="0" w:line="83" w:lineRule="exact"/>
        <w:rPr>
          <w:sz w:val="20"/>
          <w:szCs w:val="20"/>
          <w:color w:val="auto"/>
        </w:rPr>
      </w:pPr>
    </w:p>
    <w:p>
      <w:pPr>
        <w:jc w:val="both"/>
        <w:ind w:left="1260" w:right="419"/>
        <w:spacing w:after="0" w:line="273" w:lineRule="auto"/>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ECOND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acting in accordance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of Sections 141 and 242 of the DGCL, adopted resolutions amending its Certificate of Incorporation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to provide that Section A of Article IV of the Certificate of Incorporation is amended and restated to read in its entirety as follows:</w:t>
      </w:r>
    </w:p>
    <w:p>
      <w:pPr>
        <w:spacing w:after="0" w:line="10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135,000,000 shares, consisting of (i) 130,000,000 shares of Common Stock, $0.001 par value per share, and (ii) 5,000,000 shares of Preferred Stock, $0.001 par value per share.”</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HIRD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foregoing amendment to the Certificate of Incorporation was duly approved by the Board.</w:t>
      </w:r>
    </w:p>
    <w:p>
      <w:pPr>
        <w:spacing w:after="0" w:line="162" w:lineRule="exact"/>
        <w:rPr>
          <w:sz w:val="20"/>
          <w:szCs w:val="20"/>
          <w:color w:val="auto"/>
        </w:rPr>
      </w:pPr>
    </w:p>
    <w:p>
      <w:pPr>
        <w:jc w:val="both"/>
        <w:ind w:left="1260" w:right="419"/>
        <w:spacing w:after="0" w:line="300"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OURTH</w:t>
      </w:r>
      <w:r>
        <w:rPr>
          <w:rFonts w:ascii="Times New Roman" w:cs="Times New Roman" w:eastAsia="Times New Roman" w:hAnsi="Times New Roman"/>
          <w:sz w:val="17"/>
          <w:szCs w:val="17"/>
          <w:color w:val="auto"/>
        </w:rPr>
        <w:t>: Thereafter, pursuant to a resolution of the Board, this Certificate of Amendment was submitted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the stockholders of the Company for their approval, and was duly adopted in accordance with the provisions of Section 242 of the DGCL.</w:t>
      </w:r>
    </w:p>
    <w:p>
      <w:pPr>
        <w:spacing w:after="0" w:line="1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AGE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OLLOWS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419"/>
        <w:spacing w:after="0" w:line="347"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Marker Therapeutics, Inc. has caused this Certificate of Amendment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executed by its President and Chief Executive Officer as of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FORM OF AMENDMENT TO CERTIFICATE OF INCORPORATION</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WITH RESPECT TO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131"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IRST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name of this corporation is Marker Therapeutics, Inc., and the date on which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Incorporation of this corporation was originally filed with the Secretary of State of the State of Delaware was October 17, 2018, under the original name Marker Therapeutics, Inc.</w:t>
      </w:r>
    </w:p>
    <w:p>
      <w:pPr>
        <w:spacing w:after="0" w:line="83" w:lineRule="exact"/>
        <w:rPr>
          <w:sz w:val="20"/>
          <w:szCs w:val="20"/>
          <w:color w:val="auto"/>
        </w:rPr>
      </w:pPr>
    </w:p>
    <w:p>
      <w:pPr>
        <w:jc w:val="both"/>
        <w:ind w:left="1260" w:right="419"/>
        <w:spacing w:after="0" w:line="273" w:lineRule="auto"/>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ECOND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acting in accordance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of Sections 141 and 242 of the DGCL, adopted resolutions amending its Certificate of Incorporation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to provide that vote, Section B paragraph 2 of Article IV of our charter will be amended in its entirety as follows:</w:t>
      </w:r>
    </w:p>
    <w:p>
      <w:pPr>
        <w:spacing w:after="0" w:line="10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or Undesignated Preferred Stock may be increased or decreased (but not below the number of shares of such class then outstanding) by the requisite vote of the holders of the Common Stock of the Corporation entitled to vote thereon as provided in Section 242(d)(2) of the DGCL, and no vote of the holders of either the Common Stock or Undesignated Preferred Stock voting separately as a class shall be required therefor irrespective of the provisions of Section 242(b)(2) of the DGCL.”</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HIRD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foregoing amendment to the Certificate of Incorporation was duly approved by the Board.</w:t>
      </w:r>
    </w:p>
    <w:p>
      <w:pPr>
        <w:spacing w:after="0" w:line="162" w:lineRule="exact"/>
        <w:rPr>
          <w:sz w:val="20"/>
          <w:szCs w:val="20"/>
          <w:color w:val="auto"/>
        </w:rPr>
      </w:pPr>
    </w:p>
    <w:p>
      <w:pPr>
        <w:jc w:val="both"/>
        <w:ind w:left="1260" w:right="419"/>
        <w:spacing w:after="0" w:line="300"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OURTH</w:t>
      </w:r>
      <w:r>
        <w:rPr>
          <w:rFonts w:ascii="Times New Roman" w:cs="Times New Roman" w:eastAsia="Times New Roman" w:hAnsi="Times New Roman"/>
          <w:sz w:val="17"/>
          <w:szCs w:val="17"/>
          <w:color w:val="auto"/>
        </w:rPr>
        <w:t>: Thereafter, pursuant to a resolution of the Board, this Certificate of Amendment was submitted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the stockholders of the Company for their approval, and was duly adopted in accordance with the provisions of Section 242 of the DGCL.</w:t>
      </w:r>
    </w:p>
    <w:p>
      <w:pPr>
        <w:spacing w:after="0" w:line="1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AGE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OLLOWS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419"/>
        <w:spacing w:after="0" w:line="347"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Marker Therapeutics, Inc. has caused this Certificate of Amendment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executed by its President and Chief Executive Officer as of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139700</wp:posOffset>
            </wp:positionV>
            <wp:extent cx="5452110" cy="7063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569595</wp:posOffset>
            </wp:positionV>
            <wp:extent cx="5597525" cy="7243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2"/>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lvl w:ilvl="1">
      <w:lvlJc w:val="left"/>
      <w:lvlText w:val="(%2)"/>
      <w:numFmt w:val="lowerLetter"/>
      <w:start w:val="2"/>
    </w:lvl>
  </w:abstractNum>
  <w:abstractNum w:abstractNumId="15">
    <w:nsid w:val="628C895D"/>
    <w:multiLevelType w:val="hybridMultilevel"/>
    <w:lvl w:ilvl="0">
      <w:lvlJc w:val="left"/>
      <w:lvlText w:val="(%1)"/>
      <w:numFmt w:val="decimal"/>
      <w:start w:val="5"/>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4"/>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2026-03-20T15:16:43Z</dcterms:created>
  <dcterms:modified xsi:type="dcterms:W3CDTF">2026-03-20T15:16:43Z</dcterms:modified>
</cp:coreProperties>
</file>