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383540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452120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10-Q</w:t>
      </w:r>
    </w:p>
    <w:p>
      <w:pPr>
        <w:spacing w:after="0" w:line="14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Report Under Section 13 or 15(d) of the Securities Exchange Act of 1934 for the quarterly period ended June 30, 2020</w:t>
      </w:r>
    </w:p>
    <w:p>
      <w:pPr>
        <w:spacing w:after="0" w:line="131" w:lineRule="exact"/>
        <w:rPr>
          <w:sz w:val="24"/>
          <w:szCs w:val="24"/>
          <w:color w:val="auto"/>
        </w:rPr>
      </w:pPr>
    </w:p>
    <w:p>
      <w:pPr>
        <w:ind w:left="3720" w:right="1140" w:hanging="3712"/>
        <w:spacing w:after="0" w:line="429" w:lineRule="auto"/>
        <w:tabs>
          <w:tab w:leader="none" w:pos="267"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Transition Report Under Section 13 or 15(d) of the Securities Exchange Act of 1934 for the transition period from _____ to _____. Commission File Number: </w:t>
      </w:r>
      <w:r>
        <w:rPr>
          <w:rFonts w:ascii="Arial" w:cs="Arial" w:eastAsia="Arial" w:hAnsi="Arial"/>
          <w:sz w:val="16"/>
          <w:szCs w:val="16"/>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1960245</wp:posOffset>
            </wp:positionH>
            <wp:positionV relativeFrom="paragraph">
              <wp:posOffset>-16510</wp:posOffset>
            </wp:positionV>
            <wp:extent cx="2391410"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1410"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36830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registrant in its charter)</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48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6"/>
                <w:szCs w:val="16"/>
                <w:b w:val="1"/>
                <w:bCs w:val="1"/>
                <w:color w:val="auto"/>
                <w:w w:val="99"/>
              </w:rPr>
              <w:t>DELAWARE</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jc w:val="right"/>
              <w:ind w:right="1956"/>
              <w:spacing w:after="0"/>
              <w:rPr>
                <w:sz w:val="20"/>
                <w:szCs w:val="20"/>
                <w:color w:val="auto"/>
              </w:rPr>
            </w:pPr>
            <w:r>
              <w:rPr>
                <w:rFonts w:ascii="Arial" w:cs="Arial" w:eastAsia="Arial" w:hAnsi="Arial"/>
                <w:sz w:val="16"/>
                <w:szCs w:val="16"/>
                <w:b w:val="1"/>
                <w:bCs w:val="1"/>
                <w:color w:val="auto"/>
              </w:rPr>
              <w:t>45-4497941</w:t>
            </w:r>
          </w:p>
        </w:tc>
      </w:tr>
      <w:tr>
        <w:trPr>
          <w:trHeight w:val="189"/>
        </w:trPr>
        <w:tc>
          <w:tcPr>
            <w:tcW w:w="4480" w:type="dxa"/>
            <w:vAlign w:val="bottom"/>
            <w:gridSpan w:val="3"/>
          </w:tcPr>
          <w:p>
            <w:pPr>
              <w:jc w:val="center"/>
              <w:ind w:left="318"/>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40" w:type="dxa"/>
            <w:vAlign w:val="bottom"/>
            <w:gridSpan w:val="3"/>
          </w:tcPr>
          <w:p>
            <w:pPr>
              <w:jc w:val="center"/>
              <w:ind w:right="916"/>
              <w:spacing w:after="0"/>
              <w:rPr>
                <w:sz w:val="20"/>
                <w:szCs w:val="20"/>
                <w:color w:val="auto"/>
              </w:rPr>
            </w:pPr>
            <w:r>
              <w:rPr>
                <w:rFonts w:ascii="Arial" w:cs="Arial" w:eastAsia="Arial" w:hAnsi="Arial"/>
                <w:sz w:val="16"/>
                <w:szCs w:val="16"/>
                <w:color w:val="auto"/>
                <w:w w:val="95"/>
              </w:rPr>
              <w:t>(I.R.S. Employer Identification No.)</w:t>
            </w:r>
          </w:p>
        </w:tc>
      </w:tr>
      <w:tr>
        <w:trPr>
          <w:trHeight w:val="203"/>
        </w:trPr>
        <w:tc>
          <w:tcPr>
            <w:tcW w:w="4480" w:type="dxa"/>
            <w:vAlign w:val="bottom"/>
            <w:gridSpan w:val="3"/>
          </w:tcPr>
          <w:p>
            <w:pPr>
              <w:jc w:val="center"/>
              <w:ind w:left="318"/>
              <w:spacing w:after="0"/>
              <w:rPr>
                <w:sz w:val="20"/>
                <w:szCs w:val="20"/>
                <w:color w:val="auto"/>
              </w:rPr>
            </w:pPr>
            <w:r>
              <w:rPr>
                <w:rFonts w:ascii="Arial" w:cs="Arial" w:eastAsia="Arial" w:hAnsi="Arial"/>
                <w:sz w:val="16"/>
                <w:szCs w:val="16"/>
                <w:b w:val="1"/>
                <w:bCs w:val="1"/>
                <w:color w:val="auto"/>
                <w:w w:val="90"/>
              </w:rPr>
              <w:t>3200 Southwest Freeway, Suite 2240</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223"/>
        </w:trPr>
        <w:tc>
          <w:tcPr>
            <w:tcW w:w="448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6"/>
                <w:szCs w:val="16"/>
                <w:b w:val="1"/>
                <w:bCs w:val="1"/>
                <w:color w:val="auto"/>
                <w:w w:val="87"/>
              </w:rPr>
              <w:t>Houston, Texas</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jc w:val="right"/>
              <w:ind w:right="2136"/>
              <w:spacing w:after="0"/>
              <w:rPr>
                <w:sz w:val="20"/>
                <w:szCs w:val="20"/>
                <w:color w:val="auto"/>
              </w:rPr>
            </w:pPr>
            <w:r>
              <w:rPr>
                <w:rFonts w:ascii="Arial" w:cs="Arial" w:eastAsia="Arial" w:hAnsi="Arial"/>
                <w:sz w:val="16"/>
                <w:szCs w:val="16"/>
                <w:b w:val="1"/>
                <w:bCs w:val="1"/>
                <w:color w:val="auto"/>
              </w:rPr>
              <w:t>77027</w:t>
            </w:r>
          </w:p>
        </w:tc>
      </w:tr>
      <w:tr>
        <w:trPr>
          <w:trHeight w:val="189"/>
        </w:trPr>
        <w:tc>
          <w:tcPr>
            <w:tcW w:w="4480" w:type="dxa"/>
            <w:vAlign w:val="bottom"/>
            <w:gridSpan w:val="3"/>
          </w:tcPr>
          <w:p>
            <w:pPr>
              <w:jc w:val="center"/>
              <w:ind w:left="318"/>
              <w:spacing w:after="0"/>
              <w:rPr>
                <w:sz w:val="20"/>
                <w:szCs w:val="20"/>
                <w:color w:val="auto"/>
              </w:rPr>
            </w:pPr>
            <w:r>
              <w:rPr>
                <w:rFonts w:ascii="Arial" w:cs="Arial" w:eastAsia="Arial" w:hAnsi="Arial"/>
                <w:sz w:val="16"/>
                <w:szCs w:val="16"/>
                <w:color w:val="auto"/>
                <w:w w:val="93"/>
              </w:rPr>
              <w:t>(Address of principal executive offices)</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jc w:val="center"/>
              <w:ind w:right="1316"/>
              <w:spacing w:after="0"/>
              <w:rPr>
                <w:sz w:val="20"/>
                <w:szCs w:val="20"/>
                <w:color w:val="auto"/>
              </w:rPr>
            </w:pPr>
            <w:r>
              <w:rPr>
                <w:rFonts w:ascii="Arial" w:cs="Arial" w:eastAsia="Arial" w:hAnsi="Arial"/>
                <w:sz w:val="16"/>
                <w:szCs w:val="16"/>
                <w:color w:val="auto"/>
                <w:w w:val="95"/>
              </w:rPr>
              <w:t>(Zip Code)</w:t>
            </w:r>
          </w:p>
        </w:tc>
      </w:tr>
      <w:tr>
        <w:trPr>
          <w:trHeight w:val="223"/>
        </w:trPr>
        <w:tc>
          <w:tcPr>
            <w:tcW w:w="3860" w:type="dxa"/>
            <w:vAlign w:val="bottom"/>
            <w:tcBorders>
              <w:bottom w:val="single" w:sz="8" w:color="auto"/>
            </w:tcBorders>
          </w:tcPr>
          <w:p>
            <w:pPr>
              <w:jc w:val="center"/>
              <w:ind w:left="938"/>
              <w:spacing w:after="0"/>
              <w:rPr>
                <w:sz w:val="20"/>
                <w:szCs w:val="20"/>
                <w:color w:val="auto"/>
              </w:rPr>
            </w:pPr>
            <w:r>
              <w:rPr>
                <w:rFonts w:ascii="Arial" w:cs="Arial" w:eastAsia="Arial" w:hAnsi="Arial"/>
                <w:sz w:val="16"/>
                <w:szCs w:val="16"/>
                <w:b w:val="1"/>
                <w:bCs w:val="1"/>
                <w:color w:val="auto"/>
                <w:w w:val="91"/>
              </w:rPr>
              <w:t>(713) 400-6400</w:t>
            </w: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206"/>
        </w:trPr>
        <w:tc>
          <w:tcPr>
            <w:tcW w:w="4480" w:type="dxa"/>
            <w:vAlign w:val="bottom"/>
            <w:gridSpan w:val="3"/>
          </w:tcPr>
          <w:p>
            <w:pPr>
              <w:jc w:val="center"/>
              <w:ind w:left="318"/>
              <w:spacing w:after="0"/>
              <w:rPr>
                <w:sz w:val="20"/>
                <w:szCs w:val="20"/>
                <w:color w:val="auto"/>
              </w:rPr>
            </w:pPr>
            <w:r>
              <w:rPr>
                <w:rFonts w:ascii="Arial" w:cs="Arial" w:eastAsia="Arial" w:hAnsi="Arial"/>
                <w:sz w:val="16"/>
                <w:szCs w:val="16"/>
                <w:color w:val="auto"/>
                <w:w w:val="90"/>
              </w:rPr>
              <w:t>(Issuer’s telephone number)</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328"/>
        </w:trPr>
        <w:tc>
          <w:tcPr>
            <w:tcW w:w="44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51"/>
        </w:trPr>
        <w:tc>
          <w:tcPr>
            <w:tcW w:w="4480" w:type="dxa"/>
            <w:vAlign w:val="bottom"/>
            <w:gridSpan w:val="3"/>
          </w:tcPr>
          <w:p>
            <w:pPr>
              <w:ind w:left="1380"/>
              <w:spacing w:after="0"/>
              <w:rPr>
                <w:sz w:val="20"/>
                <w:szCs w:val="20"/>
                <w:color w:val="auto"/>
              </w:rPr>
            </w:pPr>
            <w:r>
              <w:rPr>
                <w:rFonts w:ascii="Arial" w:cs="Arial" w:eastAsia="Arial" w:hAnsi="Arial"/>
                <w:sz w:val="16"/>
                <w:szCs w:val="16"/>
                <w:b w:val="1"/>
                <w:bCs w:val="1"/>
                <w:color w:val="auto"/>
              </w:rPr>
              <w:t>Title of each class</w:t>
            </w:r>
          </w:p>
        </w:tc>
        <w:tc>
          <w:tcPr>
            <w:tcW w:w="16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Trading Symbol(s)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30"/>
        </w:trPr>
        <w:tc>
          <w:tcPr>
            <w:tcW w:w="38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99"/>
              </w:rPr>
              <w:t>Common Stock, par value $0.001 per share</w:t>
            </w:r>
          </w:p>
        </w:tc>
        <w:tc>
          <w:tcPr>
            <w:tcW w:w="1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center"/>
              <w:ind w:right="520"/>
              <w:spacing w:after="0"/>
              <w:rPr>
                <w:sz w:val="20"/>
                <w:szCs w:val="20"/>
                <w:color w:val="auto"/>
              </w:rPr>
            </w:pPr>
            <w:r>
              <w:rPr>
                <w:rFonts w:ascii="Arial" w:cs="Arial" w:eastAsia="Arial" w:hAnsi="Arial"/>
                <w:sz w:val="16"/>
                <w:szCs w:val="16"/>
                <w:color w:val="auto"/>
                <w:w w:val="97"/>
              </w:rPr>
              <w:t>MRKR</w:t>
            </w:r>
          </w:p>
        </w:tc>
        <w:tc>
          <w:tcPr>
            <w:tcW w:w="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1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14"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14"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w:t>
      </w:r>
    </w:p>
    <w:p>
      <w:pPr>
        <w:spacing w:after="0" w:line="87"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7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02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20"/>
              <w:spacing w:after="0" w:line="215" w:lineRule="exact"/>
              <w:rPr>
                <w:sz w:val="20"/>
                <w:szCs w:val="20"/>
                <w:color w:val="auto"/>
              </w:rPr>
            </w:pPr>
            <w:r>
              <w:rPr>
                <w:rFonts w:ascii="Arial Unicode MS" w:cs="Arial Unicode MS" w:eastAsia="Arial Unicode MS" w:hAnsi="Arial Unicode MS"/>
                <w:sz w:val="16"/>
                <w:szCs w:val="16"/>
                <w:color w:val="auto"/>
                <w:w w:val="99"/>
              </w:rPr>
              <w: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7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02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20"/>
              <w:spacing w:after="0" w:line="215" w:lineRule="exact"/>
              <w:rPr>
                <w:sz w:val="20"/>
                <w:szCs w:val="20"/>
                <w:color w:val="auto"/>
              </w:rPr>
            </w:pPr>
            <w:r>
              <w:rPr>
                <w:rFonts w:ascii="Arial Unicode MS" w:cs="Arial Unicode MS" w:eastAsia="Arial Unicode MS" w:hAnsi="Arial Unicode MS"/>
                <w:sz w:val="16"/>
                <w:szCs w:val="16"/>
                <w:color w:val="auto"/>
                <w:w w:val="99"/>
              </w:rPr>
              <w:t>⌧</w:t>
            </w:r>
          </w:p>
        </w:tc>
      </w:tr>
      <w:tr>
        <w:trPr>
          <w:trHeight w:val="256"/>
        </w:trPr>
        <w:tc>
          <w:tcPr>
            <w:tcW w:w="2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02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2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125"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83" w:lineRule="exact"/>
        <w:rPr>
          <w:sz w:val="24"/>
          <w:szCs w:val="24"/>
          <w:color w:val="auto"/>
        </w:rPr>
      </w:pPr>
    </w:p>
    <w:p>
      <w:pPr>
        <w:ind w:right="154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As of July 31, 2020, the Company had 46,617,632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775970</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90170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124460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8980" w:type="dxa"/>
            <w:vAlign w:val="bottom"/>
            <w:gridSpan w:val="4"/>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40" w:type="dxa"/>
            <w:vAlign w:val="bottom"/>
          </w:tcPr>
          <w:p>
            <w:pPr>
              <w:spacing w:after="0"/>
              <w:rPr>
                <w:sz w:val="20"/>
                <w:szCs w:val="20"/>
                <w:color w:val="auto"/>
              </w:rPr>
            </w:pPr>
          </w:p>
        </w:tc>
      </w:tr>
      <w:tr>
        <w:trPr>
          <w:trHeight w:val="796"/>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40" w:type="dxa"/>
            <w:vAlign w:val="bottom"/>
            <w:gridSpan w:val="2"/>
          </w:tcPr>
          <w:p>
            <w:pPr>
              <w:ind w:left="3200"/>
              <w:spacing w:after="0"/>
              <w:rPr>
                <w:sz w:val="20"/>
                <w:szCs w:val="20"/>
                <w:color w:val="auto"/>
              </w:rPr>
            </w:pPr>
            <w:r>
              <w:rPr>
                <w:rFonts w:ascii="Arial" w:cs="Arial" w:eastAsia="Arial" w:hAnsi="Arial"/>
                <w:sz w:val="18"/>
                <w:szCs w:val="18"/>
                <w:b w:val="1"/>
                <w:bCs w:val="1"/>
                <w:color w:val="auto"/>
              </w:rPr>
              <w:t>Table of content</w:t>
            </w:r>
          </w:p>
        </w:tc>
        <w:tc>
          <w:tcPr>
            <w:tcW w:w="940" w:type="dxa"/>
            <w:vAlign w:val="bottom"/>
          </w:tcPr>
          <w:p>
            <w:pPr>
              <w:spacing w:after="0"/>
              <w:rPr>
                <w:sz w:val="24"/>
                <w:szCs w:val="24"/>
                <w:color w:val="auto"/>
              </w:rPr>
            </w:pPr>
          </w:p>
        </w:tc>
      </w:tr>
      <w:tr>
        <w:trPr>
          <w:trHeight w:val="446"/>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Page</w:t>
            </w:r>
          </w:p>
        </w:tc>
      </w:tr>
      <w:tr>
        <w:trPr>
          <w:trHeight w:val="209"/>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980" w:type="dxa"/>
            <w:vAlign w:val="bottom"/>
            <w:gridSpan w:val="4"/>
            <w:shd w:val="clear" w:color="auto" w:fill="CCEEFF"/>
          </w:tcPr>
          <w:p>
            <w:pPr>
              <w:ind w:left="2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3">
              <w:r>
                <w:rPr>
                  <w:rFonts w:ascii="Arial" w:cs="Arial" w:eastAsia="Arial" w:hAnsi="Arial"/>
                  <w:sz w:val="18"/>
                  <w:szCs w:val="18"/>
                  <w:u w:val="single" w:color="auto"/>
                  <w:color w:val="0000EE"/>
                </w:rPr>
                <w:t>Item 1</w:t>
              </w:r>
              <w:r>
                <w:rPr>
                  <w:rFonts w:ascii="Arial" w:cs="Arial" w:eastAsia="Arial" w:hAnsi="Arial"/>
                  <w:sz w:val="18"/>
                  <w:szCs w:val="18"/>
                  <w:color w:val="0000EE"/>
                </w:rPr>
                <w:t>.</w:t>
              </w:r>
            </w:hyperlink>
          </w:p>
        </w:tc>
        <w:tc>
          <w:tcPr>
            <w:tcW w:w="8200" w:type="dxa"/>
            <w:vAlign w:val="bottom"/>
            <w:gridSpan w:val="3"/>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8200" w:type="dxa"/>
            <w:vAlign w:val="bottom"/>
            <w:gridSpan w:val="3"/>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June 30, 2020 and December 31, 2019</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8200" w:type="dxa"/>
            <w:vAlign w:val="bottom"/>
            <w:gridSpan w:val="3"/>
            <w:shd w:val="clear" w:color="auto" w:fill="CCEEFF"/>
          </w:tcPr>
          <w:p>
            <w:pPr>
              <w:spacing w:after="0"/>
              <w:rPr>
                <w:rFonts w:ascii="Arial" w:cs="Arial" w:eastAsia="Arial" w:hAnsi="Arial"/>
                <w:sz w:val="18"/>
                <w:szCs w:val="18"/>
                <w:u w:val="single" w:color="auto"/>
                <w:color w:val="0000EE"/>
                <w:w w:val="91"/>
              </w:rPr>
            </w:pPr>
            <w:hyperlink w:anchor="page4">
              <w:r>
                <w:rPr>
                  <w:rFonts w:ascii="Arial" w:cs="Arial" w:eastAsia="Arial" w:hAnsi="Arial"/>
                  <w:sz w:val="18"/>
                  <w:szCs w:val="18"/>
                  <w:u w:val="single" w:color="auto"/>
                  <w:color w:val="0000EE"/>
                  <w:w w:val="91"/>
                </w:rPr>
                <w:t>Condensed Consolidated Statements of Operations for the three and six months ended June 30, 2020 and 2019</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6"/>
        </w:trPr>
        <w:tc>
          <w:tcPr>
            <w:tcW w:w="780" w:type="dxa"/>
            <w:vAlign w:val="bottom"/>
            <w:shd w:val="clear" w:color="auto" w:fill="CCEEFF"/>
          </w:tcPr>
          <w:p>
            <w:pPr>
              <w:spacing w:after="0"/>
              <w:rPr>
                <w:sz w:val="15"/>
                <w:szCs w:val="15"/>
                <w:color w:val="auto"/>
              </w:rPr>
            </w:pPr>
          </w:p>
        </w:tc>
        <w:tc>
          <w:tcPr>
            <w:tcW w:w="8200" w:type="dxa"/>
            <w:vAlign w:val="bottom"/>
            <w:gridSpan w:val="3"/>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 of Stockholders' Equity for the three and six months ended June 30, 2020 and</w:t>
              </w:r>
            </w:hyperlink>
          </w:p>
        </w:tc>
        <w:tc>
          <w:tcPr>
            <w:tcW w:w="940" w:type="dxa"/>
            <w:vAlign w:val="bottom"/>
            <w:shd w:val="clear" w:color="auto" w:fill="CCEEFF"/>
          </w:tcPr>
          <w:p>
            <w:pPr>
              <w:spacing w:after="0"/>
              <w:rPr>
                <w:sz w:val="15"/>
                <w:szCs w:val="15"/>
                <w:color w:val="auto"/>
              </w:rPr>
            </w:pPr>
          </w:p>
        </w:tc>
      </w:tr>
      <w:tr>
        <w:trPr>
          <w:trHeight w:val="222"/>
        </w:trPr>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2019</w:t>
              </w:r>
            </w:hyperlink>
          </w:p>
        </w:tc>
        <w:tc>
          <w:tcPr>
            <w:tcW w:w="78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16"/>
        </w:trPr>
        <w:tc>
          <w:tcPr>
            <w:tcW w:w="7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8200" w:type="dxa"/>
            <w:vAlign w:val="bottom"/>
            <w:gridSpan w:val="3"/>
            <w:shd w:val="clear" w:color="auto" w:fill="CCEEFF"/>
          </w:tcPr>
          <w:p>
            <w:pPr>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Condensed Consolidated Statements of Cash Flows for the six months ended June 30, 2020 and 2019</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8200" w:type="dxa"/>
            <w:vAlign w:val="bottom"/>
            <w:gridSpan w:val="3"/>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18">
              <w:r>
                <w:rPr>
                  <w:rFonts w:ascii="Arial" w:cs="Arial" w:eastAsia="Arial" w:hAnsi="Arial"/>
                  <w:sz w:val="18"/>
                  <w:szCs w:val="18"/>
                  <w:u w:val="single" w:color="auto"/>
                  <w:color w:val="0000EE"/>
                </w:rPr>
                <w:t>Item 2</w:t>
              </w:r>
              <w:r>
                <w:rPr>
                  <w:rFonts w:ascii="Arial" w:cs="Arial" w:eastAsia="Arial" w:hAnsi="Arial"/>
                  <w:sz w:val="18"/>
                  <w:szCs w:val="18"/>
                  <w:color w:val="0000EE"/>
                </w:rPr>
                <w:t>.</w:t>
              </w:r>
            </w:hyperlink>
          </w:p>
        </w:tc>
        <w:tc>
          <w:tcPr>
            <w:tcW w:w="8200" w:type="dxa"/>
            <w:vAlign w:val="bottom"/>
            <w:gridSpan w:val="3"/>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Management’s Discussion and Analysis of Financial Condition and Results of Operations.</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28">
              <w:r>
                <w:rPr>
                  <w:rFonts w:ascii="Arial" w:cs="Arial" w:eastAsia="Arial" w:hAnsi="Arial"/>
                  <w:sz w:val="18"/>
                  <w:szCs w:val="18"/>
                  <w:u w:val="single" w:color="auto"/>
                  <w:color w:val="0000EE"/>
                </w:rPr>
                <w:t>Item 3</w:t>
              </w:r>
              <w:r>
                <w:rPr>
                  <w:rFonts w:ascii="Arial" w:cs="Arial" w:eastAsia="Arial" w:hAnsi="Arial"/>
                  <w:sz w:val="18"/>
                  <w:szCs w:val="18"/>
                  <w:color w:val="0000EE"/>
                </w:rPr>
                <w:t>.</w:t>
              </w:r>
            </w:hyperlink>
          </w:p>
        </w:tc>
        <w:tc>
          <w:tcPr>
            <w:tcW w:w="8200" w:type="dxa"/>
            <w:vAlign w:val="bottom"/>
            <w:gridSpan w:val="3"/>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Quantitative and Qualitative Disclosures About Market Risk.</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29">
              <w:r>
                <w:rPr>
                  <w:rFonts w:ascii="Arial" w:cs="Arial" w:eastAsia="Arial" w:hAnsi="Arial"/>
                  <w:sz w:val="18"/>
                  <w:szCs w:val="18"/>
                  <w:u w:val="single" w:color="auto"/>
                  <w:color w:val="0000EE"/>
                </w:rPr>
                <w:t>Item 4</w:t>
              </w:r>
              <w:r>
                <w:rPr>
                  <w:rFonts w:ascii="Arial" w:cs="Arial" w:eastAsia="Arial" w:hAnsi="Arial"/>
                  <w:sz w:val="18"/>
                  <w:szCs w:val="18"/>
                  <w:color w:val="0000EE"/>
                </w:rPr>
                <w:t>.</w:t>
              </w:r>
            </w:hyperlink>
          </w:p>
        </w:tc>
        <w:tc>
          <w:tcPr>
            <w:tcW w:w="8200" w:type="dxa"/>
            <w:vAlign w:val="bottom"/>
            <w:gridSpan w:val="3"/>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Controls and Procedures.</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1140" w:type="dxa"/>
            <w:vAlign w:val="bottom"/>
            <w:gridSpan w:val="2"/>
          </w:tcPr>
          <w:p>
            <w:pPr>
              <w:spacing w:after="0"/>
              <w:rPr>
                <w:sz w:val="18"/>
                <w:szCs w:val="18"/>
                <w:color w:val="auto"/>
              </w:rPr>
            </w:pPr>
          </w:p>
        </w:tc>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980" w:type="dxa"/>
            <w:vAlign w:val="bottom"/>
            <w:gridSpan w:val="4"/>
            <w:shd w:val="clear" w:color="auto" w:fill="CCEEFF"/>
          </w:tcPr>
          <w:p>
            <w:pPr>
              <w:ind w:left="2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PART II – OTHER INFORMATION</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29">
              <w:r>
                <w:rPr>
                  <w:rFonts w:ascii="Arial" w:cs="Arial" w:eastAsia="Arial" w:hAnsi="Arial"/>
                  <w:sz w:val="18"/>
                  <w:szCs w:val="18"/>
                  <w:u w:val="single" w:color="auto"/>
                  <w:color w:val="0000EE"/>
                </w:rPr>
                <w:t>Item 1</w:t>
              </w:r>
              <w:r>
                <w:rPr>
                  <w:rFonts w:ascii="Arial" w:cs="Arial" w:eastAsia="Arial" w:hAnsi="Arial"/>
                  <w:sz w:val="18"/>
                  <w:szCs w:val="18"/>
                  <w:color w:val="0000EE"/>
                </w:rPr>
                <w:t>.</w:t>
              </w:r>
            </w:hyperlink>
          </w:p>
        </w:tc>
        <w:tc>
          <w:tcPr>
            <w:tcW w:w="8200" w:type="dxa"/>
            <w:vAlign w:val="bottom"/>
            <w:gridSpan w:val="3"/>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Legal Proceedings.</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1A.</w:t>
              </w:r>
            </w:hyperlink>
          </w:p>
        </w:tc>
        <w:tc>
          <w:tcPr>
            <w:tcW w:w="8200" w:type="dxa"/>
            <w:vAlign w:val="bottom"/>
            <w:gridSpan w:val="3"/>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Factors.</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68">
              <w:r>
                <w:rPr>
                  <w:rFonts w:ascii="Arial" w:cs="Arial" w:eastAsia="Arial" w:hAnsi="Arial"/>
                  <w:sz w:val="18"/>
                  <w:szCs w:val="18"/>
                  <w:u w:val="single" w:color="auto"/>
                  <w:color w:val="0000EE"/>
                </w:rPr>
                <w:t>Item 2</w:t>
              </w:r>
              <w:r>
                <w:rPr>
                  <w:rFonts w:ascii="Arial" w:cs="Arial" w:eastAsia="Arial" w:hAnsi="Arial"/>
                  <w:sz w:val="18"/>
                  <w:szCs w:val="18"/>
                  <w:color w:val="0000EE"/>
                </w:rPr>
                <w:t>.</w:t>
              </w:r>
            </w:hyperlink>
          </w:p>
        </w:tc>
        <w:tc>
          <w:tcPr>
            <w:tcW w:w="8200" w:type="dxa"/>
            <w:vAlign w:val="bottom"/>
            <w:gridSpan w:val="3"/>
            <w:shd w:val="clear" w:color="auto" w:fill="CCEEFF"/>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Unregistered Sales of Equity Securities and Use of Proceeds.</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68">
              <w:r>
                <w:rPr>
                  <w:rFonts w:ascii="Arial" w:cs="Arial" w:eastAsia="Arial" w:hAnsi="Arial"/>
                  <w:sz w:val="18"/>
                  <w:szCs w:val="18"/>
                  <w:u w:val="single" w:color="auto"/>
                  <w:color w:val="0000EE"/>
                </w:rPr>
                <w:t>Item 3</w:t>
              </w:r>
              <w:r>
                <w:rPr>
                  <w:rFonts w:ascii="Arial" w:cs="Arial" w:eastAsia="Arial" w:hAnsi="Arial"/>
                  <w:sz w:val="18"/>
                  <w:szCs w:val="18"/>
                  <w:color w:val="0000EE"/>
                </w:rPr>
                <w:t>.</w:t>
              </w:r>
            </w:hyperlink>
          </w:p>
        </w:tc>
        <w:tc>
          <w:tcPr>
            <w:tcW w:w="8200" w:type="dxa"/>
            <w:vAlign w:val="bottom"/>
            <w:gridSpan w:val="3"/>
            <w:shd w:val="clear" w:color="auto" w:fill="CCEEFF"/>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Defaults Upon Senior Securities.</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68">
              <w:r>
                <w:rPr>
                  <w:rFonts w:ascii="Arial" w:cs="Arial" w:eastAsia="Arial" w:hAnsi="Arial"/>
                  <w:sz w:val="18"/>
                  <w:szCs w:val="18"/>
                  <w:u w:val="single" w:color="auto"/>
                  <w:color w:val="0000EE"/>
                </w:rPr>
                <w:t>Item 4</w:t>
              </w:r>
              <w:r>
                <w:rPr>
                  <w:rFonts w:ascii="Arial" w:cs="Arial" w:eastAsia="Arial" w:hAnsi="Arial"/>
                  <w:sz w:val="18"/>
                  <w:szCs w:val="18"/>
                  <w:color w:val="0000EE"/>
                </w:rPr>
                <w:t>.</w:t>
              </w:r>
            </w:hyperlink>
          </w:p>
        </w:tc>
        <w:tc>
          <w:tcPr>
            <w:tcW w:w="8200" w:type="dxa"/>
            <w:vAlign w:val="bottom"/>
            <w:gridSpan w:val="3"/>
            <w:shd w:val="clear" w:color="auto" w:fill="CCEEFF"/>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Mine Safety Disclosure.</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68">
              <w:r>
                <w:rPr>
                  <w:rFonts w:ascii="Arial" w:cs="Arial" w:eastAsia="Arial" w:hAnsi="Arial"/>
                  <w:sz w:val="18"/>
                  <w:szCs w:val="18"/>
                  <w:u w:val="single" w:color="auto"/>
                  <w:color w:val="0000EE"/>
                </w:rPr>
                <w:t>Item 5</w:t>
              </w:r>
              <w:r>
                <w:rPr>
                  <w:rFonts w:ascii="Arial" w:cs="Arial" w:eastAsia="Arial" w:hAnsi="Arial"/>
                  <w:sz w:val="18"/>
                  <w:szCs w:val="18"/>
                  <w:color w:val="0000EE"/>
                </w:rPr>
                <w:t>.</w:t>
              </w:r>
            </w:hyperlink>
          </w:p>
        </w:tc>
        <w:tc>
          <w:tcPr>
            <w:tcW w:w="8200" w:type="dxa"/>
            <w:vAlign w:val="bottom"/>
            <w:gridSpan w:val="3"/>
            <w:shd w:val="clear" w:color="auto" w:fill="CCEEFF"/>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Other Information.</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0" w:type="dxa"/>
            <w:vAlign w:val="bottom"/>
            <w:shd w:val="clear" w:color="auto" w:fill="CCEEFF"/>
          </w:tcPr>
          <w:p>
            <w:pPr>
              <w:ind w:left="20"/>
              <w:spacing w:after="0"/>
              <w:rPr>
                <w:rFonts w:ascii="Arial" w:cs="Arial" w:eastAsia="Arial" w:hAnsi="Arial"/>
                <w:sz w:val="18"/>
                <w:szCs w:val="18"/>
                <w:color w:val="0000EE"/>
              </w:rPr>
            </w:pPr>
            <w:hyperlink w:anchor="page69">
              <w:r>
                <w:rPr>
                  <w:rFonts w:ascii="Arial" w:cs="Arial" w:eastAsia="Arial" w:hAnsi="Arial"/>
                  <w:sz w:val="18"/>
                  <w:szCs w:val="18"/>
                  <w:u w:val="single" w:color="auto"/>
                  <w:color w:val="0000EE"/>
                </w:rPr>
                <w:t>Item 6</w:t>
              </w:r>
              <w:r>
                <w:rPr>
                  <w:rFonts w:ascii="Arial" w:cs="Arial" w:eastAsia="Arial" w:hAnsi="Arial"/>
                  <w:sz w:val="18"/>
                  <w:szCs w:val="18"/>
                  <w:color w:val="0000EE"/>
                </w:rPr>
                <w:t>.</w:t>
              </w:r>
            </w:hyperlink>
          </w:p>
        </w:tc>
        <w:tc>
          <w:tcPr>
            <w:tcW w:w="8200" w:type="dxa"/>
            <w:vAlign w:val="bottom"/>
            <w:gridSpan w:val="3"/>
            <w:shd w:val="clear" w:color="auto" w:fill="CCEEFF"/>
          </w:tcPr>
          <w:p>
            <w:pPr>
              <w:spacing w:after="0"/>
              <w:rPr>
                <w:rFonts w:ascii="Arial" w:cs="Arial" w:eastAsia="Arial" w:hAnsi="Arial"/>
                <w:sz w:val="18"/>
                <w:szCs w:val="18"/>
                <w:color w:val="0000EE"/>
              </w:rPr>
            </w:pPr>
            <w:hyperlink w:anchor="page69">
              <w:r>
                <w:rPr>
                  <w:rFonts w:ascii="Arial" w:cs="Arial" w:eastAsia="Arial" w:hAnsi="Arial"/>
                  <w:sz w:val="18"/>
                  <w:szCs w:val="18"/>
                  <w:u w:val="single" w:color="auto"/>
                  <w:color w:val="0000EE"/>
                </w:rPr>
                <w:t>Exhibits</w:t>
              </w:r>
              <w:r>
                <w:rPr>
                  <w:rFonts w:ascii="Arial" w:cs="Arial" w:eastAsia="Arial" w:hAnsi="Arial"/>
                  <w:sz w:val="18"/>
                  <w:szCs w:val="18"/>
                  <w:color w:val="0000EE"/>
                </w:rPr>
                <w:t>.</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r>
      <w:tr>
        <w:trPr>
          <w:trHeight w:val="216"/>
        </w:trPr>
        <w:tc>
          <w:tcPr>
            <w:tcW w:w="1140" w:type="dxa"/>
            <w:vAlign w:val="bottom"/>
            <w:gridSpan w:val="2"/>
          </w:tcPr>
          <w:p>
            <w:pPr>
              <w:spacing w:after="0"/>
              <w:rPr>
                <w:sz w:val="18"/>
                <w:szCs w:val="18"/>
                <w:color w:val="auto"/>
              </w:rPr>
            </w:pPr>
          </w:p>
        </w:tc>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980" w:type="dxa"/>
            <w:vAlign w:val="bottom"/>
            <w:gridSpan w:val="4"/>
            <w:shd w:val="clear" w:color="auto" w:fill="CCEEFF"/>
          </w:tcPr>
          <w:p>
            <w:pPr>
              <w:ind w:left="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Signatures</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r>
      <w:tr>
        <w:trPr>
          <w:trHeight w:val="1006"/>
        </w:trPr>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6"/>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300" w:type="dxa"/>
            <w:vAlign w:val="bottom"/>
          </w:tcPr>
          <w:p>
            <w:pPr>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30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300" w:type="dxa"/>
            <w:vAlign w:val="bottom"/>
          </w:tcPr>
          <w:p>
            <w:pPr>
              <w:jc w:val="center"/>
              <w:ind w:left="1730"/>
              <w:spacing w:after="0"/>
              <w:rPr>
                <w:sz w:val="20"/>
                <w:szCs w:val="20"/>
                <w:color w:val="auto"/>
              </w:rPr>
            </w:pPr>
            <w:r>
              <w:rPr>
                <w:rFonts w:ascii="Arial" w:cs="Arial" w:eastAsia="Arial" w:hAnsi="Arial"/>
                <w:sz w:val="18"/>
                <w:szCs w:val="18"/>
                <w:b w:val="1"/>
                <w:bCs w:val="1"/>
                <w:color w:val="auto"/>
              </w:rPr>
              <w:t>MARKER THERAPEUTICS, INC.</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300" w:type="dxa"/>
            <w:vAlign w:val="bottom"/>
          </w:tcPr>
          <w:p>
            <w:pPr>
              <w:jc w:val="center"/>
              <w:ind w:left="173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6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7"/>
              </w:rPr>
              <w:t>(Unaudited)</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4"/>
              </w:rPr>
              <w:t>(Audited)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32,124,187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100"/>
              <w:spacing w:after="0"/>
              <w:rPr>
                <w:sz w:val="20"/>
                <w:szCs w:val="20"/>
                <w:color w:val="auto"/>
              </w:rPr>
            </w:pPr>
            <w:r>
              <w:rPr>
                <w:rFonts w:ascii="Arial" w:cs="Arial" w:eastAsia="Arial" w:hAnsi="Arial"/>
                <w:sz w:val="18"/>
                <w:szCs w:val="18"/>
                <w:color w:val="auto"/>
              </w:rPr>
              <w:t>Prepaid expenses and deposits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2,632,514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1,526,442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34,760,141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45,486,580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10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1,592,094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2,629,141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Right-of-use assets, net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9,542,228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non-current assets</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13,763,463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872,702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2"/>
              </w:rPr>
              <w:t>Total assets</w:t>
            </w:r>
          </w:p>
        </w:tc>
        <w:tc>
          <w:tcPr>
            <w:tcW w:w="6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48,523,604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46,359,282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4,528,021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1,757,680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Lease liability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Warrant liability</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4,984,086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1,992,812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Lease liability, net of current portion</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9,025,273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9,025,273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14,009,359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2,273,059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Preferred stock - $0.001 par value, 5 million shares authorized and 0 shares issued and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outstanding at June 30, 2020 and December 31, 2019, respectively</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5"/>
              </w:rPr>
              <w:t>Common stock, $0.001 par value, 150 million shares authorized, 46.6 million and 45.7 million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2"/>
          </w:tcPr>
          <w:p>
            <w:pPr>
              <w:ind w:left="100"/>
              <w:spacing w:after="0"/>
              <w:rPr>
                <w:sz w:val="20"/>
                <w:szCs w:val="20"/>
                <w:color w:val="auto"/>
              </w:rPr>
            </w:pPr>
            <w:r>
              <w:rPr>
                <w:rFonts w:ascii="Arial" w:cs="Arial" w:eastAsia="Arial" w:hAnsi="Arial"/>
                <w:sz w:val="18"/>
                <w:szCs w:val="18"/>
                <w:color w:val="auto"/>
                <w:w w:val="99"/>
              </w:rPr>
              <w:t>shares issued and outstanding as of June 30, 2020 and December 31, 2019, respectively</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374,828,385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371,573,909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(340,360,757)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(327,533,414)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34,514,245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44,086,223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48,523,604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46,359,282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left="1000" w:right="2260"/>
        <w:spacing w:after="0" w:line="266" w:lineRule="auto"/>
        <w:rPr>
          <w:sz w:val="20"/>
          <w:szCs w:val="20"/>
          <w:color w:val="auto"/>
        </w:rPr>
      </w:pPr>
      <w:r>
        <w:rPr>
          <w:rFonts w:ascii="Arial" w:cs="Arial" w:eastAsia="Arial" w:hAnsi="Arial"/>
          <w:sz w:val="18"/>
          <w:szCs w:val="18"/>
          <w:b w:val="1"/>
          <w:bCs w:val="1"/>
          <w:color w:val="auto"/>
        </w:rPr>
        <w:t>MARKER THERAPEUTICS, INC. CONDENSED CONSOLIDATED STATEMENTS OF OPERATIONS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ind w:left="3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466,785</w:t>
            </w:r>
          </w:p>
        </w:tc>
        <w:tc>
          <w:tcPr>
            <w:tcW w:w="24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466,785</w:t>
            </w:r>
          </w:p>
        </w:tc>
        <w:tc>
          <w:tcPr>
            <w:tcW w:w="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466,785</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466,785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4,277,052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3,152,445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8,093,670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2,547,289</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2,721,120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5,374,284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6,824,341</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5,873,565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13,467,954</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11,512,035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(6,357,556)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(5,873,565)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(13,001,169)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(11,512,035)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Change in fair value of warrant liabilities</w:t>
            </w:r>
          </w:p>
        </w:tc>
        <w:tc>
          <w:tcPr>
            <w:tcW w:w="2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15,857</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142,826</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(6,341,699)</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(5,570,391)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(12,827,343)</w:t>
            </w:r>
          </w:p>
        </w:tc>
        <w:tc>
          <w:tcPr>
            <w:tcW w:w="240" w:type="dxa"/>
            <w:vAlign w:val="bottom"/>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(10,889,316)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(0.28)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(0.24)</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Weighted average number of common shares</w:t>
            </w: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46,572,739</w:t>
            </w:r>
          </w:p>
        </w:tc>
        <w:tc>
          <w:tcPr>
            <w:tcW w:w="2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45,501,078</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46,328,561</w:t>
            </w: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45,483,513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4"/>
                <w:szCs w:val="14"/>
                <w:b w:val="1"/>
                <w:bCs w:val="1"/>
                <w:color w:val="auto"/>
                <w:w w:val="94"/>
              </w:rPr>
              <w:t>For the Three Months Ended June 30, 2020</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340" w:type="dxa"/>
            <w:vAlign w:val="bottom"/>
            <w:gridSpan w:val="4"/>
            <w:vMerge w:val="restart"/>
          </w:tcPr>
          <w:p>
            <w:pPr>
              <w:jc w:val="right"/>
              <w:ind w:right="615"/>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Additional Paid-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34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8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Par value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in 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April 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46,532,522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46,532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373,467,697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(334,019,058)</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39,495,171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8"/>
                <w:szCs w:val="18"/>
                <w:color w:val="auto"/>
              </w:rPr>
              <w:t>85,110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1,360,688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1,360,773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(6,341,699)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(6,341,699)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46,617,632</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46,617</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374,828,385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(340,360,757)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34,514,245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4"/>
                <w:szCs w:val="14"/>
                <w:b w:val="1"/>
                <w:bCs w:val="1"/>
                <w:color w:val="auto"/>
                <w:w w:val="92"/>
              </w:rPr>
              <w:t>For the Six Months Ended June 30, 2020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340" w:type="dxa"/>
            <w:vAlign w:val="bottom"/>
            <w:gridSpan w:val="4"/>
            <w:vMerge w:val="restart"/>
          </w:tcPr>
          <w:p>
            <w:pPr>
              <w:jc w:val="right"/>
              <w:ind w:right="615"/>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Additional Paid-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34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8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Par value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in 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45,728,831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45,728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371,573,909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(327,533,414)</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44,086,223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Arial" w:cs="Arial" w:eastAsia="Arial" w:hAnsi="Arial"/>
                <w:sz w:val="18"/>
                <w:szCs w:val="18"/>
                <w:color w:val="auto"/>
              </w:rPr>
              <w:t>Warrants exercised for cash</w:t>
            </w:r>
          </w:p>
        </w:tc>
        <w:tc>
          <w:tcPr>
            <w:tcW w:w="980" w:type="dxa"/>
            <w:vAlign w:val="bottom"/>
          </w:tcPr>
          <w:p>
            <w:pPr>
              <w:jc w:val="right"/>
              <w:spacing w:after="0"/>
              <w:rPr>
                <w:sz w:val="20"/>
                <w:szCs w:val="20"/>
                <w:color w:val="auto"/>
              </w:rPr>
            </w:pPr>
            <w:r>
              <w:rPr>
                <w:rFonts w:ascii="Arial" w:cs="Arial" w:eastAsia="Arial" w:hAnsi="Arial"/>
                <w:sz w:val="18"/>
                <w:szCs w:val="18"/>
                <w:color w:val="auto"/>
              </w:rPr>
              <w:t>458,334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549,541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Issuance of common stock as</w:t>
            </w: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commitment fee for future financing</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345,357</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8"/>
                <w:szCs w:val="18"/>
                <w:color w:val="auto"/>
              </w:rPr>
              <w:t>85,110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2,705,280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2,705,365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(12,827,343)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(12,827,343)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46,617,632</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46,617</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374,828,385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(340,360,757)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34,514,245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4"/>
                <w:szCs w:val="14"/>
                <w:b w:val="1"/>
                <w:bCs w:val="1"/>
                <w:color w:val="auto"/>
                <w:w w:val="94"/>
              </w:rPr>
              <w:t>For the Three Months Ended June 30, 2019</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340" w:type="dxa"/>
            <w:vAlign w:val="bottom"/>
            <w:gridSpan w:val="4"/>
            <w:vMerge w:val="restart"/>
          </w:tcPr>
          <w:p>
            <w:pPr>
              <w:jc w:val="right"/>
              <w:ind w:right="615"/>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Additional Paid-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34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8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Par value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in 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April 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45,484,483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45,484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366,989,803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(311,424,375)</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55,610,912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8"/>
                <w:szCs w:val="18"/>
                <w:color w:val="auto"/>
              </w:rPr>
              <w:t>29,040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1,363,238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1,363,267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(5,570,391)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Balance, June 30, 2019</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45,513,523</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45,513</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368,353,041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(316,994,766)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51,403,788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14"/>
                <w:szCs w:val="14"/>
                <w:b w:val="1"/>
                <w:bCs w:val="1"/>
                <w:color w:val="auto"/>
                <w:w w:val="93"/>
              </w:rPr>
              <w:t>For the Six Months Ended June 30, 2019</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340" w:type="dxa"/>
            <w:vAlign w:val="bottom"/>
            <w:gridSpan w:val="4"/>
            <w:vMerge w:val="restart"/>
          </w:tcPr>
          <w:p>
            <w:pPr>
              <w:jc w:val="right"/>
              <w:ind w:right="615"/>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Additional Paid-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34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8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Par value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in 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45,440,704</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365,400,748</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(306,105,450)</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59,340,738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Arial" w:cs="Arial" w:eastAsia="Arial" w:hAnsi="Arial"/>
                <w:sz w:val="18"/>
                <w:szCs w:val="18"/>
                <w:color w:val="auto"/>
              </w:rPr>
              <w:t>Stock options exercised for cash</w:t>
            </w:r>
          </w:p>
        </w:tc>
        <w:tc>
          <w:tcPr>
            <w:tcW w:w="980" w:type="dxa"/>
            <w:vAlign w:val="bottom"/>
          </w:tcPr>
          <w:p>
            <w:pPr>
              <w:jc w:val="right"/>
              <w:spacing w:after="0"/>
              <w:rPr>
                <w:sz w:val="20"/>
                <w:szCs w:val="20"/>
                <w:color w:val="auto"/>
              </w:rPr>
            </w:pPr>
            <w:r>
              <w:rPr>
                <w:rFonts w:ascii="Arial" w:cs="Arial" w:eastAsia="Arial" w:hAnsi="Arial"/>
                <w:sz w:val="18"/>
                <w:szCs w:val="18"/>
                <w:color w:val="auto"/>
              </w:rPr>
              <w:t>11,980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57,732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Warrants exercised for cash</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8"/>
                <w:szCs w:val="18"/>
                <w:color w:val="auto"/>
              </w:rPr>
              <w:t>59,040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2,889,184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2,889,243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(10,889,316)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Balance, June 30, 2019</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45,513,523</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45,513</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368,353,041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(316,994,766)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51,403,788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MARKER THERAPEUTICS, INC. CONDENSED CONSOLIDATED STATEMENTS OF CASH FLOWS (UNAUDITED)</w:t>
      </w:r>
    </w:p>
    <w:p>
      <w:pPr>
        <w:spacing w:after="0" w:line="399"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For the Six Months Ended</w:t>
      </w:r>
    </w:p>
    <w:p>
      <w:pPr>
        <w:jc w:val="center"/>
        <w:ind w:left="72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Arial" w:cs="Arial" w:eastAsia="Arial" w:hAnsi="Arial"/>
                <w:sz w:val="18"/>
                <w:szCs w:val="18"/>
                <w:b w:val="1"/>
                <w:bCs w:val="1"/>
                <w:color w:val="auto"/>
              </w:rPr>
              <w:t>Net loss</w:t>
            </w:r>
          </w:p>
        </w:tc>
        <w:tc>
          <w:tcPr>
            <w:tcW w:w="5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(12,827,343)</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(10,889,316)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124,627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fair value of warrant liabilities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2,705,365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2,889,243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on right-of-use assets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deposits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(1,106,072)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Interest receivable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52,749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2,770,341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Lease liability</w:t>
            </w: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(187,068)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(8,401,428)</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(8,059,583)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(1,299,193)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Purchase of construction in progress</w:t>
            </w: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(2,629,141)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(3,928,334)</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Proceeds from exercise of warrants</w:t>
            </w: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decrease in cash</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(11,779,762)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(8,301,842)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43,903,949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61,746,748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32,124,187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53,444,906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financing activities: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Issuance of common stock as commitment fee for future financing</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345</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w w:val="95"/>
              </w:rPr>
              <w:t>Recognition of right-of-use assets and lease liability from new operating lease agreements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9,184,027</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Marker Therapeutics, Inc., a Delaware corporation (the “Company” or “we”), is a clinical-stage immuno-oncology company specializing in the development and commercialization of novel T cell-based immunotherapies and innovative peptide-based vaccines for the treatment of hematological malignancies and solid tumor indications. The Company’s MultiTAA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for the condensed consolidated statement of operations are not necessarily indicative of results to be expected for the year ending December 31, 2020 or for any future interim period. The condensed consolidated balance sheet at June 30, 2020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2019 and notes thereto included in the Company’s annual report on Form 10-K filed on March 12,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FINANCIAL CONDITION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June 30, 2020, the Company had cash and cash equivalents of approximately $32.1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sales of its product candidates, if approved.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Based on the Company’s revised clinical and research and development plans and its revised timing expectations related to the progress of its programs, and buildout of manufacturing and research facilities, and expansion of the Company’s corporate headquarters, discussed in Footnotes #7 and #10 below, the Company expects that its cash and cash equivalents as of June 30, 2020 will enable the Company to fund its operating expenses and capital expenditure requirements into the second quarter of 2021, as such these factors raise substantial doubt regarding the Company's ability to continue as a going concern. 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6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initiates or continues clinical trials of its product candidates;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continues the research and development of its product candidates and seeks to discover additional product candidates;</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seeks regulatory approvals for any product candidates that successfully complete clinical trials;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maintains and enforces intellectual property rights;</w:t>
      </w:r>
    </w:p>
    <w:p>
      <w:pPr>
        <w:spacing w:after="0" w:line="9" w:lineRule="exact"/>
        <w:rPr>
          <w:rFonts w:ascii="Arial" w:cs="Arial" w:eastAsia="Arial" w:hAnsi="Arial"/>
          <w:sz w:val="18"/>
          <w:szCs w:val="18"/>
          <w:color w:val="auto"/>
        </w:rPr>
      </w:pPr>
    </w:p>
    <w:p>
      <w:pPr>
        <w:ind w:left="660" w:hanging="652"/>
        <w:spacing w:after="0" w:line="250" w:lineRule="auto"/>
        <w:tabs>
          <w:tab w:leader="none" w:pos="745"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establishes sales, marketing and distribution infrastructure and scale-up manufacturing capabilities to commercialize any product candidates that may receive regulatory approval;</w:t>
      </w: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evaluates strategic transactions the Company may undertake; and</w:t>
      </w:r>
    </w:p>
    <w:p>
      <w:pPr>
        <w:spacing w:after="0" w:line="9" w:lineRule="exact"/>
        <w:rPr>
          <w:rFonts w:ascii="Arial" w:cs="Arial" w:eastAsia="Arial" w:hAnsi="Arial"/>
          <w:sz w:val="18"/>
          <w:szCs w:val="18"/>
          <w:color w:val="auto"/>
        </w:rPr>
      </w:pPr>
    </w:p>
    <w:p>
      <w:pPr>
        <w:ind w:left="660" w:hanging="652"/>
        <w:spacing w:after="0" w:line="290"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These factors raise substantial doubt regarding the Company's ability to continue as a going concern. The accompanying condensed consolidated financial statements have been prepared on a going concern basis, which implies that the Company will continue to realize its assets and discharge its liabilities in the normal course of business. The condensed consolidated financial statements do not include any adjustments to the recoverability and classification of recorded asset amounts and classification of liabilities that might be necessary should the Company be unable to continue as a going concern.</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foregoing, based on the Company’s current assessment, the Company does not expect any material impact on its long-term liquidity due to the COVID-19 pandemic. However, the Company will continue to assess the effect of the pandemic on its operations, including its clinical programs. The extent to which the COVID-19 pandemic will impact the Company’s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While the potential economic impact brought by, and the duration of, COVID-19 may be difficult to assess or predict, a widespread pandemic could result in significant disruption of global financial markets, reducing the Company’s ability to access capital, which could in the future negatively affect the Company’s liquidity. In addition, a recession or market correction resulting from the spread of COVID-19 could materially affect the Company’s business and the value of its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Property and equipment - Construction in Progress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26, 2020, the Company entered into a lease for a manufacturing facility in Houston, Texas. In connection with the manufacturing facility, the Company has incurred costs pursuant to an agreement with a vendor to design, engineer, build and eventually install modular cleanrooms in a manufacturing facility. $2.6 million is recorded in fixed assets - construction in progress on the balance sheet as of June 30, 2020. Upon completion of the facility's construction, all costs associated with the buildout will be recorded as manufacturing equipment and amortized over the estimated useful life of the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Standards Not Yet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Company is currently evaluating the impact of this standard on its condensed consolidated financial statements and related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computation of net loss per share for the three and six months ended June 30, 2020 and 2019,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For the Three Months Ended</w:t>
            </w:r>
          </w:p>
        </w:tc>
        <w:tc>
          <w:tcPr>
            <w:tcW w:w="120" w:type="dxa"/>
            <w:vAlign w:val="bottom"/>
          </w:tcPr>
          <w:p>
            <w:pPr>
              <w:spacing w:after="0"/>
              <w:rPr>
                <w:sz w:val="14"/>
                <w:szCs w:val="14"/>
                <w:color w:val="auto"/>
              </w:rPr>
            </w:pPr>
          </w:p>
        </w:tc>
        <w:tc>
          <w:tcPr>
            <w:tcW w:w="2220" w:type="dxa"/>
            <w:vAlign w:val="bottom"/>
            <w:gridSpan w:val="5"/>
          </w:tcPr>
          <w:p>
            <w:pPr>
              <w:jc w:val="right"/>
              <w:ind w:right="275"/>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12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(6,341,699)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(5,570,391)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(12,827,343)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0"/>
              </w:rPr>
              <w:t>(10,889,316)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46,572,739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45,501,078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46,328,561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45,483,513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data:</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Basic and Diluted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20" w:type="dxa"/>
            <w:vAlign w:val="bottom"/>
            <w:vMerge w:val="restart"/>
          </w:tcPr>
          <w:p>
            <w:pPr>
              <w:jc w:val="right"/>
              <w:ind w:right="170"/>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securities, rounded to the nearest thousand, were not included in the diluted net loss per share calculation because their effect was anti-dilutive for the periods presented:</w:t>
      </w:r>
    </w:p>
    <w:p>
      <w:pPr>
        <w:spacing w:after="0" w:line="175"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For the Six Months Ended</w:t>
      </w:r>
    </w:p>
    <w:p>
      <w:pPr>
        <w:jc w:val="center"/>
        <w:ind w:left="58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000" w:type="dxa"/>
        <w:tblCellMar>
          <w:top w:w="0" w:type="dxa"/>
          <w:left w:w="0" w:type="dxa"/>
          <w:bottom w:w="0" w:type="dxa"/>
          <w:right w:w="0" w:type="dxa"/>
        </w:tblCellMar>
      </w:tblPr>
      <w:tr>
        <w:trPr>
          <w:trHeight w:val="142"/>
        </w:trPr>
        <w:tc>
          <w:tcPr>
            <w:tcW w:w="59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5,842,000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4,568,000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Common stock purchase warrants</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21,381,000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22,979,000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 liability treatment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r>
      <w:tr>
        <w:trPr>
          <w:trHeight w:val="210"/>
        </w:trPr>
        <w:tc>
          <w:tcPr>
            <w:tcW w:w="594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27,223,000</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27,574,000</w:t>
            </w:r>
          </w:p>
        </w:tc>
      </w:tr>
      <w:tr>
        <w:trPr>
          <w:trHeight w:val="20"/>
        </w:trPr>
        <w:tc>
          <w:tcPr>
            <w:tcW w:w="5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as of June 30, 2020 and December 31, 2019,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Estimated Useful Lives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CCEEFF"/>
            </w:tcBorders>
          </w:tcPr>
          <w:p>
            <w:pPr>
              <w:spacing w:after="0"/>
              <w:rPr>
                <w:sz w:val="14"/>
                <w:szCs w:val="14"/>
                <w:color w:val="auto"/>
              </w:rPr>
            </w:pPr>
          </w:p>
        </w:tc>
        <w:tc>
          <w:tcPr>
            <w:tcW w:w="35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 Years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3540" w:type="dxa"/>
            <w:vAlign w:val="bottom"/>
          </w:tcPr>
          <w:p>
            <w:pPr>
              <w:jc w:val="center"/>
              <w:spacing w:after="0"/>
              <w:rPr>
                <w:sz w:val="20"/>
                <w:szCs w:val="20"/>
                <w:color w:val="auto"/>
              </w:rPr>
            </w:pPr>
            <w:r>
              <w:rPr>
                <w:rFonts w:ascii="Arial" w:cs="Arial" w:eastAsia="Arial" w:hAnsi="Arial"/>
                <w:sz w:val="18"/>
                <w:szCs w:val="18"/>
                <w:color w:val="auto"/>
                <w:w w:val="86"/>
              </w:rPr>
              <w:t>5 Years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Computers, equipment and software</w:t>
            </w: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 Years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Office furniture</w:t>
            </w:r>
          </w:p>
        </w:tc>
        <w:tc>
          <w:tcPr>
            <w:tcW w:w="3540" w:type="dxa"/>
            <w:vAlign w:val="bottom"/>
          </w:tcPr>
          <w:p>
            <w:pPr>
              <w:jc w:val="center"/>
              <w:spacing w:after="0"/>
              <w:rPr>
                <w:sz w:val="20"/>
                <w:szCs w:val="20"/>
                <w:color w:val="auto"/>
              </w:rPr>
            </w:pPr>
            <w:r>
              <w:rPr>
                <w:rFonts w:ascii="Arial" w:cs="Arial" w:eastAsia="Arial" w:hAnsi="Arial"/>
                <w:sz w:val="18"/>
                <w:szCs w:val="18"/>
                <w:color w:val="auto"/>
                <w:w w:val="86"/>
              </w:rPr>
              <w:t>5 Years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178,000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Lesser of lease term or estimated useful life</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09"/>
        </w:trPr>
        <w:tc>
          <w:tcPr>
            <w:tcW w:w="3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w:t>
            </w:r>
          </w:p>
        </w:tc>
        <w:tc>
          <w:tcPr>
            <w:tcW w:w="35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1,822,000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523,000</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09"/>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35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2,629,000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fixed assets, net</w:t>
            </w:r>
          </w:p>
        </w:tc>
        <w:tc>
          <w:tcPr>
            <w:tcW w:w="3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4,221,000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418,000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expense for the three months ended June 30, 2020 and 2019 was approximately $0.09 million and $0.03 million, respectively. Depreciation expense for the six months ended June 30, 2020 and 2019 was approximately $0.1 million and $0.04 million, respectively.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26, 2020, the Company entered into a lease for a manufacturing facility in Houston, Texas. In connection with the manufacturing facility, the Company has incurred costs pursuant to an agreement with a vendor to design, engineer, build and eventually install modular cleanrooms in a manufacturing facility. $2.6 million is recorded in fixed assets - construction in progress on the balance sheet as of June 30, 2020. Upon completion of the facility's construction, all costs associated with the buildout will be recorded as manufacturing equipment and amortized over the estimated useful life of the facility.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research facility that the Company opened during the second quarter of 2020, the Company incurred approximately $1.0 million of costs acquiring necessary lab equipment to carry out its experiments.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23, 2020, the Company entered into an agreement to expand its corporate headquarters in Houston, Texas, which is expected to commence in the third or fourth quarter of 2020. The initial lease term is ten years with two five-year renewal options. Fixed rent payments under the initial term are approximately $5.6 million. Additionally, the Company is also responsible for its share of operating expenses.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April 30, 2020, the Company entered into a lease for a research facility in Houston, Texas. The lease term is 71 months. Fixed rent payments under the initial term are approximately $1.1 million. In the second quarter of 2020, the Company recorded right-of use assets and related operating lease liabilities of approximately $0.9 million as result of entering into the lease for our research facility.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26, 2020, the Company entered into a lease for a manufacturing facility in Houston, Texas. The initial lease term is ten years from the expected commencement date in the third quarter of 2020 with two five-year renewal options. Fixed rent payments under the initial term are approximately $11.1 million. Additionally, the Company is also responsible for its share of operating expenses. In the second quarter of 2020, the Company recorded right-of use assets and related operating lease liabilities of approximately $8.3 million as result of entering into the lease for its manufacturing facility.</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also leases office space under agreements classified as operating leases that expire on various dates through 2022. The Company has a remaining lease liability of $0.2 million and $0.2 million of the related right-of-use asset resulting from the lease of its corporate headquarters in Houston, Texas, which expires in 2021. In addition, the Company has a remaining lease liability of $0.2 million and $0.2 million of the related right-of-use asset from the lease of its Jacksonville, Florida office space, which expires in 2022.</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Such leases do not require any contingent rental payments, impose any financial restrictions, or contain any residual value guarantees. Certain of the Company’s leases include renewal options and escalation clauses; renewal options have not been included in the calculation of the lease liabilities and right-of-use assets as the Company is not reasonably certain to exercise the options. Variable expenses generally represent the Company’s share of the landlord’s operating expenses. The Company does not act as a lessor or have any leases classified as financing leases.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excludes short-term leases having initial terms of 12 months or less from the new accounting guidance as an accounting policy election and recognizes rent expense on a straight-line basis over the lease term. The Company has two lease agreements, an office at the Florida Atlantic Research and Development Authority and laboratory space located at the Texas Medical Center in Houston, which are included in short-term lease expense below.</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2020, the Company had operating lease liabilities of approximately $9.5 million and right-of-use assets of approximately $9.5 million, which were included in the condensed consolidated balance sheet.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summarizes quantitative information about the Company’s operating leases for the three and six months ended June 30, 2020 and 2019,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000" w:type="dxa"/>
            <w:vAlign w:val="bottom"/>
            <w:gridSpan w:val="6"/>
          </w:tcPr>
          <w:p>
            <w:pPr>
              <w:jc w:val="right"/>
              <w:ind w:right="191"/>
              <w:spacing w:after="0"/>
              <w:rPr>
                <w:sz w:val="20"/>
                <w:szCs w:val="20"/>
                <w:color w:val="auto"/>
              </w:rPr>
            </w:pPr>
            <w:r>
              <w:rPr>
                <w:rFonts w:ascii="Arial" w:cs="Arial" w:eastAsia="Arial" w:hAnsi="Arial"/>
                <w:sz w:val="14"/>
                <w:szCs w:val="14"/>
                <w:b w:val="1"/>
                <w:bCs w:val="1"/>
                <w:color w:val="auto"/>
                <w:w w:val="98"/>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75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 summary: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103,000</w:t>
            </w:r>
          </w:p>
        </w:tc>
        <w:tc>
          <w:tcPr>
            <w:tcW w:w="160" w:type="dxa"/>
            <w:vAlign w:val="bottom"/>
          </w:tcPr>
          <w:p>
            <w:pPr>
              <w:spacing w:after="0"/>
              <w:rPr>
                <w:sz w:val="18"/>
                <w:szCs w:val="18"/>
                <w:color w:val="auto"/>
              </w:rPr>
            </w:pPr>
          </w:p>
        </w:tc>
        <w:tc>
          <w:tcPr>
            <w:tcW w:w="3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55,000</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expense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lease expense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111,000</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102,000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196,000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194,000</w:t>
            </w: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Operating cash flows - operating leases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w w:val="95"/>
              </w:rPr>
              <w:t>248,000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Weighted-average remaining lease term as of June 30, 2020 – operating leases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91"/>
              </w:rPr>
              <w:t>Weighted-average discount rate as of adoption date – operating leases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418"/>
        </w:trPr>
        <w:tc>
          <w:tcPr>
            <w:tcW w:w="6520" w:type="dxa"/>
            <w:vAlign w:val="bottom"/>
            <w:gridSpan w:val="6"/>
          </w:tcPr>
          <w:p>
            <w:pPr>
              <w:spacing w:after="0"/>
              <w:rPr>
                <w:sz w:val="20"/>
                <w:szCs w:val="20"/>
                <w:color w:val="auto"/>
              </w:rPr>
            </w:pPr>
            <w:r>
              <w:rPr>
                <w:rFonts w:ascii="Arial" w:cs="Arial" w:eastAsia="Arial" w:hAnsi="Arial"/>
                <w:sz w:val="18"/>
                <w:szCs w:val="18"/>
                <w:color w:val="auto"/>
                <w:w w:val="90"/>
              </w:rPr>
              <w:t>Maturities of the Company's operating leases, excluding short-term leases, are as follows: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December 31, 2020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Year ended December 31, 2021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1,379,000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Year ended December 31, 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1,219,000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7,114,000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discount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(3,024,000)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w w:val="97"/>
              </w:rPr>
              <w:t>Operating lease liabilities included in the Condensed Consolidated Balance Sheet at June 30, 2020</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9,481,000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 as of June 30, 2020 and December 31, 2019, respectively:</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9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2,808,000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993,000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858,000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323,000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Technology license fees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105,000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243,000</w:t>
            </w: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Total accounts payable and accrued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4,528,000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1,758,000</w:t>
            </w: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 LIABILITY AND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2020, all of the Company's common stock purchase warrants previously treated as a liability expired.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summary of quantitative information with respect to valuation methodology and significant unobservable inputs used for the Company’s common stock purchase warrants that are categorized within Level 3 of the fair value hierarchy for the six months ended June 30, 2020 and 2019 is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1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Weighted Average Inputs</w:t>
            </w:r>
          </w:p>
        </w:tc>
      </w:tr>
      <w:tr>
        <w:trPr>
          <w:trHeight w:val="119"/>
        </w:trPr>
        <w:tc>
          <w:tcPr>
            <w:tcW w:w="38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98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rPr>
              <w:t>For the Six Months Ended</w:t>
            </w:r>
          </w:p>
        </w:tc>
        <w:tc>
          <w:tcPr>
            <w:tcW w:w="180" w:type="dxa"/>
            <w:vAlign w:val="bottom"/>
          </w:tcPr>
          <w:p>
            <w:pPr>
              <w:spacing w:after="0"/>
              <w:rPr>
                <w:sz w:val="10"/>
                <w:szCs w:val="10"/>
                <w:color w:val="auto"/>
              </w:rPr>
            </w:pPr>
          </w:p>
        </w:tc>
      </w:tr>
      <w:tr>
        <w:trPr>
          <w:trHeight w:val="171"/>
        </w:trPr>
        <w:tc>
          <w:tcPr>
            <w:tcW w:w="3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84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8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0.58</w:t>
            </w:r>
          </w:p>
        </w:tc>
        <w:tc>
          <w:tcPr>
            <w:tcW w:w="18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8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78 %</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Risk-free rate</w:t>
            </w:r>
          </w:p>
        </w:tc>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3"/>
          </w:tcPr>
          <w:p>
            <w:pPr>
              <w:jc w:val="right"/>
              <w:ind w:right="38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8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Liabilities Measured at Fair Value on a Recurring Basis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liabilities measured at fair value on a recurring basis are summarized below and disclosed on the balance sheet under Warrant liability: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center"/>
              <w:ind w:right="104"/>
              <w:spacing w:after="0"/>
              <w:rPr>
                <w:sz w:val="20"/>
                <w:szCs w:val="20"/>
                <w:color w:val="auto"/>
              </w:rPr>
            </w:pPr>
            <w:r>
              <w:rPr>
                <w:rFonts w:ascii="Arial" w:cs="Arial" w:eastAsia="Arial" w:hAnsi="Arial"/>
                <w:sz w:val="14"/>
                <w:szCs w:val="14"/>
                <w:b w:val="1"/>
                <w:bCs w:val="1"/>
                <w:color w:val="auto"/>
                <w:w w:val="92"/>
              </w:rPr>
              <w:t>Fair value measured at June 30, 2020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4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Quoted prices in active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jc w:val="center"/>
              <w:ind w:right="45"/>
              <w:spacing w:after="0" w:line="119" w:lineRule="exact"/>
              <w:rPr>
                <w:sz w:val="20"/>
                <w:szCs w:val="20"/>
                <w:color w:val="auto"/>
              </w:rPr>
            </w:pPr>
            <w:r>
              <w:rPr>
                <w:rFonts w:ascii="Arial" w:cs="Arial" w:eastAsia="Arial" w:hAnsi="Arial"/>
                <w:sz w:val="13"/>
                <w:szCs w:val="13"/>
                <w:b w:val="1"/>
                <w:bCs w:val="1"/>
                <w:color w:val="auto"/>
                <w:w w:val="99"/>
              </w:rPr>
              <w:t>Significant other</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center"/>
              <w:ind w:right="144"/>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5"/>
              </w:rPr>
              <w:t>Fair value at</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3"/>
              </w:rPr>
              <w:t>markets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18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4"/>
              </w:rPr>
              <w:t>(Level 3)</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3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Fair value measured at December 31, 2019</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4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Quoted prices in active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jc w:val="center"/>
              <w:ind w:right="45"/>
              <w:spacing w:after="0" w:line="119" w:lineRule="exact"/>
              <w:rPr>
                <w:sz w:val="20"/>
                <w:szCs w:val="20"/>
                <w:color w:val="auto"/>
              </w:rPr>
            </w:pPr>
            <w:r>
              <w:rPr>
                <w:rFonts w:ascii="Arial" w:cs="Arial" w:eastAsia="Arial" w:hAnsi="Arial"/>
                <w:sz w:val="13"/>
                <w:szCs w:val="13"/>
                <w:b w:val="1"/>
                <w:bCs w:val="1"/>
                <w:color w:val="auto"/>
                <w:w w:val="99"/>
              </w:rPr>
              <w:t>Significant other</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center"/>
              <w:ind w:right="144"/>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5"/>
              </w:rPr>
              <w:t>Fair value at</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3"/>
              </w:rPr>
              <w:t>markets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8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4"/>
              </w:rPr>
              <w:t>(Level 3)</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 accounting standards define fair value as the amount that would be received to sell an asset or paid to transfer a liability in an orderly transaction between market participants. As such, fair value is determined based upon assumptions that market participants would use in pricing an asset or liability. Fair value measurements are rated on a three-tier hierarchy as follows:</w:t>
      </w:r>
    </w:p>
    <w:p>
      <w:pPr>
        <w:spacing w:after="0" w:line="165" w:lineRule="exact"/>
        <w:rPr>
          <w:sz w:val="20"/>
          <w:szCs w:val="20"/>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assets or liabilities in active markets;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inputs: Inputs, other than quoted prices included in Level 1, that are observable either directly or indirectly; and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inputs: Unobservable inputs for which there is little or no market data, which require the reporting entity to develop its own assumptions.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six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six months ended June 30,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17"/>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506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2020</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Change in fair value of warrant liability</w:t>
            </w:r>
          </w:p>
        </w:tc>
        <w:tc>
          <w:tcPr>
            <w:tcW w:w="17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2020</w:t>
            </w:r>
          </w:p>
        </w:tc>
        <w:tc>
          <w:tcPr>
            <w:tcW w:w="1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10: COMMITMENTS AND CONTINGENCIES</w:t>
            </w: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6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arbitration proceeding was brought against the Company before the Financial Industry Regulatory Authority, Inc. by a broker seeking to be paid approximately $1 million as compensation for two 2018 transactions, a warrant conversion and a private placement brokered by another broker. The broker’s claims are based on a placement agent agreement for a private placement it brokered in 2017, under which it alleges it is entitled to compensation for the 2018 transactions. The Company believes it has defenses to all of the allegations and intends to vigorously defend itself in this matter.</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Footnotes #6 and #7, on March 26, 2020 the Company entered into an agreement with a vendor to design, engineer, build and eventually install modular cleanrooms in a manufacturing facility in Houston, Texas, which the Company expects to lease with a commencement date in the third quarter of 2020. The total fees for this project to be substantially completed by December 31, 2020 are estimated to be $6.0 million. As of June 30, 2020, the Company has recorded $2.6 million of construction in progress costs associated with the building of the cleanrooms.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2020, certain outstanding warrants were exercised for 458,334 shares of common stock providing aggregate proceeds to the Company of approximately $0.6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Board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2020, the Company issued an aggregate of 85,110 shares of common stock to its non-employee directors. The fair value of the common stock of approximately $0.2 million was recognized as a component of stock-based compensation expense in general and administrative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Aspire Capital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28, 2020, the Company entered into a common stock purchase agreement (the “Purchase Agreement”) with Aspire Capital Fund, LLC (“Aspire Capital”) which provides that, upon the terms and subject to the conditions and limitations set forth therein, Aspire Capital is committed to purchase up to an aggregate of $30.0 million of shares of the Company’s common stock over the 30-month term of the purchase agreement. In consideration for entering into the purchase agreement, the Company issued to Aspire Capital 345,357 shares of the Company’s common stock as a commitment fee. The Company recorded the commitment fee to additional paid in capital. As of June 30, 2020, Aspire Capital had not purchased any shares under the Purchase Agreement.</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may request daily up to 0.1 million shares to be purchased with a maximum purchase commitment of 9.2 million shares over the term of the arrangement. The purchase price will generally be 97% of the stock price on the date of purchase.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share purchase warrants as of June 30, 2020 and changes during the period is presented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 Average</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Weighted Average</w:t>
            </w:r>
          </w:p>
        </w:tc>
        <w:tc>
          <w:tcPr>
            <w:tcW w:w="2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Intrinsic</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Exercise Price</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Life (in years)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22,664,000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954,000</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Exercised for cash</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(458,000)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Expired or cancelled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8"/>
                <w:szCs w:val="18"/>
                <w:b w:val="1"/>
                <w:bCs w:val="1"/>
                <w:color w:val="auto"/>
              </w:rPr>
              <w:t>Balance - June 30, 2020</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21,381,000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w:t>
            </w:r>
          </w:p>
        </w:tc>
        <w:tc>
          <w:tcPr>
            <w:tcW w:w="22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 of 2019 Performance Bonuses and 2020 Equity Incentive Awards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10, 2020, upon the recommendation of the compensation committee and pursuant to the Company’s 2014 Omnibus Stock Ownership Plan, the Company’s board of directors approved a total of 1,170,000 options to purchase the Company’s common stock as (i) performance bonuses for 2019 performance and (ii) equity-based incentive awards to the Company’s executive officers. Each option award was granted with an exercise price of $2.12 per share, the closing price of the Company’s common stock on the Nasdaq Global Market on March 10, 2020, with the option award vesting in 48 equal monthly installments over a four-year period, subject to such executive officer’s continued service on the applicable vesting date. Additionally, on March 10, 2020, the Company issued 111,000 options to purchase the Company’s common stock to other employees of the Company as equity-based incentive awards. Each option award was granted with an exercise price of $2.12 per share, the closing price of the Company’s common stock on the Nasdaq Global Market on March 10, 2020, with the option award vesting in 48 equal monthly installments over a four-year period, subject to such executive officer’s continued service on the applicable vesting date.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above awards were in addition to stock option awards issued during the six months ended June 30, 2020 to new employees upon their commencement of employment with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2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 Intrinsic</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2020</w:t>
            </w:r>
          </w:p>
        </w:tc>
        <w:tc>
          <w:tcPr>
            <w:tcW w:w="16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4,983,000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Granted</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1,371,000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(512,500)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June 30, 2020</w:t>
            </w:r>
          </w:p>
        </w:tc>
        <w:tc>
          <w:tcPr>
            <w:tcW w:w="168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5,841,814</w:t>
            </w: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2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20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7"/>
        </w:trPr>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exercisable</w:t>
            </w:r>
          </w:p>
        </w:tc>
        <w:tc>
          <w:tcPr>
            <w:tcW w:w="16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1,793,460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864"/>
        </w:trPr>
        <w:tc>
          <w:tcPr>
            <w:tcW w:w="3680" w:type="dxa"/>
            <w:vAlign w:val="bottom"/>
          </w:tcPr>
          <w:p>
            <w:pPr>
              <w:spacing w:after="0"/>
              <w:rPr>
                <w:sz w:val="24"/>
                <w:szCs w:val="24"/>
                <w:color w:val="auto"/>
              </w:rPr>
            </w:pP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six months ended June 30, 2020 was as follows: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6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2020</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Expected term (years)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109 %</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2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1 %</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stock-based compensation expenses recorded during the respective periods: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2040" w:type="dxa"/>
            <w:vAlign w:val="bottom"/>
            <w:gridSpan w:val="5"/>
          </w:tcPr>
          <w:p>
            <w:pPr>
              <w:jc w:val="right"/>
              <w:ind w:right="195"/>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3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528,000</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593,000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1,309,000</w:t>
            </w:r>
          </w:p>
        </w:tc>
        <w:tc>
          <w:tcPr>
            <w:tcW w:w="200" w:type="dxa"/>
            <w:vAlign w:val="bottom"/>
          </w:tcPr>
          <w:p>
            <w:pPr>
              <w:spacing w:after="0"/>
              <w:rPr>
                <w:sz w:val="18"/>
                <w:szCs w:val="18"/>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1,280,000</w:t>
            </w:r>
          </w:p>
        </w:tc>
      </w:tr>
      <w:tr>
        <w:trPr>
          <w:trHeight w:val="216"/>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833,000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770,000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1,396,000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1,609,000</w:t>
            </w:r>
          </w:p>
        </w:tc>
      </w:tr>
      <w:tr>
        <w:trPr>
          <w:trHeight w:val="209"/>
        </w:trPr>
        <w:tc>
          <w:tcPr>
            <w:tcW w:w="3980" w:type="dxa"/>
            <w:vAlign w:val="bottom"/>
          </w:tcPr>
          <w:p>
            <w:pPr>
              <w:spacing w:after="0"/>
              <w:rPr>
                <w:sz w:val="20"/>
                <w:szCs w:val="20"/>
                <w:color w:val="auto"/>
              </w:rPr>
            </w:pPr>
            <w:r>
              <w:rPr>
                <w:rFonts w:ascii="Arial" w:cs="Arial" w:eastAsia="Arial" w:hAnsi="Arial"/>
                <w:sz w:val="18"/>
                <w:szCs w:val="18"/>
                <w:color w:val="auto"/>
              </w:rPr>
              <w:t>Total stock compensation expenses</w:t>
            </w:r>
          </w:p>
        </w:tc>
        <w:tc>
          <w:tcPr>
            <w:tcW w:w="14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1,361,000</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1,363,000</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2,705,000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2,889,000</w:t>
            </w: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2020, the total stock-based compensation cost related to unvested awards not yet recognized was $12.9 million. The expected weighted average period compensation costs to be recognized was approximately 3.0 years. Future option grants will impact the compensation expense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GRANT INCOME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months ended June 30, 2020, the Company received $0.5 million of a grant awarded to the Mayo Foundation from the U.S. Department of Defense to fund the Phase 2 clinical trial of TPIV100 for the treatment of HER2/neu breast cancer. The portion of the grant the Company received compensated the Company for clinical supplies manufactured by the Company for the clinical trial. In accordance with Accounting Standards Update No. 2014-09, "Revenue from Contracts with Customers (Topic 606)" issued by the Financial Accounting Standards Board, the Company recorded the $0.5 million of grant income as revenue. The Company did not record any grant income during the six months ended June 30,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related party transaction expenses recorded for the three and six months ended June 30, 2020 and 2019,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4"/>
                <w:szCs w:val="14"/>
                <w:color w:val="auto"/>
              </w:rPr>
            </w:pPr>
          </w:p>
        </w:tc>
        <w:tc>
          <w:tcPr>
            <w:tcW w:w="2000" w:type="dxa"/>
            <w:vAlign w:val="bottom"/>
            <w:gridSpan w:val="5"/>
          </w:tcPr>
          <w:p>
            <w:pPr>
              <w:jc w:val="center"/>
              <w:ind w:right="96"/>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481"/>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5"/>
              </w:rPr>
              <w:t>193,000</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2"/>
              </w:rPr>
              <w:t>112,000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5"/>
              </w:rPr>
              <w:t>447,000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5"/>
              </w:rPr>
              <w:t>237,000</w:t>
            </w: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5"/>
              </w:rPr>
              <w:t>193,000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2"/>
              </w:rPr>
              <w:t>112,000</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5"/>
              </w:rPr>
              <w:t>447,000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5"/>
              </w:rPr>
              <w:t>237,000</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detailed information for the table above is below.</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Sponsored Research Agreements with The Baylor College of Medicine (“BCM”)</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16, 2018 and February 1, 2020, in</w:t>
      </w:r>
      <w:r>
        <w:rPr>
          <w:rFonts w:ascii="Arial" w:cs="Arial" w:eastAsia="Arial" w:hAnsi="Arial"/>
          <w:sz w:val="18"/>
          <w:szCs w:val="18"/>
          <w:i w:val="1"/>
          <w:iCs w:val="1"/>
          <w:color w:val="auto"/>
        </w:rPr>
        <w:t xml:space="preserve"> </w:t>
      </w:r>
      <w:r>
        <w:rPr>
          <w:rFonts w:ascii="Arial" w:cs="Arial" w:eastAsia="Arial" w:hAnsi="Arial"/>
          <w:sz w:val="18"/>
          <w:szCs w:val="18"/>
          <w:color w:val="auto"/>
        </w:rPr>
        <w:t>furtherance of the BCM License Agreement and as contemplated by the terms thereof, the Company entered in Sponsored Research Agreements (“SRAs”) with BCM, which provided for the conduct of research for the Company by credentialed personnel at BCM’s Center for Cell and Gene Therapy.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related party transaction expenses recorded in connection with the SRAs for the three and six months ended June 30, 2020 and 2019, respectively.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5"/>
              </w:rPr>
              <w:t>For the Three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right"/>
              <w:ind w:right="196"/>
              <w:spacing w:after="0"/>
              <w:rPr>
                <w:sz w:val="20"/>
                <w:szCs w:val="20"/>
                <w:color w:val="auto"/>
              </w:rPr>
            </w:pPr>
            <w:r>
              <w:rPr>
                <w:rFonts w:ascii="Arial" w:cs="Arial" w:eastAsia="Arial" w:hAnsi="Arial"/>
                <w:sz w:val="14"/>
                <w:szCs w:val="14"/>
                <w:b w:val="1"/>
                <w:bCs w:val="1"/>
                <w:color w:val="auto"/>
                <w:w w:val="98"/>
              </w:rPr>
              <w:t>For the Six Months Ended</w:t>
            </w:r>
          </w:p>
        </w:tc>
      </w:tr>
      <w:tr>
        <w:trPr>
          <w:trHeight w:val="17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u w:val="single" w:color="auto"/>
          <w:color w:val="auto"/>
        </w:rPr>
        <w:t>Clinical Supply Agreement with BCM</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9, 2019, in furtherance of the BCM License Agreement and as contemplated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thereof, the Company entered in a Clinical Supply Agreement ("CSA") with BCM, which provided for BCM to provide to the Company multi tumor antigen specific products.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related party transaction expenses recorded in connection with the CSA for the three and six months ended June 30, 2020 and 2019,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center"/>
              <w:ind w:right="36"/>
              <w:spacing w:after="0"/>
              <w:rPr>
                <w:sz w:val="20"/>
                <w:szCs w:val="20"/>
                <w:color w:val="auto"/>
              </w:rPr>
            </w:pPr>
            <w:r>
              <w:rPr>
                <w:rFonts w:ascii="Arial" w:cs="Arial" w:eastAsia="Arial" w:hAnsi="Arial"/>
                <w:sz w:val="14"/>
                <w:szCs w:val="14"/>
                <w:b w:val="1"/>
                <w:bCs w:val="1"/>
                <w:color w:val="auto"/>
                <w:w w:val="94"/>
              </w:rPr>
              <w:t>For the Three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center"/>
              <w:ind w:right="96"/>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481"/>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5"/>
              </w:rPr>
              <w:t>100,000</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5"/>
              </w:rPr>
              <w:t>200,000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5"/>
              </w:rPr>
              <w:t>100,000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5"/>
              </w:rPr>
              <w:t>200,000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Workforce Grant Agreement with BCM</w:t>
      </w:r>
      <w:r>
        <w:rPr>
          <w:rFonts w:ascii="Arial" w:cs="Arial" w:eastAsia="Arial" w:hAnsi="Arial"/>
          <w:sz w:val="17"/>
          <w:szCs w:val="17"/>
          <w:i w:val="1"/>
          <w:iCs w:val="1"/>
          <w:color w:val="auto"/>
        </w:rPr>
        <w:t xml:space="preserve">. </w:t>
      </w:r>
      <w:r>
        <w:rPr>
          <w:rFonts w:ascii="Arial" w:cs="Arial" w:eastAsia="Arial" w:hAnsi="Arial"/>
          <w:sz w:val="17"/>
          <w:szCs w:val="17"/>
          <w:color w:val="auto"/>
        </w:rPr>
        <w:t>On October 5, 2019, in furtherance of the BCM Clinical Supply Agreement and as contemplated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terms thereof, the Company entered in a Workforce Grant Agreement ("WGA") with BCM, which provided for BCM to provide to the Company manpower costs of projects for manufacturing, quality control testing and validation run activities.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related party transaction expenses recorded in connection with the WGA for the three and six months ended June 30, 2020 and 2019,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000" w:type="dxa"/>
            <w:vAlign w:val="bottom"/>
            <w:gridSpan w:val="5"/>
          </w:tcPr>
          <w:p>
            <w:pPr>
              <w:jc w:val="center"/>
              <w:ind w:right="96"/>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481"/>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5"/>
              </w:rPr>
              <w:t>147,000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5"/>
              </w:rPr>
              <w:t>147,000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Purchases from Bio-Techne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currently utilizing Bio-Techne Corporation and one of its brands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reagents, primarily cytokines. Mr. David Eansor is a member of the Company's board of directors and is serving as the President of the Protein Sciences Segment of Bio-Techne Corporation.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related party transaction expenses recorded in connection with Bio-Techne Corporation for the three and six months ended June 30, 2020 and 2019,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5"/>
              </w:rPr>
              <w:t>For the Three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right"/>
              <w:ind w:right="196"/>
              <w:spacing w:after="0"/>
              <w:rPr>
                <w:sz w:val="20"/>
                <w:szCs w:val="20"/>
                <w:color w:val="auto"/>
              </w:rPr>
            </w:pPr>
            <w:r>
              <w:rPr>
                <w:rFonts w:ascii="Arial" w:cs="Arial" w:eastAsia="Arial" w:hAnsi="Arial"/>
                <w:sz w:val="14"/>
                <w:szCs w:val="14"/>
                <w:b w:val="1"/>
                <w:bCs w:val="1"/>
                <w:color w:val="auto"/>
                <w:w w:val="98"/>
              </w:rPr>
              <w:t>For the Six Months Ended</w:t>
            </w:r>
          </w:p>
        </w:tc>
      </w:tr>
      <w:tr>
        <w:trPr>
          <w:trHeight w:val="17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39,000</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39,000</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Consulting Agreement with Dr. Juan Vera</w:t>
      </w:r>
      <w:r>
        <w:rPr>
          <w:rFonts w:ascii="Arial" w:cs="Arial" w:eastAsia="Arial" w:hAnsi="Arial"/>
          <w:sz w:val="16"/>
          <w:szCs w:val="16"/>
          <w:i w:val="1"/>
          <w:iCs w:val="1"/>
          <w:color w:val="auto"/>
        </w:rPr>
        <w:t xml:space="preserve">. </w:t>
      </w:r>
      <w:r>
        <w:rPr>
          <w:rFonts w:ascii="Arial" w:cs="Arial" w:eastAsia="Arial" w:hAnsi="Arial"/>
          <w:sz w:val="16"/>
          <w:szCs w:val="16"/>
          <w:color w:val="auto"/>
        </w:rPr>
        <w:t>On October 19, 2018, after the closing of the Company’s merger, the Company entered into a</w:t>
      </w:r>
      <w:r>
        <w:rPr>
          <w:rFonts w:ascii="Arial" w:cs="Arial" w:eastAsia="Arial" w:hAnsi="Arial"/>
          <w:sz w:val="16"/>
          <w:szCs w:val="16"/>
          <w:i w:val="1"/>
          <w:iCs w:val="1"/>
          <w:color w:val="auto"/>
        </w:rPr>
        <w:t xml:space="preserve"> </w:t>
      </w:r>
      <w:r>
        <w:rPr>
          <w:rFonts w:ascii="Arial" w:cs="Arial" w:eastAsia="Arial" w:hAnsi="Arial"/>
          <w:sz w:val="16"/>
          <w:szCs w:val="16"/>
          <w:color w:val="auto"/>
        </w:rPr>
        <w:t>consulting agreement with Dr. Juan Vera, a member of the Company’s board of directors, to serve as the Company’s Chief Development Officer. On September 1, 2019, Dr. Vera became an employee of the Company and his consulting agreement was terminated.</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2019, the Company incurred approximately $88,000 and $175,000, respectively, of expenses under Dr. Vera’s consulting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3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Such risks and uncertainties may be amplified by the COVID-19 pandemic and its potential impact on our business and the global economy.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should be read in conjunction with our unaudited condensed consolidated interim financial statements and related notes for the six months ended June 30, 2020 included in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pipelines of product candidates as part of our MultiTAA-specific T cell program: the autologous T cells for the treatment of lymphoma, multiple myeloma, or MM, and selected solid tumors and the allogeneic T cells for the treatment of acute myeloid leukemia, or AML, and acute lymphoblastic leukemia, or ALL. Because we do not genetically engineer the MultiTAA-specific T cell therapies, we believe that our product candidates are easier and less expensive to manufacture, have lower toxicities than current engineered chimeric antigen receptor, or CAR-T, and T cell receptor-based therapies and may provide patients with meaningful clinical benefit. We are also developing innovative peptide-based immunotherapeutic vaccines for the treatment of metastatic solid tumors.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pursuing post-transplant AML as the lead indication for our first company-sponsored MultiTAA-specific T cell program. The MultiTAA-specific T cell therapy has been well tolerated in an ongoing Phase 1 clinical trial conducted by our strategic partner Baylor College of Medicine, or BCM. As reported in March 2019, eleven of the thirteen patients in the adjuvant disease setting dosed with the MultiTAA-specific T cell therapy after receiving an allogeneic stem cell transplant survived, ranging from 6 weeks to 2.5 years post-infusion, with nine of these remaining patients in continuing complete remission, or CCR. Survival of the six patients with active disease ranged from 4 to 21 months, as compared to a historical survival rate of approximately 4.5 months for patients who receive the standard of care post-transplant.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submitted an investigational new drug, or IND, application to the United States Food and Drug Administration, or the FDA, to initiate a Phase 2 clinical trial of MultiTAA-specific T cell therapy, which we refer to as MT-401 (zelenoleucel), in post-allogeneic hematopoietic stem cell transplant patients with AML in both the adjuvant and active disease setting. The dose administered in this multicenter trial is the approximate flat dose equivalent of the current maximum tolerated dose from the ongoing Phase 1 trial. In the adjuvant setting, patients will be randomized to either MultiTAA-specific T cell therapy at approximately 90 days post-transplant versus standard of care observation, while the active disease patients will receive MT-401 following relapse post-transplant as part of a single-arm group. In February 2020, we announced that the FDA has permitted us to initiate our Phase 2 clinical trial beginning with a safety lead-in portion of the trial. We expect that we will be delayed in initiating this trial per previously communicated timelines due to the COVID-19 pandemic. See “—Clinical Program Updates.” In April 2020, the FDA granted orphan drug designation to MT-401 for the treatment of AML after receiving an allogenic stem cell transplant.</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reported interim data for an ongoing Phase 1/2 clinical trial of the MultiTAA-specific T cell therapy for the treatment of pancreatic adenocarcinoma being conducted by BCM. In this trial, we have observed a clinical benefit correlated with the post-infusion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cytokine release syndrome or neurotoxicity in this trial.</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also evaluating the MultiTAA-specific T cell therapies in a Phase 2 clinical trial for the treatment of breast cancer and in Phase 1 clinical trials for the treatment of ALL, lymphoma, MM and sarcoma, all of which are being conducted by BCM. As of December 2019, the MultiTAA-specific T cell therapies have been generally well tolerated by all of the patients enrolled in clinical trials in hematological and solid tumor indications with no incidents of cytokine release syndrome or neurotoxicity, which are frequently associated with CAR-T therapies. Our ongoing clinical trials may be also affected by the COVID-19 pandemic. Based on our observations in clinical trials in AML, pancreatic cancer, lymphoma, ALL and MM, we believe that the MultiTAA-specific T cell therapies have the potential to mediate a meaningful anti-tumor effect, as well as significant in vivo expansion of T cells. We may initiate additional Phase 2 clinical trials investigating other indications in addition to our planned Phase 2 trial in post-transplant AML patients.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clinical-stage pipeline, including clinical trials being conducted by BCM and other partners,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151765</wp:posOffset>
            </wp:positionV>
            <wp:extent cx="4483100" cy="1877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8310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MT-401 (zelenoleucel) for the Treatment of Post-Transplant AML</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2020, we announced that the FDA lifted the clinical hold on the Phase 2 clinical trial investigating the safety and efficacy of MT-401 for the treatment of patients with AML post-transplant permitting us to initiate the trial with the safety lead-in portion that is expected to enroll approximately six patients. Three patients will be dosed with MT-401 manufactured with the legacy reagent used in the Phase 1 trial, and three patients will be dosed with MT-401 manufactured using a new reagent from an alternative supplier. We anticipate using this supplier for clinical and commercial manufacturing of MT-401. The FDA placed a partial clinical hold on the trial for the use of the MT-401 product manufactured using one of the reagents supplied by the alternative supplier until the final data and certificate of analysis for the reagent are reviewed and accepted by the FDA. As a result of the COVID-19 pandemic, we may be delayed in our ability to enroll the first three patients in the safety lead-in portion of the trial, but we continue to work to identify clinical trial sites. Further, our alternate supplier has notified us that they will also be delayed in providing the new reagent for MT-401, along with the final data and certificate of analysis required by the FDA to satisfy the requirements for lifting the partial hold. Accordingly, we expect that we will be delayed in initiating the Phase 2 trial per previously communicated timelines.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Results of Phase 1 Trial of MultiTAA-specific T cell Therapy for the Treatment of Pancreatic Adenocarcinoma</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2020, we reported additional interim data of a cohort of patients receiving MultiTAA-specific T cell therapy in combination with standard-of-care chemotherapy in the first-line setting (Arm A). Arm A is evaluating the safety and potential efficacy of using MultiTAA-specific T cells in the first line setting for chemo-responsive patients with locally advanced or metastatic pancreatic adenocarcinoma. Patients in Arm A receive at least three months of standard-of-care chemotherapy (gemcitabine/nab-paclitaxel or FOLFIRINOX) - the period during which a response to chemotherapy would typically occur - before receiving up to six administrations of MultiTAA-specific T cells in conjunction with chemotherapy.</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Between June 2018 and December 2019, 13 patients have been treated, each of whom received up to six monthly infusions of 1x10</w:t>
      </w:r>
      <w:r>
        <w:rPr>
          <w:rFonts w:ascii="Arial" w:cs="Arial" w:eastAsia="Arial" w:hAnsi="Arial"/>
          <w:sz w:val="25"/>
          <w:szCs w:val="25"/>
          <w:color w:val="auto"/>
          <w:vertAlign w:val="superscript"/>
        </w:rPr>
        <w:t>7</w:t>
      </w:r>
      <w:r>
        <w:rPr>
          <w:rFonts w:ascii="Arial" w:cs="Arial" w:eastAsia="Arial" w:hAnsi="Arial"/>
          <w:sz w:val="17"/>
          <w:szCs w:val="17"/>
          <w:color w:val="auto"/>
        </w:rPr>
        <w:t xml:space="preserve"> MultiTAA-specific T cells/m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conjunction with ongoing first-line chemotherapy and without prior lymphodepletion. For 12 of the 13 patients, sufficient cells for all six planned doses were generated; two doses were available for the remaining patient.</w:t>
      </w:r>
    </w:p>
    <w:p>
      <w:pPr>
        <w:spacing w:after="0" w:line="204" w:lineRule="exact"/>
        <w:rPr>
          <w:sz w:val="20"/>
          <w:szCs w:val="20"/>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 of the 13 evaluable patients (best overall response):</w:t>
      </w:r>
    </w:p>
    <w:p>
      <w:pPr>
        <w:spacing w:after="0" w:line="16" w:lineRule="exact"/>
        <w:rPr>
          <w:sz w:val="20"/>
          <w:szCs w:val="20"/>
          <w:color w:val="auto"/>
        </w:rPr>
      </w:pPr>
    </w:p>
    <w:p>
      <w:pPr>
        <w:ind w:left="1340" w:hanging="333"/>
        <w:spacing w:after="0"/>
        <w:tabs>
          <w:tab w:leader="none" w:pos="134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4 patients experienced objective responses after administration of MultiTAA cells;</w:t>
      </w:r>
    </w:p>
    <w:p>
      <w:pPr>
        <w:ind w:left="1340" w:hanging="333"/>
        <w:spacing w:after="0" w:line="232" w:lineRule="auto"/>
        <w:tabs>
          <w:tab w:leader="none" w:pos="134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1 patient experienced a radiographic complete response occurring at month 9 after starting chemotherapy;</w:t>
      </w:r>
    </w:p>
    <w:p>
      <w:pPr>
        <w:ind w:left="1340" w:hanging="333"/>
        <w:spacing w:after="0" w:line="232" w:lineRule="auto"/>
        <w:tabs>
          <w:tab w:leader="none" w:pos="134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3 patients experienced partial responses per RECIST occurring at 6-9 months after starting chemotherapy;</w:t>
      </w:r>
    </w:p>
    <w:p>
      <w:pPr>
        <w:ind w:left="1340" w:hanging="333"/>
        <w:spacing w:after="0" w:line="232" w:lineRule="auto"/>
        <w:tabs>
          <w:tab w:leader="none" w:pos="134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6 patients experienced stable disease;</w:t>
      </w:r>
    </w:p>
    <w:p>
      <w:pPr>
        <w:ind w:left="1340" w:hanging="333"/>
        <w:spacing w:after="0" w:line="242" w:lineRule="auto"/>
        <w:tabs>
          <w:tab w:leader="none" w:pos="134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1 patient experienced a mixed response (some lesions increased in size and others decreased for a net zero change in size of tumor lesions);</w:t>
      </w:r>
    </w:p>
    <w:p>
      <w:pPr>
        <w:spacing w:after="0" w:line="200"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Patients had durable cancer control with 9 of the 13 patients exceeding historical control of overall survival;</w:t>
      </w:r>
    </w:p>
    <w:p>
      <w:pPr>
        <w:spacing w:after="0" w:line="225"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5 patients enrolled in the study were not administered MultiTAA-specific T cells, either because of disease progression (4 patients) which made them ineligible for treatment, or because insufficient starting material from the patient was available for manufacturing (1 patient);</w:t>
      </w:r>
    </w:p>
    <w:p>
      <w:pPr>
        <w:spacing w:after="0" w:line="183"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Evidence of epitope-spreading was observed in all responders, suggesting that the MultiTAA T cell therapy triggered the recruitment of a broader endogenous immune system response for improved anti-tumor activity;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infusion-related reactions, cytokine release syndrome or neurotoxicity was observed.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this discussion of our results of operations and financial condition, amounts, other than per-share amounts, have been rounded to the nearest thousand dollars.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2020 and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three months ended June 30, 2020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9"/>
              </w:rPr>
              <w:t>For the 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467,000</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467,000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3,152,000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1,125,000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2,547,000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2,721,000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6,824,000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5,874,000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(6,358,000)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(5,874,000)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(484,000)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9"/>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6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(6,342,000)</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(5,570,000)</w:t>
            </w:r>
          </w:p>
        </w:tc>
        <w:tc>
          <w:tcPr>
            <w:tcW w:w="1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(772,000)</w:t>
            </w:r>
          </w:p>
        </w:tc>
        <w:tc>
          <w:tcPr>
            <w:tcW w:w="16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(0.14)</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common shares outstanding</w:t>
            </w: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46,573,000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45,501,000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1,072,000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June 30, 2020, we received $0.5 million of a grant awarded to the Mayo Foundation from the U.S. Department of Defense to fund the Phase 2 clinical trial of TPIV100 for the treatment of HER2/neu breast cancer. The portion of the grant we received compensated us for clinical supplies manufactured by us for the clinical trial. We did not receive any grant income during the three months ended June 30,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incurred during the three months ended June 30, 2020 were $6.8 million compared to $5.9 million during the three months ended June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and expenditures in operating expenses are outlined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increased by 36% to $4.3 million for the three months ended June 30, 2020, compared to $3.2 million for the three months ended June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$1.1 million in 2020 was primarily attributable to the following:</w:t>
      </w:r>
    </w:p>
    <w:p>
      <w:pPr>
        <w:spacing w:after="0" w:line="225" w:lineRule="exact"/>
        <w:rPr>
          <w:sz w:val="20"/>
          <w:szCs w:val="20"/>
          <w:color w:val="auto"/>
        </w:rPr>
      </w:pPr>
    </w:p>
    <w:p>
      <w:pPr>
        <w:ind w:left="1000" w:hanging="317"/>
        <w:spacing w:after="0"/>
        <w:tabs>
          <w:tab w:leader="none" w:pos="1000" w:val="left"/>
        </w:tabs>
        <w:numPr>
          <w:ilvl w:val="0"/>
          <w:numId w:val="8"/>
        </w:numPr>
        <w:rPr>
          <w:rFonts w:ascii="Courier New" w:cs="Courier New" w:eastAsia="Courier New" w:hAnsi="Courier New"/>
          <w:sz w:val="16"/>
          <w:szCs w:val="16"/>
          <w:color w:val="auto"/>
        </w:rPr>
      </w:pPr>
      <w:r>
        <w:rPr>
          <w:rFonts w:ascii="Arial" w:cs="Arial" w:eastAsia="Arial" w:hAnsi="Arial"/>
          <w:sz w:val="16"/>
          <w:szCs w:val="16"/>
          <w:color w:val="auto"/>
        </w:rPr>
        <w:t>increase of $0.6 million in headcount-related expenses as we increased the number of research and development personnel,</w:t>
      </w:r>
    </w:p>
    <w:p>
      <w:pPr>
        <w:spacing w:after="0" w:line="233" w:lineRule="exact"/>
        <w:rPr>
          <w:rFonts w:ascii="Courier New" w:cs="Courier New" w:eastAsia="Courier New" w:hAnsi="Courier New"/>
          <w:sz w:val="16"/>
          <w:szCs w:val="16"/>
          <w:color w:val="auto"/>
        </w:rPr>
      </w:pPr>
    </w:p>
    <w:p>
      <w:pPr>
        <w:ind w:left="1000" w:hanging="317"/>
        <w:spacing w:after="0"/>
        <w:tabs>
          <w:tab w:leader="none" w:pos="10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increase of $0.8 million in process development expenses,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increase of $0.1 million in sponsored research expenses from BCM agreements,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hanging="317"/>
        <w:spacing w:after="0"/>
        <w:tabs>
          <w:tab w:leader="none" w:pos="10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increase of $0.1 million in other expenses, and</w:t>
      </w:r>
    </w:p>
    <w:p>
      <w:pPr>
        <w:spacing w:after="0" w:line="209" w:lineRule="exact"/>
        <w:rPr>
          <w:rFonts w:ascii="Courier New" w:cs="Courier New" w:eastAsia="Courier New" w:hAnsi="Courier New"/>
          <w:sz w:val="18"/>
          <w:szCs w:val="18"/>
          <w:color w:val="auto"/>
        </w:rPr>
      </w:pPr>
    </w:p>
    <w:p>
      <w:pPr>
        <w:ind w:left="1000" w:hanging="317"/>
        <w:spacing w:after="0" w:line="259" w:lineRule="auto"/>
        <w:tabs>
          <w:tab w:leader="none" w:pos="10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decrease of $0.5 million in our peptide vaccine clinical trial expenses due to the stages of ongoing clinical trials and the decreased number of active patients in such trials.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General and administrative expenses were $ 2.5 million and $2.7 million for the three months ended June 30, 2020 and 2019, respectively. The decrease in general and administrative expenses was mainly comprised of a decrease in legal and professional fees.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Change in fair value of warrant liabilities for the three months ended June 30, 2020 was $0 as compared to $(7,000) for the three months ended June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was $16,000 and $0.3 million for the three months ended June 30, 2020 and 2019, respectively, and was attributable to interest income relating to funds that are held in U.S. Treasury notes and U.S. government agency-backed securities. As part of the reaction to the COVID-19 pandemic, the Federal Reserve cut rates in mid-March to a range of 0.0% - 0.25%. As such, we recorded lower interest income during the three months ended June 30,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recorded a net loss of $6.3 million, or a net loss per share, basic and diluted of $(0.14), during the three months ended June 30, 2020, compared to a net loss of $5.6 million, or a net loss per share, basic and diluted of $(0.12), during the three months ended June 30, 2019. The increase in our net loss during the three months ended June 30, 2020 compared to during the three months ended June 30, 2019 was due to the continued expansion of our research and development activities, increased expenses relating to current and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six months ended June 30, 2020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For the Six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467,000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2,109,000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5,374,000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5,527,000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(153,000)</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13,468,000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11,512,000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1,956,000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Loss from operations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(13,001,000)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0"/>
              </w:rPr>
              <w:t>(11,512,000)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(1,489,000)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(496,000)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9"/>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5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(12,827,000)</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(10,889,000)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(1,938,000)</w:t>
            </w:r>
          </w:p>
        </w:tc>
        <w:tc>
          <w:tcPr>
            <w:tcW w:w="1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common shares outstanding</w:t>
            </w: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46,329,000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45,484,000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845,000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2020, we received $0.5 million of a grant awarded to the Mayo Foundation from the U.S. Department of Defense to fund the Phase 2 clinical trial of TPIV100 for the treatment of HER2/neu breast cancer. The portion of the grant we received compensated us for clinical supplies manufactured by us for the clinical trial. We did not receive any grant income during the six months ended June 30,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incurred during the six months ended June 30, 2020 were $13.5 million compared to $11.5 million during the six months ended June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and expenditures in operating expenses are outlined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increased by 35% to $8.1 million for the six months ended June 30, 2020, compared to $6.0 million for the six months ended June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$2.1 million in 2020 was primarily attributable to the following:</w:t>
      </w:r>
    </w:p>
    <w:p>
      <w:pPr>
        <w:spacing w:after="0" w:line="225" w:lineRule="exact"/>
        <w:rPr>
          <w:sz w:val="20"/>
          <w:szCs w:val="20"/>
          <w:color w:val="auto"/>
        </w:rPr>
      </w:pPr>
    </w:p>
    <w:p>
      <w:pPr>
        <w:ind w:left="1000" w:hanging="317"/>
        <w:spacing w:after="0"/>
        <w:tabs>
          <w:tab w:leader="none" w:pos="1000" w:val="left"/>
        </w:tabs>
        <w:numPr>
          <w:ilvl w:val="0"/>
          <w:numId w:val="10"/>
        </w:numPr>
        <w:rPr>
          <w:rFonts w:ascii="Courier New" w:cs="Courier New" w:eastAsia="Courier New" w:hAnsi="Courier New"/>
          <w:sz w:val="16"/>
          <w:szCs w:val="16"/>
          <w:color w:val="auto"/>
        </w:rPr>
      </w:pPr>
      <w:r>
        <w:rPr>
          <w:rFonts w:ascii="Arial" w:cs="Arial" w:eastAsia="Arial" w:hAnsi="Arial"/>
          <w:sz w:val="16"/>
          <w:szCs w:val="16"/>
          <w:color w:val="auto"/>
        </w:rPr>
        <w:t>increase of $1.4 million in headcount-related expenses as we increased the number of research and development personnel,</w:t>
      </w:r>
    </w:p>
    <w:p>
      <w:pPr>
        <w:spacing w:after="0" w:line="233" w:lineRule="exact"/>
        <w:rPr>
          <w:rFonts w:ascii="Courier New" w:cs="Courier New" w:eastAsia="Courier New" w:hAnsi="Courier New"/>
          <w:sz w:val="16"/>
          <w:szCs w:val="16"/>
          <w:color w:val="auto"/>
        </w:rPr>
      </w:pPr>
    </w:p>
    <w:p>
      <w:pPr>
        <w:ind w:left="1000" w:hanging="317"/>
        <w:spacing w:after="0"/>
        <w:tabs>
          <w:tab w:leader="none" w:pos="100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increase of $1.5 million in process development expenses,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increase of $0.1 million in sponsored research expenses from BCM agreements,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increase of $0.2 million in other expenses, and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hanging="317"/>
        <w:spacing w:after="0" w:line="259" w:lineRule="auto"/>
        <w:tabs>
          <w:tab w:leader="none" w:pos="100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decrease of $1.1 million in our peptide vaccine clinical trial expenses due to the stages of ongoing clinical trials and the decreased number of active patients in such trials.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were $5.4 million and $5.5 million for the six months ended June 30, 2020 and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general and administrative expenses was mainly comprised of a decrease in legal and professional fees and other.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Change in fair value of warrant liabilities for the six months ended June 30, 2020 was $31,000 as compared to $(16,000) for the six months ended June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was $0.1 million and $0.6 million for the six months ended June 30, 2020 and 2019, respectively, and was attributable to interest income relating to funds that are held in U.S. Treasury notes and U.S. government agency-backed securities. As part of the reaction to the COVID-19 pandemic, the Federal Reserve cut rates in mid-March to a range of 0.0% - 0.25%. As such, we recorded lower interest income during the six months ended June 30,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recorded a net loss of $12.8 million, or a net loss per share, basic and diluted of $(0.28), during the six months ended June 30, 2020, compared to a net loss of $10.9 million, or a net loss per share, basic and diluted of $(0.24), during the six months ended June 30, 2019. The increase in our net loss during the six months ended June 30, 2020 compared to during the six months ended June 30, 2019 was due to the continued expansion of our research and development activities, increased expenses relating to current and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generated any revenues from product sales since inception. We have financed our operations primarily through public and private offerings of our debt and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and cash equivalents and working capital as of June 30, 2020 and December 31,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79"/>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9"/>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380" w:type="dxa"/>
            <w:vAlign w:val="bottom"/>
            <w:tcBorders>
              <w:bottom w:val="single" w:sz="8" w:color="CCEEFF"/>
            </w:tcBorders>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32,124,000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43,904,000</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Working capital</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29,776,000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43,494,000</w:t>
            </w:r>
          </w:p>
        </w:tc>
      </w:tr>
      <w:tr>
        <w:trPr>
          <w:trHeight w:val="850"/>
        </w:trPr>
        <w:tc>
          <w:tcPr>
            <w:tcW w:w="3380" w:type="dxa"/>
            <w:vAlign w:val="bottom"/>
          </w:tcPr>
          <w:p>
            <w:pPr>
              <w:spacing w:after="0"/>
              <w:rPr>
                <w:sz w:val="24"/>
                <w:szCs w:val="24"/>
                <w:color w:val="auto"/>
              </w:rPr>
            </w:pPr>
          </w:p>
        </w:tc>
        <w:tc>
          <w:tcPr>
            <w:tcW w:w="4180" w:type="dxa"/>
            <w:vAlign w:val="bottom"/>
          </w:tcPr>
          <w:p>
            <w:pPr>
              <w:jc w:val="right"/>
              <w:ind w:right="241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0"/>
        </w:trPr>
        <w:tc>
          <w:tcPr>
            <w:tcW w:w="33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June 30, 2020 and 2019:</w:t>
      </w:r>
    </w:p>
    <w:p>
      <w:pPr>
        <w:spacing w:after="0" w:line="230"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For the Six Months Ended</w:t>
      </w:r>
    </w:p>
    <w:p>
      <w:pPr>
        <w:jc w:val="center"/>
        <w:ind w:left="732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(8,401,000)</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(8,060,000)</w:t>
            </w:r>
          </w:p>
        </w:tc>
      </w:tr>
      <w:tr>
        <w:trPr>
          <w:trHeight w:val="216"/>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(305,000)</w:t>
            </w:r>
          </w:p>
        </w:tc>
      </w:tr>
      <w:tr>
        <w:trPr>
          <w:trHeight w:val="216"/>
        </w:trPr>
        <w:tc>
          <w:tcPr>
            <w:tcW w:w="7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63,000</w:t>
            </w:r>
          </w:p>
        </w:tc>
      </w:tr>
      <w:tr>
        <w:trPr>
          <w:trHeight w:val="209"/>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(11,779,000)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(8,302,000)</w:t>
            </w:r>
          </w:p>
        </w:tc>
      </w:tr>
      <w:tr>
        <w:trPr>
          <w:trHeight w:val="20"/>
        </w:trPr>
        <w:tc>
          <w:tcPr>
            <w:tcW w:w="7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during the six months ended June 30, 2020 was $8.4 million. The use of cash primarily related to our net loss of $12.8 million, in addition to the effect of changes in asset and liability accounts, including an increase in prepaid expenses and deposits of $1.1 million, an increase in accounts payable and accrued liabilities of $2.8 million, a decrease in interest receivable of $53,000 and an increase in lease liabilities of $0.3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during the six months ended June 30, 2019 was $8.1 million. The use of cash primarily related to our net loss of $10.9 million, in addition to the effect of changes in asset and liability accounts, including an increase in prepaid expenses and deposits of $350,000, an increase in accounts payable and accrued liabilities of $225,000, a decrease in lease liabilities of $90,000 and a decrease in interest receivable of $10,000.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$3.9 million and $0.3 million for the purchase of property and equipment during the six months ended June 30, 2020 and 2019, respectively. The increase relates to $2.6 million in construction in progress towards the new modular cleanrooms in our manufacturing facility, an additional $1.0 million in laboratory equipment and $0.3 million in leasehold improvements at the new research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$550,000 during the six months ended June 30, 2020, due to the exercise of stock warrants. Net cash provided by financing activities was $63,000 during the six months ended June 30, 2019, due to the exercise of stock warrants and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June 30, 2020, we had working capital of $29.8 million, compared to working capital of $43.5 million as of December 31, 2019. Based on our revised clinical and research and development plans and our revised timing expectations related to the progress of our programs, and buildout of manufacturing and research facilities, and expansion of our corporate headquarters, we expect that our cash and cash equivalents as of June 30, 2020 will enable us to fund our operating expenses and capital expenditure requirements into the second quarter of 2021. We have based this estimate on assumptions that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7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or continue clinical trials of our product candidates;</w:t>
      </w:r>
    </w:p>
    <w:p>
      <w:pPr>
        <w:spacing w:after="0" w:line="23"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the research and development of our product candidates and seek to discover additional product candidates;seek regulatory approvals for our product candidates if they successfully complete clinical trials;</w:t>
      </w:r>
    </w:p>
    <w:p>
      <w:pPr>
        <w:ind w:left="660" w:hanging="652"/>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scale-up manufacturing capabilities to commercialize any product candidates that may receive regulatory approval;</w:t>
      </w: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 strategic transactions we may undertake; and</w:t>
      </w:r>
    </w:p>
    <w:p>
      <w:pPr>
        <w:spacing w:after="0" w:line="9" w:lineRule="exact"/>
        <w:rPr>
          <w:rFonts w:ascii="Arial" w:cs="Arial" w:eastAsia="Arial" w:hAnsi="Arial"/>
          <w:sz w:val="18"/>
          <w:szCs w:val="18"/>
          <w:color w:val="auto"/>
        </w:rPr>
      </w:pPr>
    </w:p>
    <w:p>
      <w:pPr>
        <w:ind w:left="660" w:right="20" w:hanging="652"/>
        <w:spacing w:after="0" w:line="290"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2020, we have entered into agreements to buildout a manufacturing facility, to lease a research lab and to expand our corporate headquarters in Houston, Texas. A summary of these future capital requirements is below:</w:t>
      </w:r>
    </w:p>
    <w:p>
      <w:pPr>
        <w:spacing w:after="0" w:line="170" w:lineRule="exact"/>
        <w:rPr>
          <w:sz w:val="20"/>
          <w:szCs w:val="20"/>
          <w:color w:val="auto"/>
        </w:rPr>
      </w:pPr>
    </w:p>
    <w:p>
      <w:pPr>
        <w:jc w:val="both"/>
        <w:ind w:left="680" w:hanging="321"/>
        <w:spacing w:after="0" w:line="259"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March 23, 2020, we entered into an agreement to expand our corporate headquarters in Houston, Texas, which is expected to commence in the third quarter of 2020. The initial lease term is ten years with two five-year renewal options. Fixed rent payments under the initial term are approximately $5.6 million. Additionally, we are also responsible for our share of operating expenses.</w:t>
      </w:r>
    </w:p>
    <w:p>
      <w:pPr>
        <w:spacing w:after="0" w:line="186" w:lineRule="exact"/>
        <w:rPr>
          <w:rFonts w:ascii="Arial" w:cs="Arial" w:eastAsia="Arial" w:hAnsi="Arial"/>
          <w:sz w:val="18"/>
          <w:szCs w:val="18"/>
          <w:color w:val="auto"/>
        </w:rPr>
      </w:pPr>
    </w:p>
    <w:p>
      <w:pPr>
        <w:jc w:val="both"/>
        <w:ind w:left="680" w:right="20" w:hanging="321"/>
        <w:spacing w:after="0" w:line="263"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March 26, 2020 we entered into an agreement with a vendor to design, engineer, build and eventually install modular cleanrooms in the manufacturing facility in Houston, Texas. The total fees for this project to be substantially completed by December 31, 2020 are estimated to be $6.0 million.</w:t>
      </w:r>
    </w:p>
    <w:p>
      <w:pPr>
        <w:spacing w:after="0" w:line="183" w:lineRule="exact"/>
        <w:rPr>
          <w:rFonts w:ascii="Arial" w:cs="Arial" w:eastAsia="Arial" w:hAnsi="Arial"/>
          <w:sz w:val="18"/>
          <w:szCs w:val="18"/>
          <w:color w:val="auto"/>
        </w:rPr>
      </w:pPr>
    </w:p>
    <w:p>
      <w:pPr>
        <w:jc w:val="both"/>
        <w:ind w:left="680" w:right="20" w:hanging="321"/>
        <w:spacing w:after="0" w:line="263"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April 30, 2020, we entered into a lease for a research facility in Houston, Texas. The lease term is 71 months. Fixed rent payments under the initial term are approximately $1.1 million. Additionally, we are also responsible for our share of operating expenses.</w:t>
      </w:r>
    </w:p>
    <w:p>
      <w:pPr>
        <w:spacing w:after="0" w:line="183" w:lineRule="exact"/>
        <w:rPr>
          <w:rFonts w:ascii="Arial" w:cs="Arial" w:eastAsia="Arial" w:hAnsi="Arial"/>
          <w:sz w:val="18"/>
          <w:szCs w:val="18"/>
          <w:color w:val="auto"/>
        </w:rPr>
      </w:pPr>
    </w:p>
    <w:p>
      <w:pPr>
        <w:jc w:val="both"/>
        <w:ind w:left="680" w:hanging="321"/>
        <w:spacing w:after="0" w:line="286" w:lineRule="auto"/>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June 26, 2020, we entered into a lease for a manufacturing facility in Houston, Texas. The initial lease term is ten years from the expected commencement date in the third quarter 2020, with two five-year renewal options. Fixed rent payments under the initial term are approximately $11.1 million. Additionally, we are responsible for our share of operating expenses.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foregoing, based on our current assessment, we do not expect any material impact on our long-term liquidity due to the COVID-19 pandemic. However, we will continue to assess the effect of the pandemic on our operations. The extent to which the COVID-19 pandemic will impact our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Aspire Common Stock Purchase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2020, we entered into a common stock purchase agreement, or the Purchase Agreement, with Aspire Capital Fund, LLC, or Aspire Capital, which provides that, upon the terms and subject to the conditions and limitations set forth therein, Aspire Capital is committed to purchase up to an aggregate of $30.0 million of shares of our common stock over the 30-month term of the Purchase Agreement. As of June 30, 2020, Aspire Capital had not purchased any shares under the Purchase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consideration for entering into the Purchase Agreement, concurrently with the execution of the Purchase Agreement, we issued to Aspire Capital 345,357 shares of our common stock, or the Commitment Shares. Under the Purchase Agreement, on any trading day selected by the Company, the Company has the right, in its sole discretion, to present Aspire Capital with a Purchase Notice directing Aspire Capital (as principal) to purchase up to 100,000 shares of our common stock per business day, up to $30.0 million of our common stock in the aggregate at a Purchase Price equal to the lesser of:</w:t>
      </w:r>
    </w:p>
    <w:p>
      <w:pPr>
        <w:spacing w:after="0" w:line="188" w:lineRule="exact"/>
        <w:rPr>
          <w:sz w:val="20"/>
          <w:szCs w:val="20"/>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lowest sale price of our common stock on the purchase date; or</w:t>
      </w:r>
    </w:p>
    <w:p>
      <w:pPr>
        <w:spacing w:after="0" w:line="23" w:lineRule="exact"/>
        <w:rPr>
          <w:rFonts w:ascii="Arial" w:cs="Arial" w:eastAsia="Arial" w:hAnsi="Arial"/>
          <w:sz w:val="18"/>
          <w:szCs w:val="18"/>
          <w:color w:val="auto"/>
        </w:rPr>
      </w:pPr>
    </w:p>
    <w:p>
      <w:pPr>
        <w:ind w:left="680" w:right="20" w:hanging="321"/>
        <w:spacing w:after="0" w:line="260"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arithmetic average of the three lowest closing sale prices for our common stock during the ten consecutive trading days ending on the trading day immediately preceding the purchase date.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and Aspire Capital also may mutually agree to increase the number of shares that may be sold to as much as an additional 2,000,000 shares per business day.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on any date on which we submit a Purchase Notice to Aspire Capital in an amount equal to at least 100,000 shares, we also have the right, in our sole discretion, to present Aspire Capital with a volume-weighted average price purchase notice, or a VWAP Purchase Notice, directing Aspire Capital to purchase an amount of stock equal to up to 30% of the aggregate shares of our common stock traded on its principal market on the next trading day, which we refer to as the VWAP Purchase Date, subject to a maximum number of shares we may determine. The purchase price per share pursuant to such VWAP Purchase Notice is generally 97% of the volume-weighted average price for our common stock traded on its principal market on the VWAP. We may deliver multiple Purchase Notices and VWAP Purchase Notices to Aspire Capital from time to time during the term of the Purchase Agreement, so long as the most recent purchase has been completed.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Purchase Agreement provides that we and Aspire Capital shall not effect any sales under the Purchase Agreement on any purchase date where the closing sale price of our common stock is less than $0.25. There are no trading volume requirements or restrictions under the Purchase Agreement, and we will control the timing and amount of sales of our common stock to Aspire Capital. Aspire Capital has no right to require any sales by us but is obligated to make purchases from us as directed by us on future fundings, rights of first refusal, participation rights, penalties or liquidated damages in the Purchase Agreement. The Purchase Agreement may be terminated by us at any time, at its discretion, without any cost to us. Aspire Capital has agreed that neither it nor any of its agents, representatives and affiliates shall engage in any direct or indirect short-selling or hedging of our common stock during any time prior to the termination of the Purchase Agreement. We expect to use any proceeds under the Purchase Agreement for working capital and general corporate purposes.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Purchase Agreement provides that the number of shares that may be sold pursuant to the Purchase Agreement will be limited to 9,232,814 shares, including the Commitment Shares, or the Exchange Cap, which represents 19.99% of our outstanding shares of common stock as of the date of the Purchase Agreement, unless stockholder approval is obtained to issue more than 19.99%. This limitation will not apply if, at any time the Exchange Cap is reached and at all times thereafter, the average price paid for all shares issued under the Purchase Agreement is equal to or greater than $2.41, which was the closing price of our shares on The Nasdaq Global Market immediately preceding the execution of the Purchase Agreement. We are not required or permitted to issue any shares of common stock under the Purchase Agreement if such issuance would breach our obligations under the rules or regulations of The Nasdaq Global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below excludes any potential funding provided by the $30 million Purchase Agreement with Aspire Capital.</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factors discussed above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are material to investors.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Chief Financial Officer, as appropriate, to allow timely decisions regarding required disclosure. Based on such evaluation, our Chief Executive Officer and our Chief Financial Officer have concluded that, as of the end of the period covered by this report, our disclosure controls and procedures are effective in recording, processing, summarizing and reporting, on a timely basis, information required to be disclosed by us in the reports that we file or submit under the Exchange Act.</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during the six months ended June 30, 2020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6283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we were not a party to any legal proceedings that, in the opinion of management, are likely to have a material adverse effect on our business.</w:t>
      </w:r>
    </w:p>
    <w:p>
      <w:pPr>
        <w:spacing w:after="0" w:line="166"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 following information sets forth risk factors that could cause our actual results to differ materially from those contained in forward-looking statements we have made in this Quarterly Report on Form 10-Q and those we may make from time to time. You should carefully consider the risks described below, in addition to the other information contained in this Quarterly Report on Form 10-Q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operations are likely to be adversely affected by the evolving and ongoing COVID-19 global pandemic.</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and operations are likely to be adversely affected by the effects of the recent and evolving COVID-19 virus, which was declared by the World Health Organization as a global pandemic. The COVID-19 pandemic has resulted in travel and other restrictions in order to reduce the spread of the disease, including state and local orders across the United States that, among other things, direct individuals to shelter at their places of residence, direct businesses and governmental agencies to cease non-essential operations at physical locations, prohibit certain non-essential gatherings and events and order cessation of non-essential travel. In response to public health directives and orders, we have implemented work-from-home policies for all employees, including at our headquarters in Houston, Texas, which is currently subject to an order that requires all non-essential businesses to cease in-person operations.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Remote work policies, quarantines, shelter-in-place and similar government orders, shutdowns or other restrictions on the conduct of business operations related to the COVID-19 pandemic may negatively impact productivity and, to date, have disrupted our ongoing research and development activities and delayed certain of our clinical programs and timelines, the magnitude of which will depend, in part, on the length and severity of the restrictions and other limitations on our ability to conduct our business in the ordinary course. In addition, although our employees are accustomed to working remotely, changes in internal controls due to remote work arrangements may result in control deficiencies in the preparation of our financial reports, which could be material.</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Such orders may also impact personnel at third-party manufacturing facilities in the United States and other countries, or the availability or cost of materials, which would disrupt our supply chain and could affect our ability to conduct ongoing and planned clinical trials and preparatory activities.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expect that we will be delayed in initiating our Phase 2 trial of MT-401 (zelenoleucel) for post-transplant AML per previously communicated timelines due to delays in our ability to enroll the first three patients in the safety lead-in portion of the trial because of the COVID-19 pandemic and delays in receiving the new reagent for MT-401 and the final data and certificate of analysis required by the FDA to satisfy the requirements for lifting the partial hold. Our ongoing clinical trials may be also affected by the COVID-19 pandemic. Patient enrollment and clinical site initiation may be delayed due to prioritization of hospital resources toward the COVID-19 pandemic. Some patients may not be able to comply with clinical trial protocols if quarantines impede patient movement or interrupt healthcare services. Similarly, we may be unable to recruit and retain patients and principal investigators and site staff who, as healthcare providers, may have heightened exposure to COVID-19, which would adversely impact clinical trial operations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global pandemic of COVID-19 continues to rapidly evolve. The extent to which the COVID-19 pandemic impacts our business and operations, including our clinical development and regulatory efforts, will depend on future developments that are highly uncertain and cannot be predicted with confidence at the time of this Form 10-Q,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However, these impacts could adversely affect our business, financial condition, results of operations and growth prospects.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development stage company with a history of operating losses, and we expect losses to continue for the indefinite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These factors raise substantial doubt regarding our ability to continue as a going concern.</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 candidates. We anticipate that our ongoing operational costs will increase significantly as we continue conducting our clinical development program. Our deficit will continue to grow during our drug development period. We have no sources of significant revenue to provide incoming cash flows to sustain our future operations. As outlined above, our ability to pursue our planned business activities depends upon our successful efforts to raise additional financing. 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sustained losses from operations in each fiscal year since our inception, and we expect losses to continue for the indefinite future due to the substantial investment in research and development. As of June 30, 2020, we had an accumulated deficit of $ 340.4 million since inception. We expect that our cash and cash equivalents as of June 30, 2020 will enable us to fund our operating expenses and capital expenditure requirements into the second quarter of 2021. We expect to spend substantial additional sums on the continued administration and research and development of licensed and proprietary product candidates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 not gain regulatory approval, we may never generate revenue. Even if we generate revenue in the future, we may not be able to become profitable or sustain profitability in subsequent periods.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and other factors raise substantial doubt regarding our ability to continue as a going concern, which may create negative reactions to the price of our common stock. If we are unable to continue as a going concern, we may have to liquidate our assets and may receive less than the value at which those assets are carried on our financial statements, and it is likely that investors will lose all or a part of their investment. Further, the perception that we may be unable to continue as a going concern may impede our ability to pursue strategic opportunities or operate our business due to concerns regarding our ability to discharge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success is highly dependent upon our key personnel, and our ability to attract, retain, and motivate additional qualified personnel.</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and consultants, including Peter Hoang, our President and Chief Executive Officer, Juan Vera, M.D., our Chief Development and Scientific Officer, and Mythili Koneru, M.D., Ph.D. our Chief Medical Officer as well as others. The loss of the services of any of our executive officers, other key employees, and other scientific and medical advisors, and our inability to find suitable replacements could result in delays in product development and harm to our business. We have a priority to quickly train additional qualified scientific and medical personnel to ensure the ability to maintain business continuity. Any delays in training such personnel could delay the development, manufacture, and clinical trials of our product candidates.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attract and retain highly skilled personnel is critical to our operations and expansion. We face competition for these types of personnel from other biotechnology companies and more established organizations, many of which have significantly larger operations and greater financial, technical, human and other resources than us.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development of our product candidates, and unable to adequately address our management needs.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strategic relationship with Baylor College of Medicine, or BCM, is dependent, in part, upon our relationship with key medical and scientific personnel and advisors.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MultiTAA-specific T cell therapy has been developed through our collaboration with the Center for Cell and Gene Therapy at BCM, founded by Malcolm K. Brenner, M.D., Ph.D., a recognized pioneer in immuno-oncology. In addition to Dr. Brenner, our founders include Juan Vera, M.D., Ann Leen, Ph.D., Helen Heslop, M.D., DSc (Hon) and Cliona Rooney, Ph.D., who all have significant experience in this field and are all affiliated with the Center for Cell and Gene Therapy at BCM. Dr. Vera is our Chief Development Officer. In addition, Dr. Brenner, Dr. Heslop and Dr. Rooney have joined our Scientific Advisory Board.</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strategic relationship with BCM is dependent, in part, on our relationship with these key employees and advisors, and in particular Dr. Vera. If Dr. Vera discontinues his employment with us, our relationship with BCM may deteriorate, and our business could be harmed.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certain of our key medical and scientific personnel, will need additional agreements in place with BCM to expand our development, manufacture, and clinical trial efforts.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have an exclusive license agreement with BCM under which we received a worldwide, exclusive license to BCM’s rights in and to three patent families to develop and commercialize the MultiTAA-specific T cell product candidates, we will need to enter into additional agreements with BCM with respect to (i) a strategic alliance to advance pre-clinical research, early stage clinical trials, and Phase 2 clinical trials with respect to our product candidates, as well as continued access to our clinical data, and (ii) product manufacturing and support, including personnel and space at the institution for the foreseeable future. Any delays in entering into new strategic agreements with BCM related to our product candidates could delay the development, manufacture, and clinical trials of our product candidates.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multiple roles of certain of Dr. Vera, our Chief Development and Scientific Officer, and John Wilson, our director, could limit their time and availability to us, and create, or appear to create, conflicts of interest.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 Vera is a co-founder and member of Allovir Inc., or Allovir. Allovir has technology which is being developed under a license agreement with BCM by the same research group at BCM. Allovir is a clinical-stage biopharmaceutical company that is investigating and developing virus-specific T cell therapy technology for the prevention and/or treatment of viral infections. Accordingly, Dr. Vera may have other commitments that would, at times, limit his availability to us. Other research being conducted by Dr. Vera may, at times, receive higher priority than research on our programs, which may, in turn, delay the development or commercialization of our product candidates.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John Wilson is a co-founder, member and director of Allovir and is a director of our company. Both of these individuals have certain fiduciary or other obligations to us and certain fiduciary or other obligations to Allovir and, in the case of Dr. Vera to BCM. Such multiple obligations may in the future result in a conflict of interest with respect to presenting other potential business opportunities to us or to Allovir. A conflict of interest also may arise concerning the timing and scope of the parties’ planned and ongoing clinical trials, investigational new drug application filings and the parties’ opportunities for marketing their respective product candidates, as well as our intellectual property rights with those of Allovir. In addition, they may be faced with decisions that could have different implications for us than for Allovir. Consequently, there is no assurance that these members of our board and management will always act in our best interests in all situations should a conflict arise.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yet sold any products or received regulatory approval to sell any product candidates.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 approved products or product candidates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Without revenue, we can only finance our operations through debt and equity financings.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and clinical trials may not be predictive of future clinical trial results.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Clinical testing is expensive and generally takes many years to complete, and the outcome is inherently uncertain. Failure can occur at any time during the clinical trial process. The results of preclinical testing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a single academic clinical site for a limited number of indications. We will have to conduct larger, well-controlled trials in our proposed indications at multiple sites to verify the results obtained to date and to support any regulatory submissions for further clinical development of our product candidates. Our assumptions related to our product candidates, such as with respect to lack of toxicity and manufacturing cost estimates, are based on early limited clinical trials and current manufacturing processes at BCM and may prove to be incorrect. In addition, the initial estimates of the clinical cost of development may prove to be inadequate, particularly if clinical trial timing or outcome is different than predicted or regulatory agencies require further testing before approval. For example, we anticipate that the COVID-19 pandemic will delay our planned timelines for our Phase 2 trial of MT-401 for the treatment of post-transplant AML, which may impact our cost estimates for this trial. Several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any Phase 2, Phase 3, or other clinical trials we may conduct will demonstrate consistent or adequate efficacy and safety with respect to the proposed indication for use sufficient to receive regulatory approval or market our product candidates.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competition comes from both biotechnology firms and from major pharmaceutical companies. Many of these companies have substantially greater financial, marketing, and human resources than us. We also experience competition in the development of our immunotherapies from universities, other research institutions and others in acquiring technology from such universities and institutions.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numerous risks inherent in conducting clinical trials.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our clinical trials.</w:t>
      </w:r>
    </w:p>
    <w:p>
      <w:pPr>
        <w:spacing w:after="0" w:line="19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COVID-19 pandemic is also likely to cause disruptions to our clinical programs. For example, we expect that we will be delayed in initiating our Phase 2 trial of MT-401 for post-transplant AML per previously communicated timelines. The COVID-19 pandemic may also result in difficulties in initiating clinical sites and enrolling patients, the diversion of healthcare resources away from clinical trials and other challenges related to travel or quarantine policies that may impede patient movement or interrupt healthcare services.</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or our regulators, may suspend or terminate our clinical trials for a variety of reasons. For example, in the fourth quarter of 2019 the FDA placed a clinical hold on our IND of MT-401 for the treatment of patients with post-transplant AML and requested certain information regarding quality and technical specifications for two reagents supplied by third party vendors that are used in our manufacturing process but not present in the final product infused to patients. In February 2020, the FDA lifted the clinical hold, permitting us to initiate a Phase 2 clinical trial with a safety lead-in portion but placed a partial clinical hold on the trial for the use of MT-401 manufactured using one of the reagents supplied by our alternative supplier. Our alternate supplier has notified us that they will be delayed in providing the new reagent for MT-401, along with the final data and certificate of analysis required by the FDA to satisfy the requirements for lifting the partial hold, which will delay our ability to initiate the trial per previously communicated timelines. The FDA may not agree that our response addresses all of their concerns and the partial clinical hold may remain in place and further delay the initiation of the trial. In addition, our ability to successfully work with our reagent supplier may be limited or further delayed due to the effects of the COVID-19 pandemic.</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voluntarily suspend or terminate our clinical trials at any time if we believe they present an unacceptable risk to the patients enrolled in our clinical trials or do not demonstrate clinical benefit. For example, in November 2019 we elected to suspend our Phase 2 clinical trial of TPIV200 for the treatment of platinum-sensitive advanced ovarian cancer based on an unblinded review of interim results conducted by an independent Data and Safety Monitoring Board, or DSMB. Although the DSMB did not express any safety concerns with respect to TPIV200, we elected to suspend the trial because it did not meet the threshold for probability of clinical benefit based upon our pre-specified criteria.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 The lengthy approval process, as well as the unpredictability of future clinical trial results, may result in us failing to obtain regulatory approval for our product candidates, which would materially harm our business, results of operations and prospects.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successful development of immunotherapies is highly uncertain.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Successful development of biopharmaceuticals is highly uncertain and depends on numerous factors, many of which are beyond our control. Immunotherapies that appear promising in the early phases of development may fail to reach the market for several reasons including:</w:t>
      </w:r>
    </w:p>
    <w:p>
      <w:pPr>
        <w:spacing w:after="0" w:line="184" w:lineRule="exact"/>
        <w:rPr>
          <w:sz w:val="20"/>
          <w:szCs w:val="20"/>
          <w:color w:val="auto"/>
        </w:rPr>
      </w:pPr>
    </w:p>
    <w:p>
      <w:pPr>
        <w:ind w:left="1000" w:right="2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study results that may show the immunotherapy to be less effective than expected (e.g., the study failed to meet its primary endpoint) or to have unacceptable side effects;</w:t>
      </w:r>
    </w:p>
    <w:p>
      <w:pPr>
        <w:spacing w:after="0" w:line="170" w:lineRule="exact"/>
        <w:rPr>
          <w:rFonts w:ascii="Arial" w:cs="Arial" w:eastAsia="Arial" w:hAnsi="Arial"/>
          <w:sz w:val="18"/>
          <w:szCs w:val="18"/>
          <w:color w:val="auto"/>
        </w:rPr>
      </w:pPr>
    </w:p>
    <w:p>
      <w:pPr>
        <w:jc w:val="both"/>
        <w:ind w:left="1000" w:hanging="317"/>
        <w:spacing w:after="0" w:line="259"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BLA preparation, discussions with the FDA, an FDA request for additional preclinical or clinical data, or unexpected safety or manufacturing issues;</w:t>
      </w:r>
    </w:p>
    <w:p>
      <w:pPr>
        <w:spacing w:after="0" w:line="186"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costs, formulation issues, pricing or reimbursement issues, or other factors that make the immunotherapy uneconomical; and</w:t>
      </w:r>
    </w:p>
    <w:p>
      <w:pPr>
        <w:spacing w:after="0" w:line="170"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proprietary rights of others and their competing products and technologies that may prevent the immunotherapy from being commercialized.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Success in preclinical and early clinical studies does not ensure that large-scale clinical trials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 adequate coverage and reimbursement levels for any of our products if approved, market acceptance and commercial success would be reduced.</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or cGMPs, and current Good Clinical Practices or cGCPs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may take longer and cost more to complete our clinical trials than we project, or we may not be able to complete them at all.</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budgeting and planning purposes, we have projected the dates for the commencement, continuation, and completion of our various clinical trials. However, a number of factors, including scheduling conflicts with participating clinicians and clinical institutions, difficulties in identifying and enrolling patients who meet trial eligibility criteria, and competition for such eligible patents from other clinical trials, may cause significant delays. We may not commence or complete clinical trials involving any of our product candidates as projected or may not conduct them successfully.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that we will be delayed in initiating our planned Phase 2 trial of MT-401 for post-transplant AML due to the COVID-19 pandemic. As previously announced, the FDA placed a partial clinical hold for the use of MT-401 manufactured using one of the reagents supplied by our alternative supplier. Our alternate supplier has notified us that they will be delayed in providing the new reagent for MT-401, along with the final data and certificate of analysis required by the FDA to satisfy the requirements for lifting the partial hold. We cannot guarantee when, or if, we will be successful in these efforts. Further, as a result of the COVID-19 pandemic, we will be delayed in our ability to enroll the first three patients in the safety lead-in portion of the trial required by the FDA. The pandemic may also impact our other clinical programs.</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experience difficulties in patient enrollment in our future clinical trials for a variety of reasons.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our clinical trials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rely on medical institutions, academic institutions, and clinical research organizations to conduct, supervise, or monitor some or all aspects of clinical trials involving our product candidates. We may have less control over the timing and other aspects of these clinical trials than if we conducted them entirely on our own. If we fail to commence or complete, or experiences delays in, any of our planned clinical trials, we may experience delays in our clinical development and/or commercialization plans.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particular, while BCM will continue to support our trials with production of MultiTAA-specific T cells under contract, we anticipate that we will have to rely on internal facilities yet to be developed for the commercial manufacture of our multi-antigen specific T cell therapy product candidates for clinical trials and eventual licensure. If they fail to complete, or experience delays in, manufacturing our multi-antigen specific T cell therapy product candidates, our planned clinical trials with respect to such product candidates will be delayed, and we may experience delays in our clinical development and/or commercialization plans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Clinical trials are expensive and difficult to design and implement, in part because they are subject to rigorous regulatory requirements. Because our product candidates are based on new technologies and manufactured on a patient-by-patient basis for our MultiTAA-specific T cell product candidates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may be significantly higher per patient than those of more conventional therapeutic technologies or drug products. In addition, our proposed personalized product candidates involve several complex manufacturing and processing steps, the costs of which will be borne by us. Depending on the number of patients we ultimately enroll in our trials, and the number of trials we may need to conduct, our overall clinical trial costs may be higher than for more conventional treatments. Further, delays and interruptions to ongoing trials related to the COVID-19 pandemic may also increase the duration and costs of such trials.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clinical trials of our product candidates are, and the manufacturing and marketing of any approved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The results of studies in one set of patients or line of treatment may not be predictive of those obtained in another. In addition, we expect that there may be greater variability in results for products processed and administered on a patient-by-patient basis, as anticipated for our MultiTAA-specific T cell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3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Results of our trials could reveal a high and unacceptable severity and prevalence of side effects or unexpected characteristics.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unacceptable toxicities arise in the development of our product candidates, we or the FDA or comparable foreign regulatory authorities could order us to cease clinical trials or deny approval of our product candidates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as toxicities resulting from personalized cell therapy, as with our MultiTAA-specific T cell therapy products, are not normally encountered in the general patient population and by medical personnel. Any of these occurrences may harm our business, financial condition and prospects significantly.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unable to seek regulatory approval of or commercialize our products if our trials are not successful.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84" w:lineRule="exact"/>
        <w:rPr>
          <w:sz w:val="20"/>
          <w:szCs w:val="20"/>
          <w:color w:val="auto"/>
        </w:rPr>
      </w:pPr>
    </w:p>
    <w:p>
      <w:pPr>
        <w:ind w:left="1000" w:hanging="31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70"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after reviewing trial results, we or our collaborators may abandon product candidates that we might previously have believed to be promising;</w:t>
      </w:r>
    </w:p>
    <w:p>
      <w:pPr>
        <w:spacing w:after="0" w:line="170"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 and</w:t>
      </w:r>
    </w:p>
    <w:p>
      <w:pPr>
        <w:spacing w:after="0" w:line="170"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our potential product candidates have may not be the desired effects or may include undesirable side effects or other characteristics that preclude regulatory approval or limit their commercial use if approved.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we expect that the COVID-19 pandemic will delay our ability to initiate our planned Phase 2 trial of MT-401 for post-transplant AML and may impact our other clinical programs due to delays and difficulties in clinical site initiation and patient enrollment and potential diversion of healthcare resources and other interruptions in clinical trial activities.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Clinical testing is very expensive, can take many years, and the outcome is uncertain. For example, it can take as much as 12 months or more before we learn the results from any clinical trial using our MultiTAA-specific T cell therapy. The data collected from our clinical trials may not be sufficient to support approval by the FDA of our MultiTAA-specific T cell therapy-based product candidates for the treatment of hematological malignancies. The clinical trials for our product candidates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 candidates, which would prevent us from generating revenues or achieving profitability.</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able to expand our manufacturing processes to other third-party manufacturing facilities or successfully create our own manufacturing infrastructure for supply of our requirements of product candidates for use in clinical trials and for commercial sale.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currently do not operate our own facility that may be used as our clinical-scale manufacturing and processing facility. We currently rely on third-party Contract Manufacturing Organizations, or CMOs, for manufacture of our vaccine product candidates. For 2020, we anticipate that we will initially rely solely on the cGMP manufacturing facility within BCM for the manufacturing of our MultiTAA-specific T cell therapy-based product candidates. BCM has currently restricted access to its facilities due to the COVID-19 pandemic, and we are currently unable to conduct any manufacturing activities for MT-401. If the cGMP manufacturing facility of BCM, which does manufacture for itself and other parties, experiences capacity constraints, other disruptions, or delays in manufacturing our MultiTAA-specific T cell therapy-based product candidates, our planned clinical trials and necessary manufacturing capabilities will be disrupted or delayed, which will adversely affect our ability to conduct and further develop our business as currently planned. Further, the cGMP manufacturing facility is most likely too small to conduct the pivotal clinical studies being planned by us, so we will need to develop our own cGMP manufacturing capacity that will be adequate for such clinical trials with respect to our MultiTAA-specific T cell therapy-based product candidates.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begun to develop additional cGMP manufacturing capacity of our own that would be capable of supporting our manufacturing needs with respect to our clinical trials, particularly with respect to pivotal studies. We intend to begin a process technology transfer to develop in-house manufacturing capabilities in 2021. Establishment of our own manufacturing facility is subject to many risks. For example, the establishment of a cell-therapy manufacturing facility is a complex endeavor requiring knowledgeable individuals. Creating an internal manufacturing infrastructure will rely upon building out a complex facility and finding personnel with an appropriate background and training to staff and operate the facility. Should we be unable to find these individuals, we may need to rely on external contractors or train additional personnel to fill needed roles. There are a small number of individuals with experience in cell therapy, and the competition for these individuals is high.</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expect that the development of our own manufacturing facility will provide us with enhanced control of material supply for both clinical trials and the commercial market, enable the more rapid implementation of process changes, and allow for better long-term margins. However, we do not have extensive experience in developing a manufacturing facility and may never be successful in developing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transportation difficulties and numerous other factors that could prevent us from realizing the intended benefits of our manufacturing strategy and have a material adverse effect on our clinical development and/or commercialization plans.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the manufacturing process for any product candidates that we may develop is subject to the FDA and foreign regulatory authority approval process, and we will need to contract with manufacturers who can meet all applicable FDA and foreign regulatory authority requirements on an ongoing basis. If we or our CMOs are unable to reliably produce products to specifications acceptable to the FDA, or other regulatory authorities, we may not obtain or maintain the approvals we need to commercialize any approved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clinical development and/or commercialization plans.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transfer our MultiTAA-specific T cell manufacturing from or expand our manufacturing capabilities beyond BCM pursuant to our development plans, we will need access to the standard operating procedures and the specific batch production records that are used to manufacture the product candidates. If BCM does not support the transfer of our manufacturing processes or impedes our ability to transfer the manufacturing processes of its product candidates to us, our planned clinical trials and additional necessary manufacturing capabilities will be delayed, which will adversely affect our ability to conduct and further develop our business as currently planned.</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Until our new manufacturing facility is operational, we will be dependent on third-party vendors to design, build, maintain and support our manufacturing and cell processing facilities.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Until our new manufacturing facility is operational, we will rely very heavily on BCM and other third-party manufacturers to perform the manufacturing of our product candidates for our clinical trials. We license our technology from others. We intend to rely on our contract manufacturers to produce large quantities of materials needed for clinical trials and potential product commercialization. Third-party manufacturers may not be able to meet our needs concerning timing, quantity, or quality. If we are unable to contract for a sufficient supply of needed materials on acceptable terms, or if we should encounter delays or difficulties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 party breaches or terminates its agreement with us or fails to conduct its activities in a timely manner, the commercialization of our product candidates could be slowed down or blocked completely. It is possible that third 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w:t>
      </w:r>
    </w:p>
    <w:p>
      <w:pPr>
        <w:spacing w:after="0" w:line="1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intend to continue to enter into additional third-party agreements in the future. However, we may not be able to negotiate any additional agreements successfully. Even if established, these relationships may not be scientifically or commercially successful.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manufacturing process is reliant upon the specialized equipment, and other specialty materials, which may not be available to us on acceptable terms or at all. For some of this equipment and materials, we rely or may rely on sole-source vendors or a limited number of vendors, which could impair our ability to manufacture and supply our product candidates.</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will depend on a limited number of vendors for supply of certain materials and equipment used in the manufacture of our MultiTAA-specific T cell therapy-based product candidates. For example, we will purchase equipment and reagents critical for the manufacture of our product candidates from Wilson Wolf (a company controlled by our director John Wilson), JPT Peptide Technologies and other suppliers. Some of our suppliers may not have the capacity to support commercial products manufactured under cGMP by biopharmaceutical firms or may otherwise be ill-equipped to support our needs. We also may not have supply contracts with many of these suppliers and may not be able to obtain supply contracts with them on acceptable terms or at all. Accordingly, we may not be able to obtain key materials and equipment to support clinical or commercial manufacturing. Further, the FDA may determine that our manufacturing process, or the materials required for the manufacture of our product candidates, are not acceptable, which would require us to find alternative suppliers or processes, which may not be available on favorable terms, if at all. For example, the FDA has requested additional data from us regarding the new reagent we intend to use to manufacture MT-401 before we can proceed with the remainder of our planned Phase 2 trial of MT-401 for the treatment of post-transplant AML.</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some of this equipment and materials, we may rely, and may now and/or in the future rely, on sole-source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operating results or our ability to conduct clinical trials, either of which could significantly harm our business.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we continue to develop and scale our manufacturing process, we may need to obtain rights to and supplies of specific materials and equipment to be used as part of that process. For example, our MultiTAA-specific T cell manufacturing process is based, in part, upon the G-Rex® cell culture device manufactured by Wilson Wolf, which is used by many cell therapy developers, both in commercial and academic settings. Although we do hold the license to patents from BCM that could be used to prevent third parties from developing similar and competing processes, we do not own any exclusive rights to the G-Rex®. We may not be able to obtain rights to such materials and equipment on commercially reasonable terms, or at all, and if we are unable to alter our process in a commercially viable manner to avoid the use of such materials or find a suitable substitute, it would have a material adverse effect on our business.</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The manufacture of our product candidates is complex, and we may encounter difficulties in production, particularly with respect to process development or scaling up of our manufacturing capabilities. If we, or any of our third-party manufacturers encounter such difficulties, our ability to supply our product candidates for clinical trials, or our product candidates for patients, if approved, could be delayed or stopped, or we may be unable to maintain a commercially viable cost structure.</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product candidates are biologics, and the process of manufacturing our product candidates is complex, highly regulated and subject to multiple risks. For example, the manufacture of our MultiTAA-specific T cell therapy-based product candidates involves complex processes, including drawing blood from patients/donors, manufacturing the clinical product, and ultimately infusing the product into a patient. As a result of the complexities, the cost to manufacture biologics is generally higher than traditional small molecule chemical compounds, and the manufacturing process is less reliable and is more difficult to reproduce. Our manufacturing processes will be susceptible to product loss or failure due to any of the following: logistical issues associated with the collection of blood cells, or starting material, from the patient or a donor, shipping such material to the manufacturing site, shipping the final product back to the patient, and infusing the patient with the product; manufacturing issues associated with the variability in patients’ or donor’s starting cells;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or a donor’s cells, or later-developed product at any point in the process, the manufacturing process for that patient will need to be restarted and the resulting delay may adversely affect that patient’s outcome and/or the results of clinical trials.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our MultiTAA-specific T cell therapy-based product candidates are manufactured for each particular patient, we will be required to maintain a chain of identity with respect to the patient’s/donor’s blood cells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 candidates from the market. Further, as product candidates are developed through preclinical to late 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Currently, our product candidates are manufactured using processes developed by BCM, our third-party research institution collaborator. Although we are working to develop our own commercially viable processes, doing so is a difficult and uncertain task, and there are risks associated with scaling to the level required for advanced clinical trials or commercialization, including, among others, cost overruns, potential problems with process scale up,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No assurance can be given that we will be able to develop a new, FDA-compliant, more efficient, lower cost manufacturing process upon which our business plan to commercialize MultiTAA-based product candidates is dependent.</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cooperation with our current contract manufacturers, we intend to develop improved methods for generating and selecting T cells, and to develop methods for large-scale production of our current product candidates that are in accordance with current cGMP procedures. Developing a new, scaled-up, pharmaceutical manufacturing process that can more efficiently and cost effectively, and in a more automated manner produce, measure and control the physical and/or chemical attributes of our product candidates in a cGMP facility is subject to many uncertainties and difficulties. We have never manufactured our adoptive T cell therapy product candidate on a commercial scale. As a result, we cannot give any assurance that we will be able to establish a manufacturing process that can produce our product candidates at a cost or in quantities necessary to make them commercially viable. Moreover, we and our third-party manufacturers will have to continually adhere to current cGMP regulations enforced by the FDA through its facilities inspection program. If these facilities cannot pass a pre-approval plant inspection, the FDA premarket approval of our product candidates will not be granted. In complying with cGMP and foreign regulatory requirements, we and any of our third-party manufacturers will be obligated to expend time, money and effort in production, record-keeping and quality control to assure that our product candidates meet applicable specifications and other requirements. If we or any of our third-party manufacturers fail to comply with these requirements, we may be subject to regulatory action. No assurance can be given that we will be able to develop such manufacturing process, or that our partners will thereafter be able to establish and operate such a production facility.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deviations in our proposed new MultiTAA-based product candidates from existing products may require us to perform additional testing, which will increase the cost, and extend the time for obtaining approval.</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MultiTAA-specific T cell therapy platform is based on the adoptive T cell therapy technology that we licensed from BCM and that is presently available as a physician-sponsored investigational therapy at BCM for the treatment of lymphoma, AML/MDS, multiple myeloma and select solid tumors in the United States. The current method of treatment is labor intensive and expensive. We are performing process optimization that we anticipate will enable more efficient manufacturing of our product candidates. We may have difficulty demonstrating that the product candidates produced from our new processes are identical to the existing products. The FDA may require additional clinical testing before permitting a larger clinical trial with the new processes, and such drug substance may not be as efficacious in the new clinical trials. Cellular products are not considered to be well characterized products because there are hundreds of markers present on T cells, and even small changes in manufacturing processes could alter the cell subtypes. It is unclear at this time which of those markers are critical for success of T cells to combat cancer, so our ability to predict the outcomes with newer manufacturing processes is limited. The changes that we may make to the existing manufacturing process may require additional testing, which may increase costs and timelines associated with these developments. In addition to developing a multi-antigen T cell-based therapy on existing adoptive T cell therapy technology, we are currently evaluating the desirability of conducting clinical trials of our product candidates in combination with other existing drugs. These combination therapies will require additional testing, and clinical trials will require additional FDA regulatory approval and will increase our future cost of development.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 candidates successfully or on a timely basis.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numerous factors, including the severity of the disease indication in question, the availability of alternative treatments, and the risks and benefits demonstrated in the clinical trials. Our success depends on our ability to achieve scientific and technological advances and to translate such advances into licensable, FDA-approvable, commercially 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16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Immunotherapies that we may develop are not likely to be commercially available for at least five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BLA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delay in the development, approval, introduction or marketing of our product candidates could result either in such product candidates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 candidates,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84" w:lineRule="exact"/>
        <w:rPr>
          <w:sz w:val="20"/>
          <w:szCs w:val="20"/>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efficacy and safety of our product candidates as demonstrated in clinical trials and post-marketing experience;</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indications for which our product candidates may be approved;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by physicians and patients of our product candidates as safe and effective;</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and perceived advantages of our product candidates over alternative treatments;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right="20" w:hanging="31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of our product candidates seen in a broader patient group, including our use outside the approved indications should physicians choose to prescribe for such uses;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market introduction of our product candidates as well as competitive products;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in relation to alternative treatments;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pricing and the availability of coverage and adequate reimbursement by third-party payors and government authorities;</w:t>
      </w:r>
    </w:p>
    <w:p>
      <w:pPr>
        <w:spacing w:after="0" w:line="236" w:lineRule="exact"/>
        <w:rPr>
          <w:rFonts w:ascii="Arial" w:cs="Arial" w:eastAsia="Arial" w:hAnsi="Arial"/>
          <w:sz w:val="17"/>
          <w:szCs w:val="17"/>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effectiveness of any sales and marketing efforts.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establish or maintain the third-party relationships that are necessary to develop or potentially commercialize some or all of our product candidates.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expect to depend on collaborators, partners, licensees, clinical research organizations and other third parties to support our discovery efforts, to formulate product candidates, to manufacture our product candidates, and to conduct clinical trials for some or all of our product candidates. We cannot guarantee that we will be able to successfully negotiate agreements for or maintain relationships with collaborators, partners, licensees, clinical investigators, vendors and other third parties on favorable terms, if at all. Our ability to successfully negotiate such agreements will depend on, among other things, potential partners’ evaluation of the superiority of our technology over competing technologies and the quality of the preclinical and clinical data that it has generated, and the perceived risks specific to developing our product candidates. If we are unable to obtain or maintain these agreements, we may not be able to clinically develop, formulate, manufacture, obtain regulatory approvals for or commercialize our product candidates.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our product candidates could be found invalid or unenforceable if challenged in court or with the USPTO.</w:t>
      </w:r>
    </w:p>
    <w:p>
      <w:pPr>
        <w:spacing w:after="0" w:line="24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our licensing partners, or any potential future collaborator initiates legal proceedings against a third party to enforce a patent directed to one of our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non-obviousness or 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are no longer directed to our product candidates. The outcome following legal assertions of invalidity and unenforceability is unpredictable, and prior art could render our patents or those of our licensors invalid or could prevent a patent from issuing from one or more of our pending patent applications. There is no assurance that all potentially relevant prior art relating to our patents and patent applications has been found.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If a defendant were to prevail on a legal assertion of invalidity and/or unenforceability, we would lose at least part, and perhaps all, of the patent protection on our product candidates. In addition, if the breadth or strength of protection provided by our patents and patent applications is threatened, it could dissuade companies from collaborating with us to license, develop or commercialize current or future product candidates. Such a loss of patent protection could have a material adverse impact on our business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commercial success is dependent in part on our ability to obtain, maintain, and enforce the patents and other proprietary rights that we have licensed and may develop, and on our ability to avoid infringing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are directed to the technology. There can be no assurance that our patent applications or those of our licensor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seek to protect our proprietary technology and processes, in part, by entering into confidentiality agreements with relevant employees, consultants, scientific advisors, and contractors. We also seek to preserve the integrity and confidentiality of our data and trade secrets by maintaining physical security of the premises and physical and electronic security of the information technology systems. While we have confidence in these individuals, organizations, and systems, agreements or security measures may be breached, and we may not have adequate remedies for any breach. In addition, trade secrets may otherwise become known or be independently discovered by competitors. To the extent that the consultants, contractors or collaborators use intellectual property owned by others in their work for us, disputes may arise as to the rights in related or resulting know-how and inventions.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we have patents and patent applications in other countries, we cannot be certain that the claims in other pending U.S. or European patent applications, international patent applications, and patent applications in certain other foreign territories directed to methods of generating multi-antigen specific T cell product candidates, or our other product candidates, will be considered patentable by the USPTO, courts in the United States or by the patent offices and courts in foreign countries, nor can we be certain that the claims in our issued European patent will not be found invalid or unenforceable if challenged.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Most of our intellectual property rights are currently licensed from BCM and the Mayo Foundation, so that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 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165" w:lineRule="exact"/>
        <w:rPr>
          <w:sz w:val="20"/>
          <w:szCs w:val="20"/>
          <w:color w:val="auto"/>
        </w:rPr>
      </w:pPr>
    </w:p>
    <w:p>
      <w:pPr>
        <w:jc w:val="both"/>
        <w:ind w:left="1000" w:hanging="317"/>
        <w:spacing w:after="0" w:line="259"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86"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25"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otherwise may not provide any competitive advantage;</w:t>
      </w:r>
    </w:p>
    <w:p>
      <w:pPr>
        <w:spacing w:after="0" w:line="170"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us, and many of whom have made significant investments in competing technologies, may seek or may have already obtained patents that will limit, interfere with or eliminate our ability to make, use and sell our potential product candidates;</w:t>
      </w:r>
    </w:p>
    <w:p>
      <w:pPr>
        <w:spacing w:after="0" w:line="183" w:lineRule="exact"/>
        <w:rPr>
          <w:rFonts w:ascii="Arial" w:cs="Arial" w:eastAsia="Arial" w:hAnsi="Arial"/>
          <w:sz w:val="18"/>
          <w:szCs w:val="18"/>
          <w:color w:val="auto"/>
        </w:rPr>
      </w:pPr>
    </w:p>
    <w:p>
      <w:pPr>
        <w:jc w:val="both"/>
        <w:ind w:left="1000" w:right="20" w:hanging="317"/>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83" w:lineRule="exact"/>
        <w:rPr>
          <w:rFonts w:ascii="Arial" w:cs="Arial" w:eastAsia="Arial" w:hAnsi="Arial"/>
          <w:sz w:val="18"/>
          <w:szCs w:val="18"/>
          <w:color w:val="auto"/>
        </w:rPr>
      </w:pPr>
    </w:p>
    <w:p>
      <w:pPr>
        <w:ind w:left="1000" w:hanging="317"/>
        <w:spacing w:after="0" w:line="308"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directed to technology that we license from third parties. We may also require the cooperation of one of our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identification of third-party patent rights that may be relevant to our technology is difficult because patent searching is imperfect due to differences in terminology among patents, incomplete databases and the difficulty in assessing the meaning of patent claims. The issuance of a patent is not conclusive as to its inventorship, scope, validity or enforceability and it is uncertain how much protection, if any, will be given to the patents we have licensed from a licensor if either the licensor or we attempt to enforce the patents and/or if they are challenged in court or in other proceedings, such as oppositions, which may be brought in foreign jurisdictions to challenge the validity of a patent. A third party may challenge our patents, if issued, or the patent rights that we license from others in the courts or patent offices in the United States and abroad. It is possible that a competitor may successfully challenge our patents or that a challenge will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Moreover, the cost of litigation to uphold the validity of patents and to prevent infringement can be substantial. If the outcome of litigation is adverse to us, third parties may be able to use our patented invention without payment to</w:t>
      </w:r>
    </w:p>
    <w:p>
      <w:pPr>
        <w:sectPr>
          <w:pgSz w:w="11900" w:h="16838" w:orient="portrait"/>
          <w:cols w:equalWidth="0" w:num="1">
            <w:col w:w="9920"/>
          </w:cols>
          <w:pgMar w:left="980" w:top="517"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 Moreover, it is possible that competitors may infringe our patents or successfully avoid them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 that its activities are not covered by, that is, do not infringe, our patents.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on any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Our potential competitors or other entities may have or acquire patent or proprietary rights that they could enforce against our licensors.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and post-grant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If they do so, then they could limit our ability to make, use, sell, offer for sale or import our product candidates and products that may be approved in the future, or impair our competitive position by requiring us to alter our product candidates, pay licensing fees or cease activities.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later issue as patents that our product candidates may infringe. If our product candidates conflict with patent rights of others, third parties could bring legal actions against us or our collaborators, licensees, suppliers or customers, claiming damages and seeking to enjoin manufacturing and marketing of the affected product candidates. If these legal actions are successful, in addition to any potential liability for damages, we could be required to obtain a license in order to continue to manufacture or market the affected product candidates. We may not prevail in any legal action and a required license under the patent may not be available on acceptable terms or at all.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 candidates.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As is the case with other biopharmaceutical companies, our success is dependent on intellectual property, particularly patents. Obtaining and enforcing patents in the biopharmaceutical industry involve both technological and legal complexity, and is therefore costly, time-consuming and inherently uncertain. Changes in either the patent laws or in the interpretations of patent laws in the United States and other countries may diminish the value of our intellectual property. We cannot predict the breadth of claims that may be allowed or enforced in our patents or in third-party patents. For example, on September 16,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may become involved in post-grant proceedings including post grant review, derivation, reexamination, </w:t>
      </w:r>
      <w:r>
        <w:rPr>
          <w:rFonts w:ascii="Arial" w:cs="Arial" w:eastAsia="Arial" w:hAnsi="Arial"/>
          <w:sz w:val="17"/>
          <w:szCs w:val="17"/>
          <w:i w:val="1"/>
          <w:iCs w:val="1"/>
          <w:color w:val="auto"/>
        </w:rPr>
        <w:t>inter-partes</w:t>
      </w:r>
      <w:r>
        <w:rPr>
          <w:rFonts w:ascii="Arial" w:cs="Arial" w:eastAsia="Arial" w:hAnsi="Arial"/>
          <w:sz w:val="17"/>
          <w:szCs w:val="17"/>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In addition, recent U.S. Supreme Court rulings on several patent cases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these decisions, we cannot predict how future decisions by the courts, the U.S. Congress or the USPTO may impact the value of our patents.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its inventions in all countries outside the United States, or from selling or importing products made using its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patents or other intellectual property rights may not be effective or sufficient to prevent them from competing.</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is common in the biotechnology and pharmaceutical industries, in addition to our employees, we engage the services of consultants to assist us in the development of our product candidates. We have received confidential and proprietary information from third parties. We employ individuals or engage consultants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any obligations under our existing license agreements or any future license agreements, or disputes arise with respect to those agreements, it could have a negative impact on our business and our intellectual property rights.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party to license agreements with BCM and the Mayo Foundation that impose, and we may enter into additional licensing arrangements with third parties that may impose, diligence, development and commercialization timelines, milestone payment, royalty, insurance and other obligations on us. Our rights to use the licensed intellectual property are subject to the continuation of and our compliance with the terms of these agreements. Disputes may arise regarding our rights to intellectual property licensed to us from a third party, including but not limited to:</w:t>
      </w:r>
    </w:p>
    <w:p>
      <w:pPr>
        <w:spacing w:after="0" w:line="188" w:lineRule="exact"/>
        <w:rPr>
          <w:sz w:val="20"/>
          <w:szCs w:val="20"/>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25"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creation or use of intellectual property by us, alone or with our licensors and collaborators;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and duration of our payment obligations;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rights upon termination of such agreement;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and duration of exclusivity obligations of each party to the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or ownership of our patents and other intellectual property.</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on our product candidates for an adequate amount of time.</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subject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sufficient rights to exclude others from commercializing products similar or identical to our product candidates.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our technologies are in-licensed from third parties, and the protection of those technologies is not entirely within our control.</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world-wide exclusive licenses from the Mayo Foundation on (i) a novel set of Class II HER2/neu peptide antigens, (ii) a novel Class I HER2/neu antigen, and (iii) a novel set of Class II Folate Receptor Alpha peptide antigens. We have a world-wide exclusive license from BCM of the rights in and to three patent families to develop and commercialize MultiTAA-specific T cell product candidates in the field of oncology. As a result of these in-licenses, we could lose the right to develop each of the technologies if:</w:t>
      </w:r>
    </w:p>
    <w:p>
      <w:pPr>
        <w:spacing w:after="0" w:line="157" w:lineRule="exact"/>
        <w:rPr>
          <w:sz w:val="20"/>
          <w:szCs w:val="20"/>
          <w:color w:val="auto"/>
        </w:rPr>
      </w:pPr>
    </w:p>
    <w:p>
      <w:pPr>
        <w:ind w:left="1000" w:hanging="31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Mayo Foundation or BCM seeks to terminate our license in contravention of the license agreements;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 or</w:t>
      </w:r>
    </w:p>
    <w:p>
      <w:pPr>
        <w:spacing w:after="0" w:line="225"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fail to obtain on commercially reasonable terms, if at all, in-licenses from the Mayo Foundation or BCM or others for other rights that are necessary to develop the technology that we have already in-licensed.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any of the above occurs, we could lose the right to use the in-licensed intellectual property, which would adversely affect our ability to commercialize our technologies, products or services. The loss of any current or future licenses from Mayo Foundation or BCM, or the exclusivity rights provided by such license agreements, could materially harm our financial condition and operating results.</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upon patents and licensed technologies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ability to compete effectively depends on our ability to maintain the proprietary nature of our technologies and the proprietary technology of others with whom we have entered into collaboration and licensing agreements. 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Competitors may infringe our intellectual property rights or those of our licensors. To counter infringement or unauthorized use, we may be required to file infringement claims, which can be expensive and time-consuming. In addition, in a patent infringement proceeding, a court may decide that one or more of the patents which we own or in-license is not valid or is unenforceable, and/or is not infringed.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We may not prevail in any lawsuits that we initiate, and the damages or other remedies awarded, if any, may not be commercially meaningful.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governmental fees on any issued patent and/or pending patent applications will be due to the USPTO and foreign patent agencies in several stages over the lifetime of our patents and/or applications. The USPTO and various foreign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development.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Should third parties file patent applications or be issued patents claiming technology also used or claimed by us, we may be required to participate in interference or derivation proceedings in the USPTO to determine priority of invention. We may be required to participate in interference or derivation proceedings involving our issued patents and pending applications. An unfavorable outcome could require us to cease using the related technology or to attempt to license rights from the prevailing party. Our business could be harmed if the prevailing party does not offer us a license on commercially acceptable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 candidates.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the patents underlying the licenses might not be valid and enforceable. To the extent any product candidates developed by us are based on licensed technology, royalty payments on the licenses will reduce our gross profit from such product sales and may render the sales of such product candidates uneconomical. In addition, the loss of any current or future licenses or the exclusivity rights provided therein could materially harm our business financial condition and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legal claims; litigation is expensive and we may not be able to afford the costs.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We may initiate or become subject to infringement claims or litigation arising out of patents and pending applications of our competitors, or we may become subject to proceedings initiated by our competitors or other third parties or the USPTO or applicable foreign bodies to reexamine the patentability of our licensed or owned patents. In addition, litigation may be necessary to enforce our issued patents, to protect our trade secrets and know-how, or to determine the enforceability, scope, and validity of the proprietary rights of others.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lawsuit for infringement or contractual breaches, even if frivolous, we will require considerable time commitments on the part of management, our attorneys and consultants. Defending these types of proceedings or legal actions involve considerable expense and could negatively affect our financial results.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programs are subject to uncertainty.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our research and development programs include, but are not limited to:</w:t>
      </w:r>
    </w:p>
    <w:p>
      <w:pPr>
        <w:spacing w:after="0" w:line="225" w:lineRule="exact"/>
        <w:rPr>
          <w:sz w:val="20"/>
          <w:szCs w:val="20"/>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limited financial resources from which to budget and allocate among our product candidates;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from companies that are substantially and financially stronger than us;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for acceptance of our immunotherapies;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anticipate and adapt to a competitive market and rapid technological developments;</w:t>
      </w:r>
    </w:p>
    <w:p>
      <w:pPr>
        <w:spacing w:after="0" w:line="225"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relating to expansion of our business, operations and infrastructure;</w:t>
      </w:r>
    </w:p>
    <w:p>
      <w:pPr>
        <w:spacing w:after="0" w:line="170"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rely on multiple levels of outside funding due to the length of drug development cycles and governmental approved protocols associated with the pharmaceutical industry;</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BCM facilities to conduct research and development activities;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dependence upon key personnel including key independent consultants and advisors.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do not currently have an organization for the sale, marketing and distribution of any approved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or manage strategic collaborations in the future, our revenue and drug development may be limited.</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product candidates, and we may rely even more on strategic collaborations for research, development, marketing and commercialization of our other immunotherapies. If we are unsuccessful in securing such strategic collaborations, we may be unable to commercialize any approved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Management of our relationships with our collaborators will require:</w:t>
      </w:r>
    </w:p>
    <w:p>
      <w:pPr>
        <w:spacing w:after="0" w:line="225" w:lineRule="exact"/>
        <w:rPr>
          <w:sz w:val="20"/>
          <w:szCs w:val="20"/>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225"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coordination of our research and development programs with the research and development priorities of our collaborators; and</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their research and development programs or the commercialization, marketing or distribution of their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milestones or royalty payments to our collaborators or to observe other obligations in our agreements with them, our collaborators may have the right to terminate those agreements.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license newly developed MultiTAA-specific T cell technology from BCM and others.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important element of our intellectual property portfolio is to license additional rights and technologies from BCM. Our inability to license the rights and technologies that we have identified, or newly developed MultiTAA-specific T cell technology that we may in the future identify, could have a material adverse impact on our ability to complete the development of our product candidates or to develop additional product candidates. No assurance can be given that we will be successful in licensing any additional rights or technologies from BCM and others. Failure to obtain additional rights and licenses may detrimentally affect our planned development of additional product candidates and could increase the cost, and extend the timelines associated with our development of such other product candidates.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often approves new oncology therapies initially only for use in patients with relapsed or refractory metastatic disease. We expect to initially seek approval of our product candidates in this setting. Subsequently, for those product candidates that prove to be sufficiently beneficial, if any, we would expect to seek approval in earlier lines of treatment and potentially as a first line therapy. There is no guarantee, however, that our product candidates, even if approved, would be approved for earlier lines of therapy, and, prior to any such approvals, we may have to conduct additional clinical trials.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projections of both the number of people who have the cancers we are targeting, as well as the subset of people with these cancers in a position to receive second or third-line therapy, and who have the potential to benefit from treatment with our product candidates, are based on our research and estimates. These estimates have been derived from a variety of sources, including scientific literature, surveys of clinics, patient foundations, or market research by third parties, and may prove to be incorrect. Further, new studies may change the estimated incidence or prevalence of these cancers. The number of treatable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our lead product candidate to initially target a small patient population that suffers from AML. Even if we obtain significant market share for our product candidates, because the potential target populations are small, we may never achieve profitability without obtaining regulatory approval for additional indications.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required to pay substantial royalties and lump sum milestone payments under our license agreements with BCM and the Mayo Foundation, and we must meet certain milestones to maintain our license rights.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our license agreement with BCM for our MultiTAA-specific T cell therapy technologies, we are currently required to pay both substantial milestone payments and royalties to BCM based on our revenues from sales of any approved products utilizing the licensed technologies, and these payments could adversely affect the overall profitability for us of any products that we may seek to commercialize. In order to maintain our license rights under the BCM license agreement, we will need to meet certain specified milestones, subject to certain cure provisions, in the development of our product candidates. Similarly, we are also required to pay both substantial milestone payments and royalties to the Mayo Foundation based on our revenues from sales of our products utilizing those licensed technologies. There is no assurance that we will be successful in meeting all of the milestones in our licenses in the future on a timely basis or at all.</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upon a liquidity event (as defined in our BCM license agreement with BCM) of the licensee under the BCM license agreement (which, the licensee shall be the Company), BCM will receive a liquidity incentive payment of 0.5% of the liquidity event proceeds (as defined in the BCM license agreement) received by such licensee or its stockholders in the liquidity event, thereby diluting the amount of proceeds available to the licensee or its stockholders in a liquidity event.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Because our current product candidates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is no assurance that the approaches offered by our product candidates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independent marketing surveys to verify the potential size of the commercial markets for our current product candidates or any future product candidates. Since our current product candidates and any future product candidates will represent new approaches to treating various conditions, it may be difficult, in any event, to accurately estimate the potential revenues from these product candidates. Accordingly, we may spend large amounts of money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our therapies. However, unless we are able to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MultiTAA-specific T cell therapy may be provided to patients in combination with other agents provided by third parties. The cost of such combination therapy may increase the overall cost of MultiTAA-specific T cell therapy and may result in issues regarding the allocation of reimbursements between our therapy and the other agents, all of which may adversely affect our ability to obtain reimbursement coverage for the combination therapy from third-party medical insurers.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to the product, negligence, strict liability or a breach of warranties. Claims could also be asserted under state consumer protection laws.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8" w:lineRule="exact"/>
        <w:rPr>
          <w:sz w:val="20"/>
          <w:szCs w:val="20"/>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inhibit or prevent the commercialization of products we develop, alone or with collaborators. Our insurance policies may also have various exclusions, and we may be subject to a product liability claim for which we have no insurance coverage. While we obtained clinical trial insurance for our Phase II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significant competition from other biotechnology and pharmaceutical companies and from non-profit institutions.</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Competition in the field of cancer therapy is intense and is accentuated by the rapid pace of technological development. Research and discoveries by others may result in breakthroughs that may render our product candidates obsolete even before they generate any revenue. There are products currently under development by others that could compete with the product candidates that we are developing. Many of our potential competitors have substantially greater research and development capabilities and manufacturing, marketing, financial and managerial resources than we have. Our competitors may:</w:t>
      </w:r>
    </w:p>
    <w:p>
      <w:pPr>
        <w:spacing w:after="0" w:line="176" w:lineRule="exact"/>
        <w:rPr>
          <w:sz w:val="20"/>
          <w:szCs w:val="20"/>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safer or more effective immunotherapies and other therapeutic products;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Potential competitors in the market for treating hematological malignancies are companies such as Juno Therapeutics/Celgene/Bristol-Myers Squibb, Roche/Genentech, Merck, Novartis, Kite Pharma/Gilead, Amgen, Pfizer, and GlaxoSmithKline, which already have products on the market or in development. Other companies, such as Cellectis, Bluebird Bio, and AdaptImmune, which are focused on genetically engineered T cell technologies to treat cancer, may also be competitors. Furthermore, companies such as Iovance, Immatics, WindMIL Therapeutics, Mana Therapeutics, Tessa Therapeutics and Torque Therapeutics (now Repetoire Immune Medicines) are developing non-genetically modified T cell therapies such as tumor infiltrating lymphocytes and marrow infiltrating lymphocytes therapies that may compete with our product candidates. All these companies, and most of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Universities and public and private research institutions in the U.S. and around the world are also potential competitors.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 candidates.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lead product candidate is a therapy for the treatment of refractory AML. Currently, there are numerous companies that are developing various alternate treatments for AML. Accordingly, we face significant competition in the AML treatment space from multiple companies. Even if we obtain regulatory approval for our lead product candidate, the availability and price of competitors’ products could limit the demand and the price we will be able to charge for our therapy. We may not be able to implement our business plan if the acceptance of our product candidates is inhibited by price competition or the reluctance of physicians to switch from other methods of treatment to our product, or if physicians switch to other new therapies, drugs or biologic products or choose to reserve our product candidates for use in limited circumstances.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required, pursuant to Section 404 of the Sarbanes-Oxley Act, or Section 404, to furnish a report by management on, among other things, the effectiveness of our internal control over financial reporting. This report by management is included in Part II, Item 9A of this Form 10-K. In addition, our independent registered public accounting firm is required to attest to the effectiveness of our internal control over financial reporting in this Form 10-K. We are also required to disclose significant changes made in our internal control procedures on a quarterly basis.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 comply with Section 404, we have engaged in the costly and challenging process of compiling the system and processing documentation necessary to perform the evaluation needed to comply with Section 404. Our compliance with Section 404 requires that we incur substantial professional fees and expend significant management efforts,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cybersecurity/information systems risk.</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our manufacturers and other third parties on which we rely, are vulnerable to damage from computer viruses, unauthorized access, natural disasters, fire, terrorism, successful breaches, employee malfeasance, or human or technological error, war and telecommunication and electrical failures. In addition, our systems safeguard important confidential personal data regarding our subjects.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maintain cybersecurity insurance however an incident may exceed our coverage premiums.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cybersecurity insurance for a breach event covering expenses for notification, credit monitoring, investigation, crisis management, public relations and legal advice. We also maintain property and casualty insurance that may cover restoration of data, certain physical damage or third-party injuries caused by potential cybersecurity incidents. However, damage and claims arising from such incidents may not be covered or may exceed the amount of any insurance available.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costs of addressing a cybersecurity incident.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Cybersecurity incidents have increased in number and severity recently and it is expected that these trends will continue. Should we be affected by such an incident, we may incur substantial costs and suffer other negative consequences, which may include:</w:t>
      </w:r>
    </w:p>
    <w:p>
      <w:pPr>
        <w:spacing w:after="0" w:line="146" w:lineRule="exact"/>
        <w:rPr>
          <w:sz w:val="20"/>
          <w:szCs w:val="20"/>
          <w:color w:val="auto"/>
        </w:rPr>
      </w:pPr>
    </w:p>
    <w:p>
      <w:pPr>
        <w:ind w:left="1000" w:hanging="31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investigation costs and costs to engage specialized consultants;</w:t>
      </w:r>
    </w:p>
    <w:p>
      <w:pPr>
        <w:spacing w:after="0" w:line="225"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remediation costs, such as liability for stolen assets or information, repairs of system damage, and incentives to customers or business partners in an effort to maintain relationships after an attack; and</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and legal risks, including regulatory actions by state and federal regulators.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net operating losses and certain other tax attributes to offset future taxable income may be subject to limitation.</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net operating loss, or NOL, carryforwards could expire unused and be unavailable to offset future income tax liabilities because of their limited duration or because of restrictions under U.S. tax law. Our NOLs generated in tax years ending on or prior to December 31, 2017 are permitted to be carried forward for only 20 years under applicable U.S. tax law. Our federal NOLs generated in tax years ending after December 31, 2017 may be carried forward indefinitely, but the deductibility of federal NOLs generated in tax years beginning after December 31, 2020 is subject to certain limitations. It is uncertain if and to what extent various states will conform to the Tax Act.</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under Section 382 and Section 383 of the Internal Revenue Code of 1986, as amended, or, the Code, and corresponding provisions of state law, if a corporation undergoes an “ownership change,” its ability to use its pre-change NOL carryforwards and other pre-change tax attributes (such as research tax credits) to offset its post-change income may be limited. A Section 382 “ownership change” generally occurs if one or more stockholders or groups of stockholders who own at least 5% of our stock increase their ownership by more than 50 percentage points (by value) over their lowest ownership percentage over a rolling three-year period. We may have experienced ownership changes in the past and may experience ownership changes in the future as a result of shifts in our stock ownership (some of which are outside our control). As a result, if we earn net taxable income, our ability to use our pre-change NOLs to offset such taxable income may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Consequently, even if we achieve profitability, we may not be able to utilize a material portion of our net operating loss carryforwards and certain other tax attributes, which could have a material adverse effect on cash flow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our company.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Tax Act, enacted many significant changes to the U.S. tax laws, including changes in corporate tax rates,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subject to extensive regulation, which can be costly, time consuming and can subject us to unanticipated delays; even if we obtain regulatory approval for some of our products, those product candidates may still face regulatory difficulties.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current and future product candidates,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 candidates, which may lengthen the regulatory review process, increase our development costs and delay or prevent their commercialization.</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adoptive T cell therapy using MultiTAA-specific T cells has been approved for marketing in the U.S.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T cell therapy product. We will not be able to commercialize any of our potential product candidates until we obtain FDA approval, and so any delay in obtaining, or inability to obtain, FDA approval would harm our proposed business.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we violate regulatory requirements at any stage, whether before or after marketing approval is obtained, we may be fined, forced to remove a product from the market and experience other adverse consequences including delay, which could materially harm our business development. Additionally, we may not be able to obtain the labeling claims necessary or desirable for the promotion of our products. We may also be required to undertake post-marketing trials. Prescription drugs may be promoted only for the approved indications in accordance with the approved label. The FDA and other agencies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 but the FDA does restrict manufacturer’s communications on the subject of off-label use of their products. In addition, if we or others identify side effects after any of our adoptive T cell therapy products are on the market, or if manufacturing problems occur, regulatory approval may be withdrawn, and reformulation of our products may be required.</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CMC for the product. We expect the novel nature of our product candidates to create further challenges in obtaining regulatory approval. For example, the FDA has limited experience with commercial development of cell therapies for cancer. Accordingly, the regulatory approval pathway for our product candidates may be uncertain, complex, expensive and lengthy, and approval may not be obtained. We may also experience delays in completing planned clinical trials for a variety of reasons, including delays related to:</w:t>
      </w:r>
    </w:p>
    <w:p>
      <w:pPr>
        <w:spacing w:after="0" w:line="177" w:lineRule="exact"/>
        <w:rPr>
          <w:sz w:val="20"/>
          <w:szCs w:val="20"/>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25"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approval by an independent IRB at each clinical trial site;</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25"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 by subject basis for use in clinical trials.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 the performance of our CROs may also be interrupted by the ongoing COVID-19 pandemic, including due to travel or quarantine policies, heightened exposure of CRO staff who are healthcare providers to COVID-19 or prioritization of resources toward the pandemic. We could also encounter delays if physicians face unresolved ethical issues associated with enrolling patients in clinical trials of our product candidates in lieu of prescribing existing treatments that have established safety and efficacy profiles. Further, a clinical trial may be suspended or terminated by us, the IRB for the institutions in which such trials are being conducted, the Data and Safety Monitoring Board or Committee for such trial, or by the FDA or other regulatory authorities due to a number of factors. Those factors could include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marketing approvals, our target market will be reduced and our ability to realize the full market potential of any approved product candidates will be harmed.</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Any regulatory approvals that we receive for our product candidates will require surveillance to monitor the safety and efficacy of the product candidate. The FDA may also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Later discovery of previously unknown problems with our product candidates, including adverse events of unanticipated severity or frequency,</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with our third-party manufacturers or manufacturing processes, or failure to comply with regulatory requirements, may result in, among other things:</w:t>
      </w:r>
    </w:p>
    <w:p>
      <w:pPr>
        <w:spacing w:after="0" w:line="170" w:lineRule="exact"/>
        <w:rPr>
          <w:sz w:val="20"/>
          <w:szCs w:val="20"/>
          <w:color w:val="auto"/>
        </w:rPr>
      </w:pPr>
    </w:p>
    <w:p>
      <w:pPr>
        <w:ind w:left="1000" w:right="20" w:hanging="31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25"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61"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Any relationships with healthcare professionals, principal investigators, consultants, customers (actual and potential) and third-party payors in connection with our current and future business activities are and will continue to be subject, directly or indirectly, to federal and state healthcare laws. If we are unable to comply, or have not fully complied, with such laws, we could face penalties, contractual damages, reputational harm, diminished profits and future earnings and curtailment or restructuring of our operations.</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operations and activities may be directly, or indirectly, subject to various federal and state healthcare laws, including without limitation, fraud and abuse laws, false claims laws, data privacy and security laws, as well as transparency laws regarding payments or other items of value provided to healthcare providers. These laws may restrict or prohibit a wide range of business activities, including, but not limited to, research, manufacturing, distribution, pricing, discounting, marketing and promotion, sales commission, customer incentive programs and other business arrangements. These laws may impact, among other things, our current activities with principal investigators and research subjects, as well as current and future sales, marketing, patient co-payment assistance and education programs.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Such laws include:</w:t>
      </w:r>
    </w:p>
    <w:p>
      <w:pPr>
        <w:spacing w:after="0" w:line="225" w:lineRule="exact"/>
        <w:rPr>
          <w:sz w:val="20"/>
          <w:szCs w:val="20"/>
          <w:color w:val="auto"/>
        </w:rPr>
      </w:pPr>
    </w:p>
    <w:p>
      <w:pPr>
        <w:jc w:val="both"/>
        <w:ind w:left="680" w:hanging="321"/>
        <w:spacing w:after="0" w:line="279"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71" w:lineRule="exact"/>
        <w:rPr>
          <w:rFonts w:ascii="Arial" w:cs="Arial" w:eastAsia="Arial" w:hAnsi="Arial"/>
          <w:sz w:val="17"/>
          <w:szCs w:val="17"/>
          <w:color w:val="auto"/>
        </w:rPr>
      </w:pPr>
    </w:p>
    <w:p>
      <w:pPr>
        <w:jc w:val="both"/>
        <w:ind w:left="680" w:hanging="321"/>
        <w:spacing w:after="0" w:line="279"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federal civil False Claims Act, and civil monetary penalties laws, which impose criminal and civil penalties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71" w:lineRule="exact"/>
        <w:rPr>
          <w:rFonts w:ascii="Arial" w:cs="Arial" w:eastAsia="Arial" w:hAnsi="Arial"/>
          <w:sz w:val="17"/>
          <w:szCs w:val="17"/>
          <w:color w:val="auto"/>
        </w:rPr>
      </w:pPr>
    </w:p>
    <w:p>
      <w:pPr>
        <w:jc w:val="both"/>
        <w:ind w:left="680" w:right="20" w:hanging="321"/>
        <w:spacing w:after="0" w:line="263"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left="680" w:hanging="321"/>
        <w:spacing w:after="0" w:line="275"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its implementing regulations, which also imposes obligations, including mandatory contractual terms,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176" w:lineRule="exact"/>
        <w:rPr>
          <w:rFonts w:ascii="Arial" w:cs="Arial" w:eastAsia="Arial" w:hAnsi="Arial"/>
          <w:sz w:val="17"/>
          <w:szCs w:val="17"/>
          <w:color w:val="auto"/>
        </w:rPr>
      </w:pPr>
    </w:p>
    <w:p>
      <w:pPr>
        <w:jc w:val="both"/>
        <w:ind w:left="680" w:hanging="321"/>
        <w:spacing w:after="0" w:line="255"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as defined by such law, and teaching hospitals, and applicable manufacturers and applicable group purchasing organizations to report annually to CMS ownership and investment interests held by physicians and their immediate family members; and</w:t>
      </w:r>
    </w:p>
    <w:p>
      <w:pPr>
        <w:spacing w:after="0" w:line="192" w:lineRule="exact"/>
        <w:rPr>
          <w:rFonts w:ascii="Arial" w:cs="Arial" w:eastAsia="Arial" w:hAnsi="Arial"/>
          <w:sz w:val="18"/>
          <w:szCs w:val="18"/>
          <w:color w:val="auto"/>
        </w:rPr>
      </w:pPr>
    </w:p>
    <w:p>
      <w:pPr>
        <w:jc w:val="both"/>
        <w:ind w:left="680" w:hanging="321"/>
        <w:spacing w:after="0" w:line="289" w:lineRule="auto"/>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analogous state, local, and foreign laws and regulations, such as state anti-kickback and false claims laws, which may apply to sales or marketing arrangements and claims involving healthcare items or services reimbursed by non-governmental third 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or drug pricing; state and local laws that require the registration of pharmaceutical sales representatives; state and local “drug takeback” laws and regulations; and state and foreign laws governing the privacy and security of health information in some circumstances, many of which differ from each other in significant ways and often are not preempted by HIPAA, thus complicating compliance efforts.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Efforts to ensure that our business arrangements will comply with applicable healthcare laws may involve substantial costs. While our interactions with healthcare professionals have been structured to comply with these laws and related guidance, it is possible that governmental and enforcement authorities will conclude that our business practices may not comply with current or future statutes, regulations or case law interpreting applicable fraud and abuse or other healthcare laws. If our operations or activities are found to be in violation of any of the laws described above or any other governmental regulations that apply to us, we may be subject to, without limitation, significant civil, criminal and administrative penalties, damages, monetary fines, disgorgement,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any sales of our product once commercialized outside the U.S. will also likely subject us to foreign equivalents of the healthcare laws mentioned above, among other foreign laws.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in the United States and other countries may affect the prices we may obtain for our product candidates and increase the difficulty and cost to commercialize our product candidates.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United States and many other countries, rising healthcare costs have been a concern for governments, patients and the health insurance sector, which has resulted in a number of changes to laws and regulations, and may result in further legislative and regulatory action regarding the healthcare and health insurance systems that could affect our ability to profitably sell any product candidates for which we have obtained marketing approval.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For example, the Patient Protection and Affordable Care Act, as amended by the Health Care and Education Reconciliation Act, or the ACA was enacted in the United States in March 2010, with the stated goals of containing healthcare costs, improving quality and expanding access to healthcare, and includes measures to change health care delivery, increase the number of individuals with insurance, ensure access to certain basic health care services, and contain the rising cost of care. Since January 2017, President Trump has signed executive orders and other directives designed to delay, circumvent, or loosen certain requirements mandated by the ACA. Concurrently, Congress has considered legislation that would repeal or repeal and replace all or part of the ACA. While Congress has not passed repeal legislation, several bills affecting the implementation of certain taxes under the ACA have been signed into law. The Tax Cuts and Jobs Act of 2017 includes a provision that repealed,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On December 14, 2018, a Texas U.S. District Court Judge ruled that the ACA is unconstitutional in its entirety because the “individual mandate” was repealed by Congress as part of the Tax Cuts and Jobs Act. Further,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ACA will impact the ACA and our business. Congress may consider other legislation to repeal or replace elements of the ACA. These actions may result in increased health insurance premiums and reduce the number of people with health insurance in the United States and have other effects that could adversely affect U.S. health insurance markets and the ability of patients to have access to therapies that our product candidates can provide.</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other federal health reform measures have been proposed and adopted in the United States. For example, as a result of the Budget Control Act of 2011 and subsequent legislative amendments thereto, providers are subject to Medicare payment reductions of 2% per fiscal year through 2030 unless additional Congressional action is taken.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Further, the American Taxpayer Relief Act of 2012 reduced Medicare payments to several providers and increased the statute of limitations period for the government to recover overpayments to providers from three to five years. The Medicare Access and CHIP Reauthorization Act of 2015 ended the use of the statutory formula, also referred to as the Sustainable Growth Rate, for clinician payment and also introduced a quality payment program, or the Quality Payment Program,under which certain individual Medicare providers will be subject to certain incentives or penalties based on new program quality standards. This Quality Payment Program provides clinicians with two ways to participate, including through the Advanced Alternative Payment Models, or APMs, and the Merit-based Incentive Payment System, or MIPS. In November 2019, CMS issued a final rule finalizing the changes to the Quality Payment Program. It is still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Also, there has been heightened governmental scrutiny recently over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Resources has solicited feedback on some of these measures and has implemented others under its existing authority. For example, in May 2019, CMS issued a final rule to allow Medicare Advantage Plans the option of using step therapy for Part B drugs beginning January 1, 2020. This final rule codified CMS’s policy change that was effective January 1, 2019. Further, on July 24, 2020, President Trump signed four additional Executive Orders designed to reduce the cost of drugs. Although a number of these, and other measures may require additional authorization to become effective, Congress and the executive branch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combination of healthcare cost containment measures, increased health insurance costs, reduction of the number of people with health insurance coverage, as well as future legislation and regulations focused on reducing healthcare costs by reducing the cost of, or reimbursement and access to, pharmaceutical products, may limit or delay our ability to commercialize our products, generate revenue or attain profitability. It is possible that additional governmental action is taken to address the COVID-19 pandemic. For example, on April 18, 2020, CMS announced that ACA qualified health plan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Efforts to ensure that our business arrangements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in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develop our business. In addition, the approval and commercialization of any of our product candidates outside the United States will also likely subject us to foreign equivalents of the healthcare laws mentioned above, among other foreign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Regulatory authorities in some jurisdictions, including the United States and the European Union, may designate drugs for relatively small patient populations as orphan drugs. 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Generally, a product that has orphan drug designation and subsequently receives the first FDA approval for the disease for which it has such designation is entitled to orphan drug exclusive approval (or exclusivity), which means that the FDA may not approve any other applications to market the same drug or biologic for the same indication for seven years, except in limited circumstances, such as a showing of clinical superiority to the product with orphan drug exclusivity. A designated orphan drug may not receive orphan drug exclusivity if it is approved for a use that is broader than the indication for which it received orphan designation.</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FDA has granted orphan drug designation for MT-401 for the treatment of AML after receiving an allogenic stem cell transplant. We may seek orphan drug designation for other indications or product candidates.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or European Medicines Agency (“EMA”)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regulatory pathways for biosimilar competition could reduce the duration of market exclusivity for our products.</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federal ACA enacted in 2010, there is an abbreviated path in the United States for regulatory approval of products that are demonstrated to be “biosimilar” or “interchangeable” with an FDA-approved biological product. The 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A number of jurisdictions outside of the United States have also established abbreviated pathways for regulatory approval of biological products that are biosimilar to earlier versions of biological products. For example, the European Union has had an established regulatory pathway for biosimilars since 2005.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increased likelihood of biosimilar competition has increased the risk of loss of innovators’ market exclusivity. Due to this risk, and uncertainties regarding patent protection, if one of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the 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current U.S. administration and Congress could carry out significant changes in legislation, regulation, and government policy (including with respect to the possible repeal of all or portions of the ACA, possible changes in the existing treaty and trade relationships with other countries, and tax reform). While it is not possible to predict whether and when any such changes will occur, changes in the laws, regulations, and policies governing the development and approval of our product candidates and the commercialization, importation, and reimbursement of our product candidates could adversely affect our business.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operating performance. These fluctuations could cause you to lose part or all of your investment in our common stock. Those factors that could cause fluctuations include, but are not limited to, the following:</w:t>
      </w:r>
    </w:p>
    <w:p>
      <w:pPr>
        <w:spacing w:after="0" w:line="171" w:lineRule="exact"/>
        <w:rPr>
          <w:sz w:val="20"/>
          <w:szCs w:val="20"/>
          <w:color w:val="auto"/>
        </w:rPr>
      </w:pPr>
    </w:p>
    <w:p>
      <w:pPr>
        <w:ind w:left="1000" w:hanging="31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price and volume of fluctuations in the overall stock market from time to time;</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our net loss or fluctuations in our operating results or in the expectations of securities analysts;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our preclinical studies and clinical trials or delays in anticipated timing;</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25"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new collaboration agreements with strategic partners or developments by our existing collaboration partners;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acquisitions, mergers or business combinations;</w:t>
      </w:r>
    </w:p>
    <w:p>
      <w:pPr>
        <w:spacing w:after="0" w:line="225"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failures of products or product candidates, or progress toward commercialization by our competitors or peers;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positive and negative events relating to healthcare and the overall pharmaceutical and biotechnology sectors;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large blocks of our stock and sales by insiders and our institutional investors;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regulatory status of our immunotherapies, including results of our clinical trials;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events affecting BCM, Mayo Clinic, Mayo Foundation for Medical Education and Research or any future collaborators;</w:t>
      </w:r>
    </w:p>
    <w:p>
      <w:pPr>
        <w:spacing w:after="0" w:line="236" w:lineRule="exact"/>
        <w:rPr>
          <w:rFonts w:ascii="Arial" w:cs="Arial" w:eastAsia="Arial" w:hAnsi="Arial"/>
          <w:sz w:val="17"/>
          <w:szCs w:val="17"/>
          <w:color w:val="auto"/>
        </w:rPr>
      </w:pPr>
    </w:p>
    <w:p>
      <w:pPr>
        <w:ind w:left="1000" w:hanging="31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new product candidates or technologies, commercial relationships or other events by us or our competitors;</w:t>
      </w:r>
    </w:p>
    <w:p>
      <w:pPr>
        <w:spacing w:after="0" w:line="170"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 including changes in the structure of healthcare payment systems;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of our common stock to maintain listing requirements on Nasdaq;</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outcome of any litigation to which we are a party;</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discussion of the Company or our stock price by the financial and scientific press and in online investor communities.</w:t>
      </w:r>
    </w:p>
    <w:p>
      <w:pPr>
        <w:spacing w:after="0" w:line="23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public trading market may cause volatility in the price of our common stock.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listing of our common stock on Nasdaq does not assure that a meaningful, consistent and liquid trading market currently exists or will exist in the future. In recent years, the stock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stockholders could suffer losses or be unable to liquidate their holdings. Our stock is thinly traded due to the limited number of shares available for trading thus causing large swings in price. There is no established trading market for our warrants.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prices for our common stock may be adversely impacted by future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 prices for our common stock will be influenced by a number of factors, including:</w:t>
      </w:r>
    </w:p>
    <w:p>
      <w:pPr>
        <w:spacing w:after="0" w:line="225" w:lineRule="exact"/>
        <w:rPr>
          <w:sz w:val="20"/>
          <w:szCs w:val="20"/>
          <w:color w:val="auto"/>
        </w:rPr>
      </w:pPr>
    </w:p>
    <w:p>
      <w:pPr>
        <w:ind w:left="1000" w:right="20" w:hanging="31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shares upon the exercise of outstanding warrants or the issuance of preferred stock;</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25"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hanging="31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 and warrants;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investor perceptions of us and the pharmaceutical and biotech industries generally; and</w:t>
      </w:r>
    </w:p>
    <w:p>
      <w:pPr>
        <w:spacing w:after="0" w:line="225"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and other national and global conditions, including the ongoing COVID-19 pandemic and related global economic uncertainty.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additional equity securities may adversely affect the market price of our common stock and your rights may be reduced.</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drug development and sale, general and administrative costs. Until such time, if ever, as we can generate substantial product revenue, we expect to fund our cash requirements through a combination of equity offerings, debt financings and potential collaboration, license and development agreements. We do not currently have a committed external source of funds. To the extent that we sell equity securities or convertible debt securities, your ownership interest will be diluted, and the terms of these securities may include liquidation or other preferences that adversely affect your rights as a common stockholder. The sale or the proposed sale of substantial amounts of our common stock or other equity securities in the public markets may adversely affect the market price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Because we have a significant number of additional authorized shares of common stock available for issuance and outstanding warrants to purchase our common stock, our stockholders may experience dilution in the future and it may adversely affect the market price of our securities.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currently authorized to issue 150 million shares of our common stock. As of June 30, 2020, we had 46.6 million shares of our common stock issued and outstanding. Those outstanding shares represent a minority of our authorized shares, meaning that the ownership position of the current stockholders could be diluted significantly were we to issue a large number of additional shares. In addition, as of June 30, 2020, there were outstanding warrants to purchase up to approximately 21.4 million shares of our common stock at a weighted average exercise price of $4.69 per share, and options exercisable for an aggregate of approximately 5.8 million shares of common stock at a weighted average exercise price of $6.34 per share. We have registered the resale of the shares issuable upon exercise of our outstanding warrants, and as a result the shares issued upon exercise will be tradable by the exercising party. Upon such registration, the holders may sell these shares in the public markets from time to time, without limitations on the timing, amount, or method of sale. If our stock price rises, the holders may exercise their warrants and options and sell a large number of shares. This could cause the market price of our common stock to decline and cause existing stockholders to experience significant further dilution.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statement of operations and make our financial results unpredictable.</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of our outstanding warrants contain or contained prior to being amended, or may be deemed to contain from time to time, embedded derivative rights in accordance with U.S. Generally Accepted Accounting Principles (“GAAP”).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 These derivative rights, or similar rights in securities we may issue in the future, need to be, or may need to be, separately valued as of the end of each accounting period in accordance with GAAP. We record these embedded derivatives as liabilities at issuance, valued using the Black Scholes Option Pricing Model and are subject to revaluation at each reporting date. Any change in fair value between reporting periods is reported on our statement of operations. At June 30, 2020, the fair value of the derivative liability-warrants was $0.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83"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did not record any issuances of unregistered securities during the six months ended June 30, 2020.</w:t>
      </w:r>
    </w:p>
    <w:p>
      <w:pPr>
        <w:spacing w:after="0" w:line="221"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6283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Incorporated by</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2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Reference</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Filing</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1"/>
        </w:trPr>
        <w:tc>
          <w:tcPr>
            <w:tcW w:w="920" w:type="dxa"/>
            <w:vAlign w:val="bottom"/>
            <w:gridSpan w:val="2"/>
            <w:vMerge w:val="continue"/>
          </w:tcPr>
          <w:p>
            <w:pPr>
              <w:spacing w:after="0"/>
              <w:rPr>
                <w:sz w:val="9"/>
                <w:szCs w:val="9"/>
                <w:color w:val="auto"/>
              </w:rPr>
            </w:pPr>
          </w:p>
        </w:tc>
        <w:tc>
          <w:tcPr>
            <w:tcW w:w="3660" w:type="dxa"/>
            <w:vAlign w:val="bottom"/>
            <w:gridSpan w:val="9"/>
            <w:vMerge w:val="restart"/>
          </w:tcPr>
          <w:p>
            <w:pPr>
              <w:ind w:left="1240"/>
              <w:spacing w:after="0"/>
              <w:rPr>
                <w:sz w:val="20"/>
                <w:szCs w:val="20"/>
                <w:color w:val="auto"/>
              </w:rPr>
            </w:pPr>
            <w:r>
              <w:rPr>
                <w:rFonts w:ascii="Arial" w:cs="Arial" w:eastAsia="Arial" w:hAnsi="Arial"/>
                <w:sz w:val="14"/>
                <w:szCs w:val="14"/>
                <w:b w:val="1"/>
                <w:bCs w:val="1"/>
                <w:color w:val="auto"/>
              </w:rPr>
              <w:t>Exhibit description</w:t>
            </w:r>
          </w:p>
        </w:tc>
        <w:tc>
          <w:tcPr>
            <w:tcW w:w="200" w:type="dxa"/>
            <w:vAlign w:val="bottom"/>
            <w:vMerge w:val="restart"/>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0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 no.</w:t>
            </w:r>
          </w:p>
        </w:tc>
        <w:tc>
          <w:tcPr>
            <w:tcW w:w="200" w:type="dxa"/>
            <w:vAlign w:val="bottom"/>
            <w:vMerge w:val="restart"/>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80" w:type="dxa"/>
            <w:vAlign w:val="bottom"/>
            <w:vMerge w:val="restart"/>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3660" w:type="dxa"/>
            <w:vAlign w:val="bottom"/>
            <w:tcBorders>
              <w:bottom w:val="single" w:sz="8" w:color="auto"/>
            </w:tcBorders>
            <w:gridSpan w:val="9"/>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0" w:type="dxa"/>
            <w:vAlign w:val="bottom"/>
          </w:tcPr>
          <w:p>
            <w:pPr>
              <w:spacing w:after="0"/>
              <w:rPr>
                <w:sz w:val="1"/>
                <w:szCs w:val="1"/>
                <w:color w:val="auto"/>
              </w:rPr>
            </w:pPr>
          </w:p>
        </w:tc>
      </w:tr>
      <w:tr>
        <w:trPr>
          <w:trHeight w:val="425"/>
        </w:trPr>
        <w:tc>
          <w:tcPr>
            <w:tcW w:w="720" w:type="dxa"/>
            <w:vAlign w:val="bottom"/>
          </w:tcPr>
          <w:p>
            <w:pPr>
              <w:ind w:left="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3860" w:type="dxa"/>
            <w:vAlign w:val="bottom"/>
            <w:gridSpan w:val="10"/>
          </w:tcPr>
          <w:p>
            <w:pPr>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Certificate of Incorporation (Delaware).</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136"/>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ind w:left="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3860" w:type="dxa"/>
            <w:vAlign w:val="bottom"/>
            <w:gridSpan w:val="10"/>
          </w:tcPr>
          <w:p>
            <w:pPr>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Bylaws of Marker Therapeutics, Inc.</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136"/>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356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71">
              <w:r>
                <w:rPr>
                  <w:rFonts w:ascii="Arial" w:cs="Arial" w:eastAsia="Arial" w:hAnsi="Arial"/>
                  <w:sz w:val="18"/>
                  <w:szCs w:val="18"/>
                  <w:color w:val="0000EE"/>
                  <w:w w:val="93"/>
                </w:rPr>
                <w:t>Certification of Chief Executive Officer Pursuant</w:t>
              </w:r>
            </w:hyperlink>
          </w:p>
        </w:tc>
        <w:tc>
          <w:tcPr>
            <w:tcW w:w="30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to Rule 13a-14(a) or 15d-14(a) of the Securities</w:t>
              </w:r>
            </w:hyperlink>
          </w:p>
        </w:tc>
        <w:tc>
          <w:tcPr>
            <w:tcW w:w="42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Exchange Act of 1933, as amended.</w:t>
              </w:r>
            </w:hyperlink>
          </w:p>
        </w:tc>
        <w:tc>
          <w:tcPr>
            <w:tcW w:w="126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3860" w:type="dxa"/>
            <w:vAlign w:val="bottom"/>
            <w:gridSpan w:val="10"/>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Certification of Chief Financial Officer Pursuant</w:t>
              </w:r>
            </w:hyperlink>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to Rule 13a-14(a) or 15d-14(a) of the Securities</w:t>
              </w:r>
            </w:hyperlink>
          </w:p>
        </w:tc>
        <w:tc>
          <w:tcPr>
            <w:tcW w:w="60" w:type="dxa"/>
            <w:vAlign w:val="bottom"/>
            <w:tcBorders>
              <w:top w:val="single" w:sz="8" w:color="0000EE"/>
            </w:tcBorders>
          </w:tcPr>
          <w:p>
            <w:pPr>
              <w:spacing w:after="0"/>
              <w:rPr>
                <w:sz w:val="17"/>
                <w:szCs w:val="17"/>
                <w:color w:val="auto"/>
              </w:rPr>
            </w:pPr>
          </w:p>
        </w:tc>
        <w:tc>
          <w:tcPr>
            <w:tcW w:w="36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60" w:type="dxa"/>
            <w:vAlign w:val="bottom"/>
            <w:gridSpan w:val="10"/>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Exchange Act of 1933, as amended.</w:t>
              </w:r>
            </w:hyperlink>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92"/>
        </w:trPr>
        <w:tc>
          <w:tcPr>
            <w:tcW w:w="720" w:type="dxa"/>
            <w:vAlign w:val="bottom"/>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6"/>
                <w:szCs w:val="26"/>
                <w:color w:val="auto"/>
                <w:vertAlign w:val="superscript"/>
              </w:rPr>
              <w:t>*</w:t>
            </w:r>
          </w:p>
        </w:tc>
        <w:tc>
          <w:tcPr>
            <w:tcW w:w="200" w:type="dxa"/>
            <w:vAlign w:val="bottom"/>
          </w:tcPr>
          <w:p>
            <w:pPr>
              <w:spacing w:after="0"/>
              <w:rPr>
                <w:sz w:val="24"/>
                <w:szCs w:val="24"/>
                <w:color w:val="auto"/>
              </w:rPr>
            </w:pPr>
          </w:p>
        </w:tc>
        <w:tc>
          <w:tcPr>
            <w:tcW w:w="356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73">
              <w:r>
                <w:rPr>
                  <w:rFonts w:ascii="Arial" w:cs="Arial" w:eastAsia="Arial" w:hAnsi="Arial"/>
                  <w:sz w:val="18"/>
                  <w:szCs w:val="18"/>
                  <w:color w:val="0000EE"/>
                  <w:w w:val="93"/>
                </w:rPr>
                <w:t>Certification of Chief Executive Officer Pursuant</w:t>
              </w:r>
            </w:hyperlink>
          </w:p>
        </w:tc>
        <w:tc>
          <w:tcPr>
            <w:tcW w:w="30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to Rule 13a-14(a) or 15d-14(a) of the Securities</w:t>
              </w:r>
            </w:hyperlink>
          </w:p>
        </w:tc>
        <w:tc>
          <w:tcPr>
            <w:tcW w:w="42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Exchange Act of 1933, as amended.</w:t>
              </w:r>
            </w:hyperlink>
          </w:p>
        </w:tc>
        <w:tc>
          <w:tcPr>
            <w:tcW w:w="126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32.2</w:t>
            </w:r>
            <w:r>
              <w:rPr>
                <w:rFonts w:ascii="Arial" w:cs="Arial" w:eastAsia="Arial" w:hAnsi="Arial"/>
                <w:sz w:val="26"/>
                <w:szCs w:val="26"/>
                <w:color w:val="auto"/>
                <w:vertAlign w:val="superscript"/>
              </w:rPr>
              <w:t>*</w:t>
            </w:r>
          </w:p>
        </w:tc>
        <w:tc>
          <w:tcPr>
            <w:tcW w:w="200" w:type="dxa"/>
            <w:vAlign w:val="bottom"/>
          </w:tcPr>
          <w:p>
            <w:pPr>
              <w:spacing w:after="0"/>
              <w:rPr>
                <w:sz w:val="24"/>
                <w:szCs w:val="24"/>
                <w:color w:val="auto"/>
              </w:rPr>
            </w:pPr>
          </w:p>
        </w:tc>
        <w:tc>
          <w:tcPr>
            <w:tcW w:w="314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Certification of Chief Financial Officer and</w:t>
              </w:r>
            </w:hyperlink>
          </w:p>
        </w:tc>
        <w:tc>
          <w:tcPr>
            <w:tcW w:w="72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Principal Financial Officer pursuant to 18 U.S.C.</w:t>
              </w:r>
            </w:hyperlink>
          </w:p>
        </w:tc>
        <w:tc>
          <w:tcPr>
            <w:tcW w:w="32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gridSpan w:val="1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1350 as adopted pursuant to Section 906 of the</w:t>
              </w:r>
            </w:hyperlink>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Sarbanes-Oxley Act of 2002.</w:t>
              </w:r>
            </w:hyperlink>
          </w:p>
        </w:tc>
        <w:tc>
          <w:tcPr>
            <w:tcW w:w="48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Cover Page Interactive Data File (formatted as Inline XBRL and contained in Exhibit 101 filed herewith).</w:t>
      </w:r>
    </w:p>
    <w:p>
      <w:pPr>
        <w:spacing w:after="0" w:line="211" w:lineRule="exact"/>
        <w:rPr>
          <w:sz w:val="20"/>
          <w:szCs w:val="20"/>
          <w:color w:val="auto"/>
        </w:rPr>
      </w:pPr>
    </w:p>
    <w:p>
      <w:pPr>
        <w:jc w:val="both"/>
        <w:ind w:firstLine="8"/>
        <w:spacing w:after="0" w:line="259"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THERAPEUTICS, INC.</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14605</wp:posOffset>
            </wp:positionV>
            <wp:extent cx="30175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Peter L. Hoang</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President, Chief Executive Officer and Principal Executive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5715</wp:posOffset>
            </wp:positionV>
            <wp:extent cx="30175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auto"/>
        </w:rPr>
        <w:t>Anthony Kim</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Chief Financial Officer and Principal Financial and Accounting</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Peter L. Hoang, certify that:</w:t>
      </w:r>
    </w:p>
    <w:p>
      <w:pPr>
        <w:spacing w:after="0" w:line="198"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184" w:lineRule="exact"/>
        <w:rPr>
          <w:rFonts w:ascii="Arial" w:cs="Arial" w:eastAsia="Arial" w:hAnsi="Arial"/>
          <w:sz w:val="18"/>
          <w:szCs w:val="18"/>
          <w:color w:val="auto"/>
        </w:rPr>
      </w:pPr>
    </w:p>
    <w:p>
      <w:pPr>
        <w:ind w:left="660" w:right="200" w:hanging="652"/>
        <w:spacing w:after="0" w:line="263" w:lineRule="auto"/>
        <w:tabs>
          <w:tab w:leader="none" w:pos="6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280" w:hanging="652"/>
        <w:spacing w:after="0" w:line="263" w:lineRule="auto"/>
        <w:tabs>
          <w:tab w:leader="none" w:pos="6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ind w:left="660" w:right="40" w:hanging="652"/>
        <w:spacing w:after="0" w:line="263" w:lineRule="auto"/>
        <w:tabs>
          <w:tab w:leader="none" w:pos="6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980" w:right="100" w:hanging="324"/>
        <w:spacing w:after="0" w:line="311" w:lineRule="auto"/>
        <w:tabs>
          <w:tab w:leader="none" w:pos="991"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auto"/>
        </w:rPr>
      </w:pPr>
    </w:p>
    <w:p>
      <w:pPr>
        <w:ind w:left="980" w:right="460" w:hanging="324"/>
        <w:spacing w:after="0" w:line="311" w:lineRule="auto"/>
        <w:tabs>
          <w:tab w:leader="none" w:pos="1001"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21" w:lineRule="exact"/>
        <w:rPr>
          <w:rFonts w:ascii="Arial" w:cs="Arial" w:eastAsia="Arial" w:hAnsi="Arial"/>
          <w:sz w:val="16"/>
          <w:szCs w:val="16"/>
          <w:color w:val="auto"/>
        </w:rPr>
      </w:pPr>
    </w:p>
    <w:p>
      <w:pPr>
        <w:ind w:left="980" w:right="280" w:hanging="324"/>
        <w:spacing w:after="0" w:line="263" w:lineRule="auto"/>
        <w:tabs>
          <w:tab w:leader="none" w:pos="991"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980" w:right="100" w:hanging="324"/>
        <w:spacing w:after="0" w:line="311" w:lineRule="auto"/>
        <w:tabs>
          <w:tab w:leader="none" w:pos="1001"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660" w:right="100" w:hanging="652"/>
        <w:spacing w:after="0" w:line="263" w:lineRule="auto"/>
        <w:tabs>
          <w:tab w:leader="none" w:pos="6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980" w:right="200" w:hanging="324"/>
        <w:spacing w:after="0" w:line="263" w:lineRule="auto"/>
        <w:tabs>
          <w:tab w:leader="none" w:pos="98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80" w:right="580" w:hanging="324"/>
        <w:spacing w:after="0" w:line="277" w:lineRule="auto"/>
        <w:tabs>
          <w:tab w:leader="none" w:pos="99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Peter L. Hoang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Anthony Kim, certify that:</w:t>
      </w:r>
    </w:p>
    <w:p>
      <w:pPr>
        <w:spacing w:after="0" w:line="198"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184" w:lineRule="exact"/>
        <w:rPr>
          <w:rFonts w:ascii="Arial" w:cs="Arial" w:eastAsia="Arial" w:hAnsi="Arial"/>
          <w:sz w:val="18"/>
          <w:szCs w:val="18"/>
          <w:color w:val="auto"/>
        </w:rPr>
      </w:pPr>
    </w:p>
    <w:p>
      <w:pPr>
        <w:ind w:left="660" w:right="200" w:hanging="652"/>
        <w:spacing w:after="0" w:line="263" w:lineRule="auto"/>
        <w:tabs>
          <w:tab w:leader="none" w:pos="6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280" w:hanging="652"/>
        <w:spacing w:after="0" w:line="263" w:lineRule="auto"/>
        <w:tabs>
          <w:tab w:leader="none" w:pos="6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ind w:left="660" w:right="40" w:hanging="652"/>
        <w:spacing w:after="0" w:line="263" w:lineRule="auto"/>
        <w:tabs>
          <w:tab w:leader="none" w:pos="6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980" w:right="100" w:hanging="324"/>
        <w:spacing w:after="0" w:line="311" w:lineRule="auto"/>
        <w:tabs>
          <w:tab w:leader="none" w:pos="991"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auto"/>
        </w:rPr>
      </w:pPr>
    </w:p>
    <w:p>
      <w:pPr>
        <w:ind w:left="980" w:right="460" w:hanging="324"/>
        <w:spacing w:after="0" w:line="311" w:lineRule="auto"/>
        <w:tabs>
          <w:tab w:leader="none" w:pos="1001"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21" w:lineRule="exact"/>
        <w:rPr>
          <w:rFonts w:ascii="Arial" w:cs="Arial" w:eastAsia="Arial" w:hAnsi="Arial"/>
          <w:sz w:val="16"/>
          <w:szCs w:val="16"/>
          <w:color w:val="auto"/>
        </w:rPr>
      </w:pPr>
    </w:p>
    <w:p>
      <w:pPr>
        <w:ind w:left="980" w:right="280" w:hanging="324"/>
        <w:spacing w:after="0" w:line="263" w:lineRule="auto"/>
        <w:tabs>
          <w:tab w:leader="none" w:pos="991"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980" w:right="100" w:hanging="324"/>
        <w:spacing w:after="0" w:line="311" w:lineRule="auto"/>
        <w:tabs>
          <w:tab w:leader="none" w:pos="1001"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660" w:right="100" w:hanging="652"/>
        <w:spacing w:after="0" w:line="263" w:lineRule="auto"/>
        <w:tabs>
          <w:tab w:leader="none" w:pos="6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980" w:right="200" w:hanging="324"/>
        <w:spacing w:after="0" w:line="263" w:lineRule="auto"/>
        <w:tabs>
          <w:tab w:leader="none" w:pos="98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80" w:right="580" w:hanging="324"/>
        <w:spacing w:after="0" w:line="277" w:lineRule="auto"/>
        <w:tabs>
          <w:tab w:leader="none" w:pos="99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Anthony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(Principal Financial and Accounting</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Peter L. Hoang, the Chief Executive Officer of Marker Therapeutics, Inc. (the “Company”) hereby certifies, pursuant to 18 U.S.C. Section 1350, as adopted pursuant to Section 906 of the Sarbanes-Oxley Act of 2002, that, to the best of his knowledge, the Quarterly Report on Form 10-Q for the period ending June 30, 2020,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28803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Peter L. Hoang</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Anthony Kim, the Chief Financial Officer of Marker Therapeutics, Inc. (the “Company”) hereby certifies, pursuant to 18 U.S.C. Section 1350, as adopted pursuant to Section 906 of the Sarbanes-Oxley Act of 2002, that, to the best of his knowledge, the Quarterly Report on Form 10-Q for the period ending June 30, 2020,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28803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Anthony Kim</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lvl w:ilvl="1">
      <w:lvlJc w:val="left"/>
      <w:lvlText w:val="o"/>
      <w:numFmt w:val="bullet"/>
      <w:start w:val="1"/>
    </w:lvl>
  </w:abstractNum>
  <w:abstractNum w:abstractNumId="7">
    <w:nsid w:val="6763845E"/>
    <w:multiLevelType w:val="hybridMultilevel"/>
    <w:lvl w:ilvl="0">
      <w:lvlJc w:val="left"/>
      <w:lvlText w:val="o"/>
      <w:numFmt w:val="bullet"/>
      <w:start w:val="1"/>
    </w:lvl>
  </w:abstractNum>
  <w:abstractNum w:abstractNumId="8">
    <w:nsid w:val="75A2A8D4"/>
    <w:multiLevelType w:val="hybridMultilevel"/>
    <w:lvl w:ilvl="0">
      <w:lvlJc w:val="left"/>
      <w:lvlText w:val="o"/>
      <w:numFmt w:val="bullet"/>
      <w:start w:val="1"/>
    </w:lvl>
  </w:abstractNum>
  <w:abstractNum w:abstractNumId="9">
    <w:nsid w:val="8EDBDAB"/>
    <w:multiLevelType w:val="hybridMultilevel"/>
    <w:lvl w:ilvl="0">
      <w:lvlJc w:val="left"/>
      <w:lvlText w:val="o"/>
      <w:numFmt w:val="bullet"/>
      <w:start w:val="1"/>
    </w:lvl>
  </w:abstractNum>
  <w:abstractNum w:abstractNumId="10">
    <w:nsid w:val="79838CB2"/>
    <w:multiLevelType w:val="hybridMultilevel"/>
    <w:lvl w:ilvl="0">
      <w:lvlJc w:val="left"/>
      <w:lvlText w:val="o"/>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89" Type="http://schemas.openxmlformats.org/officeDocument/2006/relationships/hyperlink" Target="https://www.sec.gov/Archives/edgar/data/1094038/000114420418054209/tv504951_ex3-4.htm" TargetMode="External"/><Relationship Id="rId90" Type="http://schemas.openxmlformats.org/officeDocument/2006/relationships/hyperlink" Target="https://www.sec.gov/Archives/edgar/data/1094038/000114420418054209/tv504951_ex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2020-08-10T15:24:22Z</dcterms:created>
  <dcterms:modified xsi:type="dcterms:W3CDTF">2020-08-10T15:24:22Z</dcterms:modified>
</cp:coreProperties>
</file>