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both"/>
        <w:rPr/>
      </w:pPr>
      <w:hyperlink w:anchor="TOC">
        <w:bookmarkStart w:id="0" w:name="mrkr-20250930x10q.htm"/>
        <w:bookmarkStart w:id="1" w:name="ksmrkr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bookmarkStart w:id="2" w:name="_b999c727_6325_4f09_9c21_4b3f5e0fc54e"/>
      <w:bookmarkEnd w:id="2"/>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UNITED STATES 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 xml:space="preserve">Quarterly Report Under Section 13 or 15(d) of the Securities Exchange Act of 1934 for the quarterly period ended September 30, 2025 </w:t>
      </w:r>
    </w:p>
    <w:p>
      <w:pPr>
        <w:pStyle w:val="TextBody"/>
        <w:pBdr/>
        <w:bidi w:val="0"/>
        <w:spacing w:before="0" w:after="240"/>
        <w:ind w:left="0" w:right="0" w:hanging="36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Transition Report Under Section 13 or 15(d) of the Securities Exchange Act of 1934 for the transition period from _____ to _____.</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Commission File Number: </w:t>
      </w:r>
      <w:r>
        <w:rPr>
          <w:rFonts w:ascii="Times New Roman;Times;serif" w:hAnsi="Times New Roman;Times;serif"/>
          <w:b/>
          <w:sz w:val="18"/>
        </w:rPr>
        <w:t>001-37939</w:t>
      </w:r>
    </w:p>
    <w:p>
      <w:pPr>
        <w:pStyle w:val="TextBody"/>
        <w:bidi w:val="0"/>
        <w:spacing w:before="0" w:after="240"/>
        <w:ind w:left="0" w:right="0" w:hanging="0"/>
        <w:jc w:val="center"/>
        <w:rPr/>
      </w:pPr>
      <w:r>
        <w:rPr/>
        <w:t>​</w:t>
      </w:r>
    </w:p>
    <w:p>
      <w:pPr>
        <w:pStyle w:val="TextBody"/>
        <w:bidi w:val="0"/>
        <w:spacing w:before="0" w:after="0"/>
        <w:ind w:left="0" w:right="0" w:hanging="0"/>
        <w:jc w:val="center"/>
        <w:rPr/>
      </w:pPr>
      <w:r>
        <w:rPr/>
        <w:drawing>
          <wp:inline distT="0" distB="0" distL="0" distR="0">
            <wp:extent cx="266636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6365" cy="762000"/>
                    </a:xfrm>
                    <a:prstGeom prst="rect">
                      <a:avLst/>
                    </a:prstGeom>
                  </pic:spPr>
                </pic:pic>
              </a:graphicData>
            </a:graphic>
          </wp:inline>
        </w:drawing>
      </w:r>
    </w:p>
    <w:p>
      <w:pPr>
        <w:pStyle w:val="TextBody"/>
        <w:bidi w:val="0"/>
        <w:spacing w:before="0" w:after="240"/>
        <w:ind w:left="0" w:right="0" w:hanging="0"/>
        <w:jc w:val="center"/>
        <w:rPr/>
      </w:pPr>
      <w:r>
        <w:rPr/>
        <w:t>​</w:t>
      </w:r>
    </w:p>
    <w:p>
      <w:pPr>
        <w:pStyle w:val="TextBody"/>
        <w:pBdr>
          <w:bottom w:val="single" w:sz="2" w:space="1" w:color="000000"/>
        </w:pBdr>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MARKER THERAPEUTICS,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registrant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VQFncHMuhEOCjW_0KhBklQ_2_2"/>
      <w:bookmarkStart w:id="4" w:name="Tc_bilK9QT800mJS36tiQ_X2Q_2_0"/>
      <w:bookmarkStart w:id="5" w:name="_9af6c5aa_2964_4dcd_963c_1242e1a24825"/>
      <w:bookmarkStart w:id="6" w:name="Tc_VQFncHMuhEOCjW_0KhBklQ_2_2"/>
      <w:bookmarkStart w:id="7" w:name="Tc_bilK9QT800mJS36tiQ_X2Q_2_0"/>
      <w:bookmarkStart w:id="8" w:name="_9af6c5aa_2964_4dcd_963c_1242e1a24825"/>
      <w:bookmarkEnd w:id="6"/>
      <w:bookmarkEnd w:id="7"/>
      <w:bookmarkEnd w:id="8"/>
    </w:p>
    <w:tbl>
      <w:tblPr>
        <w:tblW w:w="7363" w:type="dxa"/>
        <w:jc w:val="left"/>
        <w:tblInd w:w="0" w:type="dxa"/>
        <w:tblLayout w:type="fixed"/>
        <w:tblCellMar>
          <w:top w:w="0" w:type="dxa"/>
          <w:left w:w="0" w:type="dxa"/>
          <w:bottom w:w="0" w:type="dxa"/>
          <w:right w:w="0" w:type="dxa"/>
        </w:tblCellMar>
      </w:tblPr>
      <w:tblGrid>
        <w:gridCol w:w="4321"/>
        <w:gridCol w:w="326"/>
        <w:gridCol w:w="2716"/>
      </w:tblGrid>
      <w:tr>
        <w:trPr/>
        <w:tc>
          <w:tcPr>
            <w:tcW w:w="43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716" w:type="dxa"/>
            <w:tcBorders/>
            <w:vAlign w:val="center"/>
          </w:tcPr>
          <w:p>
            <w:pPr>
              <w:pStyle w:val="TableContents"/>
              <w:bidi w:val="0"/>
              <w:spacing w:before="0" w:after="0"/>
              <w:ind w:left="0" w:right="0" w:hanging="0"/>
              <w:jc w:val="both"/>
              <w:rPr/>
            </w:pPr>
            <w:r>
              <w:rPr/>
              <w:t>​</w:t>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DELAWARE</w:t>
            </w:r>
          </w:p>
        </w:tc>
        <w:tc>
          <w:tcPr>
            <w:tcW w:w="326" w:type="dxa"/>
            <w:tcBorders/>
            <w:vAlign w:val="center"/>
          </w:tcPr>
          <w:p>
            <w:pPr>
              <w:pStyle w:val="TableContents"/>
              <w:bidi w:val="0"/>
              <w:spacing w:before="0" w:after="0"/>
              <w:ind w:left="0" w:right="0" w:hanging="0"/>
              <w:jc w:val="both"/>
              <w:rPr/>
            </w:pPr>
            <w:r>
              <w:rPr/>
              <w:t>    </w:t>
            </w:r>
          </w:p>
        </w:tc>
        <w:tc>
          <w:tcPr>
            <w:tcW w:w="27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45-4497941</w:t>
            </w:r>
          </w:p>
        </w:tc>
      </w:tr>
      <w:tr>
        <w:trPr/>
        <w:tc>
          <w:tcPr>
            <w:tcW w:w="43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27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9" w:name="Tc_cF9v_Yqo9EKaOYpwPe5tlA_3_2"/>
      <w:bookmarkStart w:id="10" w:name="Tc_ltnGBhRaOUSmDrO_M2WIuw_3_0"/>
      <w:bookmarkStart w:id="11" w:name="Tc_xgN0sh3qVkSLG2TH-1_h4w_2_0"/>
      <w:bookmarkStart w:id="12" w:name="_b494b851_bca4_40ad_954f_bf49924fdd67"/>
      <w:bookmarkStart w:id="13" w:name="Tc_cF9v_Yqo9EKaOYpwPe5tlA_3_2"/>
      <w:bookmarkStart w:id="14" w:name="Tc_ltnGBhRaOUSmDrO_M2WIuw_3_0"/>
      <w:bookmarkStart w:id="15" w:name="Tc_xgN0sh3qVkSLG2TH-1_h4w_2_0"/>
      <w:bookmarkStart w:id="16" w:name="_b494b851_bca4_40ad_954f_bf49924fdd67"/>
      <w:bookmarkEnd w:id="13"/>
      <w:bookmarkEnd w:id="14"/>
      <w:bookmarkEnd w:id="15"/>
      <w:bookmarkEnd w:id="16"/>
    </w:p>
    <w:tbl>
      <w:tblPr>
        <w:tblW w:w="5113" w:type="dxa"/>
        <w:jc w:val="left"/>
        <w:tblInd w:w="0" w:type="dxa"/>
        <w:tblLayout w:type="fixed"/>
        <w:tblCellMar>
          <w:top w:w="0" w:type="dxa"/>
          <w:left w:w="0" w:type="dxa"/>
          <w:bottom w:w="0" w:type="dxa"/>
          <w:right w:w="0" w:type="dxa"/>
        </w:tblCellMar>
      </w:tblPr>
      <w:tblGrid>
        <w:gridCol w:w="3856"/>
        <w:gridCol w:w="326"/>
        <w:gridCol w:w="93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2450 Holcombe Blvd, TMC Partners Office 1.311</w:t>
            </w:r>
            <w:r>
              <w:rPr>
                <w:rFonts w:ascii="Times New Roman;Times;serif" w:hAnsi="Times New Roman;Times;serif"/>
                <w:sz w:val="18"/>
              </w:rPr>
              <w:br/>
            </w:r>
            <w:r>
              <w:rPr>
                <w:rFonts w:ascii="Times New Roman;Times;serif" w:hAnsi="Times New Roman;Times;serif"/>
                <w:b/>
                <w:sz w:val="18"/>
              </w:rPr>
              <w:t>Houston, Texas</w:t>
            </w:r>
          </w:p>
        </w:tc>
        <w:tc>
          <w:tcPr>
            <w:tcW w:w="326" w:type="dxa"/>
            <w:tcBorders/>
            <w:vAlign w:val="center"/>
          </w:tcPr>
          <w:p>
            <w:pPr>
              <w:pStyle w:val="TableContents"/>
              <w:bidi w:val="0"/>
              <w:spacing w:before="0" w:after="0"/>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77021</w:t>
            </w:r>
          </w:p>
        </w:tc>
      </w:tr>
      <w:tr>
        <w:trPr/>
        <w:tc>
          <w:tcPr>
            <w:tcW w:w="38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both"/>
        <w:rPr/>
      </w:pPr>
      <w:r>
        <w:rPr/>
        <w:t>​</w:t>
      </w:r>
    </w:p>
    <w:tbl>
      <w:tblPr>
        <w:tblW w:w="2596" w:type="dxa"/>
        <w:jc w:val="left"/>
        <w:tblInd w:w="0" w:type="dxa"/>
        <w:tblLayout w:type="fixed"/>
        <w:tblCellMar>
          <w:top w:w="0" w:type="dxa"/>
          <w:left w:w="0" w:type="dxa"/>
          <w:bottom w:w="28" w:type="dxa"/>
          <w:right w:w="0" w:type="dxa"/>
        </w:tblCellMar>
      </w:tblPr>
      <w:tblGrid>
        <w:gridCol w:w="2116"/>
        <w:gridCol w:w="326"/>
        <w:gridCol w:w="154"/>
      </w:tblGrid>
      <w:tr>
        <w:trPr/>
        <w:tc>
          <w:tcPr>
            <w:tcW w:w="21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(713) 400-6400</w:t>
            </w:r>
          </w:p>
        </w:tc>
        <w:tc>
          <w:tcPr>
            <w:tcW w:w="326" w:type="dxa"/>
            <w:tcBorders/>
            <w:tcMar>
              <w:bottom w:w="0" w:type="dxa"/>
            </w:tcMar>
            <w:vAlign w:val="center"/>
          </w:tcPr>
          <w:p>
            <w:pPr>
              <w:pStyle w:val="TableContents"/>
              <w:bidi w:val="0"/>
              <w:spacing w:before="0" w:after="0"/>
              <w:ind w:left="0" w:right="0" w:hanging="0"/>
              <w:jc w:val="both"/>
              <w:rPr/>
            </w:pPr>
            <w:r>
              <w:rPr/>
              <w:t>    </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(Issuer’s telephone number)</w:t>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tbl>
      <w:tblPr>
        <w:tblW w:w="6316" w:type="dxa"/>
        <w:jc w:val="left"/>
        <w:tblInd w:w="0" w:type="dxa"/>
        <w:tblLayout w:type="fixed"/>
        <w:tblCellMar>
          <w:top w:w="0" w:type="dxa"/>
          <w:left w:w="0" w:type="dxa"/>
          <w:bottom w:w="28" w:type="dxa"/>
          <w:right w:w="0" w:type="dxa"/>
        </w:tblCellMar>
      </w:tblPr>
      <w:tblGrid>
        <w:gridCol w:w="6316"/>
      </w:tblGrid>
      <w:tr>
        <w:trPr/>
        <w:tc>
          <w:tcPr>
            <w:tcW w:w="63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2450 Holcombe Blvd, Suite BCM-A, MS: BCM251</w:t>
              <w:br/>
              <w:t>Houston, Texas 77021</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Address)</w:t>
            </w:r>
          </w:p>
        </w:tc>
      </w:tr>
      <w:tr>
        <w:trPr/>
        <w:tc>
          <w:tcPr>
            <w:tcW w:w="6316" w:type="dxa"/>
            <w:tcBorders>
              <w:top w:val="single" w:sz="2" w:space="0" w:color="000000"/>
            </w:tcBorders>
            <w:tcMar>
              <w:top w:w="28" w:type="dxa"/>
              <w:bottom w:w="0" w:type="dxa"/>
            </w:tcMar>
            <w:vAlign w:val="center"/>
          </w:tcPr>
          <w:p>
            <w:pPr>
              <w:pStyle w:val="TableContents"/>
              <w:bidi w:val="0"/>
              <w:spacing w:before="0" w:after="0"/>
              <w:ind w:left="0" w:right="0" w:firstLine="36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WEc3amreckKTngB_QB81wQ_2_4"/>
      <w:bookmarkStart w:id="18" w:name="Tc_ACjhZVYEak2aBVR9Xz5vMg_1_4"/>
      <w:bookmarkStart w:id="19" w:name="Tc_kIpO3BhDGEuW8hunzAAbPw_1_2"/>
      <w:bookmarkStart w:id="20" w:name="Tc_beZlx3EFUEul6GGc95tYAw_1_0"/>
      <w:bookmarkStart w:id="21" w:name="_48eb8589_7c2b_4e5e_aafa_5d79a6048cfb"/>
      <w:bookmarkStart w:id="22" w:name="Tc_WEc3amreckKTngB_QB81wQ_2_4"/>
      <w:bookmarkStart w:id="23" w:name="Tc_ACjhZVYEak2aBVR9Xz5vMg_1_4"/>
      <w:bookmarkStart w:id="24" w:name="Tc_kIpO3BhDGEuW8hunzAAbPw_1_2"/>
      <w:bookmarkStart w:id="25" w:name="Tc_beZlx3EFUEul6GGc95tYAw_1_0"/>
      <w:bookmarkStart w:id="26" w:name="_48eb8589_7c2b_4e5e_aafa_5d79a6048cfb"/>
      <w:bookmarkEnd w:id="22"/>
      <w:bookmarkEnd w:id="23"/>
      <w:bookmarkEnd w:id="24"/>
      <w:bookmarkEnd w:id="25"/>
      <w:bookmarkEnd w:id="26"/>
    </w:p>
    <w:tbl>
      <w:tblPr>
        <w:tblW w:w="9295" w:type="dxa"/>
        <w:jc w:val="left"/>
        <w:tblInd w:w="0" w:type="dxa"/>
        <w:tblLayout w:type="fixed"/>
        <w:tblCellMar>
          <w:top w:w="0" w:type="dxa"/>
          <w:left w:w="0" w:type="dxa"/>
          <w:bottom w:w="0" w:type="dxa"/>
          <w:right w:w="0" w:type="dxa"/>
        </w:tblCellMar>
      </w:tblPr>
      <w:tblGrid>
        <w:gridCol w:w="3601"/>
        <w:gridCol w:w="326"/>
        <w:gridCol w:w="1561"/>
        <w:gridCol w:w="326"/>
        <w:gridCol w:w="3481"/>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3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6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$0.001 per share</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MRKR</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7" w:name="Tc_c2f6NviJh0mj6xn8LnQbMg_3_3"/>
      <w:bookmarkStart w:id="28" w:name="Tc_8CqRgS60Z0aJGPCLNN_uvA_2_3"/>
      <w:bookmarkStart w:id="29" w:name="Tc_bsYfiNBGOk6wAb7JYfej4Q_2_2"/>
      <w:bookmarkStart w:id="30" w:name="Tc_d3JsMiegyUmkC-kAxWnEoQ_2_1"/>
      <w:bookmarkStart w:id="31" w:name="Tc_9_D5T2P2tk6CN487aZxKgA_1_4"/>
      <w:bookmarkStart w:id="32" w:name="Tc_ZfpHy6HzJkai9LVcSWCxpg_1_3"/>
      <w:bookmarkStart w:id="33" w:name="Tc_PZkR0NQlv0SX9oOunxl4Yg_1_2"/>
      <w:bookmarkStart w:id="34" w:name="Tc_YPXQPdkNfUOw1ZlDYhFshg_1_1"/>
      <w:bookmarkStart w:id="35" w:name="_17bfc702_e87f_4382_8129_12a53eb10ff5"/>
      <w:bookmarkStart w:id="36" w:name="Tc_c2f6NviJh0mj6xn8LnQbMg_3_3"/>
      <w:bookmarkStart w:id="37" w:name="Tc_8CqRgS60Z0aJGPCLNN_uvA_2_3"/>
      <w:bookmarkStart w:id="38" w:name="Tc_bsYfiNBGOk6wAb7JYfej4Q_2_2"/>
      <w:bookmarkStart w:id="39" w:name="Tc_d3JsMiegyUmkC-kAxWnEoQ_2_1"/>
      <w:bookmarkStart w:id="40" w:name="Tc_9_D5T2P2tk6CN487aZxKgA_1_4"/>
      <w:bookmarkStart w:id="41" w:name="Tc_ZfpHy6HzJkai9LVcSWCxpg_1_3"/>
      <w:bookmarkStart w:id="42" w:name="Tc_PZkR0NQlv0SX9oOunxl4Yg_1_2"/>
      <w:bookmarkStart w:id="43" w:name="Tc_YPXQPdkNfUOw1ZlDYhFshg_1_1"/>
      <w:bookmarkStart w:id="44" w:name="_17bfc702_e87f_4382_8129_12a53eb10ff5"/>
      <w:bookmarkEnd w:id="36"/>
      <w:bookmarkEnd w:id="37"/>
      <w:bookmarkEnd w:id="38"/>
      <w:bookmarkEnd w:id="39"/>
      <w:bookmarkEnd w:id="40"/>
      <w:bookmarkEnd w:id="41"/>
      <w:bookmarkEnd w:id="42"/>
      <w:bookmarkEnd w:id="43"/>
      <w:bookmarkEnd w:id="44"/>
    </w:p>
    <w:tbl>
      <w:tblPr>
        <w:tblW w:w="4493" w:type="dxa"/>
        <w:jc w:val="left"/>
        <w:tblInd w:w="0" w:type="dxa"/>
        <w:tblLayout w:type="fixed"/>
        <w:tblCellMar>
          <w:top w:w="0" w:type="dxa"/>
          <w:left w:w="0" w:type="dxa"/>
          <w:bottom w:w="0" w:type="dxa"/>
          <w:right w:w="0" w:type="dxa"/>
        </w:tblCellMar>
      </w:tblPr>
      <w:tblGrid>
        <w:gridCol w:w="124"/>
        <w:gridCol w:w="1651"/>
        <w:gridCol w:w="316"/>
        <w:gridCol w:w="2041"/>
        <w:gridCol w:w="36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xml:space="preserve"> </w:t>
            </w:r>
          </w:p>
        </w:tc>
        <w:tc>
          <w:tcPr>
            <w:tcW w:w="316" w:type="dxa"/>
            <w:tcBorders/>
            <w:vAlign w:val="center"/>
          </w:tcPr>
          <w:p>
            <w:pPr>
              <w:pStyle w:val="TableContents"/>
              <w:bidi w:val="0"/>
              <w:spacing w:before="0" w:after="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both"/>
              <w:rPr/>
            </w:pPr>
            <w:r>
              <w:rPr/>
              <w:t>☒</w:t>
            </w:r>
          </w:p>
        </w:tc>
      </w:tr>
      <w:tr>
        <w:trPr/>
        <w:tc>
          <w:tcPr>
            <w:tcW w:w="1775" w:type="dxa"/>
            <w:gridSpan w:val="2"/>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The registrant had 16,673,127 shares of common stock outstanding as of November 6, 2025.</w:t>
      </w:r>
    </w:p>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pPr>
      <w:bookmarkStart w:id="45" w:name="_05ca6e30_ee54_403e_afd3_7db77cdef0fd"/>
      <w:bookmarkStart w:id="46" w:name="TOC"/>
      <w:bookmarkEnd w:id="45"/>
      <w:bookmarkEnd w:id="46"/>
      <w:r>
        <w:rPr/>
        <w:t>​</w:t>
      </w:r>
    </w:p>
    <w:tbl>
      <w:tblPr>
        <w:tblW w:w="10205" w:type="dxa"/>
        <w:jc w:val="left"/>
        <w:tblInd w:w="0" w:type="dxa"/>
        <w:tblLayout w:type="fixed"/>
        <w:tblCellMar>
          <w:top w:w="0" w:type="dxa"/>
          <w:left w:w="0" w:type="dxa"/>
          <w:bottom w:w="0" w:type="dxa"/>
          <w:right w:w="0" w:type="dxa"/>
        </w:tblCellMar>
      </w:tblPr>
      <w:tblGrid>
        <w:gridCol w:w="811"/>
        <w:gridCol w:w="8823"/>
        <w:gridCol w:w="57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14985" cy="175260"/>
                      <wp:effectExtent l="0" t="0" r="0" b="0"/>
                      <wp:wrapNone/>
                      <wp:docPr id="2"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602605" cy="175260"/>
                      <wp:effectExtent l="0" t="0" r="0" b="0"/>
                      <wp:wrapNone/>
                      <wp:docPr id="3" name="Frame2"/>
                      <a:graphic xmlns:a="http://schemas.openxmlformats.org/drawingml/2006/main">
                        <a:graphicData uri="http://schemas.microsoft.com/office/word/2010/wordprocessingShape">
                          <wps:wsp>
                            <wps:cNvSpPr txBox="1"/>
                            <wps:spPr>
                              <a:xfrm>
                                <a:off x="0" y="0"/>
                                <a:ext cx="56026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62585" cy="175260"/>
                      <wp:effectExtent l="0" t="0" r="0" b="0"/>
                      <wp:wrapNone/>
                      <wp:docPr id="4" name="Frame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pBdr/>
              <w:bidi w:val="0"/>
              <w:spacing w:before="0" w:after="0"/>
              <w:ind w:left="0" w:right="0" w:hanging="0"/>
              <w:jc w:val="both"/>
              <w:rPr/>
            </w:pPr>
            <w:hyperlink w:anchor="PARTIFINANCIALINFORMATION_341259">
              <w:r>
                <w:rPr>
                  <w:rStyle w:val="InternetLink"/>
                  <w:rFonts w:ascii="Times New Roman;Times;serif" w:hAnsi="Times New Roman;Times;serif"/>
                  <w:b/>
                  <w:i w:val="false"/>
                  <w:caps w:val="false"/>
                  <w:smallCaps w:val="false"/>
                  <w:sz w:val="20"/>
                </w:rPr>
                <w:t>PART I – FINANCIAL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1FinancialStatements_6919">
              <w:r>
                <w:rPr>
                  <w:rStyle w:val="InternetLink"/>
                  <w:rFonts w:ascii="Times New Roman;Times;serif" w:hAnsi="Times New Roman;Times;serif"/>
                  <w:b w:val="false"/>
                  <w:i w:val="false"/>
                  <w:caps w:val="false"/>
                  <w:smallCaps w:val="false"/>
                  <w:sz w:val="20"/>
                </w:rPr>
                <w:t>Item 1.</w:t>
              </w:r>
            </w:hyperlink>
          </w:p>
        </w:tc>
        <w:tc>
          <w:tcPr>
            <w:tcW w:w="8823" w:type="dxa"/>
            <w:tcBorders/>
            <w:shd w:fill="CCEEFF" w:val="clear"/>
            <w:vAlign w:val="center"/>
          </w:tcPr>
          <w:p>
            <w:pPr>
              <w:pStyle w:val="TableContents"/>
              <w:bidi w:val="0"/>
              <w:spacing w:before="0" w:after="0"/>
              <w:ind w:left="0" w:right="0" w:hanging="0"/>
              <w:jc w:val="both"/>
              <w:rPr/>
            </w:pPr>
            <w:hyperlink w:anchor="Item1FinancialStatements_6919">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BALANCESHEETS_74901">
              <w:r>
                <w:rPr>
                  <w:rStyle w:val="InternetLink"/>
                  <w:rFonts w:ascii="Times New Roman;Times;serif" w:hAnsi="Times New Roman;Times;serif"/>
                  <w:b w:val="false"/>
                  <w:i w:val="false"/>
                  <w:caps w:val="false"/>
                  <w:smallCaps w:val="false"/>
                  <w:sz w:val="20"/>
                </w:rPr>
                <w:t>Condensed Consolidated Balance Sheets As of September 30, 2025 and December 31, 2024</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OPERATI">
              <w:r>
                <w:rPr>
                  <w:rStyle w:val="InternetLink"/>
                  <w:rFonts w:ascii="Times New Roman;Times;serif" w:hAnsi="Times New Roman;Times;serif"/>
                  <w:b w:val="false"/>
                  <w:i w:val="false"/>
                  <w:caps w:val="false"/>
                  <w:smallCaps w:val="false"/>
                  <w:sz w:val="20"/>
                </w:rPr>
                <w:t xml:space="preserve">Condensed Consolidated Statements of Operations for the three and nine months ended September 30, 2025 and 2024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for the three and nine months ended September 30, 2025 and 2024</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nine months ended September 30, 2025 and 2024</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23" w:type="dxa"/>
            <w:tcBorders/>
            <w:shd w:fill="CCEEFF" w:val="clear"/>
            <w:vAlign w:val="center"/>
          </w:tcPr>
          <w:p>
            <w:pPr>
              <w:pStyle w:val="TableContents"/>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23" w:type="dxa"/>
            <w:tcBorders/>
            <w:shd w:fill="CCEEFF" w:val="clear"/>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4ControlsandProcedures_453239">
              <w:r>
                <w:rPr>
                  <w:rStyle w:val="InternetLink"/>
                  <w:rFonts w:ascii="Times New Roman;Times;serif" w:hAnsi="Times New Roman;Times;serif"/>
                  <w:b w:val="false"/>
                  <w:i w:val="false"/>
                  <w:caps w:val="false"/>
                  <w:smallCaps w:val="false"/>
                  <w:sz w:val="20"/>
                </w:rPr>
                <w:t>Item 4.</w:t>
              </w:r>
            </w:hyperlink>
          </w:p>
        </w:tc>
        <w:tc>
          <w:tcPr>
            <w:tcW w:w="8823" w:type="dxa"/>
            <w:tcBorders/>
            <w:shd w:fill="CCEEFF" w:val="clear"/>
            <w:vAlign w:val="center"/>
          </w:tcPr>
          <w:p>
            <w:pPr>
              <w:pStyle w:val="TableContents"/>
              <w:bidi w:val="0"/>
              <w:spacing w:before="0" w:after="0"/>
              <w:ind w:left="0" w:right="0" w:hanging="0"/>
              <w:jc w:val="both"/>
              <w:rPr/>
            </w:pPr>
            <w:hyperlink w:anchor="Item4ControlsandProcedures_453239">
              <w:r>
                <w:rPr>
                  <w:rStyle w:val="InternetLink"/>
                  <w:rFonts w:ascii="Times New Roman;Times;serif" w:hAnsi="Times New Roman;Times;serif"/>
                  <w:b w:val="false"/>
                  <w:i w:val="false"/>
                  <w:caps w:val="false"/>
                  <w:smallCaps w:val="false"/>
                  <w:sz w:val="20"/>
                </w:rPr>
                <w:t>Controls and Procedures.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pBdr/>
              <w:bidi w:val="0"/>
              <w:spacing w:before="0" w:after="0"/>
              <w:ind w:left="0" w:right="0" w:hanging="0"/>
              <w:jc w:val="both"/>
              <w:rPr/>
            </w:pPr>
            <w:hyperlink w:anchor="PARTIIOTHERINFORMATION_786639">
              <w:r>
                <w:rPr>
                  <w:rStyle w:val="InternetLink"/>
                  <w:rFonts w:ascii="Times New Roman;Times;serif" w:hAnsi="Times New Roman;Times;serif"/>
                  <w:b/>
                  <w:i w:val="false"/>
                  <w:caps w:val="false"/>
                  <w:smallCaps w:val="false"/>
                  <w:sz w:val="20"/>
                </w:rPr>
                <w:t xml:space="preserve">PART II – OTHER INFORMATION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1LegalProceedings_798737">
              <w:r>
                <w:rPr>
                  <w:rStyle w:val="InternetLink"/>
                  <w:rFonts w:ascii="Times New Roman;Times;serif" w:hAnsi="Times New Roman;Times;serif"/>
                  <w:b w:val="false"/>
                  <w:i w:val="false"/>
                  <w:caps w:val="false"/>
                  <w:smallCaps w:val="false"/>
                  <w:sz w:val="20"/>
                </w:rPr>
                <w:t>Item 1.</w:t>
              </w:r>
            </w:hyperlink>
          </w:p>
        </w:tc>
        <w:tc>
          <w:tcPr>
            <w:tcW w:w="8823" w:type="dxa"/>
            <w:tcBorders/>
            <w:shd w:fill="CCEEFF" w:val="clear"/>
            <w:vAlign w:val="center"/>
          </w:tcPr>
          <w:p>
            <w:pPr>
              <w:pStyle w:val="TableContents"/>
              <w:bidi w:val="0"/>
              <w:spacing w:before="0" w:after="0"/>
              <w:ind w:left="0" w:right="0" w:hanging="0"/>
              <w:jc w:val="both"/>
              <w:rPr/>
            </w:pPr>
            <w:hyperlink w:anchor="Item1LegalProceedings_798737">
              <w:r>
                <w:rPr>
                  <w:rStyle w:val="InternetLink"/>
                  <w:rFonts w:ascii="Times New Roman;Times;serif" w:hAnsi="Times New Roman;Times;serif"/>
                  <w:b w:val="false"/>
                  <w:i w:val="false"/>
                  <w:caps w:val="false"/>
                  <w:smallCaps w:val="false"/>
                  <w:sz w:val="20"/>
                </w:rPr>
                <w:t>Legal Proceedings.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1ARiskFactors_449487">
              <w:r>
                <w:rPr>
                  <w:rStyle w:val="InternetLink"/>
                  <w:rFonts w:ascii="Times New Roman;Times;serif" w:hAnsi="Times New Roman;Times;serif"/>
                  <w:b w:val="false"/>
                  <w:i w:val="false"/>
                  <w:caps w:val="false"/>
                  <w:smallCaps w:val="false"/>
                  <w:sz w:val="20"/>
                </w:rPr>
                <w:t>Item 1A.</w:t>
              </w:r>
            </w:hyperlink>
          </w:p>
        </w:tc>
        <w:tc>
          <w:tcPr>
            <w:tcW w:w="8823" w:type="dxa"/>
            <w:tcBorders/>
            <w:shd w:fill="CCEEFF" w:val="clear"/>
            <w:vAlign w:val="center"/>
          </w:tcPr>
          <w:p>
            <w:pPr>
              <w:pStyle w:val="TableContents"/>
              <w:bidi w:val="0"/>
              <w:spacing w:before="0" w:after="0"/>
              <w:ind w:left="0" w:right="0" w:hanging="0"/>
              <w:jc w:val="both"/>
              <w:rPr/>
            </w:pPr>
            <w:hyperlink w:anchor="Item1ARiskFactors_449487">
              <w:r>
                <w:rPr>
                  <w:rStyle w:val="InternetLink"/>
                  <w:rFonts w:ascii="Times New Roman;Times;serif" w:hAnsi="Times New Roman;Times;serif"/>
                  <w:b w:val="false"/>
                  <w:i w:val="false"/>
                  <w:caps w:val="false"/>
                  <w:smallCaps w:val="false"/>
                  <w:sz w:val="20"/>
                </w:rPr>
                <w:t>Risk Factors.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23" w:type="dxa"/>
            <w:tcBorders/>
            <w:shd w:fill="CCEEFF" w:val="clear"/>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3DefaultsUponSeniorSecurities_390946">
              <w:r>
                <w:rPr>
                  <w:rStyle w:val="InternetLink"/>
                  <w:rFonts w:ascii="Times New Roman;Times;serif" w:hAnsi="Times New Roman;Times;serif"/>
                  <w:b w:val="false"/>
                  <w:i w:val="false"/>
                  <w:caps w:val="false"/>
                  <w:smallCaps w:val="false"/>
                  <w:sz w:val="20"/>
                </w:rPr>
                <w:t>Item 3.</w:t>
              </w:r>
            </w:hyperlink>
          </w:p>
        </w:tc>
        <w:tc>
          <w:tcPr>
            <w:tcW w:w="8823" w:type="dxa"/>
            <w:tcBorders/>
            <w:shd w:fill="CCEEFF" w:val="clear"/>
            <w:vAlign w:val="center"/>
          </w:tcPr>
          <w:p>
            <w:pPr>
              <w:pStyle w:val="TableContents"/>
              <w:bidi w:val="0"/>
              <w:spacing w:before="0" w:after="0"/>
              <w:ind w:left="0" w:right="0" w:hanging="0"/>
              <w:jc w:val="both"/>
              <w:rPr/>
            </w:pPr>
            <w:hyperlink w:anchor="Item3DefaultsUponSeniorSecurities_390946">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4MineSafetyDisclosure_210061">
              <w:r>
                <w:rPr>
                  <w:rStyle w:val="InternetLink"/>
                  <w:rFonts w:ascii="Times New Roman;Times;serif" w:hAnsi="Times New Roman;Times;serif"/>
                  <w:b w:val="false"/>
                  <w:i w:val="false"/>
                  <w:caps w:val="false"/>
                  <w:smallCaps w:val="false"/>
                  <w:sz w:val="20"/>
                </w:rPr>
                <w:t>Item 4.</w:t>
              </w:r>
            </w:hyperlink>
          </w:p>
        </w:tc>
        <w:tc>
          <w:tcPr>
            <w:tcW w:w="8823" w:type="dxa"/>
            <w:tcBorders/>
            <w:shd w:fill="CCEEFF" w:val="clear"/>
            <w:vAlign w:val="center"/>
          </w:tcPr>
          <w:p>
            <w:pPr>
              <w:pStyle w:val="TableContents"/>
              <w:bidi w:val="0"/>
              <w:spacing w:before="0" w:after="0"/>
              <w:ind w:left="0" w:right="0" w:hanging="0"/>
              <w:jc w:val="both"/>
              <w:rPr/>
            </w:pPr>
            <w:hyperlink w:anchor="Item4MineSafetyDisclosure_210061">
              <w:r>
                <w:rPr>
                  <w:rStyle w:val="InternetLink"/>
                  <w:rFonts w:ascii="Times New Roman;Times;serif" w:hAnsi="Times New Roman;Times;serif"/>
                  <w:b w:val="false"/>
                  <w:i w:val="false"/>
                  <w:caps w:val="false"/>
                  <w:smallCaps w:val="false"/>
                  <w:sz w:val="20"/>
                </w:rPr>
                <w:t>Mine Safety Disclosure.</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5OtherInformation_200318">
              <w:r>
                <w:rPr>
                  <w:rStyle w:val="InternetLink"/>
                  <w:rFonts w:ascii="Times New Roman;Times;serif" w:hAnsi="Times New Roman;Times;serif"/>
                  <w:b w:val="false"/>
                  <w:i w:val="false"/>
                  <w:caps w:val="false"/>
                  <w:smallCaps w:val="false"/>
                  <w:sz w:val="20"/>
                </w:rPr>
                <w:t>Item 5.</w:t>
              </w:r>
            </w:hyperlink>
          </w:p>
        </w:tc>
        <w:tc>
          <w:tcPr>
            <w:tcW w:w="8823" w:type="dxa"/>
            <w:tcBorders/>
            <w:shd w:fill="CCEEFF" w:val="clear"/>
            <w:vAlign w:val="center"/>
          </w:tcPr>
          <w:p>
            <w:pPr>
              <w:pStyle w:val="TableContents"/>
              <w:bidi w:val="0"/>
              <w:spacing w:before="0" w:after="0"/>
              <w:ind w:left="0" w:right="0" w:hanging="0"/>
              <w:jc w:val="both"/>
              <w:rPr/>
            </w:pPr>
            <w:hyperlink w:anchor="Item5OtherInformation_200318">
              <w:r>
                <w:rPr>
                  <w:rStyle w:val="InternetLink"/>
                  <w:rFonts w:ascii="Times New Roman;Times;serif" w:hAnsi="Times New Roman;Times;serif"/>
                  <w:b w:val="false"/>
                  <w:i w:val="false"/>
                  <w:caps w:val="false"/>
                  <w:smallCaps w:val="false"/>
                  <w:sz w:val="20"/>
                </w:rPr>
                <w:t>Other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6Exhibits_556633">
              <w:r>
                <w:rPr>
                  <w:rStyle w:val="InternetLink"/>
                  <w:rFonts w:ascii="Times New Roman;Times;serif" w:hAnsi="Times New Roman;Times;serif"/>
                  <w:b w:val="false"/>
                  <w:i w:val="false"/>
                  <w:caps w:val="false"/>
                  <w:smallCaps w:val="false"/>
                  <w:sz w:val="20"/>
                </w:rPr>
                <w:t>Item 6.</w:t>
              </w:r>
            </w:hyperlink>
          </w:p>
        </w:tc>
        <w:tc>
          <w:tcPr>
            <w:tcW w:w="8823" w:type="dxa"/>
            <w:tcBorders/>
            <w:shd w:fill="CCEEFF" w:val="clear"/>
            <w:vAlign w:val="center"/>
          </w:tcPr>
          <w:p>
            <w:pPr>
              <w:pStyle w:val="TableContents"/>
              <w:bidi w:val="0"/>
              <w:spacing w:before="0" w:after="0"/>
              <w:ind w:left="0" w:right="0" w:hanging="0"/>
              <w:jc w:val="both"/>
              <w:rPr/>
            </w:pPr>
            <w:hyperlink w:anchor="Item6Exhibits_556633">
              <w:r>
                <w:rPr>
                  <w:rStyle w:val="InternetLink"/>
                  <w:rFonts w:ascii="Times New Roman;Times;serif" w:hAnsi="Times New Roman;Times;serif"/>
                  <w:b w:val="false"/>
                  <w:i w:val="false"/>
                  <w:caps w:val="false"/>
                  <w:smallCaps w:val="false"/>
                  <w:sz w:val="20"/>
                </w:rPr>
                <w:t>Exhibits.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pBdr/>
              <w:bidi w:val="0"/>
              <w:spacing w:before="0" w:after="0"/>
              <w:ind w:left="0" w:right="0" w:hanging="0"/>
              <w:jc w:val="both"/>
              <w:rPr/>
            </w:pPr>
            <w:hyperlink w:anchor="SIGNATURES_772915">
              <w:r>
                <w:rPr>
                  <w:rStyle w:val="InternetLink"/>
                  <w:rFonts w:ascii="Times New Roman;Times;serif" w:hAnsi="Times New Roman;Times;serif"/>
                  <w:b w:val="false"/>
                  <w:i w:val="false"/>
                  <w:caps w:val="false"/>
                  <w:smallCaps w:val="false"/>
                  <w:sz w:val="20"/>
                </w:rPr>
                <w:t>Signatures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tc>
      </w:tr>
    </w:tbl>
    <w:p>
      <w:pPr>
        <w:pStyle w:val="TextBody"/>
        <w:bidi w:val="0"/>
        <w:spacing w:before="0" w:after="0"/>
        <w:ind w:left="0" w:right="0" w:hanging="0"/>
        <w:jc w:val="center"/>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idi w:val="0"/>
        <w:spacing w:before="0" w:after="240"/>
        <w:ind w:left="0" w:right="0" w:hanging="979"/>
        <w:jc w:val="both"/>
        <w:rPr>
          <w:rFonts w:ascii="Times New Roman;Times;serif" w:hAnsi="Times New Roman;Times;serif"/>
          <w:b/>
          <w:sz w:val="20"/>
        </w:rPr>
      </w:pPr>
      <w:bookmarkStart w:id="47" w:name="PARTIFINANCIALINFORMATION_341259"/>
      <w:bookmarkStart w:id="48" w:name="_42fff68e_685e_40d7_83ea_17bca053a470"/>
      <w:bookmarkEnd w:id="47"/>
      <w:bookmarkEnd w:id="48"/>
      <w:r>
        <w:rPr>
          <w:rFonts w:ascii="Times New Roman;Times;serif" w:hAnsi="Times New Roman;Times;serif"/>
          <w:b/>
          <w:sz w:val="20"/>
        </w:rPr>
        <w:t>PART I.      FINANCIAL INFORMATION</w:t>
      </w:r>
    </w:p>
    <w:p>
      <w:pPr>
        <w:pStyle w:val="TextBody"/>
        <w:pBdr/>
        <w:bidi w:val="0"/>
        <w:spacing w:before="0" w:after="240"/>
        <w:ind w:left="0" w:right="0" w:hanging="979"/>
        <w:jc w:val="both"/>
        <w:rPr>
          <w:rFonts w:ascii="Times New Roman;Times;serif" w:hAnsi="Times New Roman;Times;serif"/>
          <w:b/>
          <w:sz w:val="20"/>
        </w:rPr>
      </w:pPr>
      <w:bookmarkStart w:id="49" w:name="Item1FinancialStatements_6919"/>
      <w:bookmarkEnd w:id="49"/>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50" w:name="CONDENSEDCONSOLIDATEDBALANCESHEETS_74901"/>
      <w:bookmarkEnd w:id="50"/>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1" w:name="Tc_X9nhdRKDFkm79sqyVOBo8g_26_5"/>
      <w:bookmarkStart w:id="52" w:name="Tc_HviYibIeQku8a1axIXO3Bw_26_2"/>
      <w:bookmarkStart w:id="53" w:name="Tc_UH959dAZGkCc-2JQkNy2Mw_26_0"/>
      <w:bookmarkStart w:id="54" w:name="Tc_sjUoVsDkcEGKIbw2cBA10g_25_0"/>
      <w:bookmarkStart w:id="55" w:name="Tc_1pwstMzKLU-lhrHLNnNN5g_24_0"/>
      <w:bookmarkStart w:id="56" w:name="Tc_YkPAEMkPlUurEuFhXqqr5A_23_0"/>
      <w:bookmarkStart w:id="57" w:name="Tc_EtVPKCcSmUanWXi733R4GA_22_0"/>
      <w:bookmarkStart w:id="58" w:name="Tc_ZImmrlexnkugG0l3HP6sRw_21_0"/>
      <w:bookmarkStart w:id="59" w:name="Tc_mYKa_Hqk10O0lQPXvoZlrw_20_0"/>
      <w:bookmarkStart w:id="60" w:name="Tc_mEw6SvcHTU-VMuhmNgOr0g_18_0"/>
      <w:bookmarkStart w:id="61" w:name="Tc_twYnEaMEpUKX7vcj5Ts95g_17_0"/>
      <w:bookmarkStart w:id="62" w:name="Tc_HBkaALolp0GlALlQg2JYcA_16_6"/>
      <w:bookmarkStart w:id="63" w:name="Tc_X2XV33vVDEKL1sh3o_5KUg_16_0"/>
      <w:bookmarkStart w:id="64" w:name="Tc_xFviN_Wiu0CkfbfFGouKuA_14_5"/>
      <w:bookmarkStart w:id="65" w:name="Tc_CNsCho4nfUelSsFQYhbOsw_14_2"/>
      <w:bookmarkStart w:id="66" w:name="Tc_to1hloNr7kiz1V2UMRyeiQ_14_0"/>
      <w:bookmarkStart w:id="67" w:name="Tc_zGIuDoNrtEufD9Yy2LPJVw_13_0"/>
      <w:bookmarkStart w:id="68" w:name="Tc_pnLvz3_hRUiS1fERF1ptzg_12_0"/>
      <w:bookmarkStart w:id="69" w:name="Tc_0zU-vmE6nEiDflS788G_ig_10_5"/>
      <w:bookmarkStart w:id="70" w:name="Tc_tS0lATsO7U2jRxT_3SYsaw_10_2"/>
      <w:bookmarkStart w:id="71" w:name="Tc_HhxSthC0YEWneUjjVlASZQ_10_0"/>
      <w:bookmarkStart w:id="72" w:name="Tc_ncdYuxdob0OcumcGefa_MA_9_0"/>
      <w:bookmarkStart w:id="73" w:name="Tc_g-qqbqAqNkmyyh1JvfL6Jg_8_0"/>
      <w:bookmarkStart w:id="74" w:name="Tc_FOx8BFmPUEml-LdvFMCVrQ_7_0"/>
      <w:bookmarkStart w:id="75" w:name="Tc_MWKPOkMk9EugYvbkDsFykg_6_6"/>
      <w:bookmarkStart w:id="76" w:name="Tc_8kBV1iWfQU-cUb6SuOQcnA_6_0"/>
      <w:bookmarkStart w:id="77" w:name="Tc_m-6Q0XlD1ka7CeipHh81ZQ_5_5"/>
      <w:bookmarkStart w:id="78" w:name="Tc_g_61e5yVTk-fNqpWmU59Rg_5_2"/>
      <w:bookmarkStart w:id="79" w:name="Tc_MPG-M51W_0GQw9lt1kE_lg_5_0"/>
      <w:bookmarkStart w:id="80" w:name="Tc_nVhzoudHKk6i8O4mfTCsbg_4_0"/>
      <w:bookmarkStart w:id="81" w:name="Tc_c4w3A9yhAEegerm6ICdopA_3_0"/>
      <w:bookmarkStart w:id="82" w:name="Tc_BsZfYqBkD02pesmeveWKtA_2_5"/>
      <w:bookmarkStart w:id="83" w:name="Tc_wfkJyH6h9EaIJdYqLCYEEg_2_2"/>
      <w:bookmarkStart w:id="84" w:name="Tc_lRR6XwEOc0CLFDEFCa71gA_1_5"/>
      <w:bookmarkStart w:id="85" w:name="Tc_dnc3QFLYfUS1A_qal7bi0A_1_2"/>
      <w:bookmarkStart w:id="86" w:name="_26afe0e9_21d1_4a66_8191_7bdba9228693"/>
      <w:bookmarkStart w:id="87" w:name="Tc_X9nhdRKDFkm79sqyVOBo8g_26_5"/>
      <w:bookmarkStart w:id="88" w:name="Tc_HviYibIeQku8a1axIXO3Bw_26_2"/>
      <w:bookmarkStart w:id="89" w:name="Tc_UH959dAZGkCc-2JQkNy2Mw_26_0"/>
      <w:bookmarkStart w:id="90" w:name="Tc_sjUoVsDkcEGKIbw2cBA10g_25_0"/>
      <w:bookmarkStart w:id="91" w:name="Tc_1pwstMzKLU-lhrHLNnNN5g_24_0"/>
      <w:bookmarkStart w:id="92" w:name="Tc_YkPAEMkPlUurEuFhXqqr5A_23_0"/>
      <w:bookmarkStart w:id="93" w:name="Tc_EtVPKCcSmUanWXi733R4GA_22_0"/>
      <w:bookmarkStart w:id="94" w:name="Tc_ZImmrlexnkugG0l3HP6sRw_21_0"/>
      <w:bookmarkStart w:id="95" w:name="Tc_mYKa_Hqk10O0lQPXvoZlrw_20_0"/>
      <w:bookmarkStart w:id="96" w:name="Tc_mEw6SvcHTU-VMuhmNgOr0g_18_0"/>
      <w:bookmarkStart w:id="97" w:name="Tc_twYnEaMEpUKX7vcj5Ts95g_17_0"/>
      <w:bookmarkStart w:id="98" w:name="Tc_HBkaALolp0GlALlQg2JYcA_16_6"/>
      <w:bookmarkStart w:id="99" w:name="Tc_X2XV33vVDEKL1sh3o_5KUg_16_0"/>
      <w:bookmarkStart w:id="100" w:name="Tc_xFviN_Wiu0CkfbfFGouKuA_14_5"/>
      <w:bookmarkStart w:id="101" w:name="Tc_CNsCho4nfUelSsFQYhbOsw_14_2"/>
      <w:bookmarkStart w:id="102" w:name="Tc_to1hloNr7kiz1V2UMRyeiQ_14_0"/>
      <w:bookmarkStart w:id="103" w:name="Tc_zGIuDoNrtEufD9Yy2LPJVw_13_0"/>
      <w:bookmarkStart w:id="104" w:name="Tc_pnLvz3_hRUiS1fERF1ptzg_12_0"/>
      <w:bookmarkStart w:id="105" w:name="Tc_0zU-vmE6nEiDflS788G_ig_10_5"/>
      <w:bookmarkStart w:id="106" w:name="Tc_tS0lATsO7U2jRxT_3SYsaw_10_2"/>
      <w:bookmarkStart w:id="107" w:name="Tc_HhxSthC0YEWneUjjVlASZQ_10_0"/>
      <w:bookmarkStart w:id="108" w:name="Tc_ncdYuxdob0OcumcGefa_MA_9_0"/>
      <w:bookmarkStart w:id="109" w:name="Tc_g-qqbqAqNkmyyh1JvfL6Jg_8_0"/>
      <w:bookmarkStart w:id="110" w:name="Tc_FOx8BFmPUEml-LdvFMCVrQ_7_0"/>
      <w:bookmarkStart w:id="111" w:name="Tc_MWKPOkMk9EugYvbkDsFykg_6_6"/>
      <w:bookmarkStart w:id="112" w:name="Tc_8kBV1iWfQU-cUb6SuOQcnA_6_0"/>
      <w:bookmarkStart w:id="113" w:name="Tc_m-6Q0XlD1ka7CeipHh81ZQ_5_5"/>
      <w:bookmarkStart w:id="114" w:name="Tc_g_61e5yVTk-fNqpWmU59Rg_5_2"/>
      <w:bookmarkStart w:id="115" w:name="Tc_MPG-M51W_0GQw9lt1kE_lg_5_0"/>
      <w:bookmarkStart w:id="116" w:name="Tc_nVhzoudHKk6i8O4mfTCsbg_4_0"/>
      <w:bookmarkStart w:id="117" w:name="Tc_c4w3A9yhAEegerm6ICdopA_3_0"/>
      <w:bookmarkStart w:id="118" w:name="Tc_BsZfYqBkD02pesmeveWKtA_2_5"/>
      <w:bookmarkStart w:id="119" w:name="Tc_wfkJyH6h9EaIJdYqLCYEEg_2_2"/>
      <w:bookmarkStart w:id="120" w:name="Tc_lRR6XwEOc0CLFDEFCa71gA_1_5"/>
      <w:bookmarkStart w:id="121" w:name="Tc_dnc3QFLYfUS1A_qal7bi0A_1_2"/>
      <w:bookmarkStart w:id="122" w:name="_26afe0e9_21d1_4a66_8191_7bdba9228693"/>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tbl>
      <w:tblPr>
        <w:tblW w:w="10205" w:type="dxa"/>
        <w:jc w:val="left"/>
        <w:tblInd w:w="0" w:type="dxa"/>
        <w:tblLayout w:type="fixed"/>
        <w:tblCellMar>
          <w:top w:w="0" w:type="dxa"/>
          <w:left w:w="0" w:type="dxa"/>
          <w:bottom w:w="0" w:type="dxa"/>
          <w:right w:w="0" w:type="dxa"/>
        </w:tblCellMar>
      </w:tblPr>
      <w:tblGrid>
        <w:gridCol w:w="6643"/>
        <w:gridCol w:w="326"/>
        <w:gridCol w:w="211"/>
        <w:gridCol w:w="1221"/>
        <w:gridCol w:w="326"/>
        <w:gridCol w:w="211"/>
        <w:gridCol w:w="1267"/>
      </w:tblGrid>
      <w:tr>
        <w:trPr/>
        <w:tc>
          <w:tcPr>
            <w:tcW w:w="6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218305" cy="175260"/>
                      <wp:effectExtent l="0" t="0" r="0" b="0"/>
                      <wp:wrapNone/>
                      <wp:docPr id="5" name="Frame4"/>
                      <a:graphic xmlns:a="http://schemas.openxmlformats.org/drawingml/2006/main">
                        <a:graphicData uri="http://schemas.microsoft.com/office/word/2010/wordprocessingShape">
                          <wps:wsp>
                            <wps:cNvSpPr txBox="1"/>
                            <wps:spPr>
                              <a:xfrm>
                                <a:off x="0" y="0"/>
                                <a:ext cx="421830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6"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7"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75335" cy="175260"/>
                      <wp:effectExtent l="0" t="0" r="0" b="0"/>
                      <wp:wrapNone/>
                      <wp:docPr id="8" name="Frame7"/>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0"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804545" cy="175260"/>
                      <wp:effectExtent l="0" t="0" r="0" b="0"/>
                      <wp:wrapNone/>
                      <wp:docPr id="11" name="Frame10"/>
                      <a:graphic xmlns:a="http://schemas.openxmlformats.org/drawingml/2006/main">
                        <a:graphicData uri="http://schemas.microsoft.com/office/word/2010/wordprocessingShape">
                          <wps:wsp>
                            <wps:cNvSpPr txBox="1"/>
                            <wps:spPr>
                              <a:xfrm>
                                <a:off x="0" y="0"/>
                                <a:ext cx="8045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6643"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both"/>
              <w:rPr/>
            </w:pPr>
            <w:r>
              <w:rPr/>
              <w:t>    </w:t>
            </w:r>
          </w:p>
        </w:tc>
        <w:tc>
          <w:tcPr>
            <w:tcW w:w="147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643"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w:t>
            </w:r>
          </w:p>
        </w:tc>
        <w:tc>
          <w:tcPr>
            <w:tcW w:w="14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643"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1"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67" w:type="dxa"/>
            <w:tcBorders/>
            <w:shd w:fill="CCEEFF" w:val="clear"/>
            <w:vAlign w:val="center"/>
          </w:tcPr>
          <w:p>
            <w:pPr>
              <w:pStyle w:val="TableContents"/>
              <w:bidi w:val="0"/>
              <w:spacing w:before="0" w:after="1"/>
              <w:ind w:left="0" w:right="0" w:hanging="0"/>
              <w:jc w:val="both"/>
              <w:rPr/>
            </w:pPr>
            <w:r>
              <w:rPr/>
              <w:t>​</w:t>
            </w:r>
          </w:p>
        </w:tc>
      </w:tr>
      <w:tr>
        <w:trPr/>
        <w:tc>
          <w:tcPr>
            <w:tcW w:w="6643"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67" w:type="dxa"/>
            <w:tcBorders/>
            <w:vAlign w:val="center"/>
          </w:tcPr>
          <w:p>
            <w:pPr>
              <w:pStyle w:val="TableContents"/>
              <w:bidi w:val="0"/>
              <w:spacing w:before="0" w:after="1"/>
              <w:ind w:left="0" w:right="0" w:hanging="0"/>
              <w:jc w:val="both"/>
              <w:rPr/>
            </w:pPr>
            <w:r>
              <w:rPr/>
              <w:t>​</w:t>
            </w:r>
          </w:p>
        </w:tc>
      </w:tr>
      <w:tr>
        <w:trPr/>
        <w:tc>
          <w:tcPr>
            <w:tcW w:w="6643"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17,589,978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19,192,440</w:t>
            </w:r>
          </w:p>
        </w:tc>
      </w:tr>
      <w:tr>
        <w:trPr/>
        <w:tc>
          <w:tcPr>
            <w:tcW w:w="6643"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1,352,975</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67" w:type="dxa"/>
            <w:tcBorders/>
            <w:vAlign w:val="center"/>
          </w:tcPr>
          <w:p>
            <w:pPr>
              <w:pStyle w:val="TableContents"/>
              <w:bidi w:val="0"/>
              <w:spacing w:before="0" w:after="1"/>
              <w:ind w:left="0" w:right="0" w:hanging="0"/>
              <w:jc w:val="right"/>
              <w:rPr/>
            </w:pPr>
            <w:r>
              <w:rPr/>
              <w:t>—</w:t>
            </w:r>
          </w:p>
        </w:tc>
      </w:tr>
      <w:tr>
        <w:trPr/>
        <w:tc>
          <w:tcPr>
            <w:tcW w:w="6643"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Prepaid expenses and deposits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1,126,724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483,717</w:t>
            </w:r>
          </w:p>
        </w:tc>
      </w:tr>
      <w:tr>
        <w:trPr/>
        <w:tc>
          <w:tcPr>
            <w:tcW w:w="6643"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receivables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1,665,153</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2,346,703</w:t>
            </w:r>
          </w:p>
        </w:tc>
      </w:tr>
      <w:tr>
        <w:trPr/>
        <w:tc>
          <w:tcPr>
            <w:tcW w:w="6643"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21,734,830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22,022,860</w:t>
            </w:r>
          </w:p>
        </w:tc>
      </w:tr>
      <w:tr>
        <w:trPr/>
        <w:tc>
          <w:tcPr>
            <w:tcW w:w="6643"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21,734,830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22,022,860</w:t>
            </w:r>
          </w:p>
        </w:tc>
      </w:tr>
      <w:tr>
        <w:trPr/>
        <w:tc>
          <w:tcPr>
            <w:tcW w:w="6643"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67" w:type="dxa"/>
            <w:tcBorders/>
            <w:shd w:fill="CCEEFF" w:val="clear"/>
            <w:vAlign w:val="center"/>
          </w:tcPr>
          <w:p>
            <w:pPr>
              <w:pStyle w:val="TableContents"/>
              <w:bidi w:val="0"/>
              <w:spacing w:before="0" w:after="1"/>
              <w:ind w:left="0" w:right="0" w:hanging="0"/>
              <w:jc w:val="right"/>
              <w:rPr/>
            </w:pPr>
            <w:r>
              <w:rPr/>
              <w:t>​</w:t>
            </w:r>
          </w:p>
        </w:tc>
      </w:tr>
      <w:tr>
        <w:trPr/>
        <w:tc>
          <w:tcPr>
            <w:tcW w:w="6643"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2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67" w:type="dxa"/>
            <w:tcBorders/>
            <w:vAlign w:val="center"/>
          </w:tcPr>
          <w:p>
            <w:pPr>
              <w:pStyle w:val="TableContents"/>
              <w:bidi w:val="0"/>
              <w:spacing w:before="0" w:after="1"/>
              <w:ind w:left="0" w:right="0" w:hanging="0"/>
              <w:jc w:val="right"/>
              <w:rPr/>
            </w:pPr>
            <w:r>
              <w:rPr/>
              <w:t>  </w:t>
            </w:r>
          </w:p>
        </w:tc>
      </w:tr>
      <w:tr>
        <w:trPr/>
        <w:tc>
          <w:tcPr>
            <w:tcW w:w="6643"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67" w:type="dxa"/>
            <w:tcBorders/>
            <w:shd w:fill="CCEEFF" w:val="clear"/>
            <w:vAlign w:val="center"/>
          </w:tcPr>
          <w:p>
            <w:pPr>
              <w:pStyle w:val="TableContents"/>
              <w:bidi w:val="0"/>
              <w:spacing w:before="0" w:after="1"/>
              <w:ind w:left="0" w:right="0" w:hanging="0"/>
              <w:jc w:val="right"/>
              <w:rPr/>
            </w:pPr>
            <w:r>
              <w:rPr/>
              <w:t>  </w:t>
            </w:r>
          </w:p>
        </w:tc>
      </w:tr>
      <w:tr>
        <w:trPr/>
        <w:tc>
          <w:tcPr>
            <w:tcW w:w="6643"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1,664,647</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1,753,954</w:t>
            </w:r>
          </w:p>
        </w:tc>
      </w:tr>
      <w:tr>
        <w:trPr/>
        <w:tc>
          <w:tcPr>
            <w:tcW w:w="6643" w:type="dxa"/>
            <w:tcBorders/>
            <w:shd w:fill="CCEEFF" w:val="clear"/>
            <w:vAlign w:val="center"/>
          </w:tcPr>
          <w:p>
            <w:pPr>
              <w:pStyle w:val="TableContents"/>
              <w:pBdr/>
              <w:bidi w:val="0"/>
              <w:spacing w:before="0" w:after="1"/>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payable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328,315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1,710,500</w:t>
            </w:r>
          </w:p>
        </w:tc>
      </w:tr>
      <w:tr>
        <w:trPr/>
        <w:tc>
          <w:tcPr>
            <w:tcW w:w="6643"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1,352,975</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6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643"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3,345,937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3,464,454</w:t>
            </w:r>
          </w:p>
        </w:tc>
      </w:tr>
      <w:tr>
        <w:trPr/>
        <w:tc>
          <w:tcPr>
            <w:tcW w:w="6643"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3,345,937</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3,464,454</w:t>
            </w:r>
          </w:p>
        </w:tc>
      </w:tr>
      <w:tr>
        <w:trPr/>
        <w:tc>
          <w:tcPr>
            <w:tcW w:w="6643"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67" w:type="dxa"/>
            <w:tcBorders/>
            <w:shd w:fill="CCEEFF" w:val="clear"/>
            <w:vAlign w:val="center"/>
          </w:tcPr>
          <w:p>
            <w:pPr>
              <w:pStyle w:val="TableContents"/>
              <w:bidi w:val="0"/>
              <w:spacing w:before="0" w:after="1"/>
              <w:ind w:left="0" w:right="0" w:hanging="0"/>
              <w:jc w:val="right"/>
              <w:rPr/>
            </w:pPr>
            <w:r>
              <w:rPr/>
              <w:t>​</w:t>
            </w:r>
          </w:p>
        </w:tc>
      </w:tr>
      <w:tr>
        <w:trPr/>
        <w:tc>
          <w:tcPr>
            <w:tcW w:w="6643"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67" w:type="dxa"/>
            <w:tcBorders/>
            <w:vAlign w:val="center"/>
          </w:tcPr>
          <w:p>
            <w:pPr>
              <w:pStyle w:val="TableContents"/>
              <w:bidi w:val="0"/>
              <w:spacing w:before="0" w:after="1"/>
              <w:ind w:left="0" w:right="0" w:hanging="0"/>
              <w:jc w:val="right"/>
              <w:rPr/>
            </w:pPr>
            <w:r>
              <w:rPr/>
              <w:t>​</w:t>
            </w:r>
          </w:p>
        </w:tc>
      </w:tr>
      <w:tr>
        <w:trPr/>
        <w:tc>
          <w:tcPr>
            <w:tcW w:w="6643"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Preferred stock, $0.001 par value, 5 million shares authorized, 0 shares issued and outstanding at September 30, 2025 and December 31, 2024 , respectively</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67"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643"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Common stock, $0.001 par value, 30 million shares authorized, 16.7 million and 10.7 million shares issued and outstanding as of September 30, 2025 and December 31, 2024, respectively (see Note 8)</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16,672</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10,708</w:t>
            </w:r>
          </w:p>
        </w:tc>
      </w:tr>
      <w:tr>
        <w:trPr/>
        <w:tc>
          <w:tcPr>
            <w:tcW w:w="6643"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475,849,809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465,564,876</w:t>
            </w:r>
          </w:p>
        </w:tc>
      </w:tr>
      <w:tr>
        <w:trPr/>
        <w:tc>
          <w:tcPr>
            <w:tcW w:w="6643"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(457,477,588)</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(447,017,178)</w:t>
            </w:r>
          </w:p>
        </w:tc>
      </w:tr>
      <w:tr>
        <w:trPr/>
        <w:tc>
          <w:tcPr>
            <w:tcW w:w="6643"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18,388,893</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18,558,406</w:t>
            </w:r>
          </w:p>
        </w:tc>
      </w:tr>
      <w:tr>
        <w:trPr/>
        <w:tc>
          <w:tcPr>
            <w:tcW w:w="6643"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Total liabilities and stockholders’ equity</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21,734,830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6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22,022,860</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123" w:name="_1a1732bb_58eb_41e0_96fa_c9bba3700233"/>
      <w:bookmarkEnd w:id="123"/>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124" w:name="CONDENSEDCONSOLIDATEDSTATEMENTSOFOPERATI"/>
      <w:bookmarkEnd w:id="124"/>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25" w:name="Tc_ZgEqPLBqt0GtJPb3g1oQ-w_23_0"/>
      <w:bookmarkStart w:id="126" w:name="Tc_l9H0r5UqJ0KAnhPtr_JpnQ_22_0"/>
      <w:bookmarkStart w:id="127" w:name="Tc_kuWup4w7VkaoilJ49s0xCA_21_0"/>
      <w:bookmarkStart w:id="128" w:name="Tc_fYCXG5kZEkKrUW0pPkSERw_19_11"/>
      <w:bookmarkStart w:id="129" w:name="Tc_ojoJ5nEL-EGKWUiZpJAgZA_19_8"/>
      <w:bookmarkStart w:id="130" w:name="Tc_z6Fdx3UrXEufk8pjybagSQ_19_5"/>
      <w:bookmarkStart w:id="131" w:name="Tc_szyPlNjk3UC6ZaE2ne107A_19_2"/>
      <w:bookmarkStart w:id="132" w:name="Tc_3bPUbgweFEiP1kNno56wkQ_19_0"/>
      <w:bookmarkStart w:id="133" w:name="Tc_7SAlBOqSgkavVmyhx9PY4A_18_0"/>
      <w:bookmarkStart w:id="134" w:name="Tc_76A0wy8kPEKzjpqmD21C_g_16_11"/>
      <w:bookmarkStart w:id="135" w:name="Tc_CYHeEJDpw0y9RZJTtxNaCg_16_8"/>
      <w:bookmarkStart w:id="136" w:name="Tc_y1PE-yr2KU6xL48T3t4Fuw_16_5"/>
      <w:bookmarkStart w:id="137" w:name="Tc_5v7URnZU3Eiv2pzbbKlhcw_16_2"/>
      <w:bookmarkStart w:id="138" w:name="Tc_JXhzOwSATkabADZbNI84rA_16_0"/>
      <w:bookmarkStart w:id="139" w:name="Tc_HSgZqk_xw02MnzbZYJlnaQ_15_12"/>
      <w:bookmarkStart w:id="140" w:name="Tc_bJwM0QkDEUqHZ-idqlGCog_15_6"/>
      <w:bookmarkStart w:id="141" w:name="Tc_3ROvH2WxCU-ki2UC4w_bcg_15_3"/>
      <w:bookmarkStart w:id="142" w:name="Tc_giFA1oFVJUa1vdNY88EKnw_15_0"/>
      <w:bookmarkStart w:id="143" w:name="Tc_o1ntj6itgk6NRhkh57jx6g_14_0"/>
      <w:bookmarkStart w:id="144" w:name="Tc_9wgY76oLR06tH83BFRaCBQ_13_0"/>
      <w:bookmarkStart w:id="145" w:name="Tc_SNWlynDUg06cxnAW6WXU7g_12_0"/>
      <w:bookmarkStart w:id="146" w:name="Tc_QSY6eYwKckmuYRtnrCJ3Mg_11_0"/>
      <w:bookmarkStart w:id="147" w:name="Tc_uTDvcFWOBEaQoFaE2S6xcQ_10_12"/>
      <w:bookmarkStart w:id="148" w:name="Tc_WSlZwDQUmEafp5jHn5qz4g_10_6"/>
      <w:bookmarkStart w:id="149" w:name="Tc_G45PAuHxLkOERndUhCK7yw_10_3"/>
      <w:bookmarkStart w:id="150" w:name="Tc_z-RlD2QNPUWOk1cRu2a_6w_10_0"/>
      <w:bookmarkStart w:id="151" w:name="Tc_E3OEY-RNZkK01nacY9Pitw_9_0"/>
      <w:bookmarkStart w:id="152" w:name="Tc_McHdnq3jpkSVGbky4sLb2A_8_0"/>
      <w:bookmarkStart w:id="153" w:name="Tc_038zhxaImEyUSMVoNsrYfA_7_0"/>
      <w:bookmarkStart w:id="154" w:name="Tc_iSR8jwQqskiwYFPcV3Ba4Q_6_0"/>
      <w:bookmarkStart w:id="155" w:name="Tc_o-2YD7Tir0yBhQZe4yGc4A_5_11"/>
      <w:bookmarkStart w:id="156" w:name="Tc_KOjmqV1bNUqvfxjtl_0Tvw_5_8"/>
      <w:bookmarkStart w:id="157" w:name="Tc_ExT87NZnrUKC6BXZCDw50Q_5_5"/>
      <w:bookmarkStart w:id="158" w:name="Tc_u-u-7kD4A0-8kitv1pk3ow_5_2"/>
      <w:bookmarkStart w:id="159" w:name="Tc_JXbAm3V9i0qKeogO533M6Q_5_0"/>
      <w:bookmarkStart w:id="160" w:name="Tc_-5cwUvd84EqjKyEotupqSw_4_0"/>
      <w:bookmarkStart w:id="161" w:name="Tc_xv5htz0bW0yrmELBgUhhIQ_3_11"/>
      <w:bookmarkStart w:id="162" w:name="Tc_VnswmtaYwk2P16DjOWSkjQ_3_8"/>
      <w:bookmarkStart w:id="163" w:name="Tc_bbwsbvQpakiyj5-iWuzSeA_3_5"/>
      <w:bookmarkStart w:id="164" w:name="Tc_f4JJFbKNGEOPGpdoyJDSMA_3_2"/>
      <w:bookmarkStart w:id="165" w:name="Tc_ct7JpPa7aEKfqv4HbVE4yQ_2_8"/>
      <w:bookmarkStart w:id="166" w:name="Tc_AhgwLo_vBEKqD_oDzHHHsA_2_2"/>
      <w:bookmarkStart w:id="167" w:name="Tc_90mvYDXMxUWbga6GBBFZ8A_1_8"/>
      <w:bookmarkStart w:id="168" w:name="Tc_biN3qiP4T0CT7Nqd_r6l4w_1_2"/>
      <w:bookmarkStart w:id="169" w:name="_27f4abe9_6cf8_486a_b066_c8b756ce667b"/>
      <w:bookmarkStart w:id="170" w:name="_20c1f205_f1f1_4485_855d_a9970cde981b"/>
      <w:bookmarkStart w:id="171" w:name="Tc_ZgEqPLBqt0GtJPb3g1oQ-w_23_0"/>
      <w:bookmarkStart w:id="172" w:name="Tc_l9H0r5UqJ0KAnhPtr_JpnQ_22_0"/>
      <w:bookmarkStart w:id="173" w:name="Tc_kuWup4w7VkaoilJ49s0xCA_21_0"/>
      <w:bookmarkStart w:id="174" w:name="Tc_fYCXG5kZEkKrUW0pPkSERw_19_11"/>
      <w:bookmarkStart w:id="175" w:name="Tc_ojoJ5nEL-EGKWUiZpJAgZA_19_8"/>
      <w:bookmarkStart w:id="176" w:name="Tc_z6Fdx3UrXEufk8pjybagSQ_19_5"/>
      <w:bookmarkStart w:id="177" w:name="Tc_szyPlNjk3UC6ZaE2ne107A_19_2"/>
      <w:bookmarkStart w:id="178" w:name="Tc_3bPUbgweFEiP1kNno56wkQ_19_0"/>
      <w:bookmarkStart w:id="179" w:name="Tc_7SAlBOqSgkavVmyhx9PY4A_18_0"/>
      <w:bookmarkStart w:id="180" w:name="Tc_76A0wy8kPEKzjpqmD21C_g_16_11"/>
      <w:bookmarkStart w:id="181" w:name="Tc_CYHeEJDpw0y9RZJTtxNaCg_16_8"/>
      <w:bookmarkStart w:id="182" w:name="Tc_y1PE-yr2KU6xL48T3t4Fuw_16_5"/>
      <w:bookmarkStart w:id="183" w:name="Tc_5v7URnZU3Eiv2pzbbKlhcw_16_2"/>
      <w:bookmarkStart w:id="184" w:name="Tc_JXhzOwSATkabADZbNI84rA_16_0"/>
      <w:bookmarkStart w:id="185" w:name="Tc_HSgZqk_xw02MnzbZYJlnaQ_15_12"/>
      <w:bookmarkStart w:id="186" w:name="Tc_bJwM0QkDEUqHZ-idqlGCog_15_6"/>
      <w:bookmarkStart w:id="187" w:name="Tc_3ROvH2WxCU-ki2UC4w_bcg_15_3"/>
      <w:bookmarkStart w:id="188" w:name="Tc_giFA1oFVJUa1vdNY88EKnw_15_0"/>
      <w:bookmarkStart w:id="189" w:name="Tc_o1ntj6itgk6NRhkh57jx6g_14_0"/>
      <w:bookmarkStart w:id="190" w:name="Tc_9wgY76oLR06tH83BFRaCBQ_13_0"/>
      <w:bookmarkStart w:id="191" w:name="Tc_SNWlynDUg06cxnAW6WXU7g_12_0"/>
      <w:bookmarkStart w:id="192" w:name="Tc_QSY6eYwKckmuYRtnrCJ3Mg_11_0"/>
      <w:bookmarkStart w:id="193" w:name="Tc_uTDvcFWOBEaQoFaE2S6xcQ_10_12"/>
      <w:bookmarkStart w:id="194" w:name="Tc_WSlZwDQUmEafp5jHn5qz4g_10_6"/>
      <w:bookmarkStart w:id="195" w:name="Tc_G45PAuHxLkOERndUhCK7yw_10_3"/>
      <w:bookmarkStart w:id="196" w:name="Tc_z-RlD2QNPUWOk1cRu2a_6w_10_0"/>
      <w:bookmarkStart w:id="197" w:name="Tc_E3OEY-RNZkK01nacY9Pitw_9_0"/>
      <w:bookmarkStart w:id="198" w:name="Tc_McHdnq3jpkSVGbky4sLb2A_8_0"/>
      <w:bookmarkStart w:id="199" w:name="Tc_038zhxaImEyUSMVoNsrYfA_7_0"/>
      <w:bookmarkStart w:id="200" w:name="Tc_iSR8jwQqskiwYFPcV3Ba4Q_6_0"/>
      <w:bookmarkStart w:id="201" w:name="Tc_o-2YD7Tir0yBhQZe4yGc4A_5_11"/>
      <w:bookmarkStart w:id="202" w:name="Tc_KOjmqV1bNUqvfxjtl_0Tvw_5_8"/>
      <w:bookmarkStart w:id="203" w:name="Tc_ExT87NZnrUKC6BXZCDw50Q_5_5"/>
      <w:bookmarkStart w:id="204" w:name="Tc_u-u-7kD4A0-8kitv1pk3ow_5_2"/>
      <w:bookmarkStart w:id="205" w:name="Tc_JXbAm3V9i0qKeogO533M6Q_5_0"/>
      <w:bookmarkStart w:id="206" w:name="Tc_-5cwUvd84EqjKyEotupqSw_4_0"/>
      <w:bookmarkStart w:id="207" w:name="Tc_xv5htz0bW0yrmELBgUhhIQ_3_11"/>
      <w:bookmarkStart w:id="208" w:name="Tc_VnswmtaYwk2P16DjOWSkjQ_3_8"/>
      <w:bookmarkStart w:id="209" w:name="Tc_bbwsbvQpakiyj5-iWuzSeA_3_5"/>
      <w:bookmarkStart w:id="210" w:name="Tc_f4JJFbKNGEOPGpdoyJDSMA_3_2"/>
      <w:bookmarkStart w:id="211" w:name="Tc_ct7JpPa7aEKfqv4HbVE4yQ_2_8"/>
      <w:bookmarkStart w:id="212" w:name="Tc_AhgwLo_vBEKqD_oDzHHHsA_2_2"/>
      <w:bookmarkStart w:id="213" w:name="Tc_90mvYDXMxUWbga6GBBFZ8A_1_8"/>
      <w:bookmarkStart w:id="214" w:name="Tc_biN3qiP4T0CT7Nqd_r6l4w_1_2"/>
      <w:bookmarkStart w:id="215" w:name="_27f4abe9_6cf8_486a_b066_c8b756ce667b"/>
      <w:bookmarkStart w:id="216" w:name="_20c1f205_f1f1_4485_855d_a9970cde981b"/>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tbl>
      <w:tblPr>
        <w:tblW w:w="10205" w:type="dxa"/>
        <w:jc w:val="left"/>
        <w:tblInd w:w="0" w:type="dxa"/>
        <w:tblLayout w:type="fixed"/>
        <w:tblCellMar>
          <w:top w:w="0" w:type="dxa"/>
          <w:left w:w="0" w:type="dxa"/>
          <w:bottom w:w="0" w:type="dxa"/>
          <w:right w:w="0" w:type="dxa"/>
        </w:tblCellMar>
      </w:tblPr>
      <w:tblGrid>
        <w:gridCol w:w="3748"/>
        <w:gridCol w:w="326"/>
        <w:gridCol w:w="211"/>
        <w:gridCol w:w="1046"/>
        <w:gridCol w:w="326"/>
        <w:gridCol w:w="211"/>
        <w:gridCol w:w="1032"/>
        <w:gridCol w:w="326"/>
        <w:gridCol w:w="211"/>
        <w:gridCol w:w="1137"/>
        <w:gridCol w:w="326"/>
        <w:gridCol w:w="211"/>
        <w:gridCol w:w="1094"/>
      </w:tblGrid>
      <w:tr>
        <w:trPr/>
        <w:tc>
          <w:tcPr>
            <w:tcW w:w="3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379980" cy="175260"/>
                      <wp:effectExtent l="0" t="0" r="0" b="0"/>
                      <wp:wrapNone/>
                      <wp:docPr id="12" name="Frame11"/>
                      <a:graphic xmlns:a="http://schemas.openxmlformats.org/drawingml/2006/main">
                        <a:graphicData uri="http://schemas.microsoft.com/office/word/2010/wordprocessingShape">
                          <wps:wsp>
                            <wps:cNvSpPr txBox="1"/>
                            <wps:spPr>
                              <a:xfrm>
                                <a:off x="0" y="0"/>
                                <a:ext cx="237998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4"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4210" cy="175260"/>
                      <wp:effectExtent l="0" t="0" r="0" b="0"/>
                      <wp:wrapNone/>
                      <wp:docPr id="15" name="Frame14"/>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6"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7"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55320" cy="175260"/>
                      <wp:effectExtent l="0" t="0" r="0" b="0"/>
                      <wp:wrapNone/>
                      <wp:docPr id="18" name="Frame17"/>
                      <a:graphic xmlns:a="http://schemas.openxmlformats.org/drawingml/2006/main">
                        <a:graphicData uri="http://schemas.microsoft.com/office/word/2010/wordprocessingShape">
                          <wps:wsp>
                            <wps:cNvSpPr txBox="1"/>
                            <wps:spPr>
                              <a:xfrm>
                                <a:off x="0" y="0"/>
                                <a:ext cx="65532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19"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0"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21995" cy="175260"/>
                      <wp:effectExtent l="0" t="0" r="0" b="0"/>
                      <wp:wrapNone/>
                      <wp:docPr id="21" name="Frame20"/>
                      <a:graphic xmlns:a="http://schemas.openxmlformats.org/drawingml/2006/main">
                        <a:graphicData uri="http://schemas.microsoft.com/office/word/2010/wordprocessingShape">
                          <wps:wsp>
                            <wps:cNvSpPr txBox="1"/>
                            <wps:spPr>
                              <a:xfrm>
                                <a:off x="0" y="0"/>
                                <a:ext cx="72199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4690" cy="175260"/>
                      <wp:effectExtent l="0" t="0" r="0" b="0"/>
                      <wp:wrapNone/>
                      <wp:docPr id="24" name="Frame23"/>
                      <a:graphic xmlns:a="http://schemas.openxmlformats.org/drawingml/2006/main">
                        <a:graphicData uri="http://schemas.microsoft.com/office/word/2010/wordprocessingShape">
                          <wps:wsp>
                            <wps:cNvSpPr txBox="1"/>
                            <wps:spPr>
                              <a:xfrm>
                                <a:off x="0" y="0"/>
                                <a:ext cx="69469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74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826"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1"/>
              <w:ind w:left="0" w:right="0" w:hanging="0"/>
              <w:jc w:val="both"/>
              <w:rPr/>
            </w:pPr>
            <w:r>
              <w:rPr/>
              <w:t> </w:t>
            </w:r>
          </w:p>
        </w:tc>
        <w:tc>
          <w:tcPr>
            <w:tcW w:w="297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r>
      <w:tr>
        <w:trPr/>
        <w:tc>
          <w:tcPr>
            <w:tcW w:w="374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82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both"/>
              <w:rPr/>
            </w:pPr>
            <w:r>
              <w:rPr/>
              <w:t> </w:t>
            </w:r>
          </w:p>
        </w:tc>
        <w:tc>
          <w:tcPr>
            <w:tcW w:w="29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74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    </w:t>
            </w:r>
          </w:p>
        </w:tc>
        <w:tc>
          <w:tcPr>
            <w:tcW w:w="12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13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48"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2"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37"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4" w:type="dxa"/>
            <w:tcBorders/>
            <w:shd w:fill="CCEEFF" w:val="clear"/>
            <w:vAlign w:val="center"/>
          </w:tcPr>
          <w:p>
            <w:pPr>
              <w:pStyle w:val="TableContents"/>
              <w:bidi w:val="0"/>
              <w:spacing w:before="0" w:after="1"/>
              <w:ind w:left="0" w:right="0" w:hanging="0"/>
              <w:jc w:val="both"/>
              <w:rPr/>
            </w:pPr>
            <w:r>
              <w:rPr/>
              <w:t>​</w:t>
            </w:r>
          </w:p>
        </w:tc>
      </w:tr>
      <w:tr>
        <w:trPr/>
        <w:tc>
          <w:tcPr>
            <w:tcW w:w="3748"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1,232,938</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1,926,020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2,443,225</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4,339,317</w:t>
            </w:r>
          </w:p>
        </w:tc>
      </w:tr>
      <w:tr>
        <w:trPr/>
        <w:tc>
          <w:tcPr>
            <w:tcW w:w="3748"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1,232,938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1,926,020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1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2,443,225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4,339,317</w:t>
            </w:r>
          </w:p>
        </w:tc>
      </w:tr>
      <w:tr>
        <w:trPr/>
        <w:tc>
          <w:tcPr>
            <w:tcW w:w="3748"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2"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37"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94" w:type="dxa"/>
            <w:tcBorders/>
            <w:vAlign w:val="center"/>
          </w:tcPr>
          <w:p>
            <w:pPr>
              <w:pStyle w:val="TableContents"/>
              <w:bidi w:val="0"/>
              <w:spacing w:before="0" w:after="1"/>
              <w:ind w:left="0" w:right="0" w:hanging="0"/>
              <w:jc w:val="both"/>
              <w:rPr/>
            </w:pPr>
            <w:r>
              <w:rPr/>
              <w:t>​</w:t>
            </w:r>
          </w:p>
        </w:tc>
      </w:tr>
      <w:tr>
        <w:trPr/>
        <w:tc>
          <w:tcPr>
            <w:tcW w:w="3748"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2,345,843</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3,471,216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9,658,322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8,381,661</w:t>
            </w:r>
          </w:p>
        </w:tc>
      </w:tr>
      <w:tr>
        <w:trPr/>
        <w:tc>
          <w:tcPr>
            <w:tcW w:w="3748"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1,023,821</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854,677</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3,338,200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3,214,611</w:t>
            </w:r>
          </w:p>
        </w:tc>
      </w:tr>
      <w:tr>
        <w:trPr/>
        <w:tc>
          <w:tcPr>
            <w:tcW w:w="3748"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on early termination of vendor agreement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1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453,135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748"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3,369,664</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4,325,893</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1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13,449,657</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11,596,272</w:t>
            </w:r>
          </w:p>
        </w:tc>
      </w:tr>
      <w:tr>
        <w:trPr/>
        <w:tc>
          <w:tcPr>
            <w:tcW w:w="3748"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(2,136,726)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(2,399,873)</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(11,006,432)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(7,256,955)</w:t>
            </w:r>
          </w:p>
        </w:tc>
      </w:tr>
      <w:tr>
        <w:trPr/>
        <w:tc>
          <w:tcPr>
            <w:tcW w:w="3748"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Other income: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4" w:type="dxa"/>
            <w:tcBorders/>
            <w:vAlign w:val="center"/>
          </w:tcPr>
          <w:p>
            <w:pPr>
              <w:pStyle w:val="TableContents"/>
              <w:bidi w:val="0"/>
              <w:spacing w:before="0" w:after="1"/>
              <w:ind w:left="0" w:right="0" w:hanging="0"/>
              <w:jc w:val="right"/>
              <w:rPr/>
            </w:pPr>
            <w:r>
              <w:rPr/>
              <w:t>​</w:t>
            </w:r>
          </w:p>
        </w:tc>
      </w:tr>
      <w:tr>
        <w:trPr/>
        <w:tc>
          <w:tcPr>
            <w:tcW w:w="3748"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138,064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91,681</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428,578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363,264</w:t>
            </w:r>
          </w:p>
        </w:tc>
      </w:tr>
      <w:tr>
        <w:trPr/>
        <w:tc>
          <w:tcPr>
            <w:tcW w:w="3748"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income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3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1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117,444</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9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748"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(1,998,662)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(2,308,192)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(10,460,410)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(6,893,691)</w:t>
            </w:r>
          </w:p>
        </w:tc>
      </w:tr>
      <w:tr>
        <w:trPr/>
        <w:tc>
          <w:tcPr>
            <w:tcW w:w="374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94" w:type="dxa"/>
            <w:tcBorders/>
            <w:vAlign w:val="center"/>
          </w:tcPr>
          <w:p>
            <w:pPr>
              <w:pStyle w:val="TableContents"/>
              <w:bidi w:val="0"/>
              <w:spacing w:before="0" w:after="1"/>
              <w:ind w:left="0" w:right="0" w:hanging="0"/>
              <w:jc w:val="right"/>
              <w:rPr/>
            </w:pPr>
            <w:r>
              <w:rPr/>
              <w:t>​</w:t>
            </w:r>
          </w:p>
        </w:tc>
      </w:tr>
      <w:tr>
        <w:trPr/>
        <w:tc>
          <w:tcPr>
            <w:tcW w:w="3748"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per share: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3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4" w:type="dxa"/>
            <w:tcBorders/>
            <w:shd w:fill="CCEEFF" w:val="clear"/>
            <w:vAlign w:val="center"/>
          </w:tcPr>
          <w:p>
            <w:pPr>
              <w:pStyle w:val="TableContents"/>
              <w:bidi w:val="0"/>
              <w:spacing w:before="0" w:after="1"/>
              <w:ind w:left="0" w:right="0" w:hanging="0"/>
              <w:jc w:val="right"/>
              <w:rPr/>
            </w:pPr>
            <w:r>
              <w:rPr/>
              <w:t>​</w:t>
            </w:r>
          </w:p>
        </w:tc>
      </w:tr>
      <w:tr>
        <w:trPr/>
        <w:tc>
          <w:tcPr>
            <w:tcW w:w="3748"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per share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(0.26)</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(0.75)</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(0.77)</w:t>
            </w:r>
          </w:p>
        </w:tc>
      </w:tr>
      <w:tr>
        <w:trPr/>
        <w:tc>
          <w:tcPr>
            <w:tcW w:w="3748"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3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4" w:type="dxa"/>
            <w:tcBorders/>
            <w:shd w:fill="CCEEFF" w:val="clear"/>
            <w:vAlign w:val="center"/>
          </w:tcPr>
          <w:p>
            <w:pPr>
              <w:pStyle w:val="TableContents"/>
              <w:bidi w:val="0"/>
              <w:spacing w:before="0" w:after="1"/>
              <w:ind w:left="0" w:right="0" w:hanging="0"/>
              <w:jc w:val="right"/>
              <w:rPr/>
            </w:pPr>
            <w:r>
              <w:rPr/>
              <w:t>​</w:t>
            </w:r>
          </w:p>
        </w:tc>
      </w:tr>
      <w:tr>
        <w:trPr/>
        <w:tc>
          <w:tcPr>
            <w:tcW w:w="3748"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number of common shares outstanding:</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94" w:type="dxa"/>
            <w:tcBorders/>
            <w:vAlign w:val="center"/>
          </w:tcPr>
          <w:p>
            <w:pPr>
              <w:pStyle w:val="TableContents"/>
              <w:bidi w:val="0"/>
              <w:spacing w:before="0" w:after="1"/>
              <w:ind w:left="0" w:right="0" w:hanging="0"/>
              <w:jc w:val="right"/>
              <w:rPr/>
            </w:pPr>
            <w:r>
              <w:rPr/>
              <w:t>​</w:t>
            </w:r>
          </w:p>
        </w:tc>
      </w:tr>
      <w:tr>
        <w:trPr/>
        <w:tc>
          <w:tcPr>
            <w:tcW w:w="3748"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16,757,678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8,923,170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13,960,791</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8,914,487</w:t>
            </w:r>
          </w:p>
        </w:tc>
      </w:tr>
      <w:tr>
        <w:trPr/>
        <w:tc>
          <w:tcPr>
            <w:tcW w:w="3748"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16,757,678</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0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8,923,170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1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13,960,791</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09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8,914,487</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217" w:name="_f5d413d4_6b8b_4aa3_bc32_18c948d0bd3b"/>
      <w:bookmarkEnd w:id="217"/>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218" w:name="CONDENSEDCONSOLIDATEDSTATEMENTSOFSTOCKHO"/>
      <w:bookmarkEnd w:id="218"/>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19" w:name="Tc_gM50JN8IdE-QihLa_ZqWgQ_9_13"/>
      <w:bookmarkStart w:id="220" w:name="Tc_oIXPImoc6EGV4AheDItaQQ_9_10"/>
      <w:bookmarkStart w:id="221" w:name="Tc_79_2C9PTp0OXc8bf4WtniA_9_7"/>
      <w:bookmarkStart w:id="222" w:name="Tc_DIOQ3JtJckeNXgJE1gwkKw_9_4"/>
      <w:bookmarkStart w:id="223" w:name="Tc_smFkVa7L9EeuUhPsm9MbRg_9_0"/>
      <w:bookmarkStart w:id="224" w:name="Tc_U8cdHJXYcUW1Htt0fA3aBQ_8_8"/>
      <w:bookmarkStart w:id="225" w:name="Tc_lhWb3xtlUUyvHHuHTQjWdA_8_5"/>
      <w:bookmarkStart w:id="226" w:name="Tc_97njv7K320y2wf3ITGA4jw_8_2"/>
      <w:bookmarkStart w:id="227" w:name="Tc_bmarDuOB1E2viQJrIntjAg_8_0"/>
      <w:bookmarkStart w:id="228" w:name="Tc_irQbR61zTkqv__YSpkHCEQ_7_11"/>
      <w:bookmarkStart w:id="229" w:name="Tc_7B1wLJikOkKie-EG3Bu0HQ_7_5"/>
      <w:bookmarkStart w:id="230" w:name="Tc_AJ5rjVxzdUC4yc_DgD0BNA_7_2"/>
      <w:bookmarkStart w:id="231" w:name="Tc_Fvnhbo4cbUKpk_oDsWH67Q_7_0"/>
      <w:bookmarkStart w:id="232" w:name="Tc_C1yqZLIVm0q94AHr5aA3zw_6_11"/>
      <w:bookmarkStart w:id="233" w:name="Tc_YogPgH14H0qjbVATXX0ySw_6_0"/>
      <w:bookmarkStart w:id="234" w:name="Tc_s6DYN_Hfv02zEF2H1DtjUg_5_13"/>
      <w:bookmarkStart w:id="235" w:name="Tc_gfcYa5r80kOQqXT6x0DKOg_5_10"/>
      <w:bookmarkStart w:id="236" w:name="Tc_pSW6AZXvJEOfYtPawwoFWg_5_7"/>
      <w:bookmarkStart w:id="237" w:name="Tc_KengpvreIU2Ott4hpo4CUw_5_4"/>
      <w:bookmarkStart w:id="238" w:name="Tc_ug1RrtHMFU-R8nEmHtoeIw_5_0"/>
      <w:bookmarkStart w:id="239" w:name="Tc_70JG9PYPfUGPgzyMmVqntg_4_13"/>
      <w:bookmarkStart w:id="240" w:name="Tc_FGUSf6fWr0mQAPFSwzCkNg_4_10"/>
      <w:bookmarkStart w:id="241" w:name="Tc_5PlNaXwtxkifGvBQG6DKFQ_4_7"/>
      <w:bookmarkStart w:id="242" w:name="Tc_Vm2fRCbOvEihrnekM4idEw_4_4"/>
      <w:bookmarkStart w:id="243" w:name="Tc_eT4fyds1iEepIXwjV6cG6w_4_2"/>
      <w:bookmarkStart w:id="244" w:name="Tc_fI2-d9vH4k2FloPxmi1r9w_3_13"/>
      <w:bookmarkStart w:id="245" w:name="Tc_JZZxVFggQk2St33CipRU6A_3_10"/>
      <w:bookmarkStart w:id="246" w:name="Tc_LZgyAb7ZHUa7vOjkuKYTmA_3_7"/>
      <w:bookmarkStart w:id="247" w:name="Tc_Ya9b9dWqB0GKz1__hNgABw_3_2"/>
      <w:bookmarkStart w:id="248" w:name="Tc_M32L9Y_RmE2bLIYvB0RpyA_2_13"/>
      <w:bookmarkStart w:id="249" w:name="Tc_Y_Y6ox2vKEC21P52rZyXvg_1_2"/>
      <w:bookmarkStart w:id="250" w:name="_61df9c88_5d51_492c_8c04_c37cd1a34ed4"/>
      <w:bookmarkStart w:id="251" w:name="Tc_gM50JN8IdE-QihLa_ZqWgQ_9_13"/>
      <w:bookmarkStart w:id="252" w:name="Tc_oIXPImoc6EGV4AheDItaQQ_9_10"/>
      <w:bookmarkStart w:id="253" w:name="Tc_79_2C9PTp0OXc8bf4WtniA_9_7"/>
      <w:bookmarkStart w:id="254" w:name="Tc_DIOQ3JtJckeNXgJE1gwkKw_9_4"/>
      <w:bookmarkStart w:id="255" w:name="Tc_smFkVa7L9EeuUhPsm9MbRg_9_0"/>
      <w:bookmarkStart w:id="256" w:name="Tc_U8cdHJXYcUW1Htt0fA3aBQ_8_8"/>
      <w:bookmarkStart w:id="257" w:name="Tc_lhWb3xtlUUyvHHuHTQjWdA_8_5"/>
      <w:bookmarkStart w:id="258" w:name="Tc_97njv7K320y2wf3ITGA4jw_8_2"/>
      <w:bookmarkStart w:id="259" w:name="Tc_bmarDuOB1E2viQJrIntjAg_8_0"/>
      <w:bookmarkStart w:id="260" w:name="Tc_irQbR61zTkqv__YSpkHCEQ_7_11"/>
      <w:bookmarkStart w:id="261" w:name="Tc_7B1wLJikOkKie-EG3Bu0HQ_7_5"/>
      <w:bookmarkStart w:id="262" w:name="Tc_AJ5rjVxzdUC4yc_DgD0BNA_7_2"/>
      <w:bookmarkStart w:id="263" w:name="Tc_Fvnhbo4cbUKpk_oDsWH67Q_7_0"/>
      <w:bookmarkStart w:id="264" w:name="Tc_C1yqZLIVm0q94AHr5aA3zw_6_11"/>
      <w:bookmarkStart w:id="265" w:name="Tc_YogPgH14H0qjbVATXX0ySw_6_0"/>
      <w:bookmarkStart w:id="266" w:name="Tc_s6DYN_Hfv02zEF2H1DtjUg_5_13"/>
      <w:bookmarkStart w:id="267" w:name="Tc_gfcYa5r80kOQqXT6x0DKOg_5_10"/>
      <w:bookmarkStart w:id="268" w:name="Tc_pSW6AZXvJEOfYtPawwoFWg_5_7"/>
      <w:bookmarkStart w:id="269" w:name="Tc_KengpvreIU2Ott4hpo4CUw_5_4"/>
      <w:bookmarkStart w:id="270" w:name="Tc_ug1RrtHMFU-R8nEmHtoeIw_5_0"/>
      <w:bookmarkStart w:id="271" w:name="Tc_70JG9PYPfUGPgzyMmVqntg_4_13"/>
      <w:bookmarkStart w:id="272" w:name="Tc_FGUSf6fWr0mQAPFSwzCkNg_4_10"/>
      <w:bookmarkStart w:id="273" w:name="Tc_5PlNaXwtxkifGvBQG6DKFQ_4_7"/>
      <w:bookmarkStart w:id="274" w:name="Tc_Vm2fRCbOvEihrnekM4idEw_4_4"/>
      <w:bookmarkStart w:id="275" w:name="Tc_eT4fyds1iEepIXwjV6cG6w_4_2"/>
      <w:bookmarkStart w:id="276" w:name="Tc_fI2-d9vH4k2FloPxmi1r9w_3_13"/>
      <w:bookmarkStart w:id="277" w:name="Tc_JZZxVFggQk2St33CipRU6A_3_10"/>
      <w:bookmarkStart w:id="278" w:name="Tc_LZgyAb7ZHUa7vOjkuKYTmA_3_7"/>
      <w:bookmarkStart w:id="279" w:name="Tc_Ya9b9dWqB0GKz1__hNgABw_3_2"/>
      <w:bookmarkStart w:id="280" w:name="Tc_M32L9Y_RmE2bLIYvB0RpyA_2_13"/>
      <w:bookmarkStart w:id="281" w:name="Tc_Y_Y6ox2vKEC21P52rZyXvg_1_2"/>
      <w:bookmarkStart w:id="282" w:name="_61df9c88_5d51_492c_8c04_c37cd1a34ed4"/>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tbl>
      <w:tblPr>
        <w:tblW w:w="10205" w:type="dxa"/>
        <w:jc w:val="left"/>
        <w:tblInd w:w="0" w:type="dxa"/>
        <w:tblLayout w:type="fixed"/>
        <w:tblCellMar>
          <w:top w:w="0" w:type="dxa"/>
          <w:left w:w="0" w:type="dxa"/>
          <w:bottom w:w="0" w:type="dxa"/>
          <w:right w:w="0" w:type="dxa"/>
        </w:tblCellMar>
      </w:tblPr>
      <w:tblGrid>
        <w:gridCol w:w="3029"/>
        <w:gridCol w:w="326"/>
        <w:gridCol w:w="916"/>
        <w:gridCol w:w="326"/>
        <w:gridCol w:w="199"/>
        <w:gridCol w:w="612"/>
        <w:gridCol w:w="326"/>
        <w:gridCol w:w="210"/>
        <w:gridCol w:w="1082"/>
        <w:gridCol w:w="326"/>
        <w:gridCol w:w="196"/>
        <w:gridCol w:w="1112"/>
        <w:gridCol w:w="326"/>
        <w:gridCol w:w="196"/>
        <w:gridCol w:w="1023"/>
      </w:tblGrid>
      <w:tr>
        <w:trPr/>
        <w:tc>
          <w:tcPr>
            <w:tcW w:w="3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923415" cy="175260"/>
                      <wp:effectExtent l="0" t="0" r="0" b="0"/>
                      <wp:wrapNone/>
                      <wp:docPr id="25" name="Frame24"/>
                      <a:graphic xmlns:a="http://schemas.openxmlformats.org/drawingml/2006/main">
                        <a:graphicData uri="http://schemas.microsoft.com/office/word/2010/wordprocessingShape">
                          <wps:wsp>
                            <wps:cNvSpPr txBox="1"/>
                            <wps:spPr>
                              <a:xfrm>
                                <a:off x="0" y="0"/>
                                <a:ext cx="19234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6"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81660" cy="175260"/>
                      <wp:effectExtent l="0" t="0" r="0" b="0"/>
                      <wp:wrapNone/>
                      <wp:docPr id="27" name="Frame2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8"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6365" cy="175260"/>
                      <wp:effectExtent l="0" t="0" r="0" b="0"/>
                      <wp:wrapNone/>
                      <wp:docPr id="29" name="Frame28"/>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88620" cy="175260"/>
                      <wp:effectExtent l="0" t="0" r="0" b="0"/>
                      <wp:wrapNone/>
                      <wp:docPr id="30" name="Frame29"/>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1"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350" cy="175260"/>
                      <wp:effectExtent l="0" t="0" r="0" b="0"/>
                      <wp:wrapNone/>
                      <wp:docPr id="32" name="Frame31"/>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87070" cy="175260"/>
                      <wp:effectExtent l="0" t="0" r="0" b="0"/>
                      <wp:wrapNone/>
                      <wp:docPr id="33" name="Frame32"/>
                      <a:graphic xmlns:a="http://schemas.openxmlformats.org/drawingml/2006/main">
                        <a:graphicData uri="http://schemas.microsoft.com/office/word/2010/wordprocessingShape">
                          <wps:wsp>
                            <wps:cNvSpPr txBox="1"/>
                            <wps:spPr>
                              <a:xfrm>
                                <a:off x="0" y="0"/>
                                <a:ext cx="68707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4"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4460" cy="175260"/>
                      <wp:effectExtent l="0" t="0" r="0" b="0"/>
                      <wp:wrapNone/>
                      <wp:docPr id="35" name="Frame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706120" cy="175260"/>
                      <wp:effectExtent l="0" t="0" r="0" b="0"/>
                      <wp:wrapNone/>
                      <wp:docPr id="36" name="Frame35"/>
                      <a:graphic xmlns:a="http://schemas.openxmlformats.org/drawingml/2006/main">
                        <a:graphicData uri="http://schemas.microsoft.com/office/word/2010/wordprocessingShape">
                          <wps:wsp>
                            <wps:cNvSpPr txBox="1"/>
                            <wps:spPr>
                              <a:xfrm>
                                <a:off x="0" y="0"/>
                                <a:ext cx="7061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7"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38" name="Frame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9605" cy="175260"/>
                      <wp:effectExtent l="0" t="0" r="0" b="0"/>
                      <wp:wrapNone/>
                      <wp:docPr id="39" name="Frame38"/>
                      <a:graphic xmlns:a="http://schemas.openxmlformats.org/drawingml/2006/main">
                        <a:graphicData uri="http://schemas.microsoft.com/office/word/2010/wordprocessingShape">
                          <wps:wsp>
                            <wps:cNvSpPr txBox="1"/>
                            <wps:spPr>
                              <a:xfrm>
                                <a:off x="0" y="0"/>
                                <a:ext cx="6496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029"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6850"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2025</w:t>
            </w:r>
          </w:p>
        </w:tc>
      </w:tr>
      <w:tr>
        <w:trPr/>
        <w:tc>
          <w:tcPr>
            <w:tcW w:w="3029"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199" w:type="dxa"/>
            <w:tcBorders/>
            <w:vAlign w:val="center"/>
          </w:tcPr>
          <w:p>
            <w:pPr>
              <w:pStyle w:val="TableContents"/>
              <w:bidi w:val="0"/>
              <w:spacing w:before="0" w:after="0"/>
              <w:ind w:left="0" w:right="0" w:hanging="0"/>
              <w:jc w:val="both"/>
              <w:rPr/>
            </w:pPr>
            <w:r>
              <w:rPr/>
              <w:t>​</w:t>
            </w:r>
          </w:p>
        </w:tc>
        <w:tc>
          <w:tcPr>
            <w:tcW w:w="6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210" w:type="dxa"/>
            <w:tcBorders/>
            <w:vAlign w:val="center"/>
          </w:tcPr>
          <w:p>
            <w:pPr>
              <w:pStyle w:val="TableContents"/>
              <w:bidi w:val="0"/>
              <w:spacing w:before="0" w:after="0"/>
              <w:ind w:left="0" w:right="0" w:hanging="0"/>
              <w:jc w:val="both"/>
              <w:rPr/>
            </w:pPr>
            <w:r>
              <w:rPr/>
              <w:t>​</w:t>
            </w:r>
          </w:p>
        </w:tc>
        <w:tc>
          <w:tcPr>
            <w:tcW w:w="10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11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029"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0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both"/>
              <w:rPr/>
            </w:pPr>
            <w:r>
              <w:rPr/>
              <w:t>​</w:t>
            </w:r>
          </w:p>
        </w:tc>
        <w:tc>
          <w:tcPr>
            <w:tcW w:w="12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vAlign w:val="center"/>
          </w:tcPr>
          <w:p>
            <w:pPr>
              <w:pStyle w:val="TableContents"/>
              <w:bidi w:val="0"/>
              <w:spacing w:before="0" w:after="0"/>
              <w:ind w:left="0" w:right="0" w:hanging="0"/>
              <w:jc w:val="both"/>
              <w:rPr/>
            </w:pPr>
            <w:r>
              <w:rPr/>
              <w:t>​</w:t>
            </w:r>
          </w:p>
        </w:tc>
        <w:tc>
          <w:tcPr>
            <w:tcW w:w="130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both"/>
              <w:rPr/>
            </w:pPr>
            <w:r>
              <w:rPr/>
              <w:t>​</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029"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both"/>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0"/>
              <w:ind w:left="0" w:right="0" w:hanging="0"/>
              <w:jc w:val="both"/>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0"/>
              <w:ind w:left="0" w:right="0" w:hanging="0"/>
              <w:jc w:val="both"/>
              <w:rPr/>
            </w:pPr>
            <w:r>
              <w:rPr/>
              <w:t>    </w:t>
            </w:r>
          </w:p>
        </w:tc>
        <w:tc>
          <w:tcPr>
            <w:tcW w:w="13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both"/>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029"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Balance at July 1, 2025</w:t>
            </w:r>
          </w:p>
        </w:tc>
        <w:tc>
          <w:tcPr>
            <w:tcW w:w="326"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11,314,835</w:t>
            </w:r>
          </w:p>
        </w:tc>
        <w:tc>
          <w:tcPr>
            <w:tcW w:w="326" w:type="dxa"/>
            <w:tcBorders/>
            <w:shd w:fill="CCEEFF" w:val="clear"/>
            <w:vAlign w:val="center"/>
          </w:tcPr>
          <w:p>
            <w:pPr>
              <w:pStyle w:val="TableContents"/>
              <w:bidi w:val="0"/>
              <w:spacing w:before="0" w:after="0"/>
              <w:ind w:left="0" w:right="0" w:hanging="0"/>
              <w:jc w:val="both"/>
              <w:rPr/>
            </w:pPr>
            <w:r>
              <w:rPr/>
              <w:t>​</w:t>
            </w:r>
          </w:p>
        </w:tc>
        <w:tc>
          <w:tcPr>
            <w:tcW w:w="199"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11,313</w:t>
            </w:r>
          </w:p>
        </w:tc>
        <w:tc>
          <w:tcPr>
            <w:tcW w:w="326" w:type="dxa"/>
            <w:tcBorders/>
            <w:shd w:fill="CCEEFF" w:val="clear"/>
            <w:vAlign w:val="center"/>
          </w:tcPr>
          <w:p>
            <w:pPr>
              <w:pStyle w:val="TableContents"/>
              <w:bidi w:val="0"/>
              <w:spacing w:before="0" w:after="0"/>
              <w:ind w:left="0" w:right="0" w:hanging="0"/>
              <w:jc w:val="both"/>
              <w:rPr/>
            </w:pPr>
            <w:r>
              <w:rPr/>
              <w:t>​</w:t>
            </w:r>
          </w:p>
        </w:tc>
        <w:tc>
          <w:tcPr>
            <w:tcW w:w="210"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82"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465,958,006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(455,478,926)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10,490,393</w:t>
            </w:r>
          </w:p>
        </w:tc>
      </w:tr>
      <w:tr>
        <w:trPr/>
        <w:tc>
          <w:tcPr>
            <w:tcW w:w="3029" w:type="dxa"/>
            <w:tcBorders/>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Shares purchased pursuant to ATM agreement</w:t>
            </w:r>
          </w:p>
        </w:tc>
        <w:tc>
          <w:tcPr>
            <w:tcW w:w="326"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5,358,292</w:t>
            </w:r>
          </w:p>
        </w:tc>
        <w:tc>
          <w:tcPr>
            <w:tcW w:w="326" w:type="dxa"/>
            <w:tcBorders/>
            <w:vAlign w:val="center"/>
          </w:tcPr>
          <w:p>
            <w:pPr>
              <w:pStyle w:val="TableContents"/>
              <w:bidi w:val="0"/>
              <w:spacing w:before="0" w:after="0"/>
              <w:ind w:left="0" w:right="0" w:hanging="0"/>
              <w:jc w:val="both"/>
              <w:rPr/>
            </w:pPr>
            <w:r>
              <w:rPr/>
              <w:t>​</w:t>
            </w:r>
          </w:p>
        </w:tc>
        <w:tc>
          <w:tcPr>
            <w:tcW w:w="199" w:type="dxa"/>
            <w:tcBorders/>
            <w:vAlign w:val="center"/>
          </w:tcPr>
          <w:p>
            <w:pPr>
              <w:pStyle w:val="TableContents"/>
              <w:bidi w:val="0"/>
              <w:spacing w:before="0" w:after="0"/>
              <w:ind w:left="0" w:right="0" w:hanging="0"/>
              <w:jc w:val="both"/>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5,359</w:t>
            </w:r>
          </w:p>
        </w:tc>
        <w:tc>
          <w:tcPr>
            <w:tcW w:w="326" w:type="dxa"/>
            <w:tcBorders/>
            <w:vAlign w:val="center"/>
          </w:tcPr>
          <w:p>
            <w:pPr>
              <w:pStyle w:val="TableContents"/>
              <w:bidi w:val="0"/>
              <w:spacing w:before="0" w:after="0"/>
              <w:ind w:left="0" w:right="0" w:hanging="0"/>
              <w:jc w:val="both"/>
              <w:rPr/>
            </w:pPr>
            <w:r>
              <w:rPr/>
              <w:t>​</w:t>
            </w:r>
          </w:p>
        </w:tc>
        <w:tc>
          <w:tcPr>
            <w:tcW w:w="210" w:type="dxa"/>
            <w:tcBorders/>
            <w:vAlign w:val="center"/>
          </w:tcPr>
          <w:p>
            <w:pPr>
              <w:pStyle w:val="TableContents"/>
              <w:bidi w:val="0"/>
              <w:spacing w:before="0" w:after="0"/>
              <w:ind w:left="0" w:right="0" w:hanging="0"/>
              <w:jc w:val="both"/>
              <w:rPr/>
            </w:pPr>
            <w:r>
              <w:rPr/>
              <w:t>​</w:t>
            </w:r>
          </w:p>
        </w:tc>
        <w:tc>
          <w:tcPr>
            <w:tcW w:w="10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9,858,524</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11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10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9,863,883</w:t>
            </w:r>
          </w:p>
        </w:tc>
      </w:tr>
      <w:tr>
        <w:trPr/>
        <w:tc>
          <w:tcPr>
            <w:tcW w:w="3029" w:type="dxa"/>
            <w:tcBorders/>
            <w:shd w:fill="CCEEFF" w:val="clear"/>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 xml:space="preserve">Stock-based compensation </w:t>
            </w:r>
          </w:p>
        </w:tc>
        <w:tc>
          <w:tcPr>
            <w:tcW w:w="326"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9" w:type="dxa"/>
            <w:tcBorders/>
            <w:shd w:fill="CCEEFF" w:val="clear"/>
            <w:vAlign w:val="center"/>
          </w:tcPr>
          <w:p>
            <w:pPr>
              <w:pStyle w:val="TableContents"/>
              <w:bidi w:val="0"/>
              <w:spacing w:before="0" w:after="0"/>
              <w:ind w:left="0" w:right="0" w:hanging="0"/>
              <w:jc w:val="both"/>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0" w:type="dxa"/>
            <w:tcBorders/>
            <w:shd w:fill="CCEEFF" w:val="clear"/>
            <w:vAlign w:val="center"/>
          </w:tcPr>
          <w:p>
            <w:pPr>
              <w:pStyle w:val="TableContents"/>
              <w:bidi w:val="0"/>
              <w:spacing w:before="0" w:after="0"/>
              <w:ind w:left="0" w:right="0" w:hanging="0"/>
              <w:jc w:val="both"/>
              <w:rPr/>
            </w:pPr>
            <w:r>
              <w:rPr/>
              <w:t>​</w:t>
            </w:r>
          </w:p>
        </w:tc>
        <w:tc>
          <w:tcPr>
            <w:tcW w:w="10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33,279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11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33,279</w:t>
            </w:r>
          </w:p>
        </w:tc>
      </w:tr>
      <w:tr>
        <w:trPr/>
        <w:tc>
          <w:tcPr>
            <w:tcW w:w="3029" w:type="dxa"/>
            <w:tcBorders/>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Net loss</w:t>
            </w:r>
          </w:p>
        </w:tc>
        <w:tc>
          <w:tcPr>
            <w:tcW w:w="326" w:type="dxa"/>
            <w:tcBorders/>
            <w:vAlign w:val="center"/>
          </w:tcPr>
          <w:p>
            <w:pPr>
              <w:pStyle w:val="TableContents"/>
              <w:bidi w:val="0"/>
              <w:spacing w:before="0" w:after="0"/>
              <w:ind w:left="0" w:right="0" w:hanging="0"/>
              <w:jc w:val="both"/>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0"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(1,998,662)</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(1,998,662)</w:t>
            </w:r>
          </w:p>
        </w:tc>
      </w:tr>
      <w:tr>
        <w:trPr/>
        <w:tc>
          <w:tcPr>
            <w:tcW w:w="3029"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Balance at September 30, 2025</w:t>
            </w:r>
          </w:p>
        </w:tc>
        <w:tc>
          <w:tcPr>
            <w:tcW w:w="326" w:type="dxa"/>
            <w:tcBorders/>
            <w:shd w:fill="CCEEFF" w:val="clear"/>
            <w:vAlign w:val="center"/>
          </w:tcPr>
          <w:p>
            <w:pPr>
              <w:pStyle w:val="TableContents"/>
              <w:bidi w:val="0"/>
              <w:spacing w:before="0" w:after="0"/>
              <w:ind w:left="0" w:right="0" w:hanging="0"/>
              <w:jc w:val="both"/>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16,673,127</w:t>
            </w:r>
          </w:p>
        </w:tc>
        <w:tc>
          <w:tcPr>
            <w:tcW w:w="326" w:type="dxa"/>
            <w:tcBorders/>
            <w:shd w:fill="CCEEFF" w:val="clear"/>
            <w:vAlign w:val="center"/>
          </w:tcPr>
          <w:p>
            <w:pPr>
              <w:pStyle w:val="TableContents"/>
              <w:bidi w:val="0"/>
              <w:spacing w:before="0" w:after="0"/>
              <w:ind w:left="0" w:right="0" w:hanging="0"/>
              <w:jc w:val="both"/>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6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16,672</w:t>
            </w:r>
          </w:p>
        </w:tc>
        <w:tc>
          <w:tcPr>
            <w:tcW w:w="326" w:type="dxa"/>
            <w:tcBorders/>
            <w:shd w:fill="CCEEFF" w:val="clear"/>
            <w:vAlign w:val="center"/>
          </w:tcPr>
          <w:p>
            <w:pPr>
              <w:pStyle w:val="TableContents"/>
              <w:bidi w:val="0"/>
              <w:spacing w:before="0" w:after="0"/>
              <w:ind w:left="0" w:right="0" w:hanging="0"/>
              <w:jc w:val="both"/>
              <w:rPr/>
            </w:pPr>
            <w:r>
              <w:rPr/>
              <w:t>​</w:t>
            </w:r>
          </w:p>
        </w:tc>
        <w:tc>
          <w:tcPr>
            <w:tcW w:w="210"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475,849,809</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1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(457,477,588)</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18,388,893</w: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83" w:name="Tc_6WGZC2Y-MEifwRU4Ih7Mgw_10_13"/>
      <w:bookmarkStart w:id="284" w:name="Tc_Zu2wtzHwikGGk1ZmZ5BF5g_10_10"/>
      <w:bookmarkStart w:id="285" w:name="Tc_Z5liA7b280S1MLJp1gqwZg_10_7"/>
      <w:bookmarkStart w:id="286" w:name="Tc_7wKHMOzHZ0KQmsaJi1LcOg_10_4"/>
      <w:bookmarkStart w:id="287" w:name="Tc_S4nO92JlBUCfksXUmntDzg_10_0"/>
      <w:bookmarkStart w:id="288" w:name="Tc_JuUU7vN3c02bq3ZGfDaVAw_9_8"/>
      <w:bookmarkStart w:id="289" w:name="Tc_X6QN5J1iQkCalwRHmqm_3Q_9_5"/>
      <w:bookmarkStart w:id="290" w:name="Tc_3wKOHkSQ9UGMPYB0z_QUkQ_9_2"/>
      <w:bookmarkStart w:id="291" w:name="Tc_NUHi4g86s0aS4Z4l3wXPQg_9_0"/>
      <w:bookmarkStart w:id="292" w:name="Tc_fbDOULRu-ECGgaDlKD9A4w_8_11"/>
      <w:bookmarkStart w:id="293" w:name="Tc_E-5U3yGEZ06hHr8GUpdl0A_8_5"/>
      <w:bookmarkStart w:id="294" w:name="Tc_CWVYd2tZ8k6NzWK2oSyNEg_8_2"/>
      <w:bookmarkStart w:id="295" w:name="Tc_JVvYBTn58UmwFHXvJYLgAA_8_0"/>
      <w:bookmarkStart w:id="296" w:name="Tc_gyaYB9RQOU-a9efTwWydkw_7_11"/>
      <w:bookmarkStart w:id="297" w:name="Tc_a-1-b3kFo02N8FDuo7Q2DQ_7_8"/>
      <w:bookmarkStart w:id="298" w:name="Tc_9kpd6YPOLUWlEcsUXL0Zxg_7_0"/>
      <w:bookmarkStart w:id="299" w:name="Tc_pnXQpIUs-0yADdI4qxfxuA_6_11"/>
      <w:bookmarkStart w:id="300" w:name="Tc_8Rwajsq1IEa74qyfowwHHQ_6_0"/>
      <w:bookmarkStart w:id="301" w:name="Tc_i14XA846tECYis8yndOALA_5_13"/>
      <w:bookmarkStart w:id="302" w:name="Tc_NA1ehLO7IUqrmEgTSEF9CQ_5_10"/>
      <w:bookmarkStart w:id="303" w:name="Tc_ha20uaKHA0-yXJKYa-8smg_5_7"/>
      <w:bookmarkStart w:id="304" w:name="Tc_NjuiGRVdjkalCs0rNscRTg_5_4"/>
      <w:bookmarkStart w:id="305" w:name="Tc_Sa1EqE9IDUy-A1l1AHW6jQ_5_0"/>
      <w:bookmarkStart w:id="306" w:name="Tc_oEeDtBWR-Ea0px7IJF0ktw_4_13"/>
      <w:bookmarkStart w:id="307" w:name="Tc_IxKRW-bQL0CT-gHUwOM8BA_4_10"/>
      <w:bookmarkStart w:id="308" w:name="Tc_qNWXHm27lUKGA8OJUzwIag_4_7"/>
      <w:bookmarkStart w:id="309" w:name="Tc_3p17BA_LVEa5myqzq5CkXw_4_4"/>
      <w:bookmarkStart w:id="310" w:name="Tc_f3si6kM1s0O71ZxTqtqe1g_4_2"/>
      <w:bookmarkStart w:id="311" w:name="Tc_yRQ7wTScDkmg4bcjsO_csQ_3_13"/>
      <w:bookmarkStart w:id="312" w:name="Tc_qLv4sqv3f0qrhV-Ue-8Z0A_3_10"/>
      <w:bookmarkStart w:id="313" w:name="Tc_4n1mwNV6T0iSZFpHclJSGQ_3_7"/>
      <w:bookmarkStart w:id="314" w:name="Tc_1kr5XFZZcUyERaYI10sC8w_3_2"/>
      <w:bookmarkStart w:id="315" w:name="Tc_LAqGlaQopk27ELGKBxlTgA_2_13"/>
      <w:bookmarkStart w:id="316" w:name="Tc_UMU2VU82zkirGYaVF8fVHg_1_2"/>
      <w:bookmarkStart w:id="317" w:name="_54c1946e_d944_416e_89a0_b6e5afed3a82"/>
      <w:bookmarkStart w:id="318" w:name="Tc_6WGZC2Y-MEifwRU4Ih7Mgw_10_13"/>
      <w:bookmarkStart w:id="319" w:name="Tc_Zu2wtzHwikGGk1ZmZ5BF5g_10_10"/>
      <w:bookmarkStart w:id="320" w:name="Tc_Z5liA7b280S1MLJp1gqwZg_10_7"/>
      <w:bookmarkStart w:id="321" w:name="Tc_7wKHMOzHZ0KQmsaJi1LcOg_10_4"/>
      <w:bookmarkStart w:id="322" w:name="Tc_S4nO92JlBUCfksXUmntDzg_10_0"/>
      <w:bookmarkStart w:id="323" w:name="Tc_JuUU7vN3c02bq3ZGfDaVAw_9_8"/>
      <w:bookmarkStart w:id="324" w:name="Tc_X6QN5J1iQkCalwRHmqm_3Q_9_5"/>
      <w:bookmarkStart w:id="325" w:name="Tc_3wKOHkSQ9UGMPYB0z_QUkQ_9_2"/>
      <w:bookmarkStart w:id="326" w:name="Tc_NUHi4g86s0aS4Z4l3wXPQg_9_0"/>
      <w:bookmarkStart w:id="327" w:name="Tc_fbDOULRu-ECGgaDlKD9A4w_8_11"/>
      <w:bookmarkStart w:id="328" w:name="Tc_E-5U3yGEZ06hHr8GUpdl0A_8_5"/>
      <w:bookmarkStart w:id="329" w:name="Tc_CWVYd2tZ8k6NzWK2oSyNEg_8_2"/>
      <w:bookmarkStart w:id="330" w:name="Tc_JVvYBTn58UmwFHXvJYLgAA_8_0"/>
      <w:bookmarkStart w:id="331" w:name="Tc_gyaYB9RQOU-a9efTwWydkw_7_11"/>
      <w:bookmarkStart w:id="332" w:name="Tc_a-1-b3kFo02N8FDuo7Q2DQ_7_8"/>
      <w:bookmarkStart w:id="333" w:name="Tc_9kpd6YPOLUWlEcsUXL0Zxg_7_0"/>
      <w:bookmarkStart w:id="334" w:name="Tc_pnXQpIUs-0yADdI4qxfxuA_6_11"/>
      <w:bookmarkStart w:id="335" w:name="Tc_8Rwajsq1IEa74qyfowwHHQ_6_0"/>
      <w:bookmarkStart w:id="336" w:name="Tc_i14XA846tECYis8yndOALA_5_13"/>
      <w:bookmarkStart w:id="337" w:name="Tc_NA1ehLO7IUqrmEgTSEF9CQ_5_10"/>
      <w:bookmarkStart w:id="338" w:name="Tc_ha20uaKHA0-yXJKYa-8smg_5_7"/>
      <w:bookmarkStart w:id="339" w:name="Tc_NjuiGRVdjkalCs0rNscRTg_5_4"/>
      <w:bookmarkStart w:id="340" w:name="Tc_Sa1EqE9IDUy-A1l1AHW6jQ_5_0"/>
      <w:bookmarkStart w:id="341" w:name="Tc_oEeDtBWR-Ea0px7IJF0ktw_4_13"/>
      <w:bookmarkStart w:id="342" w:name="Tc_IxKRW-bQL0CT-gHUwOM8BA_4_10"/>
      <w:bookmarkStart w:id="343" w:name="Tc_qNWXHm27lUKGA8OJUzwIag_4_7"/>
      <w:bookmarkStart w:id="344" w:name="Tc_3p17BA_LVEa5myqzq5CkXw_4_4"/>
      <w:bookmarkStart w:id="345" w:name="Tc_f3si6kM1s0O71ZxTqtqe1g_4_2"/>
      <w:bookmarkStart w:id="346" w:name="Tc_yRQ7wTScDkmg4bcjsO_csQ_3_13"/>
      <w:bookmarkStart w:id="347" w:name="Tc_qLv4sqv3f0qrhV-Ue-8Z0A_3_10"/>
      <w:bookmarkStart w:id="348" w:name="Tc_4n1mwNV6T0iSZFpHclJSGQ_3_7"/>
      <w:bookmarkStart w:id="349" w:name="Tc_1kr5XFZZcUyERaYI10sC8w_3_2"/>
      <w:bookmarkStart w:id="350" w:name="Tc_LAqGlaQopk27ELGKBxlTgA_2_13"/>
      <w:bookmarkStart w:id="351" w:name="Tc_UMU2VU82zkirGYaVF8fVHg_1_2"/>
      <w:bookmarkStart w:id="352" w:name="_54c1946e_d944_416e_89a0_b6e5afed3a82"/>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tbl>
      <w:tblPr>
        <w:tblW w:w="10205" w:type="dxa"/>
        <w:jc w:val="left"/>
        <w:tblInd w:w="0" w:type="dxa"/>
        <w:tblLayout w:type="fixed"/>
        <w:tblCellMar>
          <w:top w:w="0" w:type="dxa"/>
          <w:left w:w="0" w:type="dxa"/>
          <w:bottom w:w="0" w:type="dxa"/>
          <w:right w:w="0" w:type="dxa"/>
        </w:tblCellMar>
      </w:tblPr>
      <w:tblGrid>
        <w:gridCol w:w="3038"/>
        <w:gridCol w:w="326"/>
        <w:gridCol w:w="916"/>
        <w:gridCol w:w="326"/>
        <w:gridCol w:w="199"/>
        <w:gridCol w:w="612"/>
        <w:gridCol w:w="326"/>
        <w:gridCol w:w="207"/>
        <w:gridCol w:w="1066"/>
        <w:gridCol w:w="326"/>
        <w:gridCol w:w="196"/>
        <w:gridCol w:w="1094"/>
        <w:gridCol w:w="326"/>
        <w:gridCol w:w="196"/>
        <w:gridCol w:w="1051"/>
      </w:tblGrid>
      <w:tr>
        <w:trPr/>
        <w:tc>
          <w:tcPr>
            <w:tcW w:w="3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929130" cy="175260"/>
                      <wp:effectExtent l="0" t="0" r="0" b="0"/>
                      <wp:wrapNone/>
                      <wp:docPr id="40" name="Frame39"/>
                      <a:graphic xmlns:a="http://schemas.openxmlformats.org/drawingml/2006/main">
                        <a:graphicData uri="http://schemas.microsoft.com/office/word/2010/wordprocessingShape">
                          <wps:wsp>
                            <wps:cNvSpPr txBox="1"/>
                            <wps:spPr>
                              <a:xfrm>
                                <a:off x="0" y="0"/>
                                <a:ext cx="19291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1"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81660" cy="175260"/>
                      <wp:effectExtent l="0" t="0" r="0" b="0"/>
                      <wp:wrapNone/>
                      <wp:docPr id="42" name="Frame4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3"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6365" cy="175260"/>
                      <wp:effectExtent l="0" t="0" r="0" b="0"/>
                      <wp:wrapNone/>
                      <wp:docPr id="44" name="Frame43"/>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88620" cy="175260"/>
                      <wp:effectExtent l="0" t="0" r="0" b="0"/>
                      <wp:wrapNone/>
                      <wp:docPr id="45" name="Frame44"/>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6"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1445" cy="175260"/>
                      <wp:effectExtent l="0" t="0" r="0" b="0"/>
                      <wp:wrapNone/>
                      <wp:docPr id="47" name="Frame46"/>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76910" cy="175260"/>
                      <wp:effectExtent l="0" t="0" r="0" b="0"/>
                      <wp:wrapNone/>
                      <wp:docPr id="48" name="Frame47"/>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49"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24460" cy="175260"/>
                      <wp:effectExtent l="0" t="0" r="0" b="0"/>
                      <wp:wrapNone/>
                      <wp:docPr id="50" name="Frame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4690" cy="175260"/>
                      <wp:effectExtent l="0" t="0" r="0" b="0"/>
                      <wp:wrapNone/>
                      <wp:docPr id="51" name="Frame50"/>
                      <a:graphic xmlns:a="http://schemas.openxmlformats.org/drawingml/2006/main">
                        <a:graphicData uri="http://schemas.microsoft.com/office/word/2010/wordprocessingShape">
                          <wps:wsp>
                            <wps:cNvSpPr txBox="1"/>
                            <wps:spPr>
                              <a:xfrm>
                                <a:off x="0" y="0"/>
                                <a:ext cx="69469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2"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4460" cy="175260"/>
                      <wp:effectExtent l="0" t="0" r="0" b="0"/>
                      <wp:wrapNone/>
                      <wp:docPr id="53" name="Frame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67385" cy="175260"/>
                      <wp:effectExtent l="0" t="0" r="0" b="0"/>
                      <wp:wrapNone/>
                      <wp:docPr id="54" name="Frame5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03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6841"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2025</w:t>
            </w:r>
          </w:p>
        </w:tc>
      </w:tr>
      <w:tr>
        <w:trPr/>
        <w:tc>
          <w:tcPr>
            <w:tcW w:w="303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199" w:type="dxa"/>
            <w:tcBorders/>
            <w:vAlign w:val="center"/>
          </w:tcPr>
          <w:p>
            <w:pPr>
              <w:pStyle w:val="TableContents"/>
              <w:bidi w:val="0"/>
              <w:spacing w:before="0" w:after="0"/>
              <w:ind w:left="0" w:right="0" w:hanging="0"/>
              <w:jc w:val="both"/>
              <w:rPr/>
            </w:pPr>
            <w:r>
              <w:rPr/>
              <w:t>​</w:t>
            </w:r>
          </w:p>
        </w:tc>
        <w:tc>
          <w:tcPr>
            <w:tcW w:w="6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207" w:type="dxa"/>
            <w:tcBorders/>
            <w:vAlign w:val="center"/>
          </w:tcPr>
          <w:p>
            <w:pPr>
              <w:pStyle w:val="TableContents"/>
              <w:bidi w:val="0"/>
              <w:spacing w:before="0" w:after="0"/>
              <w:ind w:left="0" w:right="0" w:hanging="0"/>
              <w:jc w:val="both"/>
              <w:rPr/>
            </w:pPr>
            <w:r>
              <w:rPr/>
              <w:t>​</w:t>
            </w:r>
          </w:p>
        </w:tc>
        <w:tc>
          <w:tcPr>
            <w:tcW w:w="10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196" w:type="dxa"/>
            <w:tcBorders/>
            <w:vAlign w:val="center"/>
          </w:tcPr>
          <w:p>
            <w:pPr>
              <w:pStyle w:val="TableContents"/>
              <w:bidi w:val="0"/>
              <w:spacing w:before="0" w:after="0"/>
              <w:ind w:left="0" w:right="0" w:hanging="0"/>
              <w:jc w:val="both"/>
              <w:rPr/>
            </w:pPr>
            <w:r>
              <w:rPr/>
              <w:t>​</w:t>
            </w:r>
          </w:p>
        </w:tc>
        <w:tc>
          <w:tcPr>
            <w:tcW w:w="109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03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0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both"/>
              <w:rPr/>
            </w:pPr>
            <w:r>
              <w:rPr/>
              <w:t>​</w:t>
            </w:r>
          </w:p>
        </w:tc>
        <w:tc>
          <w:tcPr>
            <w:tcW w:w="127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vAlign w:val="center"/>
          </w:tcPr>
          <w:p>
            <w:pPr>
              <w:pStyle w:val="TableContents"/>
              <w:bidi w:val="0"/>
              <w:spacing w:before="0" w:after="0"/>
              <w:ind w:left="0" w:right="0" w:hanging="0"/>
              <w:jc w:val="both"/>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both"/>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03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both"/>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0"/>
              <w:ind w:left="0" w:right="0" w:hanging="0"/>
              <w:jc w:val="both"/>
              <w:rPr/>
            </w:pPr>
            <w:r>
              <w:rPr/>
              <w:t>​</w:t>
            </w:r>
          </w:p>
        </w:tc>
        <w:tc>
          <w:tcPr>
            <w:tcW w:w="12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0"/>
              <w:ind w:left="0" w:right="0" w:hanging="0"/>
              <w:jc w:val="both"/>
              <w:rPr/>
            </w:pPr>
            <w:r>
              <w:rPr/>
              <w:t>​</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both"/>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038"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Balance at January 1, 2025</w:t>
            </w:r>
          </w:p>
        </w:tc>
        <w:tc>
          <w:tcPr>
            <w:tcW w:w="326" w:type="dxa"/>
            <w:tcBorders/>
            <w:shd w:fill="CCEEFF" w:val="clear"/>
            <w:vAlign w:val="center"/>
          </w:tcPr>
          <w:p>
            <w:pPr>
              <w:pStyle w:val="TableContents"/>
              <w:bidi w:val="0"/>
              <w:spacing w:before="0" w:after="0"/>
              <w:ind w:left="0" w:right="0" w:hanging="0"/>
              <w:jc w:val="both"/>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10,709,005</w:t>
            </w:r>
          </w:p>
        </w:tc>
        <w:tc>
          <w:tcPr>
            <w:tcW w:w="326" w:type="dxa"/>
            <w:tcBorders/>
            <w:shd w:fill="CCEEFF" w:val="clear"/>
            <w:vAlign w:val="center"/>
          </w:tcPr>
          <w:p>
            <w:pPr>
              <w:pStyle w:val="TableContents"/>
              <w:bidi w:val="0"/>
              <w:spacing w:before="0" w:after="0"/>
              <w:ind w:left="0" w:right="0" w:hanging="0"/>
              <w:jc w:val="both"/>
              <w:rPr/>
            </w:pPr>
            <w:r>
              <w:rPr/>
              <w:t>​</w:t>
            </w:r>
          </w:p>
        </w:tc>
        <w:tc>
          <w:tcPr>
            <w:tcW w:w="199"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10,708</w:t>
            </w:r>
          </w:p>
        </w:tc>
        <w:tc>
          <w:tcPr>
            <w:tcW w:w="326" w:type="dxa"/>
            <w:tcBorders/>
            <w:shd w:fill="CCEEFF" w:val="clear"/>
            <w:vAlign w:val="center"/>
          </w:tcPr>
          <w:p>
            <w:pPr>
              <w:pStyle w:val="TableContents"/>
              <w:bidi w:val="0"/>
              <w:spacing w:before="0" w:after="0"/>
              <w:ind w:left="0" w:right="0" w:hanging="0"/>
              <w:jc w:val="both"/>
              <w:rPr/>
            </w:pPr>
            <w:r>
              <w:rPr/>
              <w:t>​</w:t>
            </w:r>
          </w:p>
        </w:tc>
        <w:tc>
          <w:tcPr>
            <w:tcW w:w="207"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465,564,876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94"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(447,017,178)</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18,558,406</w:t>
            </w:r>
          </w:p>
        </w:tc>
      </w:tr>
      <w:tr>
        <w:trPr/>
        <w:tc>
          <w:tcPr>
            <w:tcW w:w="3038" w:type="dxa"/>
            <w:tcBorders/>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Shares purchased pursuant to ATM agreement</w:t>
            </w:r>
          </w:p>
        </w:tc>
        <w:tc>
          <w:tcPr>
            <w:tcW w:w="326"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5,358,292</w:t>
            </w:r>
          </w:p>
        </w:tc>
        <w:tc>
          <w:tcPr>
            <w:tcW w:w="326" w:type="dxa"/>
            <w:tcBorders/>
            <w:vAlign w:val="center"/>
          </w:tcPr>
          <w:p>
            <w:pPr>
              <w:pStyle w:val="TableContents"/>
              <w:bidi w:val="0"/>
              <w:spacing w:before="0" w:after="0"/>
              <w:ind w:left="0" w:right="0" w:hanging="0"/>
              <w:jc w:val="both"/>
              <w:rPr/>
            </w:pPr>
            <w:r>
              <w:rPr/>
              <w:t>​</w:t>
            </w:r>
          </w:p>
        </w:tc>
        <w:tc>
          <w:tcPr>
            <w:tcW w:w="199" w:type="dxa"/>
            <w:tcBorders/>
            <w:vAlign w:val="center"/>
          </w:tcPr>
          <w:p>
            <w:pPr>
              <w:pStyle w:val="TableContents"/>
              <w:bidi w:val="0"/>
              <w:spacing w:before="0" w:after="0"/>
              <w:ind w:left="0" w:right="0" w:hanging="0"/>
              <w:jc w:val="both"/>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5,359</w:t>
            </w:r>
          </w:p>
        </w:tc>
        <w:tc>
          <w:tcPr>
            <w:tcW w:w="326" w:type="dxa"/>
            <w:tcBorders/>
            <w:vAlign w:val="center"/>
          </w:tcPr>
          <w:p>
            <w:pPr>
              <w:pStyle w:val="TableContents"/>
              <w:bidi w:val="0"/>
              <w:spacing w:before="0" w:after="0"/>
              <w:ind w:left="0" w:right="0" w:hanging="0"/>
              <w:jc w:val="both"/>
              <w:rPr/>
            </w:pPr>
            <w:r>
              <w:rPr/>
              <w:t>​</w:t>
            </w:r>
          </w:p>
        </w:tc>
        <w:tc>
          <w:tcPr>
            <w:tcW w:w="207" w:type="dxa"/>
            <w:tcBorders/>
            <w:vAlign w:val="center"/>
          </w:tcPr>
          <w:p>
            <w:pPr>
              <w:pStyle w:val="TableContents"/>
              <w:bidi w:val="0"/>
              <w:spacing w:before="0" w:after="0"/>
              <w:ind w:left="0" w:right="0" w:hanging="0"/>
              <w:jc w:val="both"/>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9,858,524</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10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9,863,883</w:t>
            </w:r>
          </w:p>
        </w:tc>
      </w:tr>
      <w:tr>
        <w:trPr/>
        <w:tc>
          <w:tcPr>
            <w:tcW w:w="3038" w:type="dxa"/>
            <w:tcBorders/>
            <w:shd w:fill="CCEEFF" w:val="clear"/>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Issuance of common stock from exercise of prefunded warrants</w:t>
            </w:r>
          </w:p>
        </w:tc>
        <w:tc>
          <w:tcPr>
            <w:tcW w:w="326"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605,830</w:t>
            </w:r>
          </w:p>
        </w:tc>
        <w:tc>
          <w:tcPr>
            <w:tcW w:w="326" w:type="dxa"/>
            <w:tcBorders/>
            <w:shd w:fill="CCEEFF" w:val="clear"/>
            <w:vAlign w:val="center"/>
          </w:tcPr>
          <w:p>
            <w:pPr>
              <w:pStyle w:val="TableContents"/>
              <w:bidi w:val="0"/>
              <w:spacing w:before="0" w:after="0"/>
              <w:ind w:left="0" w:right="0" w:hanging="0"/>
              <w:jc w:val="both"/>
              <w:rPr/>
            </w:pPr>
            <w:r>
              <w:rPr/>
              <w:t>​</w:t>
            </w:r>
          </w:p>
        </w:tc>
        <w:tc>
          <w:tcPr>
            <w:tcW w:w="199" w:type="dxa"/>
            <w:tcBorders/>
            <w:shd w:fill="CCEEFF" w:val="clear"/>
            <w:vAlign w:val="center"/>
          </w:tcPr>
          <w:p>
            <w:pPr>
              <w:pStyle w:val="TableContents"/>
              <w:bidi w:val="0"/>
              <w:spacing w:before="0" w:after="0"/>
              <w:ind w:left="0" w:right="0" w:hanging="0"/>
              <w:jc w:val="both"/>
              <w:rPr/>
            </w:pPr>
            <w:r>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605</w:t>
            </w:r>
          </w:p>
        </w:tc>
        <w:tc>
          <w:tcPr>
            <w:tcW w:w="326" w:type="dxa"/>
            <w:tcBorders/>
            <w:shd w:fill="CCEEFF" w:val="clear"/>
            <w:vAlign w:val="center"/>
          </w:tcPr>
          <w:p>
            <w:pPr>
              <w:pStyle w:val="TableContents"/>
              <w:bidi w:val="0"/>
              <w:spacing w:before="0" w:after="0"/>
              <w:ind w:left="0" w:right="0" w:hanging="0"/>
              <w:jc w:val="both"/>
              <w:rPr/>
            </w:pPr>
            <w:r>
              <w:rPr/>
              <w:t>​</w:t>
            </w:r>
          </w:p>
        </w:tc>
        <w:tc>
          <w:tcPr>
            <w:tcW w:w="207" w:type="dxa"/>
            <w:tcBorders/>
            <w:shd w:fill="CCEEFF" w:val="clear"/>
            <w:vAlign w:val="center"/>
          </w:tcPr>
          <w:p>
            <w:pPr>
              <w:pStyle w:val="TableContents"/>
              <w:bidi w:val="0"/>
              <w:spacing w:before="0" w:after="0"/>
              <w:ind w:left="0" w:right="0" w:hanging="0"/>
              <w:jc w:val="both"/>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10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605</w:t>
            </w:r>
          </w:p>
        </w:tc>
      </w:tr>
      <w:tr>
        <w:trPr/>
        <w:tc>
          <w:tcPr>
            <w:tcW w:w="3038" w:type="dxa"/>
            <w:tcBorders/>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Stock-based compensation</w:t>
            </w:r>
          </w:p>
        </w:tc>
        <w:tc>
          <w:tcPr>
            <w:tcW w:w="326" w:type="dxa"/>
            <w:tcBorders/>
            <w:vAlign w:val="center"/>
          </w:tcPr>
          <w:p>
            <w:pPr>
              <w:pStyle w:val="TableContents"/>
              <w:bidi w:val="0"/>
              <w:spacing w:before="0" w:after="0"/>
              <w:ind w:left="0" w:right="0" w:hanging="0"/>
              <w:jc w:val="both"/>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9" w:type="dxa"/>
            <w:tcBorders/>
            <w:vAlign w:val="center"/>
          </w:tcPr>
          <w:p>
            <w:pPr>
              <w:pStyle w:val="TableContents"/>
              <w:bidi w:val="0"/>
              <w:spacing w:before="0" w:after="0"/>
              <w:ind w:left="0" w:right="0" w:hanging="0"/>
              <w:jc w:val="both"/>
              <w:rPr/>
            </w:pPr>
            <w:r>
              <w:rPr/>
              <w:t>​</w:t>
            </w:r>
          </w:p>
        </w:tc>
        <w:tc>
          <w:tcPr>
            <w:tcW w:w="6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07" w:type="dxa"/>
            <w:tcBorders/>
            <w:vAlign w:val="center"/>
          </w:tcPr>
          <w:p>
            <w:pPr>
              <w:pStyle w:val="TableContents"/>
              <w:bidi w:val="0"/>
              <w:spacing w:before="0" w:after="0"/>
              <w:ind w:left="0" w:right="0" w:hanging="0"/>
              <w:jc w:val="both"/>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426,409</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10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426,409</w:t>
            </w:r>
          </w:p>
        </w:tc>
      </w:tr>
      <w:tr>
        <w:trPr/>
        <w:tc>
          <w:tcPr>
            <w:tcW w:w="3038" w:type="dxa"/>
            <w:tcBorders/>
            <w:shd w:fill="CCEEFF" w:val="clear"/>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Net loss</w:t>
            </w:r>
          </w:p>
        </w:tc>
        <w:tc>
          <w:tcPr>
            <w:tcW w:w="326" w:type="dxa"/>
            <w:tcBorders/>
            <w:shd w:fill="CCEEFF" w:val="clear"/>
            <w:vAlign w:val="center"/>
          </w:tcPr>
          <w:p>
            <w:pPr>
              <w:pStyle w:val="TableContents"/>
              <w:bidi w:val="0"/>
              <w:spacing w:before="0" w:after="0"/>
              <w:ind w:left="0" w:right="0" w:hanging="0"/>
              <w:jc w:val="both"/>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(10,460,410)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(10,460,410)</w:t>
            </w:r>
          </w:p>
        </w:tc>
      </w:tr>
      <w:tr>
        <w:trPr/>
        <w:tc>
          <w:tcPr>
            <w:tcW w:w="3038" w:type="dxa"/>
            <w:tcBorders/>
            <w:vAlign w:val="center"/>
          </w:tcPr>
          <w:p>
            <w:pPr>
              <w:pStyle w:val="TableContents"/>
              <w:pBdr/>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Balance at September 30, 2025</w:t>
            </w:r>
          </w:p>
        </w:tc>
        <w:tc>
          <w:tcPr>
            <w:tcW w:w="326" w:type="dxa"/>
            <w:tcBorders/>
            <w:vAlign w:val="center"/>
          </w:tcPr>
          <w:p>
            <w:pPr>
              <w:pStyle w:val="TableContents"/>
              <w:bidi w:val="0"/>
              <w:spacing w:before="0" w:after="0"/>
              <w:ind w:left="0" w:right="0" w:hanging="0"/>
              <w:jc w:val="both"/>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16,673,127</w:t>
            </w:r>
          </w:p>
        </w:tc>
        <w:tc>
          <w:tcPr>
            <w:tcW w:w="326" w:type="dxa"/>
            <w:tcBorders/>
            <w:vAlign w:val="center"/>
          </w:tcPr>
          <w:p>
            <w:pPr>
              <w:pStyle w:val="TableContents"/>
              <w:bidi w:val="0"/>
              <w:spacing w:before="0" w:after="0"/>
              <w:ind w:left="0" w:right="0" w:hanging="0"/>
              <w:jc w:val="both"/>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6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16,672</w:t>
            </w:r>
          </w:p>
        </w:tc>
        <w:tc>
          <w:tcPr>
            <w:tcW w:w="326" w:type="dxa"/>
            <w:tcBorders/>
            <w:vAlign w:val="center"/>
          </w:tcPr>
          <w:p>
            <w:pPr>
              <w:pStyle w:val="TableContents"/>
              <w:bidi w:val="0"/>
              <w:spacing w:before="0" w:after="0"/>
              <w:ind w:left="0" w:right="0" w:hanging="0"/>
              <w:jc w:val="both"/>
              <w:rPr/>
            </w:pPr>
            <w:r>
              <w:rPr/>
              <w:t>​</w:t>
            </w:r>
          </w:p>
        </w:tc>
        <w:tc>
          <w:tcPr>
            <w:tcW w:w="207"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475,849,809</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(457,477,588)</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5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18,388,893</w: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53" w:name="Tc_Jenyg92Gwk6m8a7fnjhDrg_9_13"/>
      <w:bookmarkStart w:id="354" w:name="Tc_sf4hr286sUa3zF8urRaS9w_9_10"/>
      <w:bookmarkStart w:id="355" w:name="Tc_dFHDxUn8hkmQ9CnE8-lSpg_9_7"/>
      <w:bookmarkStart w:id="356" w:name="Tc_qCNRK9-sH0yOmW-XPEvnEw_9_4"/>
      <w:bookmarkStart w:id="357" w:name="Tc_hgWym6O4lkGwAJfgloWwEQ_9_0"/>
      <w:bookmarkStart w:id="358" w:name="Tc_xSBvrcf9TkmaCzY-blDQTQ_8_8"/>
      <w:bookmarkStart w:id="359" w:name="Tc_93teebIUS02vjnrqJ1R1jw_8_5"/>
      <w:bookmarkStart w:id="360" w:name="Tc_edVeGor6XEeHrI2u2voL5Q_8_2"/>
      <w:bookmarkStart w:id="361" w:name="Tc_48XdUGvKmU-YQnBviymQiw_8_0"/>
      <w:bookmarkStart w:id="362" w:name="Tc_DZQvj-7lFUO7MM1M1HLeXg_7_11"/>
      <w:bookmarkStart w:id="363" w:name="Tc_Fdn-Q89MhUKvMYljYcNS3g_7_5"/>
      <w:bookmarkStart w:id="364" w:name="Tc_gTsq8VYzN0iBg00KepswfA_7_2"/>
      <w:bookmarkStart w:id="365" w:name="Tc_q7oYS6jRVkyusApk1GTXoA_7_0"/>
      <w:bookmarkStart w:id="366" w:name="Tc_j2q-JbEgtEGsweYyXF_5_w_6_11"/>
      <w:bookmarkStart w:id="367" w:name="Tc_tbQQAxSeO0ijh2aIKDB0yg_6_0"/>
      <w:bookmarkStart w:id="368" w:name="Tc_PD45KCngIk2JpvExt1vG6A_5_13"/>
      <w:bookmarkStart w:id="369" w:name="Tc_PsFT6hMIxESkbdXDy4AUTw_5_10"/>
      <w:bookmarkStart w:id="370" w:name="Tc_eeVw-MXzCUS8Cxu9xAKvFA_5_7"/>
      <w:bookmarkStart w:id="371" w:name="Tc_Tle_y3B-q0mkcpFWMs8MlA_5_4"/>
      <w:bookmarkStart w:id="372" w:name="Tc_svREULZ7tkG-4JAwNl6_Jw_5_0"/>
      <w:bookmarkStart w:id="373" w:name="Tc_45Z3UFo7zkebHzHKgk38LA_4_13"/>
      <w:bookmarkStart w:id="374" w:name="Tc_8oRNeneVEUe6lm8TlgrKGQ_4_10"/>
      <w:bookmarkStart w:id="375" w:name="Tc_fR8OL25MhEKgGaUJ_wmTAg_4_7"/>
      <w:bookmarkStart w:id="376" w:name="Tc_e6r_ZLDNiUm9eOPtgSlQsw_4_4"/>
      <w:bookmarkStart w:id="377" w:name="Tc_w-j2dAew-UuFRZWQcc3VHQ_4_2"/>
      <w:bookmarkStart w:id="378" w:name="Tc_g_04VGRG2U2CXq_P1FPfdQ_3_13"/>
      <w:bookmarkStart w:id="379" w:name="Tc_vxDJTkab-UyCpuDpgTEsJA_3_10"/>
      <w:bookmarkStart w:id="380" w:name="Tc_fs4zv0OAHE6Rz4rVyHwBrA_3_7"/>
      <w:bookmarkStart w:id="381" w:name="Tc_GXPG4jJXxk6NYoiVgrksqg_3_2"/>
      <w:bookmarkStart w:id="382" w:name="Tc_voAk7TeVW0eNLZzp67EPhQ_2_13"/>
      <w:bookmarkStart w:id="383" w:name="Tc_aIj8fEgDzE6l7i2fJRYk-g_1_2"/>
      <w:bookmarkStart w:id="384" w:name="_c1450533_3c51_4976_8011_fcca10739c29"/>
      <w:bookmarkStart w:id="385" w:name="Tc_Jenyg92Gwk6m8a7fnjhDrg_9_13"/>
      <w:bookmarkStart w:id="386" w:name="Tc_sf4hr286sUa3zF8urRaS9w_9_10"/>
      <w:bookmarkStart w:id="387" w:name="Tc_dFHDxUn8hkmQ9CnE8-lSpg_9_7"/>
      <w:bookmarkStart w:id="388" w:name="Tc_qCNRK9-sH0yOmW-XPEvnEw_9_4"/>
      <w:bookmarkStart w:id="389" w:name="Tc_hgWym6O4lkGwAJfgloWwEQ_9_0"/>
      <w:bookmarkStart w:id="390" w:name="Tc_xSBvrcf9TkmaCzY-blDQTQ_8_8"/>
      <w:bookmarkStart w:id="391" w:name="Tc_93teebIUS02vjnrqJ1R1jw_8_5"/>
      <w:bookmarkStart w:id="392" w:name="Tc_edVeGor6XEeHrI2u2voL5Q_8_2"/>
      <w:bookmarkStart w:id="393" w:name="Tc_48XdUGvKmU-YQnBviymQiw_8_0"/>
      <w:bookmarkStart w:id="394" w:name="Tc_DZQvj-7lFUO7MM1M1HLeXg_7_11"/>
      <w:bookmarkStart w:id="395" w:name="Tc_Fdn-Q89MhUKvMYljYcNS3g_7_5"/>
      <w:bookmarkStart w:id="396" w:name="Tc_gTsq8VYzN0iBg00KepswfA_7_2"/>
      <w:bookmarkStart w:id="397" w:name="Tc_q7oYS6jRVkyusApk1GTXoA_7_0"/>
      <w:bookmarkStart w:id="398" w:name="Tc_j2q-JbEgtEGsweYyXF_5_w_6_11"/>
      <w:bookmarkStart w:id="399" w:name="Tc_tbQQAxSeO0ijh2aIKDB0yg_6_0"/>
      <w:bookmarkStart w:id="400" w:name="Tc_PD45KCngIk2JpvExt1vG6A_5_13"/>
      <w:bookmarkStart w:id="401" w:name="Tc_PsFT6hMIxESkbdXDy4AUTw_5_10"/>
      <w:bookmarkStart w:id="402" w:name="Tc_eeVw-MXzCUS8Cxu9xAKvFA_5_7"/>
      <w:bookmarkStart w:id="403" w:name="Tc_Tle_y3B-q0mkcpFWMs8MlA_5_4"/>
      <w:bookmarkStart w:id="404" w:name="Tc_svREULZ7tkG-4JAwNl6_Jw_5_0"/>
      <w:bookmarkStart w:id="405" w:name="Tc_45Z3UFo7zkebHzHKgk38LA_4_13"/>
      <w:bookmarkStart w:id="406" w:name="Tc_8oRNeneVEUe6lm8TlgrKGQ_4_10"/>
      <w:bookmarkStart w:id="407" w:name="Tc_fR8OL25MhEKgGaUJ_wmTAg_4_7"/>
      <w:bookmarkStart w:id="408" w:name="Tc_e6r_ZLDNiUm9eOPtgSlQsw_4_4"/>
      <w:bookmarkStart w:id="409" w:name="Tc_w-j2dAew-UuFRZWQcc3VHQ_4_2"/>
      <w:bookmarkStart w:id="410" w:name="Tc_g_04VGRG2U2CXq_P1FPfdQ_3_13"/>
      <w:bookmarkStart w:id="411" w:name="Tc_vxDJTkab-UyCpuDpgTEsJA_3_10"/>
      <w:bookmarkStart w:id="412" w:name="Tc_fs4zv0OAHE6Rz4rVyHwBrA_3_7"/>
      <w:bookmarkStart w:id="413" w:name="Tc_GXPG4jJXxk6NYoiVgrksqg_3_2"/>
      <w:bookmarkStart w:id="414" w:name="Tc_voAk7TeVW0eNLZzp67EPhQ_2_13"/>
      <w:bookmarkStart w:id="415" w:name="Tc_aIj8fEgDzE6l7i2fJRYk-g_1_2"/>
      <w:bookmarkStart w:id="416" w:name="_c1450533_3c51_4976_8011_fcca10739c29"/>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tbl>
      <w:tblPr>
        <w:tblW w:w="10205" w:type="dxa"/>
        <w:jc w:val="left"/>
        <w:tblInd w:w="0" w:type="dxa"/>
        <w:tblLayout w:type="fixed"/>
        <w:tblCellMar>
          <w:top w:w="0" w:type="dxa"/>
          <w:left w:w="0" w:type="dxa"/>
          <w:bottom w:w="0" w:type="dxa"/>
          <w:right w:w="0" w:type="dxa"/>
        </w:tblCellMar>
      </w:tblPr>
      <w:tblGrid>
        <w:gridCol w:w="3195"/>
        <w:gridCol w:w="326"/>
        <w:gridCol w:w="826"/>
        <w:gridCol w:w="326"/>
        <w:gridCol w:w="224"/>
        <w:gridCol w:w="587"/>
        <w:gridCol w:w="326"/>
        <w:gridCol w:w="208"/>
        <w:gridCol w:w="1072"/>
        <w:gridCol w:w="326"/>
        <w:gridCol w:w="196"/>
        <w:gridCol w:w="1101"/>
        <w:gridCol w:w="326"/>
        <w:gridCol w:w="196"/>
        <w:gridCol w:w="970"/>
      </w:tblGrid>
      <w:tr>
        <w:trPr/>
        <w:tc>
          <w:tcPr>
            <w:tcW w:w="3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28825" cy="175260"/>
                      <wp:effectExtent l="0" t="0" r="0" b="0"/>
                      <wp:wrapNone/>
                      <wp:docPr id="55" name="Frame54"/>
                      <a:graphic xmlns:a="http://schemas.openxmlformats.org/drawingml/2006/main">
                        <a:graphicData uri="http://schemas.microsoft.com/office/word/2010/wordprocessingShape">
                          <wps:wsp>
                            <wps:cNvSpPr txBox="1"/>
                            <wps:spPr>
                              <a:xfrm>
                                <a:off x="0" y="0"/>
                                <a:ext cx="202882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6"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24510" cy="175260"/>
                      <wp:effectExtent l="0" t="0" r="0" b="0"/>
                      <wp:wrapNone/>
                      <wp:docPr id="57" name="Frame5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58"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2240" cy="175260"/>
                      <wp:effectExtent l="0" t="0" r="0" b="0"/>
                      <wp:wrapNone/>
                      <wp:docPr id="59" name="Frame58"/>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72745" cy="175260"/>
                      <wp:effectExtent l="0" t="0" r="0" b="0"/>
                      <wp:wrapNone/>
                      <wp:docPr id="60" name="Frame59"/>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1"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2080" cy="175260"/>
                      <wp:effectExtent l="0" t="0" r="0" b="0"/>
                      <wp:wrapNone/>
                      <wp:docPr id="62" name="Frame61"/>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80720" cy="175260"/>
                      <wp:effectExtent l="0" t="0" r="0" b="0"/>
                      <wp:wrapNone/>
                      <wp:docPr id="63" name="Frame62"/>
                      <a:graphic xmlns:a="http://schemas.openxmlformats.org/drawingml/2006/main">
                        <a:graphicData uri="http://schemas.microsoft.com/office/word/2010/wordprocessingShape">
                          <wps:wsp>
                            <wps:cNvSpPr txBox="1"/>
                            <wps:spPr>
                              <a:xfrm>
                                <a:off x="0" y="0"/>
                                <a:ext cx="68072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4"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24460" cy="175260"/>
                      <wp:effectExtent l="0" t="0" r="0" b="0"/>
                      <wp:wrapNone/>
                      <wp:docPr id="65" name="Frame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99135" cy="175260"/>
                      <wp:effectExtent l="0" t="0" r="0" b="0"/>
                      <wp:wrapNone/>
                      <wp:docPr id="66" name="Frame65"/>
                      <a:graphic xmlns:a="http://schemas.openxmlformats.org/drawingml/2006/main">
                        <a:graphicData uri="http://schemas.microsoft.com/office/word/2010/wordprocessingShape">
                          <wps:wsp>
                            <wps:cNvSpPr txBox="1"/>
                            <wps:spPr>
                              <a:xfrm>
                                <a:off x="0" y="0"/>
                                <a:ext cx="6991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7"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4460" cy="175260"/>
                      <wp:effectExtent l="0" t="0" r="0" b="0"/>
                      <wp:wrapNone/>
                      <wp:docPr id="68" name="Frame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15950" cy="175260"/>
                      <wp:effectExtent l="0" t="0" r="0" b="0"/>
                      <wp:wrapNone/>
                      <wp:docPr id="69" name="Frame68"/>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195"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6684"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2024</w:t>
            </w:r>
          </w:p>
        </w:tc>
      </w:tr>
      <w:tr>
        <w:trPr/>
        <w:tc>
          <w:tcPr>
            <w:tcW w:w="3195"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8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24" w:type="dxa"/>
            <w:tcBorders/>
            <w:vAlign w:val="center"/>
          </w:tcPr>
          <w:p>
            <w:pPr>
              <w:pStyle w:val="TableContents"/>
              <w:bidi w:val="0"/>
              <w:spacing w:before="0" w:after="1"/>
              <w:ind w:left="0" w:right="0" w:hanging="0"/>
              <w:jc w:val="both"/>
              <w:rPr/>
            </w:pPr>
            <w:r>
              <w:rPr/>
              <w:t>​</w:t>
            </w:r>
          </w:p>
        </w:tc>
        <w:tc>
          <w:tcPr>
            <w:tcW w:w="587"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08" w:type="dxa"/>
            <w:tcBorders/>
            <w:vAlign w:val="center"/>
          </w:tcPr>
          <w:p>
            <w:pPr>
              <w:pStyle w:val="TableContents"/>
              <w:bidi w:val="0"/>
              <w:spacing w:before="0" w:after="1"/>
              <w:ind w:left="0" w:right="0" w:hanging="0"/>
              <w:jc w:val="both"/>
              <w:rPr/>
            </w:pPr>
            <w:r>
              <w:rPr/>
              <w:t>​</w:t>
            </w:r>
          </w:p>
        </w:tc>
        <w:tc>
          <w:tcPr>
            <w:tcW w:w="1072"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w:t>
            </w:r>
          </w:p>
        </w:tc>
        <w:tc>
          <w:tcPr>
            <w:tcW w:w="110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1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95"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96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both"/>
              <w:rPr/>
            </w:pPr>
            <w:r>
              <w:rPr/>
              <w:t>​</w:t>
            </w:r>
          </w:p>
        </w:tc>
        <w:tc>
          <w:tcPr>
            <w:tcW w:w="12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vAlign w:val="center"/>
          </w:tcPr>
          <w:p>
            <w:pPr>
              <w:pStyle w:val="TableContents"/>
              <w:bidi w:val="0"/>
              <w:spacing w:before="0" w:after="1"/>
              <w:ind w:left="0" w:right="0" w:hanging="0"/>
              <w:jc w:val="both"/>
              <w:rPr/>
            </w:pPr>
            <w:r>
              <w:rPr/>
              <w:t>​</w:t>
            </w:r>
          </w:p>
        </w:tc>
        <w:tc>
          <w:tcPr>
            <w:tcW w:w="12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both"/>
              <w:rPr/>
            </w:pPr>
            <w:r>
              <w:rPr/>
              <w:t>​</w:t>
            </w:r>
          </w:p>
        </w:tc>
        <w:tc>
          <w:tcPr>
            <w:tcW w:w="11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195"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both"/>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1"/>
              <w:ind w:left="0" w:right="0" w:hanging="0"/>
              <w:jc w:val="both"/>
              <w:rPr/>
            </w:pPr>
            <w:r>
              <w:rPr/>
              <w:t>    </w:t>
            </w:r>
          </w:p>
        </w:tc>
        <w:tc>
          <w:tcPr>
            <w:tcW w:w="12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1"/>
              <w:ind w:left="0" w:right="0" w:hanging="0"/>
              <w:jc w:val="both"/>
              <w:rPr/>
            </w:pPr>
            <w:r>
              <w:rPr/>
              <w:t>    </w:t>
            </w:r>
          </w:p>
        </w:tc>
        <w:tc>
          <w:tcPr>
            <w:tcW w:w="12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both"/>
              <w:rPr/>
            </w:pPr>
            <w:r>
              <w:rPr/>
              <w:t>    </w:t>
            </w:r>
          </w:p>
        </w:tc>
        <w:tc>
          <w:tcPr>
            <w:tcW w:w="11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195"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Balance at July 1, 2024</w:t>
            </w:r>
          </w:p>
        </w:tc>
        <w:tc>
          <w:tcPr>
            <w:tcW w:w="326" w:type="dxa"/>
            <w:tcBorders/>
            <w:shd w:fill="CCEEFF" w:val="clear"/>
            <w:vAlign w:val="center"/>
          </w:tcPr>
          <w:p>
            <w:pPr>
              <w:pStyle w:val="TableContents"/>
              <w:bidi w:val="0"/>
              <w:spacing w:before="0" w:after="1"/>
              <w:ind w:left="0" w:right="0" w:hanging="0"/>
              <w:jc w:val="both"/>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8,922,695</w:t>
            </w:r>
          </w:p>
        </w:tc>
        <w:tc>
          <w:tcPr>
            <w:tcW w:w="326" w:type="dxa"/>
            <w:tcBorders/>
            <w:shd w:fill="CCEEFF" w:val="clear"/>
            <w:vAlign w:val="center"/>
          </w:tcPr>
          <w:p>
            <w:pPr>
              <w:pStyle w:val="TableContents"/>
              <w:bidi w:val="0"/>
              <w:spacing w:before="0" w:after="1"/>
              <w:ind w:left="0" w:right="0" w:hanging="0"/>
              <w:jc w:val="both"/>
              <w:rPr/>
            </w:pPr>
            <w:r>
              <w:rPr/>
              <w:t>​</w:t>
            </w:r>
          </w:p>
        </w:tc>
        <w:tc>
          <w:tcPr>
            <w:tcW w:w="224"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587"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8,922</w:t>
            </w:r>
          </w:p>
        </w:tc>
        <w:tc>
          <w:tcPr>
            <w:tcW w:w="326" w:type="dxa"/>
            <w:tcBorders/>
            <w:shd w:fill="CCEEFF" w:val="clear"/>
            <w:vAlign w:val="center"/>
          </w:tcPr>
          <w:p>
            <w:pPr>
              <w:pStyle w:val="TableContents"/>
              <w:bidi w:val="0"/>
              <w:spacing w:before="0" w:after="1"/>
              <w:ind w:left="0" w:right="0" w:hanging="0"/>
              <w:jc w:val="both"/>
              <w:rPr/>
            </w:pPr>
            <w:r>
              <w:rPr/>
              <w:t>​</w:t>
            </w:r>
          </w:p>
        </w:tc>
        <w:tc>
          <w:tcPr>
            <w:tcW w:w="208"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072"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450,565,204</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1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(440,871,362)</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970"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9,702,764</w:t>
            </w:r>
          </w:p>
        </w:tc>
      </w:tr>
      <w:tr>
        <w:trPr/>
        <w:tc>
          <w:tcPr>
            <w:tcW w:w="3195" w:type="dxa"/>
            <w:tcBorders/>
            <w:vAlign w:val="center"/>
          </w:tcPr>
          <w:p>
            <w:pPr>
              <w:pStyle w:val="TableContents"/>
              <w:pBdr/>
              <w:bidi w:val="0"/>
              <w:spacing w:before="0" w:after="1"/>
              <w:ind w:left="0" w:right="0" w:hanging="0"/>
              <w:jc w:val="both"/>
              <w:rPr>
                <w:rFonts w:ascii="Times New Roman;Times;serif" w:hAnsi="Times New Roman;Times;serif"/>
                <w:sz w:val="18"/>
              </w:rPr>
            </w:pPr>
            <w:r>
              <w:rPr>
                <w:rFonts w:ascii="Times New Roman;Times;serif" w:hAnsi="Times New Roman;Times;serif"/>
                <w:sz w:val="18"/>
              </w:rPr>
              <w:t xml:space="preserve">Issuance of common stock from exercise of stock options </w:t>
            </w:r>
          </w:p>
        </w:tc>
        <w:tc>
          <w:tcPr>
            <w:tcW w:w="326" w:type="dxa"/>
            <w:tcBorders/>
            <w:vAlign w:val="center"/>
          </w:tcPr>
          <w:p>
            <w:pPr>
              <w:pStyle w:val="TableContents"/>
              <w:bidi w:val="0"/>
              <w:spacing w:before="0" w:after="1"/>
              <w:ind w:left="0" w:right="0" w:hanging="0"/>
              <w:jc w:val="both"/>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795</w:t>
            </w:r>
          </w:p>
        </w:tc>
        <w:tc>
          <w:tcPr>
            <w:tcW w:w="326" w:type="dxa"/>
            <w:tcBorders/>
            <w:vAlign w:val="center"/>
          </w:tcPr>
          <w:p>
            <w:pPr>
              <w:pStyle w:val="TableContents"/>
              <w:bidi w:val="0"/>
              <w:spacing w:before="0" w:after="1"/>
              <w:ind w:left="0" w:right="0" w:hanging="0"/>
              <w:jc w:val="both"/>
              <w:rPr/>
            </w:pPr>
            <w:r>
              <w:rPr/>
              <w:t>​</w:t>
            </w:r>
          </w:p>
        </w:tc>
        <w:tc>
          <w:tcPr>
            <w:tcW w:w="224" w:type="dxa"/>
            <w:tcBorders/>
            <w:vAlign w:val="center"/>
          </w:tcPr>
          <w:p>
            <w:pPr>
              <w:pStyle w:val="TableContents"/>
              <w:bidi w:val="0"/>
              <w:spacing w:before="0" w:after="1"/>
              <w:ind w:left="0" w:right="0" w:hanging="0"/>
              <w:jc w:val="both"/>
              <w:rPr/>
            </w:pPr>
            <w:r>
              <w:rPr/>
              <w:t>​</w:t>
            </w:r>
          </w:p>
        </w:tc>
        <w:tc>
          <w:tcPr>
            <w:tcW w:w="5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vAlign w:val="center"/>
          </w:tcPr>
          <w:p>
            <w:pPr>
              <w:pStyle w:val="TableContents"/>
              <w:bidi w:val="0"/>
              <w:spacing w:before="0" w:after="1"/>
              <w:ind w:left="0" w:right="0" w:hanging="0"/>
              <w:jc w:val="both"/>
              <w:rPr/>
            </w:pPr>
            <w:r>
              <w:rPr/>
              <w:t>​</w:t>
            </w:r>
          </w:p>
        </w:tc>
        <w:tc>
          <w:tcPr>
            <w:tcW w:w="208" w:type="dxa"/>
            <w:tcBorders/>
            <w:vAlign w:val="center"/>
          </w:tcPr>
          <w:p>
            <w:pPr>
              <w:pStyle w:val="TableContents"/>
              <w:bidi w:val="0"/>
              <w:spacing w:before="0" w:after="1"/>
              <w:ind w:left="0" w:right="0" w:hanging="0"/>
              <w:jc w:val="both"/>
              <w:rPr/>
            </w:pPr>
            <w:r>
              <w:rPr/>
              <w:t>​</w:t>
            </w:r>
          </w:p>
        </w:tc>
        <w:tc>
          <w:tcPr>
            <w:tcW w:w="10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1,700</w:t>
            </w:r>
          </w:p>
        </w:tc>
        <w:tc>
          <w:tcPr>
            <w:tcW w:w="32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w:t>
            </w:r>
          </w:p>
        </w:tc>
        <w:tc>
          <w:tcPr>
            <w:tcW w:w="11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w:t>
            </w:r>
          </w:p>
        </w:tc>
        <w:tc>
          <w:tcPr>
            <w:tcW w:w="97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1,701</w:t>
            </w:r>
          </w:p>
        </w:tc>
      </w:tr>
      <w:tr>
        <w:trPr/>
        <w:tc>
          <w:tcPr>
            <w:tcW w:w="3195" w:type="dxa"/>
            <w:tcBorders/>
            <w:shd w:fill="CCEEFF" w:val="clear"/>
            <w:vAlign w:val="center"/>
          </w:tcPr>
          <w:p>
            <w:pPr>
              <w:pStyle w:val="TableContents"/>
              <w:pBdr/>
              <w:bidi w:val="0"/>
              <w:spacing w:before="0" w:after="1"/>
              <w:ind w:left="0" w:right="0" w:hanging="0"/>
              <w:jc w:val="both"/>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1"/>
              <w:ind w:left="0" w:right="0" w:hanging="0"/>
              <w:jc w:val="both"/>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24" w:type="dxa"/>
            <w:tcBorders/>
            <w:shd w:fill="CCEEFF" w:val="clear"/>
            <w:vAlign w:val="center"/>
          </w:tcPr>
          <w:p>
            <w:pPr>
              <w:pStyle w:val="TableContents"/>
              <w:bidi w:val="0"/>
              <w:spacing w:before="0" w:after="1"/>
              <w:ind w:left="0" w:right="0" w:hanging="0"/>
              <w:jc w:val="both"/>
              <w:rPr/>
            </w:pPr>
            <w:r>
              <w:rPr/>
              <w:t>​</w:t>
            </w:r>
          </w:p>
        </w:tc>
        <w:tc>
          <w:tcPr>
            <w:tcW w:w="5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08" w:type="dxa"/>
            <w:tcBorders/>
            <w:shd w:fill="CCEEFF" w:val="clear"/>
            <w:vAlign w:val="center"/>
          </w:tcPr>
          <w:p>
            <w:pPr>
              <w:pStyle w:val="TableContents"/>
              <w:bidi w:val="0"/>
              <w:spacing w:before="0" w:after="1"/>
              <w:ind w:left="0" w:right="0" w:hanging="0"/>
              <w:jc w:val="both"/>
              <w:rPr/>
            </w:pPr>
            <w:r>
              <w:rPr/>
              <w:t>​</w:t>
            </w:r>
          </w:p>
        </w:tc>
        <w:tc>
          <w:tcPr>
            <w:tcW w:w="10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53,302</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pPr>
            <w:r>
              <w:rPr/>
              <w:t>​</w:t>
            </w:r>
          </w:p>
        </w:tc>
        <w:tc>
          <w:tcPr>
            <w:tcW w:w="11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pPr>
            <w:r>
              <w:rPr/>
              <w:t>​</w:t>
            </w:r>
          </w:p>
        </w:tc>
        <w:tc>
          <w:tcPr>
            <w:tcW w:w="97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53,302</w:t>
            </w:r>
          </w:p>
        </w:tc>
      </w:tr>
      <w:tr>
        <w:trPr/>
        <w:tc>
          <w:tcPr>
            <w:tcW w:w="3195" w:type="dxa"/>
            <w:tcBorders/>
            <w:vAlign w:val="center"/>
          </w:tcPr>
          <w:p>
            <w:pPr>
              <w:pStyle w:val="TableContents"/>
              <w:pBdr/>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loss</w:t>
            </w:r>
          </w:p>
        </w:tc>
        <w:tc>
          <w:tcPr>
            <w:tcW w:w="326" w:type="dxa"/>
            <w:tcBorders/>
            <w:vAlign w:val="center"/>
          </w:tcPr>
          <w:p>
            <w:pPr>
              <w:pStyle w:val="TableContents"/>
              <w:bidi w:val="0"/>
              <w:spacing w:before="0" w:after="1"/>
              <w:ind w:left="0" w:right="0" w:hanging="0"/>
              <w:jc w:val="both"/>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5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08"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7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1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(2,308,192)</w:t>
            </w:r>
          </w:p>
        </w:tc>
        <w:tc>
          <w:tcPr>
            <w:tcW w:w="326" w:type="dxa"/>
            <w:tcBorders/>
            <w:vAlign w:val="center"/>
          </w:tcPr>
          <w:p>
            <w:pPr>
              <w:pStyle w:val="TableContents"/>
              <w:bidi w:val="0"/>
              <w:spacing w:before="0" w:after="1"/>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(2,308,192)</w:t>
            </w:r>
          </w:p>
        </w:tc>
      </w:tr>
      <w:tr>
        <w:trPr/>
        <w:tc>
          <w:tcPr>
            <w:tcW w:w="3195"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Balance at September 30, 2024</w:t>
            </w:r>
          </w:p>
        </w:tc>
        <w:tc>
          <w:tcPr>
            <w:tcW w:w="326" w:type="dxa"/>
            <w:tcBorders/>
            <w:shd w:fill="CCEEFF" w:val="clear"/>
            <w:vAlign w:val="center"/>
          </w:tcPr>
          <w:p>
            <w:pPr>
              <w:pStyle w:val="TableContents"/>
              <w:bidi w:val="0"/>
              <w:spacing w:before="0" w:after="1"/>
              <w:ind w:left="0" w:right="0" w:hanging="0"/>
              <w:jc w:val="both"/>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8,923,490</w:t>
            </w:r>
          </w:p>
        </w:tc>
        <w:tc>
          <w:tcPr>
            <w:tcW w:w="326" w:type="dxa"/>
            <w:tcBorders/>
            <w:shd w:fill="CCEEFF" w:val="clear"/>
            <w:vAlign w:val="center"/>
          </w:tcPr>
          <w:p>
            <w:pPr>
              <w:pStyle w:val="TableContents"/>
              <w:bidi w:val="0"/>
              <w:spacing w:before="0" w:after="1"/>
              <w:ind w:left="0" w:right="0" w:hanging="0"/>
              <w:jc w:val="both"/>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5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8,923</w:t>
            </w:r>
          </w:p>
        </w:tc>
        <w:tc>
          <w:tcPr>
            <w:tcW w:w="326" w:type="dxa"/>
            <w:tcBorders/>
            <w:shd w:fill="CCEEFF" w:val="clear"/>
            <w:vAlign w:val="center"/>
          </w:tcPr>
          <w:p>
            <w:pPr>
              <w:pStyle w:val="TableContents"/>
              <w:bidi w:val="0"/>
              <w:spacing w:before="0" w:after="1"/>
              <w:ind w:left="0" w:right="0" w:hanging="0"/>
              <w:jc w:val="both"/>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0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450,620,206</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1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(443,179,554)</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97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7,449,575</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17" w:name="Tc_j5T-ezwNNU-iPyNCTqix4w_10_13"/>
      <w:bookmarkStart w:id="418" w:name="Tc_BPcSNwoHGUqFe9oemBCycQ_10_10"/>
      <w:bookmarkStart w:id="419" w:name="Tc_SIH4wKD7qEuv30nFUslVug_10_7"/>
      <w:bookmarkStart w:id="420" w:name="Tc_TBYHixcAoUeHUEAdI5aDRg_10_4"/>
      <w:bookmarkStart w:id="421" w:name="Tc_L4NGD0i8FEKluSI8LUs_1g_10_0"/>
      <w:bookmarkStart w:id="422" w:name="Tc_hIuYVMTwRE2JFxevNLTe4A_9_8"/>
      <w:bookmarkStart w:id="423" w:name="Tc_-alcTBHe0UaPrKyJmQvYpA_9_5"/>
      <w:bookmarkStart w:id="424" w:name="Tc_rL6tbDNhXUSZGlYUxRIa-w_9_2"/>
      <w:bookmarkStart w:id="425" w:name="Tc_QAfo3JPINkedL8IhoPZ74Q_9_0"/>
      <w:bookmarkStart w:id="426" w:name="Tc_aOtp0_yTKE6rXTbRfOeCGQ_8_11"/>
      <w:bookmarkStart w:id="427" w:name="Tc_VpZaJCsxUkC5x5tN1gizFQ_8_5"/>
      <w:bookmarkStart w:id="428" w:name="Tc_NaLaDtVBTUmQx3_H4xG_1g_8_2"/>
      <w:bookmarkStart w:id="429" w:name="Tc_I1m7yjDsnE27peakKQi6cg_8_0"/>
      <w:bookmarkStart w:id="430" w:name="Tc_p3xqw_Cn9kuZzUdb7SJp0w_7_11"/>
      <w:bookmarkStart w:id="431" w:name="Tc_sYoR7Lj8MEaIcvlBYii76g_7_0"/>
      <w:bookmarkStart w:id="432" w:name="Tc_f4gWt6osXU6k903A1rOOsg_6_11"/>
      <w:bookmarkStart w:id="433" w:name="Tc_eFjCqeuNmk26YDLbat1xZg_6_0"/>
      <w:bookmarkStart w:id="434" w:name="Tc_zsEylyqrUkaV2x5Smeymxw_5_13"/>
      <w:bookmarkStart w:id="435" w:name="Tc_RnQb3JY3xUO84p6_42-R3g_5_10"/>
      <w:bookmarkStart w:id="436" w:name="Tc_9ZLL_bpc60G9TRZE8lYivA_5_7"/>
      <w:bookmarkStart w:id="437" w:name="Tc_Qw6l9tKF1kmBoX-O_uE-sQ_5_4"/>
      <w:bookmarkStart w:id="438" w:name="Tc_Oi0mS317gEOSCURQfngcVg_5_0"/>
      <w:bookmarkStart w:id="439" w:name="Tc_6EiVQ8q4YUiO-DZeNvhrIw_4_13"/>
      <w:bookmarkStart w:id="440" w:name="Tc_ko8z0ZJOBU6FZ8YuUZtxbg_4_10"/>
      <w:bookmarkStart w:id="441" w:name="Tc_COwCrgwpC0-32iQ2OF4ytA_4_7"/>
      <w:bookmarkStart w:id="442" w:name="Tc_KklyQQOknUOblfRKe4MHAQ_4_4"/>
      <w:bookmarkStart w:id="443" w:name="Tc_eo5k9zJvr0WA0P1WYbziZg_4_2"/>
      <w:bookmarkStart w:id="444" w:name="Tc_5yMqbey-GUG8vC2P8CaY0g_3_13"/>
      <w:bookmarkStart w:id="445" w:name="Tc_kY7d2HcpfEKfArJsoZ4QPw_3_10"/>
      <w:bookmarkStart w:id="446" w:name="Tc_MpLhz9rkWESwaMyECHLc5Q_3_7"/>
      <w:bookmarkStart w:id="447" w:name="Tc_uoVPaGmDCUaCSMN6DFBzGg_3_2"/>
      <w:bookmarkStart w:id="448" w:name="Tc_uR4Yl2dQlEm7a9rfuhmcTw_2_13"/>
      <w:bookmarkStart w:id="449" w:name="Tc_nsEXxM49hEaN0jaenWAd6A_1_2"/>
      <w:bookmarkStart w:id="450" w:name="_e969cfad_60a4_4df7_a425_4ae2b2a8991a"/>
      <w:bookmarkStart w:id="451" w:name="Tc_j5T-ezwNNU-iPyNCTqix4w_10_13"/>
      <w:bookmarkStart w:id="452" w:name="Tc_BPcSNwoHGUqFe9oemBCycQ_10_10"/>
      <w:bookmarkStart w:id="453" w:name="Tc_SIH4wKD7qEuv30nFUslVug_10_7"/>
      <w:bookmarkStart w:id="454" w:name="Tc_TBYHixcAoUeHUEAdI5aDRg_10_4"/>
      <w:bookmarkStart w:id="455" w:name="Tc_L4NGD0i8FEKluSI8LUs_1g_10_0"/>
      <w:bookmarkStart w:id="456" w:name="Tc_hIuYVMTwRE2JFxevNLTe4A_9_8"/>
      <w:bookmarkStart w:id="457" w:name="Tc_-alcTBHe0UaPrKyJmQvYpA_9_5"/>
      <w:bookmarkStart w:id="458" w:name="Tc_rL6tbDNhXUSZGlYUxRIa-w_9_2"/>
      <w:bookmarkStart w:id="459" w:name="Tc_QAfo3JPINkedL8IhoPZ74Q_9_0"/>
      <w:bookmarkStart w:id="460" w:name="Tc_aOtp0_yTKE6rXTbRfOeCGQ_8_11"/>
      <w:bookmarkStart w:id="461" w:name="Tc_VpZaJCsxUkC5x5tN1gizFQ_8_5"/>
      <w:bookmarkStart w:id="462" w:name="Tc_NaLaDtVBTUmQx3_H4xG_1g_8_2"/>
      <w:bookmarkStart w:id="463" w:name="Tc_I1m7yjDsnE27peakKQi6cg_8_0"/>
      <w:bookmarkStart w:id="464" w:name="Tc_p3xqw_Cn9kuZzUdb7SJp0w_7_11"/>
      <w:bookmarkStart w:id="465" w:name="Tc_sYoR7Lj8MEaIcvlBYii76g_7_0"/>
      <w:bookmarkStart w:id="466" w:name="Tc_f4gWt6osXU6k903A1rOOsg_6_11"/>
      <w:bookmarkStart w:id="467" w:name="Tc_eFjCqeuNmk26YDLbat1xZg_6_0"/>
      <w:bookmarkStart w:id="468" w:name="Tc_zsEylyqrUkaV2x5Smeymxw_5_13"/>
      <w:bookmarkStart w:id="469" w:name="Tc_RnQb3JY3xUO84p6_42-R3g_5_10"/>
      <w:bookmarkStart w:id="470" w:name="Tc_9ZLL_bpc60G9TRZE8lYivA_5_7"/>
      <w:bookmarkStart w:id="471" w:name="Tc_Qw6l9tKF1kmBoX-O_uE-sQ_5_4"/>
      <w:bookmarkStart w:id="472" w:name="Tc_Oi0mS317gEOSCURQfngcVg_5_0"/>
      <w:bookmarkStart w:id="473" w:name="Tc_6EiVQ8q4YUiO-DZeNvhrIw_4_13"/>
      <w:bookmarkStart w:id="474" w:name="Tc_ko8z0ZJOBU6FZ8YuUZtxbg_4_10"/>
      <w:bookmarkStart w:id="475" w:name="Tc_COwCrgwpC0-32iQ2OF4ytA_4_7"/>
      <w:bookmarkStart w:id="476" w:name="Tc_KklyQQOknUOblfRKe4MHAQ_4_4"/>
      <w:bookmarkStart w:id="477" w:name="Tc_eo5k9zJvr0WA0P1WYbziZg_4_2"/>
      <w:bookmarkStart w:id="478" w:name="Tc_5yMqbey-GUG8vC2P8CaY0g_3_13"/>
      <w:bookmarkStart w:id="479" w:name="Tc_kY7d2HcpfEKfArJsoZ4QPw_3_10"/>
      <w:bookmarkStart w:id="480" w:name="Tc_MpLhz9rkWESwaMyECHLc5Q_3_7"/>
      <w:bookmarkStart w:id="481" w:name="Tc_uoVPaGmDCUaCSMN6DFBzGg_3_2"/>
      <w:bookmarkStart w:id="482" w:name="Tc_uR4Yl2dQlEm7a9rfuhmcTw_2_13"/>
      <w:bookmarkStart w:id="483" w:name="Tc_nsEXxM49hEaN0jaenWAd6A_1_2"/>
      <w:bookmarkStart w:id="484" w:name="_e969cfad_60a4_4df7_a425_4ae2b2a8991a"/>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tbl>
      <w:tblPr>
        <w:tblW w:w="10205" w:type="dxa"/>
        <w:jc w:val="left"/>
        <w:tblInd w:w="0" w:type="dxa"/>
        <w:tblLayout w:type="fixed"/>
        <w:tblCellMar>
          <w:top w:w="0" w:type="dxa"/>
          <w:left w:w="0" w:type="dxa"/>
          <w:bottom w:w="0" w:type="dxa"/>
          <w:right w:w="0" w:type="dxa"/>
        </w:tblCellMar>
      </w:tblPr>
      <w:tblGrid>
        <w:gridCol w:w="3184"/>
        <w:gridCol w:w="326"/>
        <w:gridCol w:w="826"/>
        <w:gridCol w:w="326"/>
        <w:gridCol w:w="224"/>
        <w:gridCol w:w="587"/>
        <w:gridCol w:w="326"/>
        <w:gridCol w:w="208"/>
        <w:gridCol w:w="1072"/>
        <w:gridCol w:w="326"/>
        <w:gridCol w:w="196"/>
        <w:gridCol w:w="1101"/>
        <w:gridCol w:w="326"/>
        <w:gridCol w:w="196"/>
        <w:gridCol w:w="981"/>
      </w:tblGrid>
      <w:tr>
        <w:trPr/>
        <w:tc>
          <w:tcPr>
            <w:tcW w:w="3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21840" cy="175260"/>
                      <wp:effectExtent l="0" t="0" r="0" b="0"/>
                      <wp:wrapNone/>
                      <wp:docPr id="70" name="Frame69"/>
                      <a:graphic xmlns:a="http://schemas.openxmlformats.org/drawingml/2006/main">
                        <a:graphicData uri="http://schemas.microsoft.com/office/word/2010/wordprocessingShape">
                          <wps:wsp>
                            <wps:cNvSpPr txBox="1"/>
                            <wps:spPr>
                              <a:xfrm>
                                <a:off x="0" y="0"/>
                                <a:ext cx="202184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1"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24510" cy="175260"/>
                      <wp:effectExtent l="0" t="0" r="0" b="0"/>
                      <wp:wrapNone/>
                      <wp:docPr id="72" name="Frame7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3"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2240" cy="175260"/>
                      <wp:effectExtent l="0" t="0" r="0" b="0"/>
                      <wp:wrapNone/>
                      <wp:docPr id="74" name="Frame73"/>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72745" cy="175260"/>
                      <wp:effectExtent l="0" t="0" r="0" b="0"/>
                      <wp:wrapNone/>
                      <wp:docPr id="75" name="Frame74"/>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6"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2080" cy="175260"/>
                      <wp:effectExtent l="0" t="0" r="0" b="0"/>
                      <wp:wrapNone/>
                      <wp:docPr id="77" name="Frame76"/>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80720" cy="175260"/>
                      <wp:effectExtent l="0" t="0" r="0" b="0"/>
                      <wp:wrapNone/>
                      <wp:docPr id="78" name="Frame77"/>
                      <a:graphic xmlns:a="http://schemas.openxmlformats.org/drawingml/2006/main">
                        <a:graphicData uri="http://schemas.microsoft.com/office/word/2010/wordprocessingShape">
                          <wps:wsp>
                            <wps:cNvSpPr txBox="1"/>
                            <wps:spPr>
                              <a:xfrm>
                                <a:off x="0" y="0"/>
                                <a:ext cx="68072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79"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4460" cy="175260"/>
                      <wp:effectExtent l="0" t="0" r="0" b="0"/>
                      <wp:wrapNone/>
                      <wp:docPr id="80"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9135" cy="175260"/>
                      <wp:effectExtent l="0" t="0" r="0" b="0"/>
                      <wp:wrapNone/>
                      <wp:docPr id="81" name="Frame80"/>
                      <a:graphic xmlns:a="http://schemas.openxmlformats.org/drawingml/2006/main">
                        <a:graphicData uri="http://schemas.microsoft.com/office/word/2010/wordprocessingShape">
                          <wps:wsp>
                            <wps:cNvSpPr txBox="1"/>
                            <wps:spPr>
                              <a:xfrm>
                                <a:off x="0" y="0"/>
                                <a:ext cx="6991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2"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4460" cy="175260"/>
                      <wp:effectExtent l="0" t="0" r="0" b="0"/>
                      <wp:wrapNone/>
                      <wp:docPr id="83"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22935" cy="175260"/>
                      <wp:effectExtent l="0" t="0" r="0" b="0"/>
                      <wp:wrapNone/>
                      <wp:docPr id="84" name="Frame83"/>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184"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6695"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2024</w:t>
            </w:r>
          </w:p>
        </w:tc>
      </w:tr>
      <w:tr>
        <w:trPr/>
        <w:tc>
          <w:tcPr>
            <w:tcW w:w="3184"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24" w:type="dxa"/>
            <w:tcBorders/>
            <w:vAlign w:val="center"/>
          </w:tcPr>
          <w:p>
            <w:pPr>
              <w:pStyle w:val="TableContents"/>
              <w:bidi w:val="0"/>
              <w:spacing w:before="0" w:after="1"/>
              <w:ind w:left="0" w:right="0" w:hanging="0"/>
              <w:jc w:val="both"/>
              <w:rPr/>
            </w:pPr>
            <w:r>
              <w:rPr/>
              <w:t>​</w:t>
            </w:r>
          </w:p>
        </w:tc>
        <w:tc>
          <w:tcPr>
            <w:tcW w:w="58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08" w:type="dxa"/>
            <w:tcBorders/>
            <w:vAlign w:val="center"/>
          </w:tcPr>
          <w:p>
            <w:pPr>
              <w:pStyle w:val="TableContents"/>
              <w:bidi w:val="0"/>
              <w:spacing w:before="0" w:after="1"/>
              <w:ind w:left="0" w:right="0" w:hanging="0"/>
              <w:jc w:val="both"/>
              <w:rPr/>
            </w:pPr>
            <w:r>
              <w:rPr/>
              <w:t>​</w:t>
            </w:r>
          </w:p>
        </w:tc>
        <w:tc>
          <w:tcPr>
            <w:tcW w:w="107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w:t>
            </w:r>
          </w:p>
        </w:tc>
        <w:tc>
          <w:tcPr>
            <w:tcW w:w="11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1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84"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96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both"/>
              <w:rPr/>
            </w:pPr>
            <w:r>
              <w:rPr/>
              <w:t>​</w:t>
            </w:r>
          </w:p>
        </w:tc>
        <w:tc>
          <w:tcPr>
            <w:tcW w:w="12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vAlign w:val="center"/>
          </w:tcPr>
          <w:p>
            <w:pPr>
              <w:pStyle w:val="TableContents"/>
              <w:bidi w:val="0"/>
              <w:spacing w:before="0" w:after="1"/>
              <w:ind w:left="0" w:right="0" w:hanging="0"/>
              <w:jc w:val="both"/>
              <w:rPr/>
            </w:pPr>
            <w:r>
              <w:rPr/>
              <w:t>​</w:t>
            </w:r>
          </w:p>
        </w:tc>
        <w:tc>
          <w:tcPr>
            <w:tcW w:w="12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both"/>
              <w:rPr/>
            </w:pPr>
            <w:r>
              <w:rPr/>
              <w:t>​</w:t>
            </w:r>
          </w:p>
        </w:tc>
        <w:tc>
          <w:tcPr>
            <w:tcW w:w="11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184"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both"/>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1"/>
              <w:ind w:left="0" w:right="0" w:hanging="0"/>
              <w:jc w:val="both"/>
              <w:rPr/>
            </w:pPr>
            <w:r>
              <w:rPr/>
              <w:t>    </w:t>
            </w:r>
          </w:p>
        </w:tc>
        <w:tc>
          <w:tcPr>
            <w:tcW w:w="12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1"/>
              <w:ind w:left="0" w:right="0" w:hanging="0"/>
              <w:jc w:val="both"/>
              <w:rPr/>
            </w:pPr>
            <w:r>
              <w:rPr/>
              <w:t>    </w:t>
            </w:r>
          </w:p>
        </w:tc>
        <w:tc>
          <w:tcPr>
            <w:tcW w:w="12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both"/>
              <w:rPr/>
            </w:pPr>
            <w:r>
              <w:rPr/>
              <w:t>    </w:t>
            </w:r>
          </w:p>
        </w:tc>
        <w:tc>
          <w:tcPr>
            <w:tcW w:w="11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184"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Balance at January 1, 2024</w:t>
            </w:r>
          </w:p>
        </w:tc>
        <w:tc>
          <w:tcPr>
            <w:tcW w:w="326" w:type="dxa"/>
            <w:tcBorders/>
            <w:shd w:fill="CCEEFF" w:val="clear"/>
            <w:vAlign w:val="center"/>
          </w:tcPr>
          <w:p>
            <w:pPr>
              <w:pStyle w:val="TableContents"/>
              <w:bidi w:val="0"/>
              <w:spacing w:before="0" w:after="1"/>
              <w:ind w:left="0" w:right="0" w:hanging="0"/>
              <w:jc w:val="both"/>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8,891,420</w:t>
            </w:r>
          </w:p>
        </w:tc>
        <w:tc>
          <w:tcPr>
            <w:tcW w:w="326" w:type="dxa"/>
            <w:tcBorders/>
            <w:shd w:fill="CCEEFF" w:val="clear"/>
            <w:vAlign w:val="center"/>
          </w:tcPr>
          <w:p>
            <w:pPr>
              <w:pStyle w:val="TableContents"/>
              <w:bidi w:val="0"/>
              <w:spacing w:before="0" w:after="1"/>
              <w:ind w:left="0" w:right="0" w:hanging="0"/>
              <w:jc w:val="both"/>
              <w:rPr/>
            </w:pPr>
            <w:r>
              <w:rPr/>
              <w:t>​</w:t>
            </w:r>
          </w:p>
        </w:tc>
        <w:tc>
          <w:tcPr>
            <w:tcW w:w="224"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587"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8,891</w:t>
            </w:r>
          </w:p>
        </w:tc>
        <w:tc>
          <w:tcPr>
            <w:tcW w:w="326" w:type="dxa"/>
            <w:tcBorders/>
            <w:shd w:fill="CCEEFF" w:val="clear"/>
            <w:vAlign w:val="center"/>
          </w:tcPr>
          <w:p>
            <w:pPr>
              <w:pStyle w:val="TableContents"/>
              <w:bidi w:val="0"/>
              <w:spacing w:before="0" w:after="1"/>
              <w:ind w:left="0" w:right="0" w:hanging="0"/>
              <w:jc w:val="both"/>
              <w:rPr/>
            </w:pPr>
            <w:r>
              <w:rPr/>
              <w:t>​</w:t>
            </w:r>
          </w:p>
        </w:tc>
        <w:tc>
          <w:tcPr>
            <w:tcW w:w="208"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072"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450,329,515</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1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(436,285,863)</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14,052,543</w:t>
            </w:r>
          </w:p>
        </w:tc>
      </w:tr>
      <w:tr>
        <w:trPr/>
        <w:tc>
          <w:tcPr>
            <w:tcW w:w="3184" w:type="dxa"/>
            <w:tcBorders/>
            <w:vAlign w:val="center"/>
          </w:tcPr>
          <w:p>
            <w:pPr>
              <w:pStyle w:val="TableContents"/>
              <w:pBdr/>
              <w:bidi w:val="0"/>
              <w:spacing w:before="0" w:after="1"/>
              <w:ind w:left="0" w:right="0" w:hanging="0"/>
              <w:jc w:val="both"/>
              <w:rPr>
                <w:rFonts w:ascii="Times New Roman;Times;serif" w:hAnsi="Times New Roman;Times;serif"/>
                <w:sz w:val="18"/>
              </w:rPr>
            </w:pPr>
            <w:r>
              <w:rPr>
                <w:rFonts w:ascii="Times New Roman;Times;serif" w:hAnsi="Times New Roman;Times;serif"/>
                <w:sz w:val="18"/>
              </w:rPr>
              <w:t>Shares purchased pursuant to ATM agreement</w:t>
            </w:r>
          </w:p>
        </w:tc>
        <w:tc>
          <w:tcPr>
            <w:tcW w:w="326" w:type="dxa"/>
            <w:tcBorders/>
            <w:vAlign w:val="center"/>
          </w:tcPr>
          <w:p>
            <w:pPr>
              <w:pStyle w:val="TableContents"/>
              <w:bidi w:val="0"/>
              <w:spacing w:before="0" w:after="1"/>
              <w:ind w:left="0" w:right="0" w:hanging="0"/>
              <w:jc w:val="both"/>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8,178</w:t>
            </w:r>
          </w:p>
        </w:tc>
        <w:tc>
          <w:tcPr>
            <w:tcW w:w="326" w:type="dxa"/>
            <w:tcBorders/>
            <w:vAlign w:val="center"/>
          </w:tcPr>
          <w:p>
            <w:pPr>
              <w:pStyle w:val="TableContents"/>
              <w:bidi w:val="0"/>
              <w:spacing w:before="0" w:after="1"/>
              <w:ind w:left="0" w:right="0" w:hanging="0"/>
              <w:jc w:val="both"/>
              <w:rPr/>
            </w:pPr>
            <w:r>
              <w:rPr/>
              <w:t>​</w:t>
            </w:r>
          </w:p>
        </w:tc>
        <w:tc>
          <w:tcPr>
            <w:tcW w:w="224" w:type="dxa"/>
            <w:tcBorders/>
            <w:vAlign w:val="center"/>
          </w:tcPr>
          <w:p>
            <w:pPr>
              <w:pStyle w:val="TableContents"/>
              <w:bidi w:val="0"/>
              <w:spacing w:before="0" w:after="1"/>
              <w:ind w:left="0" w:right="0" w:hanging="0"/>
              <w:jc w:val="both"/>
              <w:rPr/>
            </w:pPr>
            <w:r>
              <w:rPr/>
              <w:t>​</w:t>
            </w:r>
          </w:p>
        </w:tc>
        <w:tc>
          <w:tcPr>
            <w:tcW w:w="5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326" w:type="dxa"/>
            <w:tcBorders/>
            <w:vAlign w:val="center"/>
          </w:tcPr>
          <w:p>
            <w:pPr>
              <w:pStyle w:val="TableContents"/>
              <w:bidi w:val="0"/>
              <w:spacing w:before="0" w:after="1"/>
              <w:ind w:left="0" w:right="0" w:hanging="0"/>
              <w:jc w:val="both"/>
              <w:rPr/>
            </w:pPr>
            <w:r>
              <w:rPr/>
              <w:t>​</w:t>
            </w:r>
          </w:p>
        </w:tc>
        <w:tc>
          <w:tcPr>
            <w:tcW w:w="208" w:type="dxa"/>
            <w:tcBorders/>
            <w:vAlign w:val="center"/>
          </w:tcPr>
          <w:p>
            <w:pPr>
              <w:pStyle w:val="TableContents"/>
              <w:bidi w:val="0"/>
              <w:spacing w:before="0" w:after="1"/>
              <w:ind w:left="0" w:right="0" w:hanging="0"/>
              <w:jc w:val="both"/>
              <w:rPr/>
            </w:pPr>
            <w:r>
              <w:rPr/>
              <w:t>​</w:t>
            </w:r>
          </w:p>
        </w:tc>
        <w:tc>
          <w:tcPr>
            <w:tcW w:w="10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36,894</w:t>
            </w:r>
          </w:p>
        </w:tc>
        <w:tc>
          <w:tcPr>
            <w:tcW w:w="32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w:t>
            </w:r>
          </w:p>
        </w:tc>
        <w:tc>
          <w:tcPr>
            <w:tcW w:w="11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w:t>
            </w:r>
          </w:p>
        </w:tc>
        <w:tc>
          <w:tcPr>
            <w:tcW w:w="98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36,902</w:t>
            </w:r>
          </w:p>
        </w:tc>
      </w:tr>
      <w:tr>
        <w:trPr/>
        <w:tc>
          <w:tcPr>
            <w:tcW w:w="3184" w:type="dxa"/>
            <w:tcBorders/>
            <w:shd w:fill="CCEEFF" w:val="clear"/>
            <w:vAlign w:val="center"/>
          </w:tcPr>
          <w:p>
            <w:pPr>
              <w:pStyle w:val="TableContents"/>
              <w:pBdr/>
              <w:bidi w:val="0"/>
              <w:spacing w:before="0" w:after="1"/>
              <w:ind w:left="0" w:right="0" w:hanging="0"/>
              <w:jc w:val="both"/>
              <w:rPr>
                <w:rFonts w:ascii="Times New Roman;Times;serif" w:hAnsi="Times New Roman;Times;serif"/>
                <w:sz w:val="18"/>
              </w:rPr>
            </w:pPr>
            <w:r>
              <w:rPr>
                <w:rFonts w:ascii="Times New Roman;Times;serif" w:hAnsi="Times New Roman;Times;serif"/>
                <w:sz w:val="18"/>
              </w:rPr>
              <w:t xml:space="preserve">Issuance of common stock from exercise of stock options </w:t>
            </w:r>
          </w:p>
        </w:tc>
        <w:tc>
          <w:tcPr>
            <w:tcW w:w="326" w:type="dxa"/>
            <w:tcBorders/>
            <w:shd w:fill="CCEEFF" w:val="clear"/>
            <w:vAlign w:val="center"/>
          </w:tcPr>
          <w:p>
            <w:pPr>
              <w:pStyle w:val="TableContents"/>
              <w:bidi w:val="0"/>
              <w:spacing w:before="0" w:after="1"/>
              <w:ind w:left="0" w:right="0" w:hanging="0"/>
              <w:jc w:val="both"/>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23,892</w:t>
            </w:r>
          </w:p>
        </w:tc>
        <w:tc>
          <w:tcPr>
            <w:tcW w:w="326" w:type="dxa"/>
            <w:tcBorders/>
            <w:shd w:fill="CCEEFF" w:val="clear"/>
            <w:vAlign w:val="center"/>
          </w:tcPr>
          <w:p>
            <w:pPr>
              <w:pStyle w:val="TableContents"/>
              <w:bidi w:val="0"/>
              <w:spacing w:before="0" w:after="1"/>
              <w:ind w:left="0" w:right="0" w:hanging="0"/>
              <w:jc w:val="both"/>
              <w:rPr/>
            </w:pPr>
            <w:r>
              <w:rPr/>
              <w:t>​</w:t>
            </w:r>
          </w:p>
        </w:tc>
        <w:tc>
          <w:tcPr>
            <w:tcW w:w="224" w:type="dxa"/>
            <w:tcBorders/>
            <w:shd w:fill="CCEEFF" w:val="clear"/>
            <w:vAlign w:val="center"/>
          </w:tcPr>
          <w:p>
            <w:pPr>
              <w:pStyle w:val="TableContents"/>
              <w:bidi w:val="0"/>
              <w:spacing w:before="0" w:after="1"/>
              <w:ind w:left="0" w:right="0" w:hanging="0"/>
              <w:jc w:val="both"/>
              <w:rPr/>
            </w:pPr>
            <w:r>
              <w:rPr/>
              <w:t>​</w:t>
            </w:r>
          </w:p>
        </w:tc>
        <w:tc>
          <w:tcPr>
            <w:tcW w:w="5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326" w:type="dxa"/>
            <w:tcBorders/>
            <w:shd w:fill="CCEEFF" w:val="clear"/>
            <w:vAlign w:val="center"/>
          </w:tcPr>
          <w:p>
            <w:pPr>
              <w:pStyle w:val="TableContents"/>
              <w:bidi w:val="0"/>
              <w:spacing w:before="0" w:after="1"/>
              <w:ind w:left="0" w:right="0" w:hanging="0"/>
              <w:jc w:val="both"/>
              <w:rPr/>
            </w:pPr>
            <w:r>
              <w:rPr/>
              <w:t>​</w:t>
            </w:r>
          </w:p>
        </w:tc>
        <w:tc>
          <w:tcPr>
            <w:tcW w:w="208" w:type="dxa"/>
            <w:tcBorders/>
            <w:shd w:fill="CCEEFF" w:val="clear"/>
            <w:vAlign w:val="center"/>
          </w:tcPr>
          <w:p>
            <w:pPr>
              <w:pStyle w:val="TableContents"/>
              <w:bidi w:val="0"/>
              <w:spacing w:before="0" w:after="1"/>
              <w:ind w:left="0" w:right="0" w:hanging="0"/>
              <w:jc w:val="both"/>
              <w:rPr/>
            </w:pPr>
            <w:r>
              <w:rPr/>
              <w:t>​</w:t>
            </w:r>
          </w:p>
        </w:tc>
        <w:tc>
          <w:tcPr>
            <w:tcW w:w="10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58,477</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pPr>
            <w:r>
              <w:rPr/>
              <w:t>​</w:t>
            </w:r>
          </w:p>
        </w:tc>
        <w:tc>
          <w:tcPr>
            <w:tcW w:w="11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pPr>
            <w:r>
              <w:rPr/>
              <w:t>​</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58,501</w:t>
            </w:r>
          </w:p>
        </w:tc>
      </w:tr>
      <w:tr>
        <w:trPr/>
        <w:tc>
          <w:tcPr>
            <w:tcW w:w="3184" w:type="dxa"/>
            <w:tcBorders/>
            <w:vAlign w:val="center"/>
          </w:tcPr>
          <w:p>
            <w:pPr>
              <w:pStyle w:val="TableContents"/>
              <w:pBdr/>
              <w:bidi w:val="0"/>
              <w:spacing w:before="0" w:after="1"/>
              <w:ind w:left="0" w:right="0" w:hanging="0"/>
              <w:jc w:val="both"/>
              <w:rPr>
                <w:rFonts w:ascii="Times New Roman;Times;serif" w:hAnsi="Times New Roman;Times;serif"/>
                <w:sz w:val="18"/>
              </w:rPr>
            </w:pPr>
            <w:r>
              <w:rPr>
                <w:rFonts w:ascii="Times New Roman;Times;serif" w:hAnsi="Times New Roman;Times;serif"/>
                <w:sz w:val="18"/>
              </w:rPr>
              <w:t>Stock-based compensation</w:t>
            </w:r>
          </w:p>
        </w:tc>
        <w:tc>
          <w:tcPr>
            <w:tcW w:w="326" w:type="dxa"/>
            <w:tcBorders/>
            <w:vAlign w:val="center"/>
          </w:tcPr>
          <w:p>
            <w:pPr>
              <w:pStyle w:val="TableContents"/>
              <w:bidi w:val="0"/>
              <w:spacing w:before="0" w:after="1"/>
              <w:ind w:left="0" w:right="0" w:hanging="0"/>
              <w:jc w:val="both"/>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24" w:type="dxa"/>
            <w:tcBorders/>
            <w:vAlign w:val="center"/>
          </w:tcPr>
          <w:p>
            <w:pPr>
              <w:pStyle w:val="TableContents"/>
              <w:bidi w:val="0"/>
              <w:spacing w:before="0" w:after="1"/>
              <w:ind w:left="0" w:right="0" w:hanging="0"/>
              <w:jc w:val="both"/>
              <w:rPr/>
            </w:pPr>
            <w:r>
              <w:rPr/>
              <w:t> </w:t>
            </w:r>
          </w:p>
        </w:tc>
        <w:tc>
          <w:tcPr>
            <w:tcW w:w="5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08" w:type="dxa"/>
            <w:tcBorders/>
            <w:vAlign w:val="center"/>
          </w:tcPr>
          <w:p>
            <w:pPr>
              <w:pStyle w:val="TableContents"/>
              <w:bidi w:val="0"/>
              <w:spacing w:before="0" w:after="1"/>
              <w:ind w:left="0" w:right="0" w:hanging="0"/>
              <w:jc w:val="both"/>
              <w:rPr/>
            </w:pPr>
            <w:r>
              <w:rPr/>
              <w:t> </w:t>
            </w:r>
          </w:p>
        </w:tc>
        <w:tc>
          <w:tcPr>
            <w:tcW w:w="10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195,320</w:t>
            </w:r>
          </w:p>
        </w:tc>
        <w:tc>
          <w:tcPr>
            <w:tcW w:w="32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 </w:t>
            </w:r>
          </w:p>
        </w:tc>
        <w:tc>
          <w:tcPr>
            <w:tcW w:w="11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 </w:t>
            </w:r>
          </w:p>
        </w:tc>
        <w:tc>
          <w:tcPr>
            <w:tcW w:w="98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195,320</w:t>
            </w:r>
          </w:p>
        </w:tc>
      </w:tr>
      <w:tr>
        <w:trPr/>
        <w:tc>
          <w:tcPr>
            <w:tcW w:w="3184" w:type="dxa"/>
            <w:tcBorders/>
            <w:shd w:fill="CCEEFF" w:val="clear"/>
            <w:vAlign w:val="center"/>
          </w:tcPr>
          <w:p>
            <w:pPr>
              <w:pStyle w:val="TableContents"/>
              <w:pBdr/>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loss</w:t>
            </w:r>
          </w:p>
        </w:tc>
        <w:tc>
          <w:tcPr>
            <w:tcW w:w="326" w:type="dxa"/>
            <w:tcBorders/>
            <w:shd w:fill="CCEEFF" w:val="clear"/>
            <w:vAlign w:val="center"/>
          </w:tcPr>
          <w:p>
            <w:pPr>
              <w:pStyle w:val="TableContents"/>
              <w:bidi w:val="0"/>
              <w:spacing w:before="0" w:after="1"/>
              <w:ind w:left="0" w:right="0" w:hanging="0"/>
              <w:jc w:val="both"/>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5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1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(6,893,691)</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(6,893,691)</w:t>
            </w:r>
          </w:p>
        </w:tc>
      </w:tr>
      <w:tr>
        <w:trPr/>
        <w:tc>
          <w:tcPr>
            <w:tcW w:w="3184" w:type="dxa"/>
            <w:tcBorders/>
            <w:vAlign w:val="center"/>
          </w:tcPr>
          <w:p>
            <w:pPr>
              <w:pStyle w:val="TableContents"/>
              <w:pBdr/>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Balance at September 30, 2024</w:t>
            </w:r>
          </w:p>
        </w:tc>
        <w:tc>
          <w:tcPr>
            <w:tcW w:w="326" w:type="dxa"/>
            <w:tcBorders/>
            <w:vAlign w:val="center"/>
          </w:tcPr>
          <w:p>
            <w:pPr>
              <w:pStyle w:val="TableContents"/>
              <w:bidi w:val="0"/>
              <w:spacing w:before="0" w:after="1"/>
              <w:ind w:left="0" w:right="0" w:hanging="0"/>
              <w:jc w:val="both"/>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8,923,490</w:t>
            </w:r>
          </w:p>
        </w:tc>
        <w:tc>
          <w:tcPr>
            <w:tcW w:w="326" w:type="dxa"/>
            <w:tcBorders/>
            <w:vAlign w:val="center"/>
          </w:tcPr>
          <w:p>
            <w:pPr>
              <w:pStyle w:val="TableContents"/>
              <w:bidi w:val="0"/>
              <w:spacing w:before="0" w:after="1"/>
              <w:ind w:left="0" w:right="0" w:hanging="0"/>
              <w:jc w:val="both"/>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5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8,923</w:t>
            </w:r>
          </w:p>
        </w:tc>
        <w:tc>
          <w:tcPr>
            <w:tcW w:w="326" w:type="dxa"/>
            <w:tcBorders/>
            <w:vAlign w:val="center"/>
          </w:tcPr>
          <w:p>
            <w:pPr>
              <w:pStyle w:val="TableContents"/>
              <w:bidi w:val="0"/>
              <w:spacing w:before="0" w:after="1"/>
              <w:ind w:left="0" w:right="0" w:hanging="0"/>
              <w:jc w:val="both"/>
              <w:rPr/>
            </w:pPr>
            <w:r>
              <w:rPr/>
              <w:t>​</w:t>
            </w:r>
          </w:p>
        </w:tc>
        <w:tc>
          <w:tcPr>
            <w:tcW w:w="208"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0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450,620,206</w:t>
            </w:r>
          </w:p>
        </w:tc>
        <w:tc>
          <w:tcPr>
            <w:tcW w:w="326" w:type="dxa"/>
            <w:tcBorders/>
            <w:vAlign w:val="center"/>
          </w:tcPr>
          <w:p>
            <w:pPr>
              <w:pStyle w:val="TableContents"/>
              <w:bidi w:val="0"/>
              <w:spacing w:before="0" w:after="1"/>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1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(443,179,554)</w:t>
            </w:r>
          </w:p>
        </w:tc>
        <w:tc>
          <w:tcPr>
            <w:tcW w:w="326" w:type="dxa"/>
            <w:tcBorders/>
            <w:vAlign w:val="center"/>
          </w:tcPr>
          <w:p>
            <w:pPr>
              <w:pStyle w:val="TableContents"/>
              <w:bidi w:val="0"/>
              <w:spacing w:before="0" w:after="1"/>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9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7,449,575</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485" w:name="_ce40bf4e_0c57_443d_9b2d_abb75e36a3f6"/>
      <w:bookmarkEnd w:id="485"/>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486" w:name="CONDENSEDCONSOLIDATEDSTATEMENTSOFCASHFLO"/>
      <w:bookmarkEnd w:id="486"/>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87" w:name="Tc_yR6117kNVEOqyTV88QLj1g_21_5"/>
      <w:bookmarkStart w:id="488" w:name="Tc_p1U2R1CgTEOk3VV67bDcrg_21_2"/>
      <w:bookmarkStart w:id="489" w:name="Tc_gxDGBw-v6EiudzjCsZnbtA_21_0"/>
      <w:bookmarkStart w:id="490" w:name="Tc_EcIRZBI610aiPospZWTAWQ_20_0"/>
      <w:bookmarkStart w:id="491" w:name="Tc__xiAPpeoXUSTpwafaS-CuA_19_0"/>
      <w:bookmarkStart w:id="492" w:name="Tc_aD0sZcTkDkyz_sCzDh2CqA_18_0"/>
      <w:bookmarkStart w:id="493" w:name="Tc_re4ltwPGa0CARNZ8AiNo3A_17_0"/>
      <w:bookmarkStart w:id="494" w:name="Tc_-g7P3t2xfEmzIZF06LucmA_16_0"/>
      <w:bookmarkStart w:id="495" w:name="Tc_NQdHRrvAQk6YCoDTJh0npQ_15_0"/>
      <w:bookmarkStart w:id="496" w:name="Tc_oAaG7KGHS0-TjU8ga2lMdA_14_0"/>
      <w:bookmarkStart w:id="497" w:name="Tc_HZx7JzZsgE6Slrx6LPrnnw_13_6"/>
      <w:bookmarkStart w:id="498" w:name="Tc_fRQeaKSo0Em-_YmOTMf8fw_13_0"/>
      <w:bookmarkStart w:id="499" w:name="Tc_WCY2f9QJDUyztVvfTrjR3w_12_0"/>
      <w:bookmarkStart w:id="500" w:name="Tc_epCEIBzM00ajFCrTXey_VA_11_0"/>
      <w:bookmarkStart w:id="501" w:name="Tc_oiSkfxtQvEyUhTXGnpoInQ_10_0"/>
      <w:bookmarkStart w:id="502" w:name="Tc_hwN0Eq8DRkWSdQ-S52K2dw_9_0"/>
      <w:bookmarkStart w:id="503" w:name="Tc_daP0J8nmDkKy7LzAwCMlcA_8_0"/>
      <w:bookmarkStart w:id="504" w:name="Tc_pAVqBKhA4EG2nGDLcmn40A_7_0"/>
      <w:bookmarkStart w:id="505" w:name="Tc_qEYq_HAyqkiOKk0dN0F8ZA_6_0"/>
      <w:bookmarkStart w:id="506" w:name="Tc_udR0yBq0SkKBCa1xwqh0Qw_5_5"/>
      <w:bookmarkStart w:id="507" w:name="Tc_e-bZDHeXzka9BzniPHQPoA_5_2"/>
      <w:bookmarkStart w:id="508" w:name="Tc_d74-hmLy2U6s2FX6rDI__Q_5_0"/>
      <w:bookmarkStart w:id="509" w:name="Tc_eOegCw8FRkyvQRpaj_XasA_4_0"/>
      <w:bookmarkStart w:id="510" w:name="Tc_CZdZY0iCA0epBztI0hHuYg_3_5"/>
      <w:bookmarkStart w:id="511" w:name="Tc_SCantmczdUOOKPsG8oLnCg_3_2"/>
      <w:bookmarkStart w:id="512" w:name="Tc_1o0BPqcHPECVML0FWm-GQQ_2_2"/>
      <w:bookmarkStart w:id="513" w:name="Tc_l2dnLMjGdkeDWBOJ_1catw_1_2"/>
      <w:bookmarkStart w:id="514" w:name="_2754bc31_9829_47cf_b327_8a54e3fb6fa6"/>
      <w:bookmarkStart w:id="515" w:name="Tc_yR6117kNVEOqyTV88QLj1g_21_5"/>
      <w:bookmarkStart w:id="516" w:name="Tc_p1U2R1CgTEOk3VV67bDcrg_21_2"/>
      <w:bookmarkStart w:id="517" w:name="Tc_gxDGBw-v6EiudzjCsZnbtA_21_0"/>
      <w:bookmarkStart w:id="518" w:name="Tc_EcIRZBI610aiPospZWTAWQ_20_0"/>
      <w:bookmarkStart w:id="519" w:name="Tc__xiAPpeoXUSTpwafaS-CuA_19_0"/>
      <w:bookmarkStart w:id="520" w:name="Tc_aD0sZcTkDkyz_sCzDh2CqA_18_0"/>
      <w:bookmarkStart w:id="521" w:name="Tc_re4ltwPGa0CARNZ8AiNo3A_17_0"/>
      <w:bookmarkStart w:id="522" w:name="Tc_-g7P3t2xfEmzIZF06LucmA_16_0"/>
      <w:bookmarkStart w:id="523" w:name="Tc_NQdHRrvAQk6YCoDTJh0npQ_15_0"/>
      <w:bookmarkStart w:id="524" w:name="Tc_oAaG7KGHS0-TjU8ga2lMdA_14_0"/>
      <w:bookmarkStart w:id="525" w:name="Tc_HZx7JzZsgE6Slrx6LPrnnw_13_6"/>
      <w:bookmarkStart w:id="526" w:name="Tc_fRQeaKSo0Em-_YmOTMf8fw_13_0"/>
      <w:bookmarkStart w:id="527" w:name="Tc_WCY2f9QJDUyztVvfTrjR3w_12_0"/>
      <w:bookmarkStart w:id="528" w:name="Tc_epCEIBzM00ajFCrTXey_VA_11_0"/>
      <w:bookmarkStart w:id="529" w:name="Tc_oiSkfxtQvEyUhTXGnpoInQ_10_0"/>
      <w:bookmarkStart w:id="530" w:name="Tc_hwN0Eq8DRkWSdQ-S52K2dw_9_0"/>
      <w:bookmarkStart w:id="531" w:name="Tc_daP0J8nmDkKy7LzAwCMlcA_8_0"/>
      <w:bookmarkStart w:id="532" w:name="Tc_pAVqBKhA4EG2nGDLcmn40A_7_0"/>
      <w:bookmarkStart w:id="533" w:name="Tc_qEYq_HAyqkiOKk0dN0F8ZA_6_0"/>
      <w:bookmarkStart w:id="534" w:name="Tc_udR0yBq0SkKBCa1xwqh0Qw_5_5"/>
      <w:bookmarkStart w:id="535" w:name="Tc_e-bZDHeXzka9BzniPHQPoA_5_2"/>
      <w:bookmarkStart w:id="536" w:name="Tc_d74-hmLy2U6s2FX6rDI__Q_5_0"/>
      <w:bookmarkStart w:id="537" w:name="Tc_eOegCw8FRkyvQRpaj_XasA_4_0"/>
      <w:bookmarkStart w:id="538" w:name="Tc_CZdZY0iCA0epBztI0hHuYg_3_5"/>
      <w:bookmarkStart w:id="539" w:name="Tc_SCantmczdUOOKPsG8oLnCg_3_2"/>
      <w:bookmarkStart w:id="540" w:name="Tc_1o0BPqcHPECVML0FWm-GQQ_2_2"/>
      <w:bookmarkStart w:id="541" w:name="Tc_l2dnLMjGdkeDWBOJ_1catw_1_2"/>
      <w:bookmarkStart w:id="542" w:name="_2754bc31_9829_47cf_b327_8a54e3fb6fa6"/>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tbl>
      <w:tblPr>
        <w:tblW w:w="9042" w:type="dxa"/>
        <w:jc w:val="left"/>
        <w:tblInd w:w="0" w:type="dxa"/>
        <w:tblLayout w:type="fixed"/>
        <w:tblCellMar>
          <w:top w:w="0" w:type="dxa"/>
          <w:left w:w="0" w:type="dxa"/>
          <w:bottom w:w="0" w:type="dxa"/>
          <w:right w:w="0" w:type="dxa"/>
        </w:tblCellMar>
      </w:tblPr>
      <w:tblGrid>
        <w:gridCol w:w="5716"/>
        <w:gridCol w:w="326"/>
        <w:gridCol w:w="211"/>
        <w:gridCol w:w="1156"/>
        <w:gridCol w:w="326"/>
        <w:gridCol w:w="211"/>
        <w:gridCol w:w="1096"/>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629660" cy="175260"/>
                      <wp:effectExtent l="0" t="0" r="0" b="0"/>
                      <wp:wrapNone/>
                      <wp:docPr id="85" name="Frame84"/>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6"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7"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734060" cy="175260"/>
                      <wp:effectExtent l="0" t="0" r="0" b="0"/>
                      <wp:wrapNone/>
                      <wp:docPr id="88" name="Frame87"/>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89"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0"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5960" cy="175260"/>
                      <wp:effectExtent l="0" t="0" r="0" b="0"/>
                      <wp:wrapNone/>
                      <wp:docPr id="91" name="Frame90"/>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571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30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r>
      <w:tr>
        <w:trPr/>
        <w:tc>
          <w:tcPr>
            <w:tcW w:w="571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30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571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5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both"/>
              <w:rPr/>
            </w:pPr>
            <w:r>
              <w:rPr/>
              <w:t>​</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(10,460,410)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(6,893,691)</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Reconciliation of net loss to net cash used in operating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426,409</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195,320</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Changes in operating assets and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6" w:type="dxa"/>
            <w:tcBorders/>
            <w:shd w:fill="CCEEFF" w:val="clear"/>
            <w:vAlign w:val="center"/>
          </w:tcPr>
          <w:p>
            <w:pPr>
              <w:pStyle w:val="TableContents"/>
              <w:bidi w:val="0"/>
              <w:spacing w:before="0" w:after="1"/>
              <w:ind w:left="0" w:right="0" w:hanging="0"/>
              <w:jc w:val="both"/>
              <w:rPr/>
            </w:pPr>
            <w:r>
              <w:rPr/>
              <w:t>​</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Prepaid expenses and deposits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(643,007)</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(178,148)</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receivables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283,405</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Related party payable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(1,382,185)</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(426,217)</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(89,307)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812,142</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1,352,975</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(10,113,975)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(6,207,189)</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pPr>
            <w:r>
              <w:rPr/>
              <w:t>​</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Proceeds from issuance of common stock, net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9,863,883</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36,902</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Proceeds from exercise of warrants and stock options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58,501</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9,864,488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95,403</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(249,487)</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(6,111,786)</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Cash, cash equivalents, and restricted cash at beginning of the period</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19,192,440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15,111,450</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cash equivalents, and restricted cash at end of the period</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18,942,953</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8,999,664</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543" w:name="_240e1df7_1487_4a1c_99a9_2af8323e777d"/>
      <w:bookmarkEnd w:id="543"/>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544" w:name="NOTESTOCONDENSEDCONSOLIDATEDFINANCIALSTA"/>
      <w:bookmarkEnd w:id="544"/>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NATURE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Marker Therapeutics, Inc., a Delaware corporation (the “Company” or “we”), is a clinical-stage immuno-oncology company specializing in the development of novel T cell-based immunotherapies for the treatment of hematological malignancies and solid tumor indications. The Company’s Multi-Antigen Recognizing (“MAR”)-T cell technology is based on the selective expansion of non-engineered, tumor-specific T cells that recognize tumor associated antigens, or tumor targets. MAR-T cells are designed to detect and kill tumor cells expressing those targets to produce a broad spectrum anti-tumor activity. The Company was incorporated in Nevada in 1992 and reincorporated in Delaware in October 2018.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Currently, the Baylor College of Medicine (“BCM”) supplies the Company with MT-601, the Company’s lead Multi-Antigen Recognizing (MAR)-T cell therapy in anticipation of the commencement of the Company’s larger pivotal trial for Lymphoma.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16, 2025, the Company entered into a Statement of Work (the “SOW”) with Cellipont Bioservices (“Cellipont”), a leading cell therapy Contract Development and Manufacturing Organization (“CDMO”), for the manufacturing of MT-601. Pursuant to the SOW, Cellipont will provide technology transfer and cGMP manufacturing services to support the scale-up and production of MT-601 for the Company’s APOLLO study.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results for the unaudited condensed consolidated statement of operations are not necessarily indicative of results to be expected for the year ending December 31, 2025, or for any future interim period. The condensed consolidated balance sheet at December 31, 2024 has been derived from 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2024 and notes thereto included in the Company’s annual report on Form 10-K filed on March 31, 2025.</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NOTE 3: LIQUIDITY AND FINANCIAL CONDITION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September 30, 2025, the Company had cash, cash equivalents, and restricted cash of approximately $18.9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 and grants.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November 2024, the Company entered into an At The Market Offering Agreement (the “ATM Agreement”) with H.C. Wainwright &amp; Co. LLC, relating to the sale of shares of its common stock , from time to time, through H.C. Wainwright &amp; Co. LLC pursuant to the Company’s shelf registration statement on Form S-3 (File No. 333-283512), which the SEC declared effective on December 6, 2024. The Company’s use of the shelf registration statement on Form S-3 will be limited for so long as it is subject to General Instruction I.B.6 of Form S-3, which limits the amounts that the Company may sell under the registration statement and in accordance with the ATM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Agreement. H.C. Wainwright &amp; Co. LLC is entitled to compensation under the ATM Agreement at a commission rate equal to 3.0% of the gross sales price per share sold under the ATM Agreement. Recently, between July 17 and 21, 2025, the Company sold 1,624,075 shares of common stock pursuant to the ATM Agreement for net proceeds of $4.5 million, after deducting agent commissions, at an average price of $2.87 per share. On August 26, 2025, the Company sold an additional 3,734,217 shares of common stock pursuant to the ATM Agreement with H.C. Wainwright &amp; Co., LLC for net proceeds of $5.4 million, after deducting agent commissions, at an average price of $1.48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2021, the Company received notice of a Product Development Research award totaling approximately $13.1 million from the Cancer Prevention and Research Institute of Texas (“CPRIT”) to support the Company’s clinical investigation of MT-401 as an Off - the - Shelf (“OTS”) product in patients with Acute Myeloid Leukemia (“AML”) (the “CPRIT AML Grant”). Through the date of this filing, the Company has received $11.8 million of funds from the CPRIT AML Grant. The Company recorded $0.2 million and $0.7 million of grant income related to the CPRIT AML Grant as revenue for the three and nine months ended September 30, 2025, respectively. As of September 30, 2025, the Company’s grant income receivable balance for this grant was $0.6 million, which represented grant income earned in advance of funds to be received from CPRIT.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2022, the Company received notice from the U.S. Food and Drug Administration (the “FDA”) that it had awarded the Company a $2.0 million grant from the FDA’s Orphan Products Grant program to support the Company’s clinical investigation of MT-401 for the treatment of post-transplant AML (the “FDA Grant”). Through the date of this filing, the Company has received $1.2 million from the FDA Grant. The Company recorded approximately $0.01 million and $0.1 million of grant income related to the FDA Grant as revenue for the three and nine months ended September 30, 2025, respectively, and as of September 30, 2025, the Company had approximately $0.01 million in grant income receivable balance for this grant.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May 2023, the Company received notice of a $2.0 million grant from the National Institutes of Health (“NIH”) Small Business Innovation Research (“SBIR”) program to support the development and investigation of MT-401 for the treatment of AML patients following standard-of-care therapy with hypomethylating agents (the “SBIR AML Grant”). Through the date of this filing, the Company has received $1.5 million from SBIR. The Company recorded $0.2 million and $0.3 million of grant income related to the SBIR AML Grant as revenue for the three and nine months ended September 30, 2025, respectively. As of September 30, 2025, the Company’s grant income receivable balance for this grant was $0.2 million which represented grant income earned in advance of funds to be received from the SBIR.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above funding agencies have agreed to continue their financial support and to shift funds to the MT-401-OTS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June 2024, the Company received notice of a $2.0 million grant over a 2. - year period from the NIH SBIR program to support control over tumor immune escape in pancreatic cancer using a dual T cell product strategy (the “Decoy Grant”). Through the date of this filing, the Company has received approximately $0.3 million from NIH for this grant. The Company recorded $0.1 million and $0.3 million of grant income related to the Decoy Grant as revenue during the three and nine months ended September 30, 2025, respectively, and as of September 30, 2025, the Company’s grant income receivable balance for this grant was approximately $0.02 million.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the Company received notice of a $2.0 million grant from the SBIR program to support the clinical investigation of MT-601 in patients with non-Hodgkin’s lymphoma (NHL) who have relapsed following anti-CD19 chimeric antigen receptor (“CAR”)-T cell therapy (the “SBIR NHL Grant”). Through the date of this filing, the Company has received $1.2 million of funds from this grant. The Company recorded $0.6 million of grant income related to the SBIR NHL Grant as revenue for the three and nine months ended September 30, 2025, and as of September 30, 2025, the Company’s grant income receivable balance for this grant was $0.6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2024, the Company received another $2.0 million grant from the NIH SBIR program to support the advancement of MT-601 in patients with pancreatic cancer (the “PANACEA Grant”). Through the date of this filing, the Company has received approximately $0.2 million from NIH for this grant. The Company recorded approximately $0.2 million of grant income related to the PANACEA Grant as revenue during the three and nine months ended September 30, 2025, and as of September 30, 2025, the Company’s grant income receivable balance for this grant was approximately $0.2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2024, the Company received notice of an additional $9.5 million grant from CPRIT to support the clinical investigation of MT-601 in patients with metastatic pancreatic cancer (the “CPRIT Pancreatic Grant”). Through the date of this filing, the Company has received $1.5 million of funds from this grant. The Company recorded nil and $0.2 million of grant income related to this grant as revenue during the three and nine months ended September 30, 2025, respectively. As of September 30, 2025, $1.4 million was recorded as restricted cash and deferred revenue on the Company’s condensed consolidated balance sheet.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 The transaction closed on December 23, 2024, with net proceeds from the sale of securities in the Private Placement of approximately $14.9 million, which does not include any proceeds that may be received upon exercise of any warrants issued in the Private Placement. Both the Pre-Funded Warrants and the Private Placement Warrants were not exercisable until the Company obtained shareholder approval, which was received on March 21,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expects to continue to incur substantial losses over the next several years during its development phase.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Company’s lack of recurring revenues, anticipated uses of cash and historical recurring cash losses from operating activities, and cash, cash equivalents, and restricted cash as of September 30, 2025, and taking into consideration the net proceeds received in July and August of 2025 through the sale of Common Stock pursuant to its ATM Agreement with H.C. Wainwright &amp; Co., LLC (see Note 13), the Company anticipates that it will be able to fund its operating expenses and capital expenditure requirements through the third quarter of 2026, assuming no additional grant funds are received, either from new grants or from existing awarded grants. These factors raise substantial doubt regarding the Company’s ability to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is considering raising additional capital through the issuance of securities and intends to apply for additional grant funds, which could enable the Company to fund its operating expenses and capital expenditure requirements beyond the third quarter of 2026, although no assurance can be given that such capital or existing awarded grants will be earned or future grants will be awarded. The Company’s future cash requirements are based on the Company’s clinical and research and development plans, timing expectations related to the progress of its programs, and is subject to the Company’s ability to effectively manage its costs, raise additional capital, and receive additional grant funds, of which there can be no assurances.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assumptions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 </w:t>
      </w:r>
    </w:p>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Initiates, continues, or accelerates clinical trials of its product candidates;</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continues the research and development of its product candidates and seeks to discover additional product candidates;</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seeks regulatory approvals for any product candidates that successfully complete clinical trials;</w:t>
            </w:r>
          </w:p>
        </w:tc>
      </w:tr>
    </w:tbl>
    <w:tbl>
      <w:tblPr>
        <w:tblW w:w="4671" w:type="dxa"/>
        <w:jc w:val="left"/>
        <w:tblInd w:w="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maintains and enforces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enters into contract manufacturing arrangements with contract manufacturing organizations for clinical manufacturing supply;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establishes sales, marketing and distribution infrastructure and scale-up manufacturing capabilities to commercialize any product candidates that may receive regulatory approval;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evaluates strategic transactions the Company may undertake;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enhances operational, financial and information management systems and hires additional personnel, including personnel to support development of product candidates and, if a product candidate is approved, commercialization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unaudited condensed consolidated financial statements have been prepared on a going concern basis, which implies that the Company will continue to realize its assets and discharge its liabilities in the normal course of business. The Company’s financial statements do not include any adjustments to the recoverability and classification of recorded asset amounts and classification of liabilities that might be necessary should the Company be unable to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foregoing, high inflation and concerns about an economic recession in the United States or other major markets have resulted in, among other things, volatility in the capital markets that may have the effect of reducing the Company’s ability to access capital, which could in the future negatively affect the Company’s liquidity. In addition, a recession or market correction due to these factors could materially affect the Company’s business and the value of its common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4: SIGNIFICANT ACCOUNTING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have been no material changes in the Company’s significant accounting policies to those previously disclosed in the Annual Report on Form 10-K for the year ended December 31, 2024 filed on March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include the accounts of the Company and its wholly-owned subsidiaries, Marker Cell Therapy, Inc. and GeneMax Pharmaceuticals Inc. – a dormant subsidiary that wholly owns GeneMax Pharmaceuticals Canada, Inc. All significant intercompany balances and transactions are eliminated upon consolidation.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Preparation of the Company’s consolidated financial statements in conformity with GAAP requires management to make estimates and assumptions that affect reported amounts of assets and liabilities and disclosure of contingent assets and liabilities at the date of the financial statements and the reported amounts of expenses during the reporting period. Accordingly, actual results may differ materially from those estimates. Management considers many factors in selecting appropriate financial accounting policies,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stock-based compensation expense and income taxes.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Cash Equivalents, Restricted Cash, and 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considers highly liquid investments with a maturity of three months or less when purchased to be cash equivalents. Cash, cash equivalents, and restricted cash at September 30, 2025 consisted of cash and certificates of deposit in institutions in the United States. The Company maintains cash in accounts which are in excess of the Federal Deposit Insurance Corporation (“FDIC”) insured limits of $250,000. As of September 30, 2025, the Company had approximately $1.8 million in cash at financial institutions, including $1.4 million of restricted cash at financial institutions, and approximately $17.1 million in U.S. government agency securities, for aggregate cash, cash equivalents, and restricted cash of $18.9 million. As of December 31, 2024, the Company had approximately $1.1 million in cash at financial institutions and approximately $18.1 million in U.S. government agency securities, for aggregate cash and cash equivalents of $19.2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cash is received from grants in advance of incurring qualifying costs, it is recorded as restricted cash and deferred revenue until it is earned and recorded to grant income. As of September 30, 2025, $1.4 million was recorded as restricted cash and deferred revenue on the Company’s condensed consolidated balance sheet.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Modification of Stock Options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nine months ended September 30, 2025, the Company recorded incremental stock-based compensation expense of $0.3 million pertaining to the modification of stock options in connection with certain consultants. The modification provided for an acceleration of unvested options, resulting in $0.3 million in compensation expense that was immediately recognized, and is reflected in operating expenses.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Segment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adopted Accounting Standard Update (“ASU”) 2023-07, Segment Reporting (Topic 280) - Improvements to Reportable Segment Disclosures, as of January 1, 2024. See the section Recently Adopted Accounting Standards below for more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segments are defined as components of an entity for which separate discrete financial information is made available and that is regularly evaluated by the chief operating decision maker (“CODM”) in making decisions regarding resource allocation and assessing performance. The Company is a clinical-stage immuno-oncology company specializing in the development of novel T cell-based immunotherapies for the treatment of hematological malignancies and solid tumor indications. The Company’s operations are organized and reported as a single reportable segment, which includes all activities related to the discovery, development, and commercialization of its product candidates. The Company’s CODM, its chief executive officer, reviews operating results on an aggregate basis and manages the operations as a single operating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policies of the Company’s single operating and reportable segment are the same as those described in the Company’s summary of significant accounting policies as previously disclosed in the Annual Report on Form 10-K for the year ended December 31, 2024 filed on March 31, 2025. The measure of segment assets is reported on the consolidated balance sheets as total assets. The CODM evaluates performance and allocates resources based on consolidated net income (loss) that also is reported on the consolidated statements of operations as net loss, and consolidated cash used in operations. The Company’s significant expenses are consistent with the expenses presented on the consolidated statement of operations. The CODM makes operating decisions based on the availability of cash and the allocation of cash to the required expenditures. Expenses are not regularly provided to the CODM on a more disaggregated basis for purposes of assessing segment performance and deciding how to allocate resources.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Standards Not Yet Adopted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new accounting pronouncements are issued by the Financial Accounting Standards Board (“FASB”) or other standard setting bodies that the Company adopts as of the specified effective date. Unless otherwise discussed, the Company does not believe that the impact of recently issued standards that are not yet effective will have a material impact on its consolidated financial position or results of operations upon adoption.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Improvements to Income Tax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does not expect the adoption of this guidance to have a material impact on its consolidated financial statements.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Income Statement – Reporting Comprehensive Income – Expense Disaggregation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2024, the FASB issued ASU No. 2024-03, Income Statement - Reporting Comprehensive Income - Expense Disaggregation Disclosures, to improve transparency in financial reporting by requiring entities to present more detailed information about the nature of expenses included within the Income Statement. The guidance will be effective for annual reporting periods beginning after December 15, 2026, and interim reporting periods beginning after December 15, 2027. Early adoption is permitted. Upon adoption, the guidance can be applied prospectively or retrospectively. The Company is in the process of assessing the impact of ASU 2024-03 on its disclosures.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Intangibles – Goodwill and Other (Topic 350): Internal-use Software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2025, the FASB issued ASU 2025-06, Intangibles-Goodwill and Other (Topic 350): Internal-use Software, which removes all references to prescriptive and sequential software development stages (referred to as “project stages”) throughout Subtopic 350-40 and requires the capitalization of software costs to begin when 1) management has authorized and committed to funding the software project and 2) it is probable that the project will be completed and the software will be used to perform the function intended. This guidance will be effective for annual reporting periods and interim reporting periods beginning after December 15, 2027. Early adoption is permitted. Upon adoption, the guidance can be applied prospectively or retrospectively. The Company does not expect the adoption of this guidance to have a material impact on its consolidated financial statements.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Derivatives Scope Refinements and Scope Clarification for Share-Based Noncash Consideration from a Customer in a Revenue Contract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2025, the FASB issued ASU 2025-07, Derivatives and Hedging (Topic 815) and Revenue from Contracts with Customers (Topic 606): Derivatives Scope Refinements and Scope Clarification for Share-Based Noncash Consideration from a Customer in a Revenue Contract. This ASU excludes from derivative accounting non-exchange-traded contracts with underlyings based on operations or activities specific to one of the parties to the contract. This guidance will be effective for annual reporting periods and interim reporting periods beginning after December 15, 2026. Early adoption is permitted. Upon adoption, the guidance can be applied prospectively or retrospectively. The Company does not expect the adoption of this guidance to have a material impact on its consolidated financial statements.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 Tax Law Changes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4, 2025, the One Big Beautiful Bill Act (OBBBA) was enacted, introducing significant changes to U.S. tax law, including provisions related to bonus depreciation, interest expense limitations, and the treatment of domestic research and development expenditures.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currently assessing the potential impact of these changes on its financial statements, including income tax provisions, deferred tax assets and liabilities, and related disclosures under ASC 740. Due to the complexity and scope of the legislation, management has not yet completed its evaluation and is unable to reasonably estimate the financial effects as of the reporting date. The Company will update its disclosures in future reporting periods as the analysis progresses and additional guidance becomes available.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45" w:name="Tc_F_z1sSjwkk6kixFXcXgyzQ_12_11"/>
      <w:bookmarkStart w:id="546" w:name="Tc_uLJm_PAxRUyavdPFaf_8RQ_12_8"/>
      <w:bookmarkStart w:id="547" w:name="Tc_vst0ZQrJFkiBlaYgVfe92g_12_5"/>
      <w:bookmarkStart w:id="548" w:name="Tc_w2Z59nkm6UuYaGh4LcY6fg_12_2"/>
      <w:bookmarkStart w:id="549" w:name="Tc_xA8nbB-hoECBUAII2mTyCQ_12_0"/>
      <w:bookmarkStart w:id="550" w:name="Tc_nxGqolOraEWRDRjsqsBlkQ_11_0"/>
      <w:bookmarkStart w:id="551" w:name="Tc_htznsGuU_EGCu64FAvwchw_9_0"/>
      <w:bookmarkStart w:id="552" w:name="Tc_umqBfLxbuEibNVdgLCglow_8_0"/>
      <w:bookmarkStart w:id="553" w:name="Tc_5pyWjKGhB0-FrDKvouehPQ_7_0"/>
      <w:bookmarkStart w:id="554" w:name="Tc_f9p-N07pUECEfdR4KokeGw_5_11"/>
      <w:bookmarkStart w:id="555" w:name="Tc_jijLFD8qFkqJxUCfz2W-BQ_5_8"/>
      <w:bookmarkStart w:id="556" w:name="Tc_mtOfL13ri0aZT2XAbcgXug_5_5"/>
      <w:bookmarkStart w:id="557" w:name="Tc_f37l_a-InE2OB-Sao_ZWSQ_5_2"/>
      <w:bookmarkStart w:id="558" w:name="Tc_P9ZmCuoGpk-5hE3y03UttA_5_0"/>
      <w:bookmarkStart w:id="559" w:name="Tc_2P6zyiBRUUa48mPmOCmO7g_4_0"/>
      <w:bookmarkStart w:id="560" w:name="Tc_w_VjX25Za0O1AU6n1lfcRg_3_11"/>
      <w:bookmarkStart w:id="561" w:name="Tc_qTjq4pSimUaM4-2mvTf3_Q_3_8"/>
      <w:bookmarkStart w:id="562" w:name="Tc_rkrd_WStl0CHwKeA-I-IRg_3_5"/>
      <w:bookmarkStart w:id="563" w:name="Tc_CadGrxfjoUGQEGUvy3ZRPg_3_2"/>
      <w:bookmarkStart w:id="564" w:name="Tc_WOVHzhySYU2z2qjlgNOrrQ_2_8"/>
      <w:bookmarkStart w:id="565" w:name="Tc_SPks1TqE3ESPWqQ5Ssv9yA_2_2"/>
      <w:bookmarkStart w:id="566" w:name="Tc_E-IonwbDgEuBA9c74FP3zw_1_8"/>
      <w:bookmarkStart w:id="567" w:name="Tc_j-aV2jrNNkClGVTeg7vdZg_1_2"/>
      <w:bookmarkStart w:id="568" w:name="_d12d17c6_ded5_4df1_a975_1e6327178778"/>
      <w:bookmarkStart w:id="569" w:name="_18648bef_c2bb_47ef_9084_5476736e56ff"/>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r>
        <w:rPr>
          <w:rFonts w:ascii="Times New Roman;Times;serif" w:hAnsi="Times New Roman;Times;serif"/>
          <w:b/>
          <w:sz w:val="20"/>
        </w:rPr>
        <w:t>NOTE 5: NET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computation of net loss per share for the three and nine months ended September 30, 2025 and 2024, respectively:</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94"/>
        <w:gridCol w:w="326"/>
        <w:gridCol w:w="211"/>
        <w:gridCol w:w="1047"/>
        <w:gridCol w:w="326"/>
        <w:gridCol w:w="211"/>
        <w:gridCol w:w="1035"/>
        <w:gridCol w:w="386"/>
        <w:gridCol w:w="211"/>
        <w:gridCol w:w="1140"/>
        <w:gridCol w:w="326"/>
        <w:gridCol w:w="211"/>
        <w:gridCol w:w="1081"/>
      </w:tblGrid>
      <w:tr>
        <w:trPr/>
        <w:tc>
          <w:tcPr>
            <w:tcW w:w="3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345690" cy="175260"/>
                      <wp:effectExtent l="0" t="0" r="0" b="0"/>
                      <wp:wrapNone/>
                      <wp:docPr id="92" name="Frame91"/>
                      <a:graphic xmlns:a="http://schemas.openxmlformats.org/drawingml/2006/main">
                        <a:graphicData uri="http://schemas.microsoft.com/office/word/2010/wordprocessingShape">
                          <wps:wsp>
                            <wps:cNvSpPr txBox="1"/>
                            <wps:spPr>
                              <a:xfrm>
                                <a:off x="0" y="0"/>
                                <a:ext cx="234569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3"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4"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64845" cy="175260"/>
                      <wp:effectExtent l="0" t="0" r="0" b="0"/>
                      <wp:wrapNone/>
                      <wp:docPr id="95" name="Frame94"/>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6"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7"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57225" cy="175260"/>
                      <wp:effectExtent l="0" t="0" r="0" b="0"/>
                      <wp:wrapNone/>
                      <wp:docPr id="98" name="Frame97"/>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45110" cy="175260"/>
                      <wp:effectExtent l="0" t="0" r="0" b="0"/>
                      <wp:wrapNone/>
                      <wp:docPr id="99" name="Frame9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0"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723900" cy="175260"/>
                      <wp:effectExtent l="0" t="0" r="0" b="0"/>
                      <wp:wrapNone/>
                      <wp:docPr id="101" name="Frame100"/>
                      <a:graphic xmlns:a="http://schemas.openxmlformats.org/drawingml/2006/main">
                        <a:graphicData uri="http://schemas.microsoft.com/office/word/2010/wordprocessingShape">
                          <wps:wsp>
                            <wps:cNvSpPr txBox="1"/>
                            <wps:spPr>
                              <a:xfrm>
                                <a:off x="0" y="0"/>
                                <a:ext cx="72390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2"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3"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86435" cy="175260"/>
                      <wp:effectExtent l="0" t="0" r="0" b="0"/>
                      <wp:wrapNone/>
                      <wp:docPr id="104" name="Frame10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694"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8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86" w:type="dxa"/>
            <w:tcBorders/>
            <w:vAlign w:val="center"/>
          </w:tcPr>
          <w:p>
            <w:pPr>
              <w:pStyle w:val="TableContents"/>
              <w:bidi w:val="0"/>
              <w:spacing w:before="0" w:after="1"/>
              <w:ind w:left="0" w:right="0" w:hanging="0"/>
              <w:jc w:val="both"/>
              <w:rPr/>
            </w:pPr>
            <w:r>
              <w:rPr/>
              <w:t> </w:t>
            </w:r>
          </w:p>
        </w:tc>
        <w:tc>
          <w:tcPr>
            <w:tcW w:w="296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r>
      <w:tr>
        <w:trPr/>
        <w:tc>
          <w:tcPr>
            <w:tcW w:w="3694"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8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86" w:type="dxa"/>
            <w:tcBorders/>
            <w:vAlign w:val="center"/>
          </w:tcPr>
          <w:p>
            <w:pPr>
              <w:pStyle w:val="TableContents"/>
              <w:bidi w:val="0"/>
              <w:spacing w:before="0" w:after="1"/>
              <w:ind w:left="0" w:right="0" w:hanging="0"/>
              <w:jc w:val="both"/>
              <w:rPr/>
            </w:pPr>
            <w:r>
              <w:rPr/>
              <w:t> </w:t>
            </w:r>
          </w:p>
        </w:tc>
        <w:tc>
          <w:tcPr>
            <w:tcW w:w="29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694"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2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6" w:type="dxa"/>
            <w:tcBorders/>
            <w:vAlign w:val="center"/>
          </w:tcPr>
          <w:p>
            <w:pPr>
              <w:pStyle w:val="TableContents"/>
              <w:bidi w:val="0"/>
              <w:spacing w:before="0" w:after="1"/>
              <w:ind w:left="0" w:right="0" w:hanging="0"/>
              <w:jc w:val="both"/>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694"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7"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5" w:type="dxa"/>
            <w:tcBorders/>
            <w:shd w:fill="CCEEFF" w:val="clear"/>
            <w:vAlign w:val="center"/>
          </w:tcPr>
          <w:p>
            <w:pPr>
              <w:pStyle w:val="TableContents"/>
              <w:bidi w:val="0"/>
              <w:spacing w:before="0" w:after="1"/>
              <w:ind w:left="0" w:right="0" w:hanging="0"/>
              <w:jc w:val="both"/>
              <w:rPr/>
            </w:pPr>
            <w:r>
              <w:rPr/>
              <w:t>​</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40"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81" w:type="dxa"/>
            <w:tcBorders/>
            <w:shd w:fill="CCEEFF" w:val="clear"/>
            <w:vAlign w:val="center"/>
          </w:tcPr>
          <w:p>
            <w:pPr>
              <w:pStyle w:val="TableContents"/>
              <w:bidi w:val="0"/>
              <w:spacing w:before="0" w:after="1"/>
              <w:ind w:left="0" w:right="0" w:hanging="0"/>
              <w:jc w:val="both"/>
              <w:rPr/>
            </w:pPr>
            <w:r>
              <w:rPr/>
              <w:t>​</w:t>
            </w:r>
          </w:p>
        </w:tc>
      </w:tr>
      <w:tr>
        <w:trPr/>
        <w:tc>
          <w:tcPr>
            <w:tcW w:w="3694"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(1,998,662)</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(2,308,192)</w:t>
            </w:r>
          </w:p>
        </w:tc>
        <w:tc>
          <w:tcPr>
            <w:tcW w:w="38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(10,460,410)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(6,893,691)</w:t>
            </w:r>
          </w:p>
        </w:tc>
      </w:tr>
      <w:tr>
        <w:trPr/>
        <w:tc>
          <w:tcPr>
            <w:tcW w:w="3694"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7"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5" w:type="dxa"/>
            <w:tcBorders/>
            <w:shd w:fill="CCEEFF" w:val="clear"/>
            <w:vAlign w:val="center"/>
          </w:tcPr>
          <w:p>
            <w:pPr>
              <w:pStyle w:val="TableContents"/>
              <w:bidi w:val="0"/>
              <w:spacing w:before="0" w:after="1"/>
              <w:ind w:left="0" w:right="0" w:hanging="0"/>
              <w:jc w:val="both"/>
              <w:rPr/>
            </w:pPr>
            <w:r>
              <w:rPr/>
              <w:t>​</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40"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81" w:type="dxa"/>
            <w:tcBorders/>
            <w:shd w:fill="CCEEFF" w:val="clear"/>
            <w:vAlign w:val="center"/>
          </w:tcPr>
          <w:p>
            <w:pPr>
              <w:pStyle w:val="TableContents"/>
              <w:bidi w:val="0"/>
              <w:spacing w:before="0" w:after="1"/>
              <w:ind w:left="0" w:right="0" w:hanging="0"/>
              <w:jc w:val="both"/>
              <w:rPr/>
            </w:pPr>
            <w:r>
              <w:rPr/>
              <w:t>​</w:t>
            </w:r>
          </w:p>
        </w:tc>
      </w:tr>
      <w:tr>
        <w:trPr/>
        <w:tc>
          <w:tcPr>
            <w:tcW w:w="3694"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Denominator:</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5"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4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81" w:type="dxa"/>
            <w:tcBorders/>
            <w:vAlign w:val="center"/>
          </w:tcPr>
          <w:p>
            <w:pPr>
              <w:pStyle w:val="TableContents"/>
              <w:bidi w:val="0"/>
              <w:spacing w:before="0" w:after="1"/>
              <w:ind w:left="0" w:right="0" w:hanging="0"/>
              <w:jc w:val="right"/>
              <w:rPr/>
            </w:pPr>
            <w:r>
              <w:rPr/>
              <w:t>​</w:t>
            </w:r>
          </w:p>
        </w:tc>
      </w:tr>
      <w:tr>
        <w:trPr/>
        <w:tc>
          <w:tcPr>
            <w:tcW w:w="3694"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common shares outstanding, basic</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16,757,678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8,923,170</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13,960,791</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8,914,487</w:t>
            </w:r>
          </w:p>
        </w:tc>
      </w:tr>
      <w:tr>
        <w:trPr/>
        <w:tc>
          <w:tcPr>
            <w:tcW w:w="3694"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common shares outstanding, diluted</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16,757,678</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8,923,170</w:t>
            </w:r>
          </w:p>
        </w:tc>
        <w:tc>
          <w:tcPr>
            <w:tcW w:w="38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13,960,791</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8,914,487</w:t>
            </w:r>
          </w:p>
        </w:tc>
      </w:tr>
      <w:tr>
        <w:trPr/>
        <w:tc>
          <w:tcPr>
            <w:tcW w:w="3694"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7"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5" w:type="dxa"/>
            <w:tcBorders/>
            <w:shd w:fill="CCEEFF" w:val="clear"/>
            <w:vAlign w:val="center"/>
          </w:tcPr>
          <w:p>
            <w:pPr>
              <w:pStyle w:val="TableContents"/>
              <w:bidi w:val="0"/>
              <w:spacing w:before="0" w:after="1"/>
              <w:ind w:left="0" w:right="0" w:hanging="0"/>
              <w:jc w:val="both"/>
              <w:rPr/>
            </w:pPr>
            <w:r>
              <w:rPr/>
              <w:t>​</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40"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81" w:type="dxa"/>
            <w:tcBorders/>
            <w:shd w:fill="CCEEFF" w:val="clear"/>
            <w:vAlign w:val="center"/>
          </w:tcPr>
          <w:p>
            <w:pPr>
              <w:pStyle w:val="TableContents"/>
              <w:bidi w:val="0"/>
              <w:spacing w:before="0" w:after="1"/>
              <w:ind w:left="0" w:right="0" w:hanging="0"/>
              <w:jc w:val="both"/>
              <w:rPr/>
            </w:pPr>
            <w:r>
              <w:rPr/>
              <w:t>​</w:t>
            </w:r>
          </w:p>
        </w:tc>
      </w:tr>
      <w:tr>
        <w:trPr/>
        <w:tc>
          <w:tcPr>
            <w:tcW w:w="3694"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Net loss per share: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5"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4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81" w:type="dxa"/>
            <w:tcBorders/>
            <w:vAlign w:val="center"/>
          </w:tcPr>
          <w:p>
            <w:pPr>
              <w:pStyle w:val="TableContents"/>
              <w:bidi w:val="0"/>
              <w:spacing w:before="0" w:after="1"/>
              <w:ind w:left="0" w:right="0" w:hanging="0"/>
              <w:jc w:val="right"/>
              <w:rPr/>
            </w:pPr>
            <w:r>
              <w:rPr/>
              <w:t>​</w:t>
            </w:r>
          </w:p>
        </w:tc>
      </w:tr>
      <w:tr>
        <w:trPr/>
        <w:tc>
          <w:tcPr>
            <w:tcW w:w="3694"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per share, basic and diluted</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(0.26)</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(0.77)</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570" w:name="Tc_Emhzdke7Jka6e00fk89-Sg_6_0"/>
      <w:bookmarkStart w:id="571" w:name="Tc_9B6ytTUCd0-eoPmz6kMINQ_5_4"/>
      <w:bookmarkStart w:id="572" w:name="Tc_8z_9em5qs0izQ0JYN4rlzg_5_0"/>
      <w:bookmarkStart w:id="573" w:name="Tc_PL9RDy-cgkyeICZWnPeGow_4_0"/>
      <w:bookmarkStart w:id="574" w:name="Tc_0gRcG8IC7E2x4GK7hbL_8Q_3_4"/>
      <w:bookmarkStart w:id="575" w:name="Tc_lfzVSlKFqkyjUTVmmFobiA_3_2"/>
      <w:bookmarkStart w:id="576" w:name="Tc_hOWyC4GBMEyhDTb1zO0PZA_2_2"/>
      <w:bookmarkStart w:id="577" w:name="Tc_pny1VNJ7NUiWB0RKvfkKPg_1_2"/>
      <w:bookmarkStart w:id="578" w:name="_a5b1bf5a_1a84_47d8_9fe7_666187e4feb9"/>
      <w:bookmarkEnd w:id="570"/>
      <w:bookmarkEnd w:id="571"/>
      <w:bookmarkEnd w:id="572"/>
      <w:bookmarkEnd w:id="573"/>
      <w:bookmarkEnd w:id="574"/>
      <w:bookmarkEnd w:id="575"/>
      <w:bookmarkEnd w:id="576"/>
      <w:bookmarkEnd w:id="577"/>
      <w:bookmarkEnd w:id="578"/>
      <w:r>
        <w:rPr>
          <w:rFonts w:ascii="Times New Roman;Times;serif" w:hAnsi="Times New Roman;Times;serif"/>
          <w:sz w:val="20"/>
        </w:rPr>
        <w:t>The following securities, rounded to the nearest thousand, were not included in the diluted net loss per share calculation because their effect was anti-dilutive for the periods presented:</w:t>
      </w:r>
    </w:p>
    <w:p>
      <w:pPr>
        <w:pStyle w:val="TextBody"/>
        <w:bidi w:val="0"/>
        <w:spacing w:before="0" w:after="240"/>
        <w:ind w:left="0" w:right="0" w:hanging="0"/>
        <w:jc w:val="left"/>
        <w:rPr/>
      </w:pPr>
      <w:r>
        <w:rPr/>
        <w:t>​</w:t>
      </w:r>
    </w:p>
    <w:tbl>
      <w:tblPr>
        <w:tblW w:w="5351" w:type="dxa"/>
        <w:jc w:val="left"/>
        <w:tblInd w:w="0" w:type="dxa"/>
        <w:tblLayout w:type="fixed"/>
        <w:tblCellMar>
          <w:top w:w="0" w:type="dxa"/>
          <w:left w:w="0" w:type="dxa"/>
          <w:bottom w:w="0" w:type="dxa"/>
          <w:right w:w="0" w:type="dxa"/>
        </w:tblCellMar>
      </w:tblPr>
      <w:tblGrid>
        <w:gridCol w:w="2836"/>
        <w:gridCol w:w="326"/>
        <w:gridCol w:w="951"/>
        <w:gridCol w:w="333"/>
        <w:gridCol w:w="905"/>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800860" cy="175260"/>
                      <wp:effectExtent l="0" t="0" r="0" b="0"/>
                      <wp:wrapNone/>
                      <wp:docPr id="105" name="Frame104"/>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6"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03885" cy="175260"/>
                      <wp:effectExtent l="0" t="0" r="0" b="0"/>
                      <wp:wrapNone/>
                      <wp:docPr id="107" name="Frame106"/>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1455" cy="175260"/>
                      <wp:effectExtent l="0" t="0" r="0" b="0"/>
                      <wp:wrapNone/>
                      <wp:docPr id="108" name="Frame107"/>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74675" cy="175260"/>
                      <wp:effectExtent l="0" t="0" r="0" b="0"/>
                      <wp:wrapNone/>
                      <wp:docPr id="109" name="Frame108"/>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83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89"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r>
      <w:tr>
        <w:trPr/>
        <w:tc>
          <w:tcPr>
            <w:tcW w:w="283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8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283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3" w:type="dxa"/>
            <w:tcBorders/>
            <w:vAlign w:val="center"/>
          </w:tcPr>
          <w:p>
            <w:pPr>
              <w:pStyle w:val="TableContents"/>
              <w:bidi w:val="0"/>
              <w:spacing w:before="0" w:after="1"/>
              <w:ind w:left="0" w:right="0" w:hanging="0"/>
              <w:jc w:val="both"/>
              <w:rPr/>
            </w:pPr>
            <w:r>
              <w:rPr/>
              <w:t>    </w:t>
            </w:r>
          </w:p>
        </w:tc>
        <w:tc>
          <w:tcPr>
            <w:tcW w:w="90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83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Common stock options</w:t>
            </w:r>
          </w:p>
        </w:tc>
        <w:tc>
          <w:tcPr>
            <w:tcW w:w="326" w:type="dxa"/>
            <w:tcBorders/>
            <w:shd w:fill="CCEEFF" w:val="clear"/>
            <w:vAlign w:val="center"/>
          </w:tcPr>
          <w:p>
            <w:pPr>
              <w:pStyle w:val="TableContents"/>
              <w:bidi w:val="0"/>
              <w:spacing w:before="0" w:after="1"/>
              <w:ind w:left="0" w:right="0" w:hanging="0"/>
              <w:jc w:val="both"/>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700,000</w:t>
            </w:r>
          </w:p>
        </w:tc>
        <w:tc>
          <w:tcPr>
            <w:tcW w:w="333" w:type="dxa"/>
            <w:tcBorders/>
            <w:shd w:fill="CCEEFF" w:val="clear"/>
            <w:vAlign w:val="center"/>
          </w:tcPr>
          <w:p>
            <w:pPr>
              <w:pStyle w:val="TableContents"/>
              <w:bidi w:val="0"/>
              <w:spacing w:before="0" w:after="1"/>
              <w:ind w:left="0" w:right="0" w:hanging="0"/>
              <w:jc w:val="both"/>
              <w:rPr/>
            </w:pPr>
            <w:r>
              <w:rPr/>
              <w:t> </w:t>
            </w:r>
          </w:p>
        </w:tc>
        <w:tc>
          <w:tcPr>
            <w:tcW w:w="9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596,000</w:t>
            </w:r>
          </w:p>
        </w:tc>
      </w:tr>
      <w:tr>
        <w:trPr/>
        <w:tc>
          <w:tcPr>
            <w:tcW w:w="283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Common stock purchase warrants</w:t>
            </w:r>
          </w:p>
        </w:tc>
        <w:tc>
          <w:tcPr>
            <w:tcW w:w="326" w:type="dxa"/>
            <w:tcBorders/>
            <w:vAlign w:val="center"/>
          </w:tcPr>
          <w:p>
            <w:pPr>
              <w:pStyle w:val="TableContents"/>
              <w:bidi w:val="0"/>
              <w:spacing w:before="0" w:after="1"/>
              <w:ind w:left="0" w:right="0" w:hanging="0"/>
              <w:jc w:val="both"/>
              <w:rPr/>
            </w:pPr>
            <w:r>
              <w:rPr/>
              <w:t>​</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5,031,000</w:t>
            </w:r>
          </w:p>
        </w:tc>
        <w:tc>
          <w:tcPr>
            <w:tcW w:w="333" w:type="dxa"/>
            <w:tcBorders/>
            <w:vAlign w:val="center"/>
          </w:tcPr>
          <w:p>
            <w:pPr>
              <w:pStyle w:val="TableContents"/>
              <w:bidi w:val="0"/>
              <w:spacing w:before="0" w:after="1"/>
              <w:ind w:left="0" w:right="0" w:hanging="0"/>
              <w:jc w:val="both"/>
              <w:rPr/>
            </w:pPr>
            <w:r>
              <w:rPr/>
              <w:t> </w:t>
            </w:r>
          </w:p>
        </w:tc>
        <w:tc>
          <w:tcPr>
            <w:tcW w:w="90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3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Potentially dilutive securities</w:t>
            </w:r>
          </w:p>
        </w:tc>
        <w:tc>
          <w:tcPr>
            <w:tcW w:w="326" w:type="dxa"/>
            <w:tcBorders/>
            <w:shd w:fill="CCEEFF" w:val="clear"/>
            <w:vAlign w:val="center"/>
          </w:tcPr>
          <w:p>
            <w:pPr>
              <w:pStyle w:val="TableContents"/>
              <w:bidi w:val="0"/>
              <w:spacing w:before="0" w:after="1"/>
              <w:ind w:left="0" w:right="0" w:hanging="0"/>
              <w:jc w:val="both"/>
              <w:rPr/>
            </w:pPr>
            <w:r>
              <w:rPr/>
              <w:t>​</w:t>
            </w:r>
          </w:p>
        </w:tc>
        <w:tc>
          <w:tcPr>
            <w:tcW w:w="9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5,731,000</w:t>
            </w:r>
          </w:p>
        </w:tc>
        <w:tc>
          <w:tcPr>
            <w:tcW w:w="333" w:type="dxa"/>
            <w:tcBorders/>
            <w:shd w:fill="CCEEFF" w:val="clear"/>
            <w:vAlign w:val="center"/>
          </w:tcPr>
          <w:p>
            <w:pPr>
              <w:pStyle w:val="TableContents"/>
              <w:bidi w:val="0"/>
              <w:spacing w:before="0" w:after="1"/>
              <w:ind w:left="0" w:right="0" w:hanging="0"/>
              <w:jc w:val="both"/>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596,000</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6: OTHER RECEIVABLE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Qualifying grant income earned in advance of cash received from grants is recognized as revenue and recorded as other receivable. The Company recorded $0.2 million and $0.7 million of grant income related to the CPRIT AML Grant for the three and nine months ended September 30, 2025, respectively. As of September 30, 2025, the Company’s grant income receivable balance for this grant was $0.6 million.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recorded $0.2 million and $0.3 million of grant income related to the SBIR AML Grant as revenue for the three and nine months ended September 30, 2025, respectively. As of September 30, 2025, the Company’s grant income receivable balance for this grant was $0.2 million, which represented grant income earned in advance of funds to be received from the SBIR.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recorded approximately $0.01 million and $0.1 million of grant income related to the FDA Grant as revenue for the three and nine months ended September 30, 2025, respectively. As of September 30, 2025, the Company’s grant income receivable balance for this grant was approximately $0.01 million.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recorded approximately $0.1 million and $0.3 million of grant income related to the Decoy Grant as revenue during the three and nine months ended September 30, 2025, respectively, and as of September 30, 2025, the Company’s grant income receivable balance for this grant was approximately $0.02 million.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recorded $0.6 million of grant income related to the SBIR NHL Grant as revenue during the three and nine months ended September 30, 2025, and as of September 30, 2025, the Company’s grant income receivable balance for this grant was approximately $0.6 million.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recorded approximately $0.2 million of grant income related to the PANACEA Grant as revenue during the three and nine months ended September 30, 2025, and as of September 30, 2025, the Company’s grant income receivable balance for this grant was $0.2 million.</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579" w:name="Tc_bxlrBQ6OeUuxJOXm1ir_IA_9_5"/>
      <w:bookmarkStart w:id="580" w:name="Tc_a6kA5Esms0ivgTT1k93l-w_9_2"/>
      <w:bookmarkStart w:id="581" w:name="Tc_G-T5vUww_UyndBAGIvQO4Q_9_0"/>
      <w:bookmarkStart w:id="582" w:name="Tc_JE-K58OS6EyOb8ALmFhRAA_8_0"/>
      <w:bookmarkStart w:id="583" w:name="Tc_gMh8G9HaH0ejZ89jZdvEgQ_7_0"/>
      <w:bookmarkStart w:id="584" w:name="Tc_oGVgmxfd80mbtrani0dbFA_5_0"/>
      <w:bookmarkStart w:id="585" w:name="Tc_nUx1_uwyw0mC8BoqKePuSg_4_0"/>
      <w:bookmarkStart w:id="586" w:name="Tc_4ISf4KKpB0y1f4fclgt1sw_3_5"/>
      <w:bookmarkStart w:id="587" w:name="Tc_fCFk5GoNmU2RsB7mB8SSgw_3_2"/>
      <w:bookmarkStart w:id="588" w:name="Tc_S0twh0xp8EGFpm5xcEVuuA_3_0"/>
      <w:bookmarkStart w:id="589" w:name="Tc_Qpynm5MrtkSfI5Wnh2HuKg_2_5"/>
      <w:bookmarkStart w:id="590" w:name="Tc_LZnyzFPRyEKLaRx7d0mpww_2_2"/>
      <w:bookmarkStart w:id="591" w:name="Tc_mbjNHeqqeUOiCabMjLLHIw_1_5"/>
      <w:bookmarkStart w:id="592" w:name="Tc_QWDQ_tEVQkKTqHTodizz_A_1_2"/>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r>
        <w:rPr>
          <w:rFonts w:ascii="Times New Roman;Times;serif" w:hAnsi="Times New Roman;Times;serif"/>
          <w:b/>
          <w:sz w:val="20"/>
        </w:rPr>
        <w:t>NOTE 7: ACCOUNTS PAYABLE, ACCRUED LIABILITIES AND RELATED PARTY PAYABLE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payable, accrued liabilities, and related party payable consist of the following as of September 30, 2025 and December 31, 2024, respectively:</w:t>
      </w:r>
    </w:p>
    <w:p>
      <w:pPr>
        <w:pStyle w:val="TextBody"/>
        <w:bidi w:val="0"/>
        <w:spacing w:before="0" w:after="240"/>
        <w:ind w:left="0" w:right="0" w:hanging="0"/>
        <w:jc w:val="left"/>
        <w:rPr/>
      </w:pPr>
      <w:r>
        <w:rPr/>
        <w:t>​</w:t>
      </w:r>
    </w:p>
    <w:tbl>
      <w:tblPr>
        <w:tblW w:w="8740" w:type="dxa"/>
        <w:jc w:val="left"/>
        <w:tblInd w:w="0" w:type="dxa"/>
        <w:tblLayout w:type="fixed"/>
        <w:tblCellMar>
          <w:top w:w="0" w:type="dxa"/>
          <w:left w:w="0" w:type="dxa"/>
          <w:bottom w:w="0" w:type="dxa"/>
          <w:right w:w="0" w:type="dxa"/>
        </w:tblCellMar>
      </w:tblPr>
      <w:tblGrid>
        <w:gridCol w:w="5656"/>
        <w:gridCol w:w="326"/>
        <w:gridCol w:w="219"/>
        <w:gridCol w:w="966"/>
        <w:gridCol w:w="326"/>
        <w:gridCol w:w="211"/>
        <w:gridCol w:w="1036"/>
      </w:tblGrid>
      <w:tr>
        <w:trPr/>
        <w:tc>
          <w:tcPr>
            <w:tcW w:w="5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591560" cy="175260"/>
                      <wp:effectExtent l="0" t="0" r="0" b="0"/>
                      <wp:wrapNone/>
                      <wp:docPr id="110" name="Frame109"/>
                      <a:graphic xmlns:a="http://schemas.openxmlformats.org/drawingml/2006/main">
                        <a:graphicData uri="http://schemas.microsoft.com/office/word/2010/wordprocessingShape">
                          <wps:wsp>
                            <wps:cNvSpPr txBox="1"/>
                            <wps:spPr>
                              <a:xfrm>
                                <a:off x="0" y="0"/>
                                <a:ext cx="35915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1"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9065" cy="175260"/>
                      <wp:effectExtent l="0" t="0" r="0" b="0"/>
                      <wp:wrapNone/>
                      <wp:docPr id="112" name="Frame111"/>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13410" cy="175260"/>
                      <wp:effectExtent l="0" t="0" r="0" b="0"/>
                      <wp:wrapNone/>
                      <wp:docPr id="113" name="Frame112"/>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4"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5"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57860" cy="175260"/>
                      <wp:effectExtent l="0" t="0" r="0" b="0"/>
                      <wp:wrapNone/>
                      <wp:docPr id="116" name="Frame1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565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both"/>
              <w:rPr/>
            </w:pPr>
            <w:r>
              <w:rPr/>
              <w:t>    </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65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6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both"/>
              <w:rPr/>
            </w:pPr>
            <w:r>
              <w:rPr/>
              <w:t>​</w:t>
            </w:r>
          </w:p>
        </w:tc>
        <w:tc>
          <w:tcPr>
            <w:tcW w:w="21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951,000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1,066,000</w:t>
            </w:r>
          </w:p>
        </w:tc>
      </w:tr>
      <w:tr>
        <w:trPr/>
        <w:tc>
          <w:tcPr>
            <w:tcW w:w="56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Compensation and benefits</w:t>
            </w:r>
          </w:p>
        </w:tc>
        <w:tc>
          <w:tcPr>
            <w:tcW w:w="326" w:type="dxa"/>
            <w:tcBorders/>
            <w:vAlign w:val="center"/>
          </w:tcPr>
          <w:p>
            <w:pPr>
              <w:pStyle w:val="TableContents"/>
              <w:bidi w:val="0"/>
              <w:spacing w:before="0" w:after="1"/>
              <w:ind w:left="0" w:right="0" w:hanging="0"/>
              <w:jc w:val="both"/>
              <w:rPr/>
            </w:pPr>
            <w:r>
              <w:rPr/>
              <w:t>​</w:t>
            </w:r>
          </w:p>
        </w:tc>
        <w:tc>
          <w:tcPr>
            <w:tcW w:w="219" w:type="dxa"/>
            <w:tcBorders/>
            <w:vAlign w:val="center"/>
          </w:tcPr>
          <w:p>
            <w:pPr>
              <w:pStyle w:val="TableContents"/>
              <w:bidi w:val="0"/>
              <w:spacing w:before="0" w:after="1"/>
              <w:ind w:left="0" w:right="0" w:hanging="0"/>
              <w:jc w:val="both"/>
              <w:rPr/>
            </w:pPr>
            <w:r>
              <w:rPr/>
              <w:t> </w:t>
            </w:r>
          </w:p>
        </w:tc>
        <w:tc>
          <w:tcPr>
            <w:tcW w:w="9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86,000</w:t>
            </w:r>
          </w:p>
        </w:tc>
      </w:tr>
      <w:tr>
        <w:trPr/>
        <w:tc>
          <w:tcPr>
            <w:tcW w:w="56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Professional fees</w:t>
            </w:r>
          </w:p>
        </w:tc>
        <w:tc>
          <w:tcPr>
            <w:tcW w:w="326" w:type="dxa"/>
            <w:tcBorders/>
            <w:shd w:fill="CCEEFF" w:val="clear"/>
            <w:vAlign w:val="center"/>
          </w:tcPr>
          <w:p>
            <w:pPr>
              <w:pStyle w:val="TableContents"/>
              <w:bidi w:val="0"/>
              <w:spacing w:before="0" w:after="1"/>
              <w:ind w:left="0" w:right="0" w:hanging="0"/>
              <w:jc w:val="both"/>
              <w:rPr/>
            </w:pPr>
            <w:r>
              <w:rPr/>
              <w:t>​</w:t>
            </w:r>
          </w:p>
        </w:tc>
        <w:tc>
          <w:tcPr>
            <w:tcW w:w="219" w:type="dxa"/>
            <w:tcBorders/>
            <w:shd w:fill="CCEEFF" w:val="clear"/>
            <w:vAlign w:val="center"/>
          </w:tcPr>
          <w:p>
            <w:pPr>
              <w:pStyle w:val="TableContents"/>
              <w:bidi w:val="0"/>
              <w:spacing w:before="0" w:after="1"/>
              <w:ind w:left="0" w:right="0" w:hanging="0"/>
              <w:jc w:val="both"/>
              <w:rPr/>
            </w:pPr>
            <w:r>
              <w:rPr/>
              <w:t>​</w:t>
            </w:r>
          </w:p>
        </w:tc>
        <w:tc>
          <w:tcPr>
            <w:tcW w:w="9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293,000</w:t>
            </w:r>
          </w:p>
        </w:tc>
      </w:tr>
      <w:tr>
        <w:trPr/>
        <w:tc>
          <w:tcPr>
            <w:tcW w:w="5656" w:type="dxa"/>
            <w:tcBorders/>
            <w:vAlign w:val="center"/>
          </w:tcPr>
          <w:p>
            <w:pPr>
              <w:pStyle w:val="TableContents"/>
              <w:bidi w:val="0"/>
              <w:spacing w:before="0" w:after="1"/>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payable</w:t>
            </w:r>
          </w:p>
        </w:tc>
        <w:tc>
          <w:tcPr>
            <w:tcW w:w="326" w:type="dxa"/>
            <w:tcBorders/>
            <w:vAlign w:val="center"/>
          </w:tcPr>
          <w:p>
            <w:pPr>
              <w:pStyle w:val="TableContents"/>
              <w:bidi w:val="0"/>
              <w:spacing w:before="0" w:after="1"/>
              <w:ind w:left="0" w:right="0" w:hanging="0"/>
              <w:jc w:val="both"/>
              <w:rPr/>
            </w:pPr>
            <w:r>
              <w:rPr/>
              <w:t>​</w:t>
            </w:r>
          </w:p>
        </w:tc>
        <w:tc>
          <w:tcPr>
            <w:tcW w:w="219" w:type="dxa"/>
            <w:tcBorders/>
            <w:vAlign w:val="center"/>
          </w:tcPr>
          <w:p>
            <w:pPr>
              <w:pStyle w:val="TableContents"/>
              <w:bidi w:val="0"/>
              <w:spacing w:before="0" w:after="1"/>
              <w:ind w:left="0" w:right="0" w:hanging="0"/>
              <w:jc w:val="both"/>
              <w:rPr/>
            </w:pPr>
            <w:r>
              <w:rPr/>
              <w:t> </w:t>
            </w:r>
          </w:p>
        </w:tc>
        <w:tc>
          <w:tcPr>
            <w:tcW w:w="9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1,711,000</w:t>
            </w:r>
          </w:p>
        </w:tc>
      </w:tr>
      <w:tr>
        <w:trPr/>
        <w:tc>
          <w:tcPr>
            <w:tcW w:w="56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Tax fees</w:t>
            </w:r>
          </w:p>
        </w:tc>
        <w:tc>
          <w:tcPr>
            <w:tcW w:w="326" w:type="dxa"/>
            <w:tcBorders/>
            <w:shd w:fill="CCEEFF" w:val="clear"/>
            <w:vAlign w:val="center"/>
          </w:tcPr>
          <w:p>
            <w:pPr>
              <w:pStyle w:val="TableContents"/>
              <w:bidi w:val="0"/>
              <w:spacing w:before="0" w:after="1"/>
              <w:ind w:left="0" w:right="0" w:hanging="0"/>
              <w:jc w:val="both"/>
              <w:rPr/>
            </w:pPr>
            <w:r>
              <w:rPr/>
              <w:t>​</w:t>
            </w:r>
          </w:p>
        </w:tc>
        <w:tc>
          <w:tcPr>
            <w:tcW w:w="219" w:type="dxa"/>
            <w:tcBorders/>
            <w:shd w:fill="CCEEFF" w:val="clear"/>
            <w:vAlign w:val="center"/>
          </w:tcPr>
          <w:p>
            <w:pPr>
              <w:pStyle w:val="TableContents"/>
              <w:bidi w:val="0"/>
              <w:spacing w:before="0" w:after="1"/>
              <w:ind w:left="0" w:right="0" w:hanging="0"/>
              <w:jc w:val="both"/>
              <w:rPr/>
            </w:pPr>
            <w:r>
              <w:rPr/>
              <w:t> </w:t>
            </w:r>
          </w:p>
        </w:tc>
        <w:tc>
          <w:tcPr>
            <w:tcW w:w="9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104,000</w:t>
            </w:r>
          </w:p>
        </w:tc>
      </w:tr>
      <w:tr>
        <w:trPr/>
        <w:tc>
          <w:tcPr>
            <w:tcW w:w="56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both"/>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9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204,000</w:t>
            </w:r>
          </w:p>
        </w:tc>
      </w:tr>
      <w:tr>
        <w:trPr/>
        <w:tc>
          <w:tcPr>
            <w:tcW w:w="56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accounts payable, accrued liabilities and related party payable</w:t>
            </w:r>
          </w:p>
        </w:tc>
        <w:tc>
          <w:tcPr>
            <w:tcW w:w="326" w:type="dxa"/>
            <w:tcBorders/>
            <w:shd w:fill="CCEEFF" w:val="clear"/>
            <w:vAlign w:val="center"/>
          </w:tcPr>
          <w:p>
            <w:pPr>
              <w:pStyle w:val="TableContents"/>
              <w:bidi w:val="0"/>
              <w:spacing w:before="0" w:after="1"/>
              <w:ind w:left="0" w:right="0" w:hanging="0"/>
              <w:jc w:val="both"/>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1,993,000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3,464,000</w:t>
            </w:r>
          </w:p>
        </w:tc>
      </w:tr>
    </w:tbl>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$0.3 million and $1.7 million related-party payable as of September 30, 2025 and December 31, 2024, respectively, reflect amounts for outsourced product development and manufacturing services. See Note 12: Related Party Transactions.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593" w:name="Tc_qXmq5D74ZEGQKnpNE8rT6A_6_4"/>
      <w:bookmarkStart w:id="594" w:name="Tc_Ldt7n50KA0ek6XWF4tZNTA_6_2"/>
      <w:bookmarkStart w:id="595" w:name="Tc_wiILFrHC7Ey4M9ImH6oOGA_6_0"/>
      <w:bookmarkStart w:id="596" w:name="Tc_pqP5ewYe8EicYmx6_v5vgQ_5_4"/>
      <w:bookmarkStart w:id="597" w:name="Tc_1B8prQxFPEio0FbRWa4jsQ_5_2"/>
      <w:bookmarkStart w:id="598" w:name="Tc_DBbAptGIhUqeWriTANyqqA_5_0"/>
      <w:bookmarkStart w:id="599" w:name="Tc_pH-cmsvdjkel-FwUCifLoA_4_15"/>
      <w:bookmarkStart w:id="600" w:name="Tc_mUk8iDmFH0up99NiPqmEOA_4_13"/>
      <w:bookmarkStart w:id="601" w:name="Tc_fVLukFUgEUmuLipWBjbIzQ_4_11"/>
      <w:bookmarkStart w:id="602" w:name="Tc_ZqYXlwTdJEa7Th5WvkTmAw_4_9"/>
      <w:bookmarkStart w:id="603" w:name="Tc_8KkTN0hs90Sfvz9g1JIMTg_4_7"/>
      <w:bookmarkStart w:id="604" w:name="Tc_gAcRLl4mbkq29Lk24K223A_4_4"/>
      <w:bookmarkStart w:id="605" w:name="Tc_t0Ba4mMbeEuiISF3qtCKFQ_4_2"/>
      <w:bookmarkStart w:id="606" w:name="Tc_Lo_ScZeK-EGGBK6C9qHj0g_3_15"/>
      <w:bookmarkStart w:id="607" w:name="Tc_D1YGsU7H70yo_GQ-4QZYBw_3_11"/>
      <w:bookmarkStart w:id="608" w:name="Tc_wVWwc0HTBU6h4jf1f4Wzyw_3_9"/>
      <w:bookmarkStart w:id="609" w:name="Tc_q9Bi8Gs6aECY7pFFP638mQ_3_7"/>
      <w:bookmarkStart w:id="610" w:name="Tc_LxIiJaRCc02c4AhBLBI-1w_3_4"/>
      <w:bookmarkStart w:id="611" w:name="Tc_8kYA-OFj7E6QLQiHzqnJdA_2_15"/>
      <w:bookmarkStart w:id="612" w:name="Tc_WXIE5JmGK0WOS_KcmkIY9g_2_9"/>
      <w:bookmarkStart w:id="613" w:name="Tc_JSAGy5qGEECiIZJFCoexxA_2_4"/>
      <w:bookmarkStart w:id="614" w:name="Tc_omwhJjcpokqXUaDmmLrBcw_1_15"/>
      <w:bookmarkStart w:id="615" w:name="Tc_0oYJDtArr0m5cO5XHRadqw_1_9"/>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r>
        <w:rPr>
          <w:rFonts w:ascii="Times New Roman;Times;serif" w:hAnsi="Times New Roman;Times;serif"/>
          <w:b/>
          <w:sz w:val="20"/>
        </w:rPr>
        <w:t>NOTE 8: STOCKHOLDERS’ EQUITY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Common Stock Transactions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Issuance of Common Stock Pursuant to ATM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nine months ended September 30, 2025, the Company sold 5,358,292 shares of its common stock under the ATM Agreement for gross proceeds of $9,864,000.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nine months ended September 30, 2024, the Company sold 8,178 shares of its common stock under its prior ATM Agreement with Cantor Fitzgerald &amp; Co. and RBC Capital Markets, LLC for gross proceeds of $37,000. On June 10, 2024, the Company provided notice of its termination of the ATM Agreement with Cantor Fitzgerald &amp; Co. and RBC Capital Markets, LLC.</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Exercise of Stock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nine months ended September 30, 2024, certain outstanding options were exercised for 23,892 shares of common stock, providing aggregate proceeds to the Company of approximately $</w:t>
      </w:r>
      <w:r>
        <w:rPr>
          <w:rFonts w:ascii="Times New Roman;Times;serif" w:hAnsi="Times New Roman;Times;serif"/>
          <w:b w:val="false"/>
          <w:i w:val="false"/>
          <w:caps w:val="false"/>
          <w:smallCaps w:val="false"/>
          <w:sz w:val="20"/>
        </w:rPr>
        <w:t>59,000</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Warrant Summary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total warrants outstanding at September 30, 2025:</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087"/>
        <w:gridCol w:w="326"/>
        <w:gridCol w:w="1381"/>
        <w:gridCol w:w="326"/>
        <w:gridCol w:w="211"/>
        <w:gridCol w:w="571"/>
        <w:gridCol w:w="326"/>
        <w:gridCol w:w="918"/>
        <w:gridCol w:w="326"/>
        <w:gridCol w:w="1056"/>
        <w:gridCol w:w="326"/>
        <w:gridCol w:w="706"/>
        <w:gridCol w:w="326"/>
        <w:gridCol w:w="844"/>
        <w:gridCol w:w="326"/>
        <w:gridCol w:w="1149"/>
      </w:tblGrid>
      <w:tr>
        <w:trPr/>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0245" cy="175260"/>
                      <wp:effectExtent l="0" t="0" r="0" b="0"/>
                      <wp:wrapNone/>
                      <wp:docPr id="117" name="Frame116"/>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18"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876935" cy="175260"/>
                      <wp:effectExtent l="0" t="0" r="0" b="0"/>
                      <wp:wrapNone/>
                      <wp:docPr id="119" name="Frame118"/>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0"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1"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62585" cy="175260"/>
                      <wp:effectExtent l="0" t="0" r="0" b="0"/>
                      <wp:wrapNone/>
                      <wp:docPr id="122" name="Frame12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3"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82930" cy="175260"/>
                      <wp:effectExtent l="0" t="0" r="0" b="0"/>
                      <wp:wrapNone/>
                      <wp:docPr id="124" name="Frame123"/>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5"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70560" cy="175260"/>
                      <wp:effectExtent l="0" t="0" r="0" b="0"/>
                      <wp:wrapNone/>
                      <wp:docPr id="126" name="Frame125"/>
                      <a:graphic xmlns:a="http://schemas.openxmlformats.org/drawingml/2006/main">
                        <a:graphicData uri="http://schemas.microsoft.com/office/word/2010/wordprocessingShape">
                          <wps:wsp>
                            <wps:cNvSpPr txBox="1"/>
                            <wps:spPr>
                              <a:xfrm>
                                <a:off x="0" y="0"/>
                                <a:ext cx="6705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7"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48310" cy="175260"/>
                      <wp:effectExtent l="0" t="0" r="0" b="0"/>
                      <wp:wrapNone/>
                      <wp:docPr id="128" name="Frame12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29"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35940" cy="175260"/>
                      <wp:effectExtent l="0" t="0" r="0" b="0"/>
                      <wp:wrapNone/>
                      <wp:docPr id="130" name="Frame129"/>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1"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729615" cy="175260"/>
                      <wp:effectExtent l="0" t="0" r="0" b="0"/>
                      <wp:wrapNone/>
                      <wp:docPr id="132" name="Frame131"/>
                      <a:graphic xmlns:a="http://schemas.openxmlformats.org/drawingml/2006/main">
                        <a:graphicData uri="http://schemas.microsoft.com/office/word/2010/wordprocessingShape">
                          <wps:wsp>
                            <wps:cNvSpPr txBox="1"/>
                            <wps:spPr>
                              <a:xfrm>
                                <a:off x="0" y="0"/>
                                <a:ext cx="72961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1087"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3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9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0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both"/>
              <w:rPr/>
            </w:pPr>
            <w:r>
              <w:rPr/>
              <w:t>​</w:t>
            </w:r>
          </w:p>
        </w:tc>
        <w:tc>
          <w:tcPr>
            <w:tcW w:w="7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8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14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r>
      <w:tr>
        <w:trPr/>
        <w:tc>
          <w:tcPr>
            <w:tcW w:w="1087"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3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both"/>
              <w:rPr/>
            </w:pPr>
            <w:r>
              <w:rPr/>
              <w:t>​</w:t>
            </w:r>
          </w:p>
        </w:tc>
        <w:tc>
          <w:tcPr>
            <w:tcW w:w="91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0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1"/>
              <w:ind w:left="0" w:right="0" w:hanging="0"/>
              <w:jc w:val="both"/>
              <w:rPr/>
            </w:pPr>
            <w:r>
              <w:rPr/>
              <w:t>​</w:t>
            </w:r>
          </w:p>
        </w:tc>
        <w:tc>
          <w:tcPr>
            <w:tcW w:w="7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8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14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087"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3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Per</w:t>
            </w:r>
          </w:p>
        </w:tc>
        <w:tc>
          <w:tcPr>
            <w:tcW w:w="326" w:type="dxa"/>
            <w:tcBorders/>
            <w:vAlign w:val="center"/>
          </w:tcPr>
          <w:p>
            <w:pPr>
              <w:pStyle w:val="TableContents"/>
              <w:bidi w:val="0"/>
              <w:spacing w:before="0" w:after="1"/>
              <w:ind w:left="0" w:right="0" w:hanging="0"/>
              <w:jc w:val="both"/>
              <w:rPr/>
            </w:pPr>
            <w:r>
              <w:rPr/>
              <w:t>​</w:t>
            </w:r>
          </w:p>
        </w:tc>
        <w:tc>
          <w:tcPr>
            <w:tcW w:w="91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c>
          <w:tcPr>
            <w:tcW w:w="326" w:type="dxa"/>
            <w:tcBorders/>
            <w:vAlign w:val="center"/>
          </w:tcPr>
          <w:p>
            <w:pPr>
              <w:pStyle w:val="TableContents"/>
              <w:bidi w:val="0"/>
              <w:spacing w:before="0" w:after="1"/>
              <w:ind w:left="0" w:right="0" w:hanging="0"/>
              <w:jc w:val="both"/>
              <w:rPr/>
            </w:pPr>
            <w:r>
              <w:rPr/>
              <w:t>​</w:t>
            </w:r>
          </w:p>
        </w:tc>
        <w:tc>
          <w:tcPr>
            <w:tcW w:w="10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both"/>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New</w:t>
            </w:r>
          </w:p>
        </w:tc>
        <w:tc>
          <w:tcPr>
            <w:tcW w:w="326" w:type="dxa"/>
            <w:tcBorders/>
            <w:vAlign w:val="center"/>
          </w:tcPr>
          <w:p>
            <w:pPr>
              <w:pStyle w:val="TableContents"/>
              <w:bidi w:val="0"/>
              <w:spacing w:before="0" w:after="1"/>
              <w:ind w:left="0" w:right="0" w:hanging="0"/>
              <w:jc w:val="both"/>
              <w:rPr/>
            </w:pPr>
            <w:r>
              <w:rPr/>
              <w:t>​</w:t>
            </w:r>
          </w:p>
        </w:tc>
        <w:tc>
          <w:tcPr>
            <w:tcW w:w="8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14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1087"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3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 Date</w:t>
            </w:r>
          </w:p>
        </w:tc>
        <w:tc>
          <w:tcPr>
            <w:tcW w:w="326" w:type="dxa"/>
            <w:tcBorders/>
            <w:vAlign w:val="center"/>
          </w:tcPr>
          <w:p>
            <w:pPr>
              <w:pStyle w:val="TableContents"/>
              <w:bidi w:val="0"/>
              <w:spacing w:before="0" w:after="1"/>
              <w:ind w:left="0" w:right="0" w:hanging="0"/>
              <w:jc w:val="both"/>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26" w:type="dxa"/>
            <w:tcBorders/>
            <w:vAlign w:val="center"/>
          </w:tcPr>
          <w:p>
            <w:pPr>
              <w:pStyle w:val="TableContents"/>
              <w:bidi w:val="0"/>
              <w:spacing w:before="0" w:after="1"/>
              <w:ind w:left="0" w:right="0" w:hanging="0"/>
              <w:jc w:val="both"/>
              <w:rPr/>
            </w:pPr>
            <w:r>
              <w:rPr/>
              <w:t>    </w:t>
            </w:r>
          </w:p>
        </w:tc>
        <w:tc>
          <w:tcPr>
            <w:tcW w:w="9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both"/>
              <w:rPr/>
            </w:pPr>
            <w:r>
              <w:rPr/>
              <w:t>    </w:t>
            </w:r>
          </w:p>
        </w:tc>
        <w:tc>
          <w:tcPr>
            <w:tcW w:w="10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26" w:type="dxa"/>
            <w:tcBorders/>
            <w:vAlign w:val="center"/>
          </w:tcPr>
          <w:p>
            <w:pPr>
              <w:pStyle w:val="TableContents"/>
              <w:bidi w:val="0"/>
              <w:spacing w:before="0" w:after="1"/>
              <w:ind w:left="0" w:right="0" w:hanging="0"/>
              <w:jc w:val="both"/>
              <w:rPr/>
            </w:pPr>
            <w:r>
              <w:rPr/>
              <w:t>    </w:t>
            </w:r>
          </w:p>
        </w:tc>
        <w:tc>
          <w:tcPr>
            <w:tcW w:w="84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Exercised</w:t>
            </w:r>
          </w:p>
        </w:tc>
        <w:tc>
          <w:tcPr>
            <w:tcW w:w="326" w:type="dxa"/>
            <w:tcBorders/>
            <w:vAlign w:val="center"/>
          </w:tcPr>
          <w:p>
            <w:pPr>
              <w:pStyle w:val="TableContents"/>
              <w:bidi w:val="0"/>
              <w:spacing w:before="0" w:after="1"/>
              <w:ind w:left="0" w:right="0" w:hanging="0"/>
              <w:jc w:val="both"/>
              <w:rPr/>
            </w:pPr>
            <w:r>
              <w:rPr/>
              <w:t>    </w:t>
            </w:r>
          </w:p>
        </w:tc>
        <w:tc>
          <w:tcPr>
            <w:tcW w:w="114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87"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Private placement warrants</w:t>
            </w:r>
          </w:p>
        </w:tc>
        <w:tc>
          <w:tcPr>
            <w:tcW w:w="326" w:type="dxa"/>
            <w:tcBorders/>
            <w:shd w:fill="CCEEFF" w:val="clear"/>
            <w:vAlign w:val="center"/>
          </w:tcPr>
          <w:p>
            <w:pPr>
              <w:pStyle w:val="TableContents"/>
              <w:bidi w:val="0"/>
              <w:spacing w:before="0" w:after="1"/>
              <w:ind w:left="0" w:right="0" w:hanging="0"/>
              <w:jc w:val="both"/>
              <w:rPr/>
            </w:pPr>
            <w:r>
              <w:rPr/>
              <w:t> </w:t>
            </w:r>
          </w:p>
        </w:tc>
        <w:tc>
          <w:tcPr>
            <w:tcW w:w="138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December 2024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26" w:type="dxa"/>
            <w:tcBorders/>
            <w:shd w:fill="CCEEFF" w:val="clear"/>
            <w:vAlign w:val="center"/>
          </w:tcPr>
          <w:p>
            <w:pPr>
              <w:pStyle w:val="TableContents"/>
              <w:bidi w:val="0"/>
              <w:spacing w:before="0" w:after="1"/>
              <w:ind w:left="0" w:right="0" w:hanging="0"/>
              <w:jc w:val="both"/>
              <w:rPr/>
            </w:pPr>
            <w:r>
              <w:rPr/>
              <w:t> </w:t>
            </w:r>
          </w:p>
        </w:tc>
        <w:tc>
          <w:tcPr>
            <w:tcW w:w="91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March 21, 2030</w:t>
            </w:r>
          </w:p>
        </w:tc>
        <w:tc>
          <w:tcPr>
            <w:tcW w:w="326" w:type="dxa"/>
            <w:tcBorders/>
            <w:shd w:fill="CCEEFF" w:val="clear"/>
            <w:vAlign w:val="center"/>
          </w:tcPr>
          <w:p>
            <w:pPr>
              <w:pStyle w:val="TableContents"/>
              <w:bidi w:val="0"/>
              <w:spacing w:before="0" w:after="1"/>
              <w:ind w:left="0" w:right="0" w:hanging="0"/>
              <w:jc w:val="both"/>
              <w:rPr/>
            </w:pPr>
            <w:r>
              <w:rPr/>
              <w:t> </w:t>
            </w:r>
          </w:p>
        </w:tc>
        <w:tc>
          <w:tcPr>
            <w:tcW w:w="10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5,031,250</w:t>
            </w:r>
          </w:p>
        </w:tc>
        <w:tc>
          <w:tcPr>
            <w:tcW w:w="326" w:type="dxa"/>
            <w:tcBorders/>
            <w:shd w:fill="CCEEFF" w:val="clear"/>
            <w:vAlign w:val="center"/>
          </w:tcPr>
          <w:p>
            <w:pPr>
              <w:pStyle w:val="TableContents"/>
              <w:bidi w:val="0"/>
              <w:spacing w:before="0" w:after="1"/>
              <w:ind w:left="0" w:right="0" w:hanging="0"/>
              <w:jc w:val="both"/>
              <w:rPr/>
            </w:pPr>
            <w:r>
              <w:rPr/>
              <w:t> </w:t>
            </w:r>
          </w:p>
        </w:tc>
        <w:tc>
          <w:tcPr>
            <w:tcW w:w="7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 </w:t>
            </w:r>
          </w:p>
        </w:tc>
        <w:tc>
          <w:tcPr>
            <w:tcW w:w="84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 </w:t>
            </w:r>
          </w:p>
        </w:tc>
        <w:tc>
          <w:tcPr>
            <w:tcW w:w="11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5,031,250</w:t>
            </w:r>
          </w:p>
        </w:tc>
      </w:tr>
      <w:tr>
        <w:trPr/>
        <w:tc>
          <w:tcPr>
            <w:tcW w:w="1087"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Pre-funded warrants</w:t>
            </w:r>
          </w:p>
        </w:tc>
        <w:tc>
          <w:tcPr>
            <w:tcW w:w="326" w:type="dxa"/>
            <w:tcBorders/>
            <w:vAlign w:val="center"/>
          </w:tcPr>
          <w:p>
            <w:pPr>
              <w:pStyle w:val="TableContents"/>
              <w:bidi w:val="0"/>
              <w:spacing w:before="0" w:after="1"/>
              <w:ind w:left="0" w:right="0" w:hanging="0"/>
              <w:jc w:val="both"/>
              <w:rPr/>
            </w:pPr>
            <w:r>
              <w:rPr/>
              <w:t> </w:t>
            </w:r>
          </w:p>
        </w:tc>
        <w:tc>
          <w:tcPr>
            <w:tcW w:w="138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December 2024</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0.001</w:t>
            </w:r>
          </w:p>
        </w:tc>
        <w:tc>
          <w:tcPr>
            <w:tcW w:w="326" w:type="dxa"/>
            <w:tcBorders/>
            <w:vAlign w:val="center"/>
          </w:tcPr>
          <w:p>
            <w:pPr>
              <w:pStyle w:val="TableContents"/>
              <w:bidi w:val="0"/>
              <w:spacing w:before="0" w:after="1"/>
              <w:ind w:left="0" w:right="0" w:hanging="0"/>
              <w:jc w:val="both"/>
              <w:rPr/>
            </w:pPr>
            <w:r>
              <w:rPr/>
              <w:t> </w:t>
            </w:r>
          </w:p>
        </w:tc>
        <w:tc>
          <w:tcPr>
            <w:tcW w:w="91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March 21, 2030</w:t>
            </w:r>
          </w:p>
        </w:tc>
        <w:tc>
          <w:tcPr>
            <w:tcW w:w="326" w:type="dxa"/>
            <w:tcBorders/>
            <w:vAlign w:val="center"/>
          </w:tcPr>
          <w:p>
            <w:pPr>
              <w:pStyle w:val="TableContents"/>
              <w:bidi w:val="0"/>
              <w:spacing w:before="0" w:after="1"/>
              <w:ind w:left="0" w:right="0" w:hanging="0"/>
              <w:jc w:val="both"/>
              <w:rPr/>
            </w:pPr>
            <w:r>
              <w:rPr/>
              <w:t> </w:t>
            </w:r>
          </w:p>
        </w:tc>
        <w:tc>
          <w:tcPr>
            <w:tcW w:w="10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3,247,445</w:t>
            </w:r>
          </w:p>
        </w:tc>
        <w:tc>
          <w:tcPr>
            <w:tcW w:w="326" w:type="dxa"/>
            <w:tcBorders/>
            <w:vAlign w:val="center"/>
          </w:tcPr>
          <w:p>
            <w:pPr>
              <w:pStyle w:val="TableContents"/>
              <w:bidi w:val="0"/>
              <w:spacing w:before="0" w:after="1"/>
              <w:ind w:left="0" w:right="0" w:hanging="0"/>
              <w:jc w:val="both"/>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 </w:t>
            </w:r>
          </w:p>
        </w:tc>
        <w:tc>
          <w:tcPr>
            <w:tcW w:w="8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(605,830)</w:t>
            </w:r>
          </w:p>
        </w:tc>
        <w:tc>
          <w:tcPr>
            <w:tcW w:w="326" w:type="dxa"/>
            <w:tcBorders/>
            <w:vAlign w:val="center"/>
          </w:tcPr>
          <w:p>
            <w:pPr>
              <w:pStyle w:val="TableContents"/>
              <w:bidi w:val="0"/>
              <w:spacing w:before="0" w:after="1"/>
              <w:ind w:left="0" w:right="0" w:hanging="0"/>
              <w:jc w:val="both"/>
              <w:rPr/>
            </w:pPr>
            <w:r>
              <w:rPr/>
              <w:t> </w:t>
            </w:r>
          </w:p>
        </w:tc>
        <w:tc>
          <w:tcPr>
            <w:tcW w:w="11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2,641,615</w:t>
            </w:r>
          </w:p>
        </w:tc>
      </w:tr>
      <w:tr>
        <w:trPr/>
        <w:tc>
          <w:tcPr>
            <w:tcW w:w="1087"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1381"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571"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918"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 </w:t>
            </w:r>
          </w:p>
        </w:tc>
        <w:tc>
          <w:tcPr>
            <w:tcW w:w="10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8,278,695</w:t>
            </w:r>
          </w:p>
        </w:tc>
        <w:tc>
          <w:tcPr>
            <w:tcW w:w="326" w:type="dxa"/>
            <w:tcBorders/>
            <w:shd w:fill="CCEEFF" w:val="clear"/>
            <w:vAlign w:val="center"/>
          </w:tcPr>
          <w:p>
            <w:pPr>
              <w:pStyle w:val="TableContents"/>
              <w:bidi w:val="0"/>
              <w:spacing w:before="0" w:after="1"/>
              <w:ind w:left="0" w:right="0" w:hanging="0"/>
              <w:jc w:val="both"/>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 </w:t>
            </w:r>
          </w:p>
        </w:tc>
        <w:tc>
          <w:tcPr>
            <w:tcW w:w="8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(605,830)</w:t>
            </w:r>
          </w:p>
        </w:tc>
        <w:tc>
          <w:tcPr>
            <w:tcW w:w="326" w:type="dxa"/>
            <w:tcBorders/>
            <w:shd w:fill="CCEEFF" w:val="clear"/>
            <w:vAlign w:val="center"/>
          </w:tcPr>
          <w:p>
            <w:pPr>
              <w:pStyle w:val="TableContents"/>
              <w:bidi w:val="0"/>
              <w:spacing w:before="0" w:after="1"/>
              <w:ind w:left="0" w:right="0" w:hanging="0"/>
              <w:jc w:val="both"/>
              <w:rPr/>
            </w:pPr>
            <w:r>
              <w:rPr/>
              <w:t> </w:t>
            </w:r>
          </w:p>
        </w:tc>
        <w:tc>
          <w:tcPr>
            <w:tcW w:w="11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7,672,865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2025 Equity Incentive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February 12, 2025, pursuant to the Company’s 2020 Equity Incentive Plan, the compensation committee of the Company’s board of directors approved 50,000 options to purchase the Company’s common stock as equity-based incentive awards to the Company’s Chief Executive Officer and President, Dr. Juan Vera, and 30,000 options to purchase the Company’s common stock as equity-based incentive awards to each Non-Employee Director. Each option award was granted with an exercise price of $1.59 per share, the closing price of the Company’s common stock on the Nasdaq Capital Market on February 12, 2025, with the option award vesting in three annual installments, subject to such Optionee’s continued service on the applicable vesting date.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bookmarkStart w:id="616" w:name="Tc_U79alt4AVEqUEIFwLJTerg_7_11"/>
      <w:bookmarkStart w:id="617" w:name="Tc_2vhMbRkVKUadUpHvtKYnuA_7_8"/>
      <w:bookmarkStart w:id="618" w:name="Tc_G2yY3es4-UCsBeDCeXGj5A_7_5"/>
      <w:bookmarkStart w:id="619" w:name="Tc_eiIKnNlejkeYiNpcqKNEFw_7_2"/>
      <w:bookmarkStart w:id="620" w:name="Tc_nqAbHNz4MEyltFTX2j9ohQ_7_0"/>
      <w:bookmarkStart w:id="621" w:name="Tc_mDg53TlfmUaTWoFQcnuVWg_6_0"/>
      <w:bookmarkStart w:id="622" w:name="Tc_9PiRkqwyjUuo0Vn7BKquaA_5_11"/>
      <w:bookmarkStart w:id="623" w:name="Tc_TNh9GU7PuU-62cpGantoEA_5_8"/>
      <w:bookmarkStart w:id="624" w:name="Tc_2uAMYIFAs0-SLoF8ufxPew_5_5"/>
      <w:bookmarkStart w:id="625" w:name="Tc_wOhIyBv2L0Onqb8TPPKT2A_5_3"/>
      <w:bookmarkStart w:id="626" w:name="Tc_MAvSkgC7tEy_sRDDrEcXVw_5_2"/>
      <w:bookmarkStart w:id="627" w:name="Tc_38pFWUZYgk27HY94ehKdlw_5_0"/>
      <w:bookmarkStart w:id="628" w:name="Tc_IBU4DWJP2k-qaoeIvtbySw_4_0"/>
      <w:bookmarkStart w:id="629" w:name="Tc_Gc9cL43Dn0yVUVq4oXfybA_3_11"/>
      <w:bookmarkStart w:id="630" w:name="Tc_5paUHboYakS79B-uPtRLEA_3_8"/>
      <w:bookmarkStart w:id="631" w:name="Tc_RBZWVNkSjEim9O9OrfrSqA_3_5"/>
      <w:bookmarkStart w:id="632" w:name="Tc_GZ4j07Zg-k-EEcJCe86ivQ_3_2"/>
      <w:bookmarkStart w:id="633" w:name="Tc_GLNZ9pnUykOhKPRHICISxA_2_8"/>
      <w:bookmarkStart w:id="634" w:name="Tc_65VYspgYQEuKZRti_Ur8EQ_2_2"/>
      <w:bookmarkStart w:id="635" w:name="Tc_LFmtsFVmnk2J5AC4acpivA_1_8"/>
      <w:bookmarkStart w:id="636" w:name="Tc_L8k0DBdxMkeKPgLrBANYOQ_1_2"/>
      <w:bookmarkStart w:id="637" w:name="Tc_c9QCHFEkgUCpxcdTxI--Gg_7_4"/>
      <w:bookmarkStart w:id="638" w:name="Tc_qkiQtqcopkStD3e8JMVGYA_7_0"/>
      <w:bookmarkStart w:id="639" w:name="Tc_LwVY7XclskyYSiPI0dwT8Q_6_4"/>
      <w:bookmarkStart w:id="640" w:name="Tc_z4sGTIJl70mDho8Kq5puQA_6_0"/>
      <w:bookmarkStart w:id="641" w:name="Tc_GIKpCVG9lUmZ4DS7QxjLrA_5_4"/>
      <w:bookmarkStart w:id="642" w:name="Tc_EMuSBEyEhk61ui_wEQzvGA_5_0"/>
      <w:bookmarkStart w:id="643" w:name="Tc_C_JTaI5g2E6hLK_cLogEVw_4_0"/>
      <w:bookmarkStart w:id="644" w:name="Tc_Z_Gmbo9SCUmFL6yrp8iYDg_3_2"/>
      <w:bookmarkStart w:id="645" w:name="Tc_XfqyJhOJRUmcvvaoKkS9nw_3_0"/>
      <w:bookmarkStart w:id="646" w:name="Tc_79shJkE4sEW0WpcNSbeWAA_2_2"/>
      <w:bookmarkStart w:id="647" w:name="Tc_go9sSaUhKU6vHCyDshI05A_1_2"/>
      <w:bookmarkStart w:id="648" w:name="Tc_EE9rU-Y9p0S2zxMuxbz6lA_9_8"/>
      <w:bookmarkStart w:id="649" w:name="Tc_5CP6crgheUasrTCCfQibKg_9_7"/>
      <w:bookmarkStart w:id="650" w:name="Tc_9FTYeZA44kGeUWo6zUiDJg_9_4"/>
      <w:bookmarkStart w:id="651" w:name="Tc_9lSZupXNGUqGTJo3JvUd-A_9_0"/>
      <w:bookmarkStart w:id="652" w:name="Tc_gzLslmB9oUOJg0OtWK8JxQ_8_8"/>
      <w:bookmarkStart w:id="653" w:name="Tc_tVLhSgbLm0yvUMXMWreb5Q_8_7"/>
      <w:bookmarkStart w:id="654" w:name="Tc_TUUAnq2Ox0-PETgl8iStUA_8_4"/>
      <w:bookmarkStart w:id="655" w:name="Tc_aIuSAd57v0SvkqDjNGlgkA_8_0"/>
      <w:bookmarkStart w:id="656" w:name="Tc_jrGZg9LtFEKqGJm9b9g8JA_7_10"/>
      <w:bookmarkStart w:id="657" w:name="Tc_tlQlSKD-t0aQhijgB58AGw_7_8"/>
      <w:bookmarkStart w:id="658" w:name="Tc_y_dJUUbWQk2iN1VFgdaNCQ_7_0"/>
      <w:bookmarkStart w:id="659" w:name="Tc_lsr1fsqFY0CySOnTs-eLpQ_6_10"/>
      <w:bookmarkStart w:id="660" w:name="Tc_4YCjsNsaKU6HlFgkIuMNBQ_6_8"/>
      <w:bookmarkStart w:id="661" w:name="Tc_n_EwmXqZVUK76obzHN7gIQ_6_0"/>
      <w:bookmarkStart w:id="662" w:name="Tc_l6vRs8jhtEORdvCELIKp8Q_5_7"/>
      <w:bookmarkStart w:id="663" w:name="Tc_gXb7BNMA1U6ScHLBdGaKQw_5_4"/>
      <w:bookmarkStart w:id="664" w:name="Tc_o8SqmEn2v0uE50Jgnjn99Q_5_0"/>
      <w:bookmarkStart w:id="665" w:name="Tc_byVUh-xxAEGav6AWUQddrg_4_10"/>
      <w:bookmarkStart w:id="666" w:name="Tc_ut1GQp5ZIkq2AUfOVIFgzg_4_7"/>
      <w:bookmarkStart w:id="667" w:name="Tc_middEI1sBkmzHZhklWsZjw_4_4"/>
      <w:bookmarkStart w:id="668" w:name="Tc_CCZXE-DAd0aapmvThFJLKg_4_2"/>
      <w:bookmarkStart w:id="669" w:name="Tc_xIaGnhZAxkGeSDZqGUCk5Q_3_10"/>
      <w:bookmarkStart w:id="670" w:name="Tc_UFQ17-R0g0qwBnFmRaI9Lg_3_4"/>
      <w:bookmarkStart w:id="671" w:name="Tc_4DgQgahOhk2dAKfHTjgnqg_2_10"/>
      <w:bookmarkStart w:id="672" w:name="Tc_0KKu8GUCqEyqVuaUeNVYxQ_1_10"/>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Pr>
          <w:rFonts w:ascii="Times New Roman;Times;serif" w:hAnsi="Times New Roman;Times;serif"/>
          <w:sz w:val="20"/>
        </w:rPr>
        <w:t>A summary of the Company’s stock option activity for the nine months ended September 30, 2025 is as follows: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79"/>
        <w:gridCol w:w="326"/>
        <w:gridCol w:w="1411"/>
        <w:gridCol w:w="326"/>
        <w:gridCol w:w="405"/>
        <w:gridCol w:w="1096"/>
        <w:gridCol w:w="326"/>
        <w:gridCol w:w="320"/>
        <w:gridCol w:w="1187"/>
        <w:gridCol w:w="326"/>
        <w:gridCol w:w="1503"/>
      </w:tblGrid>
      <w:tr>
        <w:trPr/>
        <w:tc>
          <w:tcPr>
            <w:tcW w:w="2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891665" cy="175260"/>
                      <wp:effectExtent l="0" t="0" r="0" b="0"/>
                      <wp:wrapNone/>
                      <wp:docPr id="133" name="Frame132"/>
                      <a:graphic xmlns:a="http://schemas.openxmlformats.org/drawingml/2006/main">
                        <a:graphicData uri="http://schemas.microsoft.com/office/word/2010/wordprocessingShape">
                          <wps:wsp>
                            <wps:cNvSpPr txBox="1"/>
                            <wps:spPr>
                              <a:xfrm>
                                <a:off x="0" y="0"/>
                                <a:ext cx="189166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4"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895985" cy="175260"/>
                      <wp:effectExtent l="0" t="0" r="0" b="0"/>
                      <wp:wrapNone/>
                      <wp:docPr id="135" name="Frame134"/>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6"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57175" cy="175260"/>
                      <wp:effectExtent l="0" t="0" r="0" b="0"/>
                      <wp:wrapNone/>
                      <wp:docPr id="137" name="Frame136"/>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5960" cy="175260"/>
                      <wp:effectExtent l="0" t="0" r="0" b="0"/>
                      <wp:wrapNone/>
                      <wp:docPr id="138" name="Frame13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39"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3200" cy="175260"/>
                      <wp:effectExtent l="0" t="0" r="0" b="0"/>
                      <wp:wrapNone/>
                      <wp:docPr id="140" name="Frame139"/>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753745" cy="175260"/>
                      <wp:effectExtent l="0" t="0" r="0" b="0"/>
                      <wp:wrapNone/>
                      <wp:docPr id="141" name="Frame140"/>
                      <a:graphic xmlns:a="http://schemas.openxmlformats.org/drawingml/2006/main">
                        <a:graphicData uri="http://schemas.microsoft.com/office/word/2010/wordprocessingShape">
                          <wps:wsp>
                            <wps:cNvSpPr txBox="1"/>
                            <wps:spPr>
                              <a:xfrm>
                                <a:off x="0" y="0"/>
                                <a:ext cx="7537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2"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954405" cy="175260"/>
                      <wp:effectExtent l="0" t="0" r="0" b="0"/>
                      <wp:wrapNone/>
                      <wp:docPr id="143" name="Frame142"/>
                      <a:graphic xmlns:a="http://schemas.openxmlformats.org/drawingml/2006/main">
                        <a:graphicData uri="http://schemas.microsoft.com/office/word/2010/wordprocessingShape">
                          <wps:wsp>
                            <wps:cNvSpPr txBox="1"/>
                            <wps:spPr>
                              <a:xfrm>
                                <a:off x="0" y="0"/>
                                <a:ext cx="95440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97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    </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0" w:type="dxa"/>
            <w:tcBorders/>
            <w:vAlign w:val="center"/>
          </w:tcPr>
          <w:p>
            <w:pPr>
              <w:pStyle w:val="TableContents"/>
              <w:bidi w:val="0"/>
              <w:spacing w:before="0" w:after="1"/>
              <w:ind w:left="0" w:right="0" w:hanging="0"/>
              <w:jc w:val="both"/>
              <w:rPr/>
            </w:pPr>
            <w:r>
              <w:rPr/>
              <w:t>​</w:t>
            </w:r>
          </w:p>
        </w:tc>
        <w:tc>
          <w:tcPr>
            <w:tcW w:w="118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    </w:t>
            </w:r>
          </w:p>
        </w:tc>
        <w:tc>
          <w:tcPr>
            <w:tcW w:w="15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97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0" w:type="dxa"/>
            <w:tcBorders/>
            <w:vAlign w:val="center"/>
          </w:tcPr>
          <w:p>
            <w:pPr>
              <w:pStyle w:val="TableContents"/>
              <w:bidi w:val="0"/>
              <w:spacing w:before="0" w:after="1"/>
              <w:ind w:left="0" w:right="0" w:hanging="0"/>
              <w:jc w:val="both"/>
              <w:rPr/>
            </w:pPr>
            <w:r>
              <w:rPr/>
              <w:t>​</w:t>
            </w:r>
          </w:p>
        </w:tc>
        <w:tc>
          <w:tcPr>
            <w:tcW w:w="118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5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297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Weighted Average</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w:t>
            </w:r>
          </w:p>
        </w:tc>
        <w:tc>
          <w:tcPr>
            <w:tcW w:w="320" w:type="dxa"/>
            <w:tcBorders/>
            <w:vAlign w:val="center"/>
          </w:tcPr>
          <w:p>
            <w:pPr>
              <w:pStyle w:val="TableContents"/>
              <w:bidi w:val="0"/>
              <w:spacing w:before="0" w:after="1"/>
              <w:ind w:left="0" w:right="0" w:hanging="0"/>
              <w:jc w:val="both"/>
              <w:rPr/>
            </w:pPr>
            <w:r>
              <w:rPr/>
              <w:t>​</w:t>
            </w:r>
          </w:p>
        </w:tc>
        <w:tc>
          <w:tcPr>
            <w:tcW w:w="1187"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5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297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26" w:type="dxa"/>
            <w:tcBorders/>
            <w:vAlign w:val="center"/>
          </w:tcPr>
          <w:p>
            <w:pPr>
              <w:pStyle w:val="TableContents"/>
              <w:bidi w:val="0"/>
              <w:spacing w:before="0" w:after="1"/>
              <w:ind w:left="0" w:right="0" w:hanging="0"/>
              <w:jc w:val="both"/>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1"/>
              <w:ind w:left="0" w:right="0" w:hanging="0"/>
              <w:jc w:val="both"/>
              <w:rPr/>
            </w:pPr>
            <w:r>
              <w:rPr/>
              <w:t>    </w:t>
            </w:r>
          </w:p>
        </w:tc>
        <w:tc>
          <w:tcPr>
            <w:tcW w:w="15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Intrinsic Value</w:t>
            </w:r>
          </w:p>
        </w:tc>
        <w:tc>
          <w:tcPr>
            <w:tcW w:w="326" w:type="dxa"/>
            <w:tcBorders/>
            <w:vAlign w:val="center"/>
          </w:tcPr>
          <w:p>
            <w:pPr>
              <w:pStyle w:val="TableContents"/>
              <w:bidi w:val="0"/>
              <w:spacing w:before="0" w:after="1"/>
              <w:ind w:left="0" w:right="0" w:hanging="0"/>
              <w:jc w:val="both"/>
              <w:rPr/>
            </w:pPr>
            <w:r>
              <w:rPr/>
              <w:t>    </w:t>
            </w:r>
          </w:p>
        </w:tc>
        <w:tc>
          <w:tcPr>
            <w:tcW w:w="150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r>
      <w:tr>
        <w:trPr/>
        <w:tc>
          <w:tcPr>
            <w:tcW w:w="297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Outstanding as of December 31, 2024</w:t>
            </w:r>
          </w:p>
        </w:tc>
        <w:tc>
          <w:tcPr>
            <w:tcW w:w="326" w:type="dxa"/>
            <w:tcBorders/>
            <w:shd w:fill="CCEEFF" w:val="clear"/>
            <w:vAlign w:val="center"/>
          </w:tcPr>
          <w:p>
            <w:pPr>
              <w:pStyle w:val="TableContents"/>
              <w:bidi w:val="0"/>
              <w:spacing w:before="0" w:after="1"/>
              <w:ind w:left="0" w:right="0" w:hanging="0"/>
              <w:jc w:val="both"/>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587,704</w:t>
            </w:r>
          </w:p>
        </w:tc>
        <w:tc>
          <w:tcPr>
            <w:tcW w:w="326" w:type="dxa"/>
            <w:tcBorders/>
            <w:shd w:fill="CCEEFF" w:val="clear"/>
            <w:vAlign w:val="center"/>
          </w:tcPr>
          <w:p>
            <w:pPr>
              <w:pStyle w:val="TableContents"/>
              <w:bidi w:val="0"/>
              <w:spacing w:before="0" w:after="1"/>
              <w:ind w:left="0" w:right="0" w:hanging="0"/>
              <w:jc w:val="both"/>
              <w:rPr/>
            </w:pPr>
            <w:r>
              <w:rPr/>
              <w:t>​</w:t>
            </w:r>
          </w:p>
        </w:tc>
        <w:tc>
          <w:tcPr>
            <w:tcW w:w="40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22.85</w:t>
            </w:r>
          </w:p>
        </w:tc>
        <w:tc>
          <w:tcPr>
            <w:tcW w:w="326" w:type="dxa"/>
            <w:tcBorders/>
            <w:shd w:fill="CCEEFF" w:val="clear"/>
            <w:vAlign w:val="center"/>
          </w:tcPr>
          <w:p>
            <w:pPr>
              <w:pStyle w:val="TableContents"/>
              <w:bidi w:val="0"/>
              <w:spacing w:before="0" w:after="1"/>
              <w:ind w:left="0" w:right="0" w:hanging="0"/>
              <w:jc w:val="right"/>
              <w:rPr/>
            </w:pPr>
            <w:r>
              <w:rPr/>
              <w:t>​</w:t>
            </w:r>
          </w:p>
        </w:tc>
        <w:tc>
          <w:tcPr>
            <w:tcW w:w="320"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378,000</w:t>
            </w:r>
          </w:p>
        </w:tc>
        <w:tc>
          <w:tcPr>
            <w:tcW w:w="326" w:type="dxa"/>
            <w:tcBorders/>
            <w:shd w:fill="CCEEFF" w:val="clear"/>
            <w:vAlign w:val="center"/>
          </w:tcPr>
          <w:p>
            <w:pPr>
              <w:pStyle w:val="TableContents"/>
              <w:bidi w:val="0"/>
              <w:spacing w:before="0" w:after="1"/>
              <w:ind w:left="0" w:right="0" w:hanging="0"/>
              <w:jc w:val="both"/>
              <w:rPr/>
            </w:pPr>
            <w:r>
              <w:rPr/>
              <w:t>​</w:t>
            </w:r>
          </w:p>
        </w:tc>
        <w:tc>
          <w:tcPr>
            <w:tcW w:w="15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297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both"/>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140,000</w:t>
            </w:r>
          </w:p>
        </w:tc>
        <w:tc>
          <w:tcPr>
            <w:tcW w:w="326" w:type="dxa"/>
            <w:tcBorders/>
            <w:vAlign w:val="center"/>
          </w:tcPr>
          <w:p>
            <w:pPr>
              <w:pStyle w:val="TableContents"/>
              <w:bidi w:val="0"/>
              <w:spacing w:before="0" w:after="1"/>
              <w:ind w:left="0" w:right="0" w:hanging="0"/>
              <w:jc w:val="both"/>
              <w:rPr/>
            </w:pPr>
            <w:r>
              <w:rPr/>
              <w:t>​</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vAlign w:val="center"/>
          </w:tcPr>
          <w:p>
            <w:pPr>
              <w:pStyle w:val="TableContents"/>
              <w:bidi w:val="0"/>
              <w:spacing w:before="0" w:after="1"/>
              <w:ind w:left="0" w:right="0" w:hanging="0"/>
              <w:jc w:val="right"/>
              <w:rPr/>
            </w:pPr>
            <w:r>
              <w:rPr/>
              <w:t>​</w:t>
            </w:r>
          </w:p>
        </w:tc>
        <w:tc>
          <w:tcPr>
            <w:tcW w:w="320" w:type="dxa"/>
            <w:tcBorders/>
            <w:vAlign w:val="center"/>
          </w:tcPr>
          <w:p>
            <w:pPr>
              <w:pStyle w:val="TableContents"/>
              <w:bidi w:val="0"/>
              <w:spacing w:before="0" w:after="1"/>
              <w:ind w:left="0" w:right="0" w:hanging="0"/>
              <w:jc w:val="both"/>
              <w:rPr/>
            </w:pPr>
            <w:r>
              <w:rPr/>
              <w:t>​</w:t>
            </w:r>
          </w:p>
        </w:tc>
        <w:tc>
          <w:tcPr>
            <w:tcW w:w="11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1503" w:type="dxa"/>
            <w:tcBorders/>
            <w:vAlign w:val="center"/>
          </w:tcPr>
          <w:p>
            <w:pPr>
              <w:pStyle w:val="TableContents"/>
              <w:bidi w:val="0"/>
              <w:spacing w:before="0" w:after="1"/>
              <w:ind w:left="0" w:right="0" w:hanging="0"/>
              <w:jc w:val="right"/>
              <w:rPr/>
            </w:pPr>
            <w:r>
              <w:rPr/>
              <w:t>—</w:t>
            </w:r>
          </w:p>
        </w:tc>
      </w:tr>
      <w:tr>
        <w:trPr/>
        <w:tc>
          <w:tcPr>
            <w:tcW w:w="297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Canceled/Expired</w:t>
            </w:r>
          </w:p>
        </w:tc>
        <w:tc>
          <w:tcPr>
            <w:tcW w:w="326" w:type="dxa"/>
            <w:tcBorders/>
            <w:shd w:fill="CCEEFF" w:val="clear"/>
            <w:vAlign w:val="center"/>
          </w:tcPr>
          <w:p>
            <w:pPr>
              <w:pStyle w:val="TableContents"/>
              <w:bidi w:val="0"/>
              <w:spacing w:before="0" w:after="1"/>
              <w:ind w:left="0" w:right="0" w:hanging="0"/>
              <w:jc w:val="both"/>
              <w:rPr/>
            </w:pPr>
            <w:r>
              <w:rPr/>
              <w:t> </w:t>
            </w:r>
          </w:p>
        </w:tc>
        <w:tc>
          <w:tcPr>
            <w:tcW w:w="14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(27,243)</w:t>
            </w:r>
          </w:p>
        </w:tc>
        <w:tc>
          <w:tcPr>
            <w:tcW w:w="326" w:type="dxa"/>
            <w:tcBorders/>
            <w:shd w:fill="CCEEFF" w:val="clear"/>
            <w:vAlign w:val="center"/>
          </w:tcPr>
          <w:p>
            <w:pPr>
              <w:pStyle w:val="TableContents"/>
              <w:bidi w:val="0"/>
              <w:spacing w:before="0" w:after="1"/>
              <w:ind w:left="0" w:right="0" w:hanging="0"/>
              <w:jc w:val="both"/>
              <w:rPr/>
            </w:pPr>
            <w:r>
              <w:rPr/>
              <w:t>​</w:t>
            </w:r>
          </w:p>
        </w:tc>
        <w:tc>
          <w:tcPr>
            <w:tcW w:w="405"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35.09</w:t>
            </w:r>
          </w:p>
        </w:tc>
        <w:tc>
          <w:tcPr>
            <w:tcW w:w="326" w:type="dxa"/>
            <w:tcBorders/>
            <w:shd w:fill="CCEEFF" w:val="clear"/>
            <w:vAlign w:val="center"/>
          </w:tcPr>
          <w:p>
            <w:pPr>
              <w:pStyle w:val="TableContents"/>
              <w:bidi w:val="0"/>
              <w:spacing w:before="0" w:after="1"/>
              <w:ind w:left="0" w:right="0" w:hanging="0"/>
              <w:jc w:val="righ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15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97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Outstanding as of September 30, 2025</w:t>
            </w:r>
          </w:p>
        </w:tc>
        <w:tc>
          <w:tcPr>
            <w:tcW w:w="326" w:type="dxa"/>
            <w:tcBorders/>
            <w:vAlign w:val="center"/>
          </w:tcPr>
          <w:p>
            <w:pPr>
              <w:pStyle w:val="TableContents"/>
              <w:bidi w:val="0"/>
              <w:spacing w:before="0" w:after="1"/>
              <w:ind w:left="0" w:right="0" w:hanging="0"/>
              <w:jc w:val="both"/>
              <w:rPr/>
            </w:pPr>
            <w:r>
              <w:rPr/>
              <w:t> </w:t>
            </w:r>
          </w:p>
        </w:tc>
        <w:tc>
          <w:tcPr>
            <w:tcW w:w="14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700,461</w:t>
            </w:r>
          </w:p>
        </w:tc>
        <w:tc>
          <w:tcPr>
            <w:tcW w:w="326" w:type="dxa"/>
            <w:tcBorders/>
            <w:vAlign w:val="center"/>
          </w:tcPr>
          <w:p>
            <w:pPr>
              <w:pStyle w:val="TableContents"/>
              <w:bidi w:val="0"/>
              <w:spacing w:before="0" w:after="1"/>
              <w:ind w:left="0" w:right="0" w:hanging="0"/>
              <w:jc w:val="both"/>
              <w:rPr/>
            </w:pPr>
            <w:r>
              <w:rPr/>
              <w:t>​</w:t>
            </w:r>
          </w:p>
        </w:tc>
        <w:tc>
          <w:tcPr>
            <w:tcW w:w="405"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18.13</w:t>
            </w:r>
          </w:p>
        </w:tc>
        <w:tc>
          <w:tcPr>
            <w:tcW w:w="326" w:type="dxa"/>
            <w:tcBorders/>
            <w:vAlign w:val="center"/>
          </w:tcPr>
          <w:p>
            <w:pPr>
              <w:pStyle w:val="TableContents"/>
              <w:bidi w:val="0"/>
              <w:spacing w:before="0" w:after="1"/>
              <w:ind w:left="0" w:right="0" w:hanging="0"/>
              <w:jc w:val="right"/>
              <w:rPr/>
            </w:pPr>
            <w:r>
              <w:rP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87"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15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297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Options vested and exercisable</w:t>
            </w:r>
          </w:p>
        </w:tc>
        <w:tc>
          <w:tcPr>
            <w:tcW w:w="326" w:type="dxa"/>
            <w:tcBorders/>
            <w:shd w:fill="CCEEFF" w:val="clear"/>
            <w:vAlign w:val="center"/>
          </w:tcPr>
          <w:p>
            <w:pPr>
              <w:pStyle w:val="TableContents"/>
              <w:bidi w:val="0"/>
              <w:spacing w:before="0" w:after="1"/>
              <w:ind w:left="0" w:right="0" w:hanging="0"/>
              <w:jc w:val="both"/>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438,919</w:t>
            </w:r>
          </w:p>
        </w:tc>
        <w:tc>
          <w:tcPr>
            <w:tcW w:w="326" w:type="dxa"/>
            <w:tcBorders/>
            <w:shd w:fill="CCEEFF" w:val="clear"/>
            <w:vAlign w:val="center"/>
          </w:tcPr>
          <w:p>
            <w:pPr>
              <w:pStyle w:val="TableContents"/>
              <w:bidi w:val="0"/>
              <w:spacing w:before="0" w:after="1"/>
              <w:ind w:left="0" w:right="0" w:hanging="0"/>
              <w:jc w:val="both"/>
              <w:rPr/>
            </w:pPr>
            <w:r>
              <w:rPr/>
              <w:t>​</w:t>
            </w:r>
          </w:p>
        </w:tc>
        <w:tc>
          <w:tcPr>
            <w:tcW w:w="40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27.89</w:t>
            </w:r>
          </w:p>
        </w:tc>
        <w:tc>
          <w:tcPr>
            <w:tcW w:w="326" w:type="dxa"/>
            <w:tcBorders/>
            <w:shd w:fill="CCEEFF" w:val="clear"/>
            <w:vAlign w:val="center"/>
          </w:tcPr>
          <w:p>
            <w:pPr>
              <w:pStyle w:val="TableContents"/>
              <w:bidi w:val="0"/>
              <w:spacing w:before="0" w:after="1"/>
              <w:ind w:left="0" w:right="0" w:hanging="0"/>
              <w:jc w:val="right"/>
              <w:rPr/>
            </w:pPr>
            <w:r>
              <w:rPr/>
              <w:t>​</w:t>
            </w:r>
          </w:p>
        </w:tc>
        <w:tc>
          <w:tcPr>
            <w:tcW w:w="320"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150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5.8</w:t>
            </w:r>
          </w:p>
        </w:tc>
      </w:tr>
    </w:tbl>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Black-Scholes option pricing model is used to estimate the fair value of stock options granted under the Company’s share-based compensation plans. The weighted average assumptions used in calculating the fair values of stock options that were granted during the nine months ended September 30, 2025 were as follows:</w:t>
      </w:r>
    </w:p>
    <w:p>
      <w:pPr>
        <w:pStyle w:val="TextBody"/>
        <w:bidi w:val="0"/>
        <w:spacing w:before="0" w:after="240"/>
        <w:ind w:left="0" w:right="0" w:hanging="0"/>
        <w:jc w:val="left"/>
        <w:rPr/>
      </w:pPr>
      <w:r>
        <w:rPr/>
        <w:t>​</w:t>
      </w:r>
    </w:p>
    <w:tbl>
      <w:tblPr>
        <w:tblW w:w="5308" w:type="dxa"/>
        <w:jc w:val="left"/>
        <w:tblInd w:w="0" w:type="dxa"/>
        <w:tblLayout w:type="fixed"/>
        <w:tblCellMar>
          <w:top w:w="0" w:type="dxa"/>
          <w:left w:w="0" w:type="dxa"/>
          <w:bottom w:w="0" w:type="dxa"/>
          <w:right w:w="0" w:type="dxa"/>
        </w:tblCellMar>
      </w:tblPr>
      <w:tblGrid>
        <w:gridCol w:w="2626"/>
        <w:gridCol w:w="326"/>
        <w:gridCol w:w="635"/>
        <w:gridCol w:w="1405"/>
        <w:gridCol w:w="31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667510" cy="175260"/>
                      <wp:effectExtent l="0" t="0" r="0" b="0"/>
                      <wp:wrapNone/>
                      <wp:docPr id="144" name="Frame143"/>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5"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03225" cy="175260"/>
                      <wp:effectExtent l="0" t="0" r="0" b="0"/>
                      <wp:wrapNone/>
                      <wp:docPr id="146" name="Frame145"/>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892175" cy="175260"/>
                      <wp:effectExtent l="0" t="0" r="0" b="0"/>
                      <wp:wrapNone/>
                      <wp:docPr id="147" name="Frame146"/>
                      <a:graphic xmlns:a="http://schemas.openxmlformats.org/drawingml/2006/main">
                        <a:graphicData uri="http://schemas.microsoft.com/office/word/2010/wordprocessingShape">
                          <wps:wsp>
                            <wps:cNvSpPr txBox="1"/>
                            <wps:spPr>
                              <a:xfrm>
                                <a:off x="0" y="0"/>
                                <a:ext cx="8921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0660" cy="175260"/>
                      <wp:effectExtent l="0" t="0" r="0" b="0"/>
                      <wp:wrapNone/>
                      <wp:docPr id="148" name="Frame14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0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w:t>
            </w:r>
          </w:p>
        </w:tc>
        <w:tc>
          <w:tcPr>
            <w:tcW w:w="316" w:type="dxa"/>
            <w:tcBorders/>
            <w:vAlign w:val="center"/>
          </w:tcPr>
          <w:p>
            <w:pPr>
              <w:pStyle w:val="TableContents"/>
              <w:bidi w:val="0"/>
              <w:spacing w:before="0" w:after="1"/>
              <w:ind w:left="0" w:right="0" w:hanging="0"/>
              <w:jc w:val="center"/>
              <w:rPr/>
            </w:pPr>
            <w:r>
              <w:rPr/>
              <w:t> </w:t>
            </w:r>
          </w:p>
        </w:tc>
      </w:tr>
      <w:tr>
        <w:trPr/>
        <w:tc>
          <w:tcPr>
            <w:tcW w:w="26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0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September 30, 2025</w:t>
            </w:r>
          </w:p>
        </w:tc>
        <w:tc>
          <w:tcPr>
            <w:tcW w:w="316" w:type="dxa"/>
            <w:tcBorders/>
            <w:vAlign w:val="center"/>
          </w:tcPr>
          <w:p>
            <w:pPr>
              <w:pStyle w:val="TableContents"/>
              <w:bidi w:val="0"/>
              <w:spacing w:before="0" w:after="1"/>
              <w:ind w:left="0" w:right="0" w:hanging="0"/>
              <w:jc w:val="center"/>
              <w:rPr/>
            </w:pPr>
            <w:r>
              <w:rPr/>
              <w:t> </w:t>
            </w:r>
          </w:p>
        </w:tc>
      </w:tr>
      <w:tr>
        <w:trPr/>
        <w:tc>
          <w:tcPr>
            <w:tcW w:w="26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1"/>
              <w:ind w:left="0" w:right="0" w:hanging="0"/>
              <w:jc w:val="both"/>
              <w:rPr/>
            </w:pPr>
            <w:r>
              <w:rPr/>
              <w:t>​</w:t>
            </w:r>
          </w:p>
        </w:tc>
        <w:tc>
          <w:tcPr>
            <w:tcW w:w="63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4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16" w:type="dxa"/>
            <w:tcBorders/>
            <w:shd w:fill="CCEEFF" w:val="clear"/>
            <w:vAlign w:val="center"/>
          </w:tcPr>
          <w:p>
            <w:pPr>
              <w:pStyle w:val="TableContents"/>
              <w:bidi w:val="0"/>
              <w:spacing w:before="0" w:after="1"/>
              <w:ind w:left="0" w:right="0" w:hanging="0"/>
              <w:jc w:val="both"/>
              <w:rPr/>
            </w:pPr>
            <w:r>
              <w:rPr/>
              <w:t>​</w:t>
            </w:r>
          </w:p>
        </w:tc>
      </w:tr>
      <w:tr>
        <w:trPr/>
        <w:tc>
          <w:tcPr>
            <w:tcW w:w="26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Expected term (years)</w:t>
            </w:r>
          </w:p>
        </w:tc>
        <w:tc>
          <w:tcPr>
            <w:tcW w:w="326" w:type="dxa"/>
            <w:tcBorders/>
            <w:vAlign w:val="center"/>
          </w:tcPr>
          <w:p>
            <w:pPr>
              <w:pStyle w:val="TableContents"/>
              <w:bidi w:val="0"/>
              <w:spacing w:before="0" w:after="1"/>
              <w:ind w:left="0" w:right="0" w:hanging="0"/>
              <w:jc w:val="both"/>
              <w:rPr/>
            </w:pPr>
            <w:r>
              <w:rPr/>
              <w:t>​</w:t>
            </w:r>
          </w:p>
        </w:tc>
        <w:tc>
          <w:tcPr>
            <w:tcW w:w="635" w:type="dxa"/>
            <w:tcBorders/>
            <w:vAlign w:val="center"/>
          </w:tcPr>
          <w:p>
            <w:pPr>
              <w:pStyle w:val="TableContents"/>
              <w:bidi w:val="0"/>
              <w:spacing w:before="0" w:after="1"/>
              <w:ind w:left="0" w:right="0" w:hanging="0"/>
              <w:jc w:val="both"/>
              <w:rPr/>
            </w:pPr>
            <w:r>
              <w:rPr/>
              <w:t> </w:t>
            </w:r>
          </w:p>
        </w:tc>
        <w:tc>
          <w:tcPr>
            <w:tcW w:w="14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16" w:type="dxa"/>
            <w:tcBorders/>
            <w:vAlign w:val="center"/>
          </w:tcPr>
          <w:p>
            <w:pPr>
              <w:pStyle w:val="TableContents"/>
              <w:bidi w:val="0"/>
              <w:spacing w:before="0" w:after="1"/>
              <w:ind w:left="0" w:right="0" w:hanging="0"/>
              <w:jc w:val="both"/>
              <w:rPr/>
            </w:pPr>
            <w:r>
              <w:rPr/>
              <w:t>​</w:t>
            </w:r>
          </w:p>
        </w:tc>
      </w:tr>
      <w:tr>
        <w:trPr/>
        <w:tc>
          <w:tcPr>
            <w:tcW w:w="26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Expected stock price volatility</w:t>
            </w:r>
          </w:p>
        </w:tc>
        <w:tc>
          <w:tcPr>
            <w:tcW w:w="326" w:type="dxa"/>
            <w:tcBorders/>
            <w:shd w:fill="CCEEFF" w:val="clear"/>
            <w:vAlign w:val="center"/>
          </w:tcPr>
          <w:p>
            <w:pPr>
              <w:pStyle w:val="TableContents"/>
              <w:bidi w:val="0"/>
              <w:spacing w:before="0" w:after="1"/>
              <w:ind w:left="0" w:right="0" w:hanging="0"/>
              <w:jc w:val="both"/>
              <w:rPr/>
            </w:pPr>
            <w:r>
              <w:rPr/>
              <w:t>​</w:t>
            </w:r>
          </w:p>
        </w:tc>
        <w:tc>
          <w:tcPr>
            <w:tcW w:w="635" w:type="dxa"/>
            <w:tcBorders/>
            <w:shd w:fill="CCEEFF" w:val="clear"/>
            <w:vAlign w:val="center"/>
          </w:tcPr>
          <w:p>
            <w:pPr>
              <w:pStyle w:val="TableContents"/>
              <w:bidi w:val="0"/>
              <w:spacing w:before="0" w:after="1"/>
              <w:ind w:left="0" w:right="0" w:hanging="0"/>
              <w:jc w:val="both"/>
              <w:rPr/>
            </w:pPr>
            <w:r>
              <w:rPr/>
              <w:t> </w:t>
            </w:r>
          </w:p>
        </w:tc>
        <w:tc>
          <w:tcPr>
            <w:tcW w:w="14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6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Risk-free rate of interest</w:t>
            </w:r>
          </w:p>
        </w:tc>
        <w:tc>
          <w:tcPr>
            <w:tcW w:w="326" w:type="dxa"/>
            <w:tcBorders/>
            <w:vAlign w:val="center"/>
          </w:tcPr>
          <w:p>
            <w:pPr>
              <w:pStyle w:val="TableContents"/>
              <w:bidi w:val="0"/>
              <w:spacing w:before="0" w:after="1"/>
              <w:ind w:left="0" w:right="0" w:hanging="0"/>
              <w:jc w:val="both"/>
              <w:rPr/>
            </w:pPr>
            <w:r>
              <w:rPr/>
              <w:t>​</w:t>
            </w:r>
          </w:p>
        </w:tc>
        <w:tc>
          <w:tcPr>
            <w:tcW w:w="635" w:type="dxa"/>
            <w:tcBorders/>
            <w:vAlign w:val="center"/>
          </w:tcPr>
          <w:p>
            <w:pPr>
              <w:pStyle w:val="TableContents"/>
              <w:bidi w:val="0"/>
              <w:spacing w:before="0" w:after="1"/>
              <w:ind w:left="0" w:right="0" w:hanging="0"/>
              <w:jc w:val="both"/>
              <w:rPr/>
            </w:pPr>
            <w:r>
              <w:rPr/>
              <w:t> </w:t>
            </w:r>
          </w:p>
        </w:tc>
        <w:tc>
          <w:tcPr>
            <w:tcW w:w="14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w:t>
            </w:r>
          </w:p>
        </w:tc>
        <w:tc>
          <w:tcPr>
            <w:tcW w:w="3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6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Expected dividend rate</w:t>
            </w:r>
          </w:p>
        </w:tc>
        <w:tc>
          <w:tcPr>
            <w:tcW w:w="326" w:type="dxa"/>
            <w:tcBorders/>
            <w:shd w:fill="CCEEFF" w:val="clear"/>
            <w:vAlign w:val="center"/>
          </w:tcPr>
          <w:p>
            <w:pPr>
              <w:pStyle w:val="TableContents"/>
              <w:bidi w:val="0"/>
              <w:spacing w:before="0" w:after="1"/>
              <w:ind w:left="0" w:right="0" w:hanging="0"/>
              <w:jc w:val="both"/>
              <w:rPr/>
            </w:pPr>
            <w:r>
              <w:rPr/>
              <w:t>​</w:t>
            </w:r>
          </w:p>
        </w:tc>
        <w:tc>
          <w:tcPr>
            <w:tcW w:w="635" w:type="dxa"/>
            <w:tcBorders/>
            <w:shd w:fill="CCEEFF" w:val="clear"/>
            <w:vAlign w:val="center"/>
          </w:tcPr>
          <w:p>
            <w:pPr>
              <w:pStyle w:val="TableContents"/>
              <w:bidi w:val="0"/>
              <w:spacing w:before="0" w:after="1"/>
              <w:ind w:left="0" w:right="0" w:hanging="0"/>
              <w:jc w:val="both"/>
              <w:rPr/>
            </w:pPr>
            <w:r>
              <w:rPr/>
              <w:t> </w:t>
            </w:r>
          </w:p>
        </w:tc>
        <w:tc>
          <w:tcPr>
            <w:tcW w:w="14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stock-based compensation expenses recorded during the respective periods:</w:t>
      </w:r>
    </w:p>
    <w:p>
      <w:pPr>
        <w:pStyle w:val="TextBody"/>
        <w:bidi w:val="0"/>
        <w:spacing w:before="0" w:after="0"/>
        <w:ind w:left="0" w:right="0" w:hanging="0"/>
        <w:jc w:val="both"/>
        <w:rPr/>
      </w:pPr>
      <w:r>
        <w:rPr/>
        <w:t>​</w:t>
      </w:r>
    </w:p>
    <w:tbl>
      <w:tblPr>
        <w:tblW w:w="8301" w:type="dxa"/>
        <w:jc w:val="left"/>
        <w:tblInd w:w="0" w:type="dxa"/>
        <w:tblLayout w:type="fixed"/>
        <w:tblCellMar>
          <w:top w:w="0" w:type="dxa"/>
          <w:left w:w="0" w:type="dxa"/>
          <w:bottom w:w="0" w:type="dxa"/>
          <w:right w:w="0" w:type="dxa"/>
        </w:tblCellMar>
      </w:tblPr>
      <w:tblGrid>
        <w:gridCol w:w="3001"/>
        <w:gridCol w:w="326"/>
        <w:gridCol w:w="224"/>
        <w:gridCol w:w="719"/>
        <w:gridCol w:w="347"/>
        <w:gridCol w:w="224"/>
        <w:gridCol w:w="719"/>
        <w:gridCol w:w="326"/>
        <w:gridCol w:w="211"/>
        <w:gridCol w:w="781"/>
        <w:gridCol w:w="326"/>
        <w:gridCol w:w="211"/>
        <w:gridCol w:w="88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905635" cy="175260"/>
                      <wp:effectExtent l="0" t="0" r="0" b="0"/>
                      <wp:wrapNone/>
                      <wp:docPr id="149" name="Frame148"/>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0"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42240" cy="175260"/>
                      <wp:effectExtent l="0" t="0" r="0" b="0"/>
                      <wp:wrapNone/>
                      <wp:docPr id="151" name="Frame150"/>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56565" cy="175260"/>
                      <wp:effectExtent l="0" t="0" r="0" b="0"/>
                      <wp:wrapNone/>
                      <wp:docPr id="152" name="Frame151"/>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20345" cy="175260"/>
                      <wp:effectExtent l="0" t="0" r="0" b="0"/>
                      <wp:wrapNone/>
                      <wp:docPr id="153" name="Frame152"/>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42240" cy="175260"/>
                      <wp:effectExtent l="0" t="0" r="0" b="0"/>
                      <wp:wrapNone/>
                      <wp:docPr id="154" name="Frame153"/>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56565" cy="175260"/>
                      <wp:effectExtent l="0" t="0" r="0" b="0"/>
                      <wp:wrapNone/>
                      <wp:docPr id="155" name="Frame154"/>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6"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7"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95935" cy="175260"/>
                      <wp:effectExtent l="0" t="0" r="0" b="0"/>
                      <wp:wrapNone/>
                      <wp:docPr id="158" name="Frame1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59"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0"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62610" cy="175260"/>
                      <wp:effectExtent l="0" t="0" r="0" b="0"/>
                      <wp:wrapNone/>
                      <wp:docPr id="161" name="Frame16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23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1"/>
              <w:ind w:left="0" w:right="0" w:hanging="0"/>
              <w:jc w:val="both"/>
              <w:rPr/>
            </w:pPr>
            <w:r>
              <w:rPr/>
              <w:t> </w:t>
            </w:r>
          </w:p>
        </w:tc>
        <w:tc>
          <w:tcPr>
            <w:tcW w:w="24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r>
      <w:tr>
        <w:trPr/>
        <w:tc>
          <w:tcPr>
            <w:tcW w:w="300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23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both"/>
              <w:rPr/>
            </w:pPr>
            <w:r>
              <w:rPr/>
              <w:t> </w:t>
            </w:r>
          </w:p>
        </w:tc>
        <w:tc>
          <w:tcPr>
            <w:tcW w:w="24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00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7" w:type="dxa"/>
            <w:tcBorders/>
            <w:vAlign w:val="center"/>
          </w:tcPr>
          <w:p>
            <w:pPr>
              <w:pStyle w:val="TableContents"/>
              <w:bidi w:val="0"/>
              <w:spacing w:before="0" w:after="1"/>
              <w:ind w:left="0" w:right="0" w:hanging="0"/>
              <w:jc w:val="both"/>
              <w:rPr/>
            </w:pPr>
            <w:r>
              <w:rPr/>
              <w:t>    </w:t>
            </w:r>
          </w:p>
        </w:tc>
        <w:tc>
          <w:tcPr>
            <w:tcW w:w="9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0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 Compensation expenses:</w:t>
            </w:r>
          </w:p>
        </w:tc>
        <w:tc>
          <w:tcPr>
            <w:tcW w:w="326" w:type="dxa"/>
            <w:tcBorders/>
            <w:shd w:fill="CCEEFF" w:val="clear"/>
            <w:vAlign w:val="center"/>
          </w:tcPr>
          <w:p>
            <w:pPr>
              <w:pStyle w:val="TableContents"/>
              <w:bidi w:val="0"/>
              <w:spacing w:before="0" w:after="1"/>
              <w:ind w:left="0" w:right="0" w:hanging="0"/>
              <w:jc w:val="both"/>
              <w:rPr/>
            </w:pPr>
            <w:r>
              <w:rPr/>
              <w:t> </w:t>
            </w:r>
          </w:p>
        </w:tc>
        <w:tc>
          <w:tcPr>
            <w:tcW w:w="224" w:type="dxa"/>
            <w:tcBorders/>
            <w:shd w:fill="CCEEFF" w:val="clear"/>
            <w:vAlign w:val="center"/>
          </w:tcPr>
          <w:p>
            <w:pPr>
              <w:pStyle w:val="TableContents"/>
              <w:bidi w:val="0"/>
              <w:spacing w:before="0" w:after="1"/>
              <w:ind w:left="0" w:right="0" w:hanging="0"/>
              <w:jc w:val="both"/>
              <w:rPr/>
            </w:pPr>
            <w:r>
              <w:rPr/>
              <w:t>​</w:t>
            </w:r>
          </w:p>
        </w:tc>
        <w:tc>
          <w:tcPr>
            <w:tcW w:w="719" w:type="dxa"/>
            <w:tcBorders/>
            <w:shd w:fill="CCEEFF" w:val="clear"/>
            <w:vAlign w:val="center"/>
          </w:tcPr>
          <w:p>
            <w:pPr>
              <w:pStyle w:val="TableContents"/>
              <w:bidi w:val="0"/>
              <w:spacing w:before="0" w:after="1"/>
              <w:ind w:left="0" w:right="0" w:hanging="0"/>
              <w:jc w:val="right"/>
              <w:rPr/>
            </w:pPr>
            <w:r>
              <w:rPr/>
              <w:t>  </w:t>
            </w:r>
          </w:p>
        </w:tc>
        <w:tc>
          <w:tcPr>
            <w:tcW w:w="347" w:type="dxa"/>
            <w:tcBorders/>
            <w:shd w:fill="CCEEFF" w:val="clear"/>
            <w:vAlign w:val="center"/>
          </w:tcPr>
          <w:p>
            <w:pPr>
              <w:pStyle w:val="TableContents"/>
              <w:bidi w:val="0"/>
              <w:spacing w:before="0" w:after="1"/>
              <w:ind w:left="0" w:right="0" w:hanging="0"/>
              <w:jc w:val="both"/>
              <w:rPr/>
            </w:pPr>
            <w:r>
              <w:rPr/>
              <w:t> </w:t>
            </w:r>
          </w:p>
        </w:tc>
        <w:tc>
          <w:tcPr>
            <w:tcW w:w="224" w:type="dxa"/>
            <w:tcBorders/>
            <w:shd w:fill="CCEEFF" w:val="clear"/>
            <w:vAlign w:val="center"/>
          </w:tcPr>
          <w:p>
            <w:pPr>
              <w:pStyle w:val="TableContents"/>
              <w:bidi w:val="0"/>
              <w:spacing w:before="0" w:after="1"/>
              <w:ind w:left="0" w:right="0" w:hanging="0"/>
              <w:jc w:val="both"/>
              <w:rPr/>
            </w:pPr>
            <w:r>
              <w:rPr/>
              <w:t>​</w:t>
            </w:r>
          </w:p>
        </w:tc>
        <w:tc>
          <w:tcPr>
            <w:tcW w:w="71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 </w:t>
            </w:r>
          </w:p>
        </w:tc>
        <w:tc>
          <w:tcPr>
            <w:tcW w:w="211" w:type="dxa"/>
            <w:tcBorders/>
            <w:shd w:fill="CCEEFF" w:val="clear"/>
            <w:vAlign w:val="center"/>
          </w:tcPr>
          <w:p>
            <w:pPr>
              <w:pStyle w:val="TableContents"/>
              <w:bidi w:val="0"/>
              <w:spacing w:before="0" w:after="1"/>
              <w:ind w:left="0" w:right="0" w:hanging="0"/>
              <w:jc w:val="both"/>
              <w:rPr/>
            </w:pPr>
            <w:r>
              <w:rPr/>
              <w:t>​</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300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both"/>
              <w:rPr/>
            </w:pPr>
            <w:r>
              <w:rPr/>
              <w:t>​</w:t>
            </w:r>
          </w:p>
        </w:tc>
        <w:tc>
          <w:tcPr>
            <w:tcW w:w="224"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19" w:type="dxa"/>
            <w:tcBorders/>
            <w:vAlign w:val="center"/>
          </w:tcPr>
          <w:p>
            <w:pPr>
              <w:pStyle w:val="TableContents"/>
              <w:bidi w:val="0"/>
              <w:spacing w:before="0" w:after="1"/>
              <w:ind w:left="0" w:right="0" w:hanging="0"/>
              <w:jc w:val="right"/>
              <w:rPr/>
            </w:pPr>
            <w:r>
              <w:rPr/>
              <w:t>—</w:t>
            </w:r>
          </w:p>
        </w:tc>
        <w:tc>
          <w:tcPr>
            <w:tcW w:w="347" w:type="dxa"/>
            <w:tcBorders/>
            <w:vAlign w:val="center"/>
          </w:tcPr>
          <w:p>
            <w:pPr>
              <w:pStyle w:val="TableContents"/>
              <w:bidi w:val="0"/>
              <w:spacing w:before="0" w:after="1"/>
              <w:ind w:left="0" w:right="0" w:hanging="0"/>
              <w:jc w:val="both"/>
              <w:rPr/>
            </w:pPr>
            <w:r>
              <w:rPr/>
              <w:t>​</w:t>
            </w:r>
          </w:p>
        </w:tc>
        <w:tc>
          <w:tcPr>
            <w:tcW w:w="224"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13,000</w:t>
            </w:r>
          </w:p>
        </w:tc>
      </w:tr>
      <w:tr>
        <w:trPr/>
        <w:tc>
          <w:tcPr>
            <w:tcW w:w="300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both"/>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7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33,000</w:t>
            </w:r>
          </w:p>
        </w:tc>
        <w:tc>
          <w:tcPr>
            <w:tcW w:w="347" w:type="dxa"/>
            <w:tcBorders/>
            <w:shd w:fill="CCEEFF" w:val="clear"/>
            <w:vAlign w:val="center"/>
          </w:tcPr>
          <w:p>
            <w:pPr>
              <w:pStyle w:val="TableContents"/>
              <w:bidi w:val="0"/>
              <w:spacing w:before="0" w:after="1"/>
              <w:ind w:left="0" w:right="0" w:hanging="0"/>
              <w:jc w:val="both"/>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7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182,000</w:t>
            </w:r>
          </w:p>
        </w:tc>
      </w:tr>
      <w:tr>
        <w:trPr/>
        <w:tc>
          <w:tcPr>
            <w:tcW w:w="300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stock compensation expenses</w:t>
            </w:r>
          </w:p>
        </w:tc>
        <w:tc>
          <w:tcPr>
            <w:tcW w:w="326" w:type="dxa"/>
            <w:tcBorders/>
            <w:vAlign w:val="center"/>
          </w:tcPr>
          <w:p>
            <w:pPr>
              <w:pStyle w:val="TableContents"/>
              <w:bidi w:val="0"/>
              <w:spacing w:before="0" w:after="1"/>
              <w:ind w:left="0" w:right="0" w:hanging="0"/>
              <w:jc w:val="both"/>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33,000</w:t>
            </w:r>
          </w:p>
        </w:tc>
        <w:tc>
          <w:tcPr>
            <w:tcW w:w="347" w:type="dxa"/>
            <w:tcBorders/>
            <w:vAlign w:val="center"/>
          </w:tcPr>
          <w:p>
            <w:pPr>
              <w:pStyle w:val="TableContents"/>
              <w:bidi w:val="0"/>
              <w:spacing w:before="0" w:after="1"/>
              <w:ind w:left="0" w:right="0" w:hanging="0"/>
              <w:jc w:val="both"/>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195,000</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nine months ended September 30, 2025, the Company recorded incremental stock-based compensation expense of $0.3 million pertaining to the modification of stock options in connection with certain consultants. The modification resulted in an acceleration of $0.3 million in compensation expense that was immediately recognized, and is reflected in operating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September 30, 2025, the total stock-based compensation cost related to unvested awards not yet recognized was $0.2 million. The expected weighted average period for compensation costs to be recognized was approximately 2.3 years. Future option grants will impact the compensation expense recognized.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GRANT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was $1.4 million in restricted cash recorded as of September 30, 2025 related to the CPRIT Pancreatic Grant, and none as of December 31, 2024. If qualifying grant income is earned in advance of cash received from grants, it is recognized as revenue and recorded as other receivable.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CPRIT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received notice of a Product Development Research award totaling approximately $13.1 million from CPRIT to support the Company’s clinical investigation of MT-401-OTS in patients with AML.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$0.2 million and $0.7 million of grant income related to the CPRIT AML Grant as revenue for the three and nine months ended September 30, 2025, respectively. As of September 30, 2025, the Company’s grant income receivable balance for this grant was $0.6 million, which represented grant income earned in advance of funds to be received from CPRIT.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2024, the Company received notice of an additional $9.5 million grant from CPRIT to support the clinical investigation of MT-601 in patients with metastatic pancreatic cancer. The Company recorded nil and $0.2 million of grant income related to the CPRIT Pancreatic Grant as revenue for the three and nine months ended September 30, 2025, respectively. As of September 30, 2025, $1.4 million was recorded as restricted cash and deferred revenue on the Company’s condensed consolidated balance sheet.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Both CPRIT grants are subject to certain revenue-sharing arrangements, as per the grant agreements (see Note 11).</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FDA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2022, the Company received notice from the FDA that it had awarded the Company a $2.0 million grant from the FDA’s Orphan Products Grant program to support the Company’s clinical investigation of MT-401-OTS for the treatment of post-transplant AML. The Company recorded $0.01 million and $0.1 million of grant income related to the FDA Grant as revenue for the three and nine months ended September 30, 2025, respectively. As of September 30, 2025, the Company had approximately $0.01 million of grant income receivable for this grant.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NIH SBIR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the Company announced it had received a $2.0 million grant from the National Institutes of Health (“NIH”) Small Business Innovation Research (“SBIR”) program to support the development and investigation of MT-401 for the treatment of AML patients following standard-of-care therapy with hypomethylating agents. The Company recorded $0.2 million and $0.3 million of grant income related to the SBIR AML Grant as revenue for the three and nine months ended September 30, 2025, respectively. As of September 30, 2025, the Company’s grant income receivable balance for this grant was $0.2 million, which represented grant income earned in advance of funds to be received from the SBIR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the Company received notice of a $2.0 million grant from the NIH SBIR program to support the clinical investigation of MT-601 in patients with non-Hodgkin’s lymphoma (“NHL”) who have relapsed following anti-CD19 chimeric antigen receptor (“CAR”) T cell therapy. The Company recorded $0.6 million of grant income related to the SBIR NHL Grant as revenue for the three and nine months ended September 30, 2025. As of September 30, 2025, the Company’s grant income receivable balance for this grant was $0.6 million, which represented grant income earned in advance of funds to be received from the SBIR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the Company received notice of another $2.0 million grant from the NIH SBIR program to support the clinical investigation of MT-601 in patients with pancreatic cancer. The Company recorded approximately $0.2 million of grant income related to the PANACEA Grant as revenue for the three and nine months ended September 30, 2025, and had the same balance in other receivables as of September 30,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June 2024, the Company received notice of a $2.0 million grant over a 2-year period from the NIH SBIR program to support control over tumor immune escape in pancreatic cancer using a dual T cell product strategy. The Company recorded approximately $0.1 million and $0.3 million of grant income related to the Decoy Grant as revenue for the three and nine months ended September 30, 2025, respectively. As of September 30, 2025, the Company’s grant income receivable balance for this grant was approximately $0.02 million, which represented grant income earned in advance of funds to be received from the SBIR program.</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Cancer Prevention and Research Institute of Texas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received notice of a Product Development Research award totaling approximately $13.1 million from CPRIT to support the Company’s clinical investigation of MT-401 in patients with AML. In December 2024, the Company received notice of an additional $9.5 million grant from CPRIT to support the clinical investigation of MT-601 in patients with pancreatic cancer. Both CPRIT grants contain identical terms surrounding intellectual property and revenue sharing.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 the CPRIT grant agreements, the Company will retain ownership over any intellectual property developed under the contracts (the “Project Results”). With respect to non-commercial use of any Project Results, the Company agreed to grant to CPRIT a nonexclusive, irrevocable, royalty-free, perpetual, worldwide license with the right to sublicense any necessary additional intellectual property rights to exploit all Project Results by CPRIT, other governmental entities and agencies of the State of Texas, and private or independent institutions of higher education located in Texas, solely for academic, research, and other non-commercial purposes.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Company’s products become commercially saleable, the Company is obligated to make payments to CPRIT, with respect to net sales of any product covered in the contract, equal to a percentage of revenue ranging from the low-to-mid single digits. These payments will continue up to and until CPRIT receives an aggregate amount of 400% of the sum of all monies paid to the Company by CPRIT under the grant agreements. If the Company is required to obtain a license from a third party to sell any such product, the revenue sharing percentages may be reduced. In addition, once the Company has paid CPRIT 400% of the monies received under the grant agreements, the Company will continue to pay CPRIT a revenue-sharing percentage of 0.5% for the remainder of the Revenue Term as specified in the grant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License Agreement with the Baylor College of Medicine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March 2018, the Company entered into an exclusive license agreement with BCM under which the Company acquired a worldwide, exclusive license to BCM’s rights in and to certain intellectual property rights, including a European patent to develop and commercialize MAR-T cell product candidates (the “BCM License Agreement”). In exchange for the license, the Company issued shares of its common stock to BCM valued at approximately $5.0 million at the time of issuance, agreed to make royalty payments to BCM upon commercial sales according to the royalty schedule in the BCM License Agreement, under which the royalty percentages increase in proportion to the aggregate net sales, and agreed to pay BCM certain milestone payments up to an aggregate of $64.85 million. The milestone payments are based upon the occurrence of nine particular milestones relating to completion of the first dosing in the first Phase 3 clinical trial for a first and second distinct product, FDA approval, and achievement of certain net sales goals. The Company is also responsible for sublicensing fees and for reimbursing BCM for related-party expenses. In addition, upon a liquidity event (as defined in the BCM License Agreement) of the Company, BCM will receive a one-time liquidity incentive payment of 0.5% of the liquidity event proceeds (as defined in the BCM License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become involved in legal proceedings, including those arising in the ordinary course of our business. We are not currently a party to any legal proceedings that we believe could have a material adverse effect on our business, operating results or financial condition.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73" w:name="Tc_CM7xMhSxbkWiAZIghlqlDw_7_11"/>
      <w:bookmarkStart w:id="674" w:name="Tc_H7Mm05BGuUSnoTOCNSDjQw_7_8"/>
      <w:bookmarkStart w:id="675" w:name="Tc_Okx087u_lUS1QcniknUOoQ_7_5"/>
      <w:bookmarkStart w:id="676" w:name="Tc_aaIWGLcd6EuFbBqix5Yi1g_7_2"/>
      <w:bookmarkStart w:id="677" w:name="Tc_DPvHbdM5VUu1wS2_QEeILg_7_0"/>
      <w:bookmarkStart w:id="678" w:name="Tc_pxSqGRByeUeutuuQo5TMyQ_6_12"/>
      <w:bookmarkStart w:id="679" w:name="Tc_X3woDYFYh0mu0OKl2teMzw_6_6"/>
      <w:bookmarkStart w:id="680" w:name="Tc_-AAPArlnIUKdqDsG7Nb5vg_6_0"/>
      <w:bookmarkStart w:id="681" w:name="Tc_lAAt6waWHUCqupwDX3MXBw_5_0"/>
      <w:bookmarkStart w:id="682" w:name="Tc_s2b5I665SU2W276ih99rDw_4_11"/>
      <w:bookmarkStart w:id="683" w:name="Tc_OyUwroTIoUm2QQE0M1K4LQ_4_8"/>
      <w:bookmarkStart w:id="684" w:name="Tc_IG0XAZyk50OI92aPXcIdiQ_4_6"/>
      <w:bookmarkStart w:id="685" w:name="Tc_yj6QH2eP-0ywPEtyceZ04A_4_5"/>
      <w:bookmarkStart w:id="686" w:name="Tc_9WSjgnbSwUmG4TYtPHO1QQ_4_2"/>
      <w:bookmarkStart w:id="687" w:name="Tc_VK-lOZ_8BkuUQsP207gB8g_4_0"/>
      <w:bookmarkStart w:id="688" w:name="Tc_NgzpA87FZUm--CaMo31Hpg_3_11"/>
      <w:bookmarkStart w:id="689" w:name="Tc_0UlOeL9Y3E-spJqy3mnekw_3_8"/>
      <w:bookmarkStart w:id="690" w:name="Tc_BYmUi5IID0aQgqpw6bKCZg_3_5"/>
      <w:bookmarkStart w:id="691" w:name="Tc_-7wJvkqte0Wxt4ZHVPj9aQ_3_2"/>
      <w:bookmarkStart w:id="692" w:name="Tc_Yh24pNPD70aWY2dV9RRu5w_2_8"/>
      <w:bookmarkStart w:id="693" w:name="Tc_Fee42yvip0KZVckpG6LjlA_2_2"/>
      <w:bookmarkStart w:id="694" w:name="Tc_F_KAYXiRGEOLgIfeI2jrtQ_1_8"/>
      <w:bookmarkStart w:id="695" w:name="Tc_nJcRLPLx8EaxGQBdvH-smw_1_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r>
        <w:rPr>
          <w:rFonts w:ascii="Times New Roman;Times;serif" w:hAnsi="Times New Roman;Times;serif"/>
          <w:b/>
          <w:sz w:val="20"/>
        </w:rPr>
        <w:t>NOTE 12: RELATED PARTY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related party transaction expenses recorded for the three and nine months ended September 30, 2025 and 2024, respectively.</w:t>
      </w:r>
    </w:p>
    <w:p>
      <w:pPr>
        <w:pStyle w:val="TextBody"/>
        <w:bidi w:val="0"/>
        <w:spacing w:before="0" w:after="0"/>
        <w:ind w:left="0" w:right="0" w:hanging="0"/>
        <w:jc w:val="both"/>
        <w:rPr/>
      </w:pPr>
      <w:r>
        <w:rPr/>
        <w:t>​</w:t>
      </w:r>
    </w:p>
    <w:tbl>
      <w:tblPr>
        <w:tblW w:w="9278" w:type="dxa"/>
        <w:jc w:val="left"/>
        <w:tblInd w:w="0" w:type="dxa"/>
        <w:tblLayout w:type="fixed"/>
        <w:tblCellMar>
          <w:top w:w="0" w:type="dxa"/>
          <w:left w:w="0" w:type="dxa"/>
          <w:bottom w:w="0" w:type="dxa"/>
          <w:right w:w="0" w:type="dxa"/>
        </w:tblCellMar>
      </w:tblPr>
      <w:tblGrid>
        <w:gridCol w:w="3451"/>
        <w:gridCol w:w="326"/>
        <w:gridCol w:w="211"/>
        <w:gridCol w:w="781"/>
        <w:gridCol w:w="326"/>
        <w:gridCol w:w="211"/>
        <w:gridCol w:w="931"/>
        <w:gridCol w:w="326"/>
        <w:gridCol w:w="211"/>
        <w:gridCol w:w="931"/>
        <w:gridCol w:w="326"/>
        <w:gridCol w:w="211"/>
        <w:gridCol w:w="103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1385" cy="175260"/>
                      <wp:effectExtent l="0" t="0" r="0" b="0"/>
                      <wp:wrapNone/>
                      <wp:docPr id="162" name="Frame161"/>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3"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4"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95935" cy="175260"/>
                      <wp:effectExtent l="0" t="0" r="0" b="0"/>
                      <wp:wrapNone/>
                      <wp:docPr id="165" name="Frame1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6"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7"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91185" cy="175260"/>
                      <wp:effectExtent l="0" t="0" r="0" b="0"/>
                      <wp:wrapNone/>
                      <wp:docPr id="168" name="Frame16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69"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0"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91185" cy="175260"/>
                      <wp:effectExtent l="0" t="0" r="0" b="0"/>
                      <wp:wrapNone/>
                      <wp:docPr id="171" name="Frame1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2"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3"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57860" cy="175260"/>
                      <wp:effectExtent l="0" t="0" r="0" b="0"/>
                      <wp:wrapNone/>
                      <wp:docPr id="174" name="Frame17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46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1"/>
              <w:ind w:left="0" w:right="0" w:hanging="0"/>
              <w:jc w:val="both"/>
              <w:rPr/>
            </w:pPr>
            <w:r>
              <w:rPr/>
              <w:t> </w:t>
            </w:r>
          </w:p>
        </w:tc>
        <w:tc>
          <w:tcPr>
            <w:tcW w:w="27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r>
      <w:tr>
        <w:trPr/>
        <w:tc>
          <w:tcPr>
            <w:tcW w:w="34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4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both"/>
              <w:rPr/>
            </w:pPr>
            <w:r>
              <w:rPr/>
              <w:t> </w:t>
            </w:r>
          </w:p>
        </w:tc>
        <w:tc>
          <w:tcPr>
            <w:tcW w:w="27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4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Baylor College of Medicine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2,935,000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w:t>
            </w:r>
          </w:p>
        </w:tc>
      </w:tr>
      <w:tr>
        <w:trPr/>
        <w:tc>
          <w:tcPr>
            <w:tcW w:w="34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Cell Ready</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1,235,000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1,148,000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3,071,000</w:t>
            </w:r>
          </w:p>
        </w:tc>
      </w:tr>
      <w:tr>
        <w:trPr/>
        <w:tc>
          <w:tcPr>
            <w:tcW w:w="34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Wilson Wolf Manufacturing Corporation</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4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Research and development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533,000</w:t>
            </w:r>
          </w:p>
        </w:tc>
        <w:tc>
          <w:tcPr>
            <w:tcW w:w="326" w:type="dxa"/>
            <w:tcBorders/>
            <w:vAlign w:val="center"/>
          </w:tcPr>
          <w:p>
            <w:pPr>
              <w:pStyle w:val="TableContents"/>
              <w:bidi w:val="0"/>
              <w:spacing w:before="0" w:after="1"/>
              <w:ind w:left="0" w:right="0" w:hanging="0"/>
              <w:jc w:val="both"/>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1,235,000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4,150,000</w:t>
            </w:r>
          </w:p>
        </w:tc>
        <w:tc>
          <w:tcPr>
            <w:tcW w:w="326" w:type="dxa"/>
            <w:tcBorders/>
            <w:vAlign w:val="center"/>
          </w:tcPr>
          <w:p>
            <w:pPr>
              <w:pStyle w:val="TableContents"/>
              <w:bidi w:val="0"/>
              <w:spacing w:before="0" w:after="1"/>
              <w:ind w:left="0" w:right="0" w:hanging="0"/>
              <w:jc w:val="both"/>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3,077,000</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$0.3 million of related party transactions are included in accounts payable and accrued liabilities as of September 30, 2025. See Note 7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Agreements with The Baylor College of Medicine (“BCM”)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2018, January 2020 and February 2020, the Company entered in Sponsored Research Agreements with BCM, which provided for the conduct of research for the Company by credentialed personnel at BCM’s Center for Cell and Gene Therapy. On April 1, 2025, the Company sighed Amendment #1 to the Sponsored Research and Product Development Agreement with BCM to perform research on “Controlling Tumor Immune Escape in Pancreatic Cancer using a Dual T-Cell Product Strategy.”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2019, May 2020 and July 2021, the Company entered into Clinical Supply Agreements with BCM, which provided for BCM to provide to the Company multi tumor antigen specific products.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October 2019, the Company entered in a Workforce Grant Agreement with BCM, which provided for BCM to provide to the Company manpower costs of projects for manufacturing, quality control testing and validation run activities.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2020, the Company entered into a Clinical Trial Agreement with BCM, which provided for BCM to provide to the Company investigator-initiated research studies.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also entered into a Clinical Site Agreement and Laboratory Service Agreement with BCM, pursuant to which BCM conducts clinical trials for the Company and testing of Marker’s product candidates to develop an optimized potency assay.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BCM is also a shareholder of the Company’s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and nine months ended September 30, 2025, the Company incurred $0.4 million and $2.9 million in expenses related to services and manufacturing costs and paid BCM approximately $4,000 and $2.7 million for invoices received,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Purchases from Wilson Wolf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2024, the Company utilized Wilson Wolf for the purchases of cell culture devices. Mr. John Wilson is a former director of the Company and is serving as the CEO of Wilson Wolf Manufacturing Corporation.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and nine months ended September 30, 2025, the Company incurred approximately $17,000 and $0.1 million respectively, in expenses related to cell culture devices and paid Wilson Wolf approximately nil and $0.1 million respectively, for invoices received.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Purchases from Cell Ready, LLC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utilized Cell Ready, LLC for clinical manufacturing supply and product development. On February 22, 2024, the Company entered into a 3-year Master Services Agreement for Product Supply (the “MSA”) with Cell Ready. Cell Ready, which is owned by a former director, Mr. John Wilson, is a contract development and manufacturing organization (“CDMO”). During the three and nine months ended September 30, 2025, the Company incurred $0.1 million and $1.1 million in expenses related to services and manufacturing costs, respectively, and paid nil and $2.6 million for invoices received,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27, 2025, the Company mutually agreed with Cell Ready to terminate the MSA. In connection therewith, the Company entered into a settlement and release agreement with Cell Ready pursuant to which the Company paid Cell Ready approximately $453,000 and the parties provided one another with mutual releases of all claims associated with any and all agreements between the Company and Cell Ready.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13: SUBSEQUENT EVENTS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Appointment of New Director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31, 2025, the board of directors of the Company (the “Board”) appointed Ms. Kathryn Penkus Corzo to the Company’s Board, effective November 1, 2025. In connection with the appointment of Ms. Corzo to the Company’s Board and pursuant to the Company’s current non-employee directors compensation program, and pursuant to the Company’s 2020 Equity Incentive Plan, as amended (the “2020 Plan”) as applied to new, non-employee directors, the Company also granted Ms. Corzo 147,611 stock options to purchase shares of the Company’s common stock at an exercise price per share equal to the fair market value per share on the date she was appointed to the Board. The options will vest evenly over thirty-six (36) months and are subject to her continued service as a director.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Chief Executive Officer Stock Option Award</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October 31, 2025, the Compensation Committee and Board approved a discretionary award of 250,000 stock options at an exercise price per share equal to the fair market value per share on the date of the grant (the “CEO Options”) to Dr. Juan Vera, the Company’s Chief Executive Officer under the Company’s 2020 Plan. The CEO Options vest annually over four years beginning on the anniversary of the grant date of the CEO Options and are subject to the terms and conditions of the 2020 Plan and the Company’s form of option award agreement.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696" w:name="Item2ManagementsDiscussionandAnalysisofF"/>
      <w:bookmarkStart w:id="697" w:name="_df595019_5681_4c0e_b097_41b5fd66e88a"/>
      <w:bookmarkEnd w:id="696"/>
      <w:bookmarkEnd w:id="697"/>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should be read in conjunction with our unaudited condensed consolidated interim financial statements and related notes included in this Quarterly Report on Form 10-Q.</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clinical-stage immuno-oncology company specializing in the development of novel T cell-based immunotherapies for the treatment of hematological malignancies and solid tumor indications. Harnessing millions of years of immunologic evolution, Marker’s Multi-Antigen Recognizing (“MAR”)-T cell technology is designed to recognize and kill highly heterogeneous tumors without the need for genetic modifications. This approach selectively expands natural tumor-specific T cells from a patient’s/donor’s blood that are capable of recognizing a broad range of tumor associated antigens, or TAAs. Unlike other T cell therapies, MAR-T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MAR-T cells are designed to recognize and kill cancer cells expressing the TAA.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licensed the underlying technology for MAR-T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advancing two product candidates for 3 clinical indications as part of our MAR-T cell program for:</w:t>
      </w:r>
    </w:p>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Autologous MAR-T cell product candidate for the treatment of lymphoma and pancreatic cancer (MT-601)</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Off-the-Shelf (OTS) product candidate in various indications (e.g., MT-401-OTS)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genetically engineer our MAR-T cells and we believe that our product candidates are superior to T cells engineered with chimeric antigen receptors, or CAR-T, for several reasons including:</w:t>
      </w:r>
    </w:p>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targets → enhanced tumoricidal effect→ minimized tumor immune escape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safety → no treatment-related side effects, including immune effector cell-associated neurotoxicity syndrome (“ICANS”) or other severe adverse effects (“SAEs”), were attributed to the use of MAR-T cells to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Non-genetically engineered T cell → selective expansion of tumor-specific T cells from a patient’s or donor’s blood capable of recognizing a broad range of tumor antigens→ no risk of mutagenesis and reduced manufacturing complexity → lower cost</w:t>
            </w:r>
          </w:p>
        </w:tc>
      </w:tr>
    </w:tbl>
    <w:p>
      <w:pPr>
        <w:pStyle w:val="TextBody"/>
        <w:bidi w:val="0"/>
        <w:spacing w:before="0" w:after="240"/>
        <w:ind w:left="0" w:right="0" w:hanging="0"/>
        <w:jc w:val="center"/>
        <w:rPr/>
      </w:pPr>
      <w:r>
        <w:rPr/>
        <w:drawing>
          <wp:inline distT="0" distB="0" distL="0" distR="0">
            <wp:extent cx="6495415" cy="1581150"/>
            <wp:effectExtent l="0" t="0" r="0" b="0"/>
            <wp:docPr id="17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2" descr=""/>
                    <pic:cNvPicPr>
                      <a:picLocks noChangeAspect="1" noChangeArrowheads="1"/>
                    </pic:cNvPicPr>
                  </pic:nvPicPr>
                  <pic:blipFill>
                    <a:blip r:embed="rId3"/>
                    <a:stretch>
                      <a:fillRect/>
                    </a:stretch>
                  </pic:blipFill>
                  <pic:spPr bwMode="auto">
                    <a:xfrm>
                      <a:off x="0" y="0"/>
                      <a:ext cx="6495415" cy="1581150"/>
                    </a:xfrm>
                    <a:prstGeom prst="rect">
                      <a:avLst/>
                    </a:prstGeom>
                  </pic:spPr>
                </pic:pic>
              </a:graphicData>
            </a:graphic>
          </wp:inline>
        </w:drawing>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these reasons, we believe our endogenous T cell receptor-based product candidates may provide meaningful clinical benefit and safety to patients with both hematological and solid tumors.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the simplicity of our manufacturing process allows additional modifications to expand MAR-T cell recognition of cancer targets. For example, we are assessing the potential of combining MAR-T cell product candidates with other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26, 2025, we issued a press release providing an update on the progress and clinical observations from the Phase 1 APOLLO study, with a data cutoff date of June 2025. The Phase 1 APOLLO study is investigating MT-601, a MAR-T cell product candidate, in patients with lymphoma who have relapsed after anti-CD19 CAR-T cell therapy or for whom anti-CD19 CAR-T cells are not an option. In this update, clinical data was available for a total of 24 B-cell lymphoma patients from 7 clinical sites across the United States, including 15 patients with Non-Hodgkin Lymphoma (“NHL”) and 9 patients with Hodgkin Lymphoma (“HL”). At the time of the data cutoff, 12 NHL and 9 HL patients have been assessed. Study participants showed objective responses and a favorable safety profile with and without lymphodepletion.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Key findings from the APOLLO study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i w:val="false"/>
                <w:caps w:val="false"/>
                <w:smallCaps w:val="false"/>
                <w:sz w:val="20"/>
              </w:rPr>
              <w:t>Safety</w:t>
            </w:r>
            <w:r>
              <w:rPr>
                <w:caps w:val="false"/>
                <w:smallCaps w:val="false"/>
              </w:rPr>
              <w:t xml:space="preserve"> – </w:t>
            </w:r>
            <w:r>
              <w:rPr>
                <w:rFonts w:ascii="Times New Roman;Times;serif" w:hAnsi="Times New Roman;Times;serif"/>
                <w:b w:val="false"/>
                <w:i w:val="false"/>
                <w:caps w:val="false"/>
                <w:smallCaps w:val="false"/>
                <w:sz w:val="20"/>
              </w:rPr>
              <w:t>The dose escalation portion of the study tested doses ranging from 100x10</w:t>
            </w:r>
            <w:r>
              <w:rPr>
                <w:rFonts w:ascii="Times New Roman;Times;serif" w:hAnsi="Times New Roman;Times;serif"/>
                <w:b w:val="false"/>
                <w:i w:val="false"/>
                <w:caps w:val="false"/>
                <w:smallCaps w:val="false"/>
                <w:sz w:val="15"/>
              </w:rPr>
              <w:t>6</w:t>
            </w:r>
            <w:r>
              <w:rPr>
                <w:rFonts w:ascii="Times New Roman;Times;serif" w:hAnsi="Times New Roman;Times;serif"/>
                <w:b w:val="false"/>
                <w:i w:val="false"/>
                <w:caps w:val="false"/>
                <w:smallCaps w:val="false"/>
                <w:sz w:val="20"/>
              </w:rPr>
              <w:t>-400x10</w:t>
            </w:r>
            <w:r>
              <w:rPr>
                <w:rFonts w:ascii="Times New Roman;Times;serif" w:hAnsi="Times New Roman;Times;serif"/>
                <w:b w:val="false"/>
                <w:i w:val="false"/>
                <w:caps w:val="false"/>
                <w:smallCaps w:val="false"/>
                <w:sz w:val="15"/>
              </w:rPr>
              <w:t>6</w:t>
            </w:r>
            <w:r>
              <w:rPr>
                <w:caps w:val="false"/>
                <w:smallCaps w:val="false"/>
              </w:rPr>
              <w:t xml:space="preserve"> </w:t>
            </w:r>
            <w:r>
              <w:rPr>
                <w:rFonts w:ascii="Times New Roman;Times;serif" w:hAnsi="Times New Roman;Times;serif"/>
                <w:b w:val="false"/>
                <w:i w:val="false"/>
                <w:caps w:val="false"/>
                <w:smallCaps w:val="false"/>
                <w:sz w:val="20"/>
              </w:rPr>
              <w:t>cells. Infusion of MT-601 was well tolerated in all study participants, with no observation of immune-effector cell associated neurotoxicity syndrome (“ICANS”) and two reported Grade 1 cytokine release syndrome (“CRS”) events (fever; no treatment was required). No dose limiting toxicities (“DLTs”) have been reported to date. No change in DLTs or ICANS was observed between patients treated with and without lymphodepletion.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Efficacy and Duration of Response</w:t>
            </w:r>
            <w:r>
              <w:rPr>
                <w:caps w:val="false"/>
                <w:smallCaps w:val="false"/>
              </w:rPr>
              <w:t xml:space="preserve"> – </w:t>
            </w:r>
            <w:r>
              <w:rPr>
                <w:rFonts w:ascii="Times New Roman;Times;serif" w:hAnsi="Times New Roman;Times;serif"/>
                <w:b w:val="false"/>
                <w:i w:val="false"/>
                <w:caps w:val="false"/>
                <w:smallCaps w:val="false"/>
                <w:sz w:val="20"/>
              </w:rPr>
              <w:t>Eight out of 12 NHL patients achieved objective responses (66%), with 6 patients demonstrating complete response (“CR”) as best response (50%). Durable responses were observed (range 3-24 months) with 5 NHL patients showing continued response over 6 months, including 3 patients with over 12 months durability. Seven out of 9 HL patients had objective responses (78%), with 1 patient demonstrating CR (11%) highlighting the versatility of MT-601 across multiple histologies.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Pipeline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clinical-stage pipeline is set forth below:</w:t>
      </w:r>
    </w:p>
    <w:p>
      <w:pPr>
        <w:pStyle w:val="TextBody"/>
        <w:bidi w:val="0"/>
        <w:spacing w:before="0" w:after="0"/>
        <w:ind w:left="0" w:right="0" w:hanging="0"/>
        <w:jc w:val="both"/>
        <w:rPr/>
      </w:pPr>
      <w:r>
        <w:rPr/>
        <w:t>​</w:t>
      </w:r>
    </w:p>
    <w:p>
      <w:pPr>
        <w:pStyle w:val="TextBody"/>
        <w:bidi w:val="0"/>
        <w:spacing w:before="0" w:after="0"/>
        <w:ind w:left="0" w:right="0" w:hanging="0"/>
        <w:jc w:val="center"/>
        <w:rPr/>
      </w:pPr>
      <w:r>
        <w:rPr/>
        <w:drawing>
          <wp:inline distT="0" distB="0" distL="0" distR="0">
            <wp:extent cx="5380990" cy="2694940"/>
            <wp:effectExtent l="0" t="0" r="0" b="0"/>
            <wp:docPr id="17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3" descr=""/>
                    <pic:cNvPicPr>
                      <a:picLocks noChangeAspect="1" noChangeArrowheads="1"/>
                    </pic:cNvPicPr>
                  </pic:nvPicPr>
                  <pic:blipFill>
                    <a:blip r:embed="rId4"/>
                    <a:stretch>
                      <a:fillRect/>
                    </a:stretch>
                  </pic:blipFill>
                  <pic:spPr bwMode="auto">
                    <a:xfrm>
                      <a:off x="0" y="0"/>
                      <a:ext cx="5380990" cy="2694940"/>
                    </a:xfrm>
                    <a:prstGeom prst="rect">
                      <a:avLst/>
                    </a:prstGeom>
                  </pic:spPr>
                </pic:pic>
              </a:graphicData>
            </a:graphic>
          </wp:inline>
        </w:drawing>
      </w:r>
    </w:p>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Manufacturing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manufacturing process was originally developed at Baylor College of Medicine, where we initially conducted our clinical trials. We continue to contract and collaborate with BCM and others to perform a wide variety of services to ensure the continuation of our research and development efforts, with the goal of optimizing our manufacturing process, product quality and commercial scalability.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February 22, 2024, we entered into a Master Services Agreement for Product Supply (the “MSA”) with Cell Ready for the provision of various products and services by Cell Ready. Cell Ready, which is owned by one of our former directors, Mr. John Wilson, is a contract development and manufacturing organization (“CDMO”). On March 27, 2025, we mutually agreed with Cell Ready to terminate the MSA. In connection therewith, we and Cell Ready entered into a settlement and release agreement pursuant to which we paid Cell Ready approximately $453,000 and we and Cell Ready provided one another mutual releases of all claims associated with any and all agreements between Marker and Cell Ready.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While BCM continues to supply us with products, as we continue our clinical trials, in anticipation of the commencement of our larger pivotal trial for Lymphoma in 2026, as well as the eventual need for commercial scale production, on June 16, 2025, Company entered into a Statement of Work (the “SOW”) with Cellipont Bioservices (“Cellipont”), a leading cell therapy Contract Development and Manufacturing Organization (CDMO), for the manufacturing of MT-601, the Company’s lead Multi-Antigen Recognizing (MAR)-T cell therapy. Pursuant to the SOW, Cellipont will provide technology transfer and cGMP manufacturing services to support the scale-up and production of MT-601 for the Company’s APOLLO study.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However, there is no guarantee that we will or have properly estimated our required manufacturing capacities or that the third parties on which we rely to manufacture our products will be able or willing to perform on our proposed timelines or to meet our manufacturing demands, if at all. If any of our third-party vendors experience disruptions, or otherwise cease or substantially reduce the amount of products they are willing to supply us, our business and operations could be adversely affected.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three and nine months ended September 30, 2025, we incurred $0.1 million and $1.1 million in expenses related to Cell Ready services and manufacturing costs, respectively (three and nine months ended September 30, 2024 - $1.2 million and $3.1 million, respectively). During the nine months ended September 30, 2025, we paid $2.6 million related to Cell Ready invoices received (three and nine months ended September 30, 2024 - $0.5 million and $3.4 million, respectively). During the three and nine months ended September 30, 2025, we incurred $0.4 million and $3.0 million, respectively, in expenses related to BCM services and manufacturing costs. BCM expenses were $6,000 during the three and nine months ended September 30, 2024. During the three and nine months ended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September 30, 2025, we paid approximately $4,000 and $2.7 million related to BCM invoices received, respectively. During the three and nine months ended September 30, 2025, we incurred $0.1 million and $0.3 million, respectively, in expenses related to Cellipont services and manufacturing costs. No Cellipont expenses were incurred during the three or nine months ended September 30, 2024. During the three and nine months ended September 30, 2025, we paid nil and $0.4 million related to Cellipont invoices received,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16, 2025, Company entered into a Statement of Work (the “SOW”) with Cellipont Bioservices, a leading cell therapy Contract Development and Manufacturing Organization (“CDMO”), for the manufacturing of MT-601, the Company’s lead MAR-T cell product candidate. Pursuant to the SOW, Cellipont will provide technology transfer and cGMP manufacturing services to support the scale-up and production of MT-601 for the Company’s APOLLO study.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Between July 17 and 21, 2025, the Company sold 1,624,075 shares of common stock pursuant to our ATM Agreement, with H.C. Wainwright &amp; Co. LLC, for net proceeds of $4.5 million, after deducting agent commissions, at an average price per share of $2.87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26, 2025, the Company sold 3,734,217 shares of common stock pursuant to the ATM Agreement with H.C. Wainwright &amp; Co., LLC for net proceeds of $5.4 million, after deducting agent commissions, at an average price of $1.48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6, 2025, the Company announced that the first patient has been treated in the Off-the-Shelf (“OTS”) program, with encouraging preliminary safety data. The OTS program has the potential to provide a fast treatment option for patients with rapidly progressing diseases. The OTS product will be initially investigated in patients with acute myeloid leukemia (“AML”) or myelodysplastic syndromes (“MDS”), with the potential to be expanded to other indications.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this discussion of our results of operations and financial condition, amounts in financial tables, other than per-share amounts, have been rounded to the nearest thousand.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September 30, 2025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results of our continuing operations for the three months ended September 30, 2025 and 2024:</w:t>
      </w:r>
    </w:p>
    <w:tbl>
      <w:tblPr>
        <w:tblW w:w="8738" w:type="dxa"/>
        <w:jc w:val="left"/>
        <w:tblInd w:w="0" w:type="dxa"/>
        <w:tblLayout w:type="fixed"/>
        <w:tblCellMar>
          <w:top w:w="0" w:type="dxa"/>
          <w:left w:w="0" w:type="dxa"/>
          <w:bottom w:w="0" w:type="dxa"/>
          <w:right w:w="0" w:type="dxa"/>
        </w:tblCellMar>
      </w:tblPr>
      <w:tblGrid>
        <w:gridCol w:w="2866"/>
        <w:gridCol w:w="326"/>
        <w:gridCol w:w="211"/>
        <w:gridCol w:w="1051"/>
        <w:gridCol w:w="326"/>
        <w:gridCol w:w="211"/>
        <w:gridCol w:w="1051"/>
        <w:gridCol w:w="326"/>
        <w:gridCol w:w="211"/>
        <w:gridCol w:w="1051"/>
        <w:gridCol w:w="326"/>
        <w:gridCol w:w="436"/>
        <w:gridCol w:w="34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819910" cy="175260"/>
                      <wp:effectExtent l="0" t="0" r="0" b="0"/>
                      <wp:wrapNone/>
                      <wp:docPr id="177" name="Frame174"/>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67385" cy="175260"/>
                      <wp:effectExtent l="0" t="0" r="0" b="0"/>
                      <wp:wrapNone/>
                      <wp:docPr id="180" name="Frame17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67385" cy="175260"/>
                      <wp:effectExtent l="0" t="0" r="0" b="0"/>
                      <wp:wrapNone/>
                      <wp:docPr id="183" name="Frame18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67385" cy="175260"/>
                      <wp:effectExtent l="0" t="0" r="0" b="0"/>
                      <wp:wrapNone/>
                      <wp:docPr id="186" name="Frame18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76860" cy="175260"/>
                      <wp:effectExtent l="0" t="0" r="0" b="0"/>
                      <wp:wrapNone/>
                      <wp:docPr id="188" name="Frame185"/>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8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r>
      <w:tr>
        <w:trPr/>
        <w:tc>
          <w:tcPr>
            <w:tcW w:w="28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8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 </w:t>
            </w:r>
          </w:p>
        </w:tc>
      </w:tr>
      <w:tr>
        <w:trPr/>
        <w:tc>
          <w:tcPr>
            <w:tcW w:w="28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both"/>
              <w:rPr/>
            </w:pPr>
            <w:r>
              <w:rPr/>
              <w:t>    </w:t>
            </w:r>
          </w:p>
        </w:tc>
        <w:tc>
          <w:tcPr>
            <w:tcW w:w="20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both"/>
              <w:rPr/>
            </w:pPr>
            <w:r>
              <w:rPr/>
              <w:t> </w:t>
            </w:r>
          </w:p>
        </w:tc>
      </w:tr>
      <w:tr>
        <w:trPr/>
        <w:tc>
          <w:tcPr>
            <w:tcW w:w="286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w:t>
            </w:r>
          </w:p>
        </w:tc>
        <w:tc>
          <w:tcPr>
            <w:tcW w:w="4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both"/>
              <w:rPr/>
            </w:pPr>
            <w:r>
              <w:rPr/>
              <w:t>​</w:t>
            </w:r>
          </w:p>
        </w:tc>
      </w:tr>
      <w:tr>
        <w:trPr/>
        <w:tc>
          <w:tcPr>
            <w:tcW w:w="28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1,926,000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(693,000)</w:t>
            </w:r>
          </w:p>
        </w:tc>
        <w:tc>
          <w:tcPr>
            <w:tcW w:w="326" w:type="dxa"/>
            <w:tcBorders/>
            <w:vAlign w:val="center"/>
          </w:tcPr>
          <w:p>
            <w:pPr>
              <w:pStyle w:val="TableContents"/>
              <w:bidi w:val="0"/>
              <w:spacing w:before="0" w:after="0"/>
              <w:ind w:left="0" w:right="0" w:hanging="0"/>
              <w:jc w:val="both"/>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1,926,000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r>
      <w:tr>
        <w:trPr/>
        <w:tc>
          <w:tcPr>
            <w:tcW w:w="28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2,346,000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3,471,000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(1,125,000)</w:t>
            </w:r>
          </w:p>
        </w:tc>
        <w:tc>
          <w:tcPr>
            <w:tcW w:w="326" w:type="dxa"/>
            <w:tcBorders/>
            <w:shd w:fill="CCEEFF" w:val="clear"/>
            <w:vAlign w:val="center"/>
          </w:tcPr>
          <w:p>
            <w:pPr>
              <w:pStyle w:val="TableContents"/>
              <w:bidi w:val="0"/>
              <w:spacing w:before="0" w:after="0"/>
              <w:ind w:left="0" w:right="0" w:hanging="0"/>
              <w:jc w:val="both"/>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169,000</w:t>
            </w:r>
          </w:p>
        </w:tc>
        <w:tc>
          <w:tcPr>
            <w:tcW w:w="326" w:type="dxa"/>
            <w:tcBorders/>
            <w:vAlign w:val="center"/>
          </w:tcPr>
          <w:p>
            <w:pPr>
              <w:pStyle w:val="TableContents"/>
              <w:bidi w:val="0"/>
              <w:spacing w:before="0" w:after="0"/>
              <w:ind w:left="0" w:right="0" w:hanging="0"/>
              <w:jc w:val="both"/>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3,370,000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4,326,000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(956,000)</w:t>
            </w:r>
          </w:p>
        </w:tc>
        <w:tc>
          <w:tcPr>
            <w:tcW w:w="326" w:type="dxa"/>
            <w:tcBorders/>
            <w:shd w:fill="CCEEFF" w:val="clear"/>
            <w:vAlign w:val="center"/>
          </w:tcPr>
          <w:p>
            <w:pPr>
              <w:pStyle w:val="TableContents"/>
              <w:bidi w:val="0"/>
              <w:spacing w:before="0" w:after="0"/>
              <w:ind w:left="0" w:right="0" w:hanging="0"/>
              <w:jc w:val="both"/>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263,000</w:t>
            </w:r>
          </w:p>
        </w:tc>
        <w:tc>
          <w:tcPr>
            <w:tcW w:w="326" w:type="dxa"/>
            <w:tcBorders/>
            <w:vAlign w:val="center"/>
          </w:tcPr>
          <w:p>
            <w:pPr>
              <w:pStyle w:val="TableContents"/>
              <w:bidi w:val="0"/>
              <w:spacing w:before="0" w:after="0"/>
              <w:ind w:left="0" w:right="0" w:hanging="0"/>
              <w:jc w:val="both"/>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income (expenses):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r>
      <w:tr>
        <w:trPr/>
        <w:tc>
          <w:tcPr>
            <w:tcW w:w="28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46,000</w:t>
            </w:r>
          </w:p>
        </w:tc>
        <w:tc>
          <w:tcPr>
            <w:tcW w:w="326" w:type="dxa"/>
            <w:tcBorders/>
            <w:vAlign w:val="center"/>
          </w:tcPr>
          <w:p>
            <w:pPr>
              <w:pStyle w:val="TableContents"/>
              <w:bidi w:val="0"/>
              <w:spacing w:before="0" w:after="0"/>
              <w:ind w:left="0" w:right="0" w:hanging="0"/>
              <w:jc w:val="both"/>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Loss from continuing operations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(1,999,000)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(2,308,000)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309,000</w:t>
            </w:r>
          </w:p>
        </w:tc>
        <w:tc>
          <w:tcPr>
            <w:tcW w:w="326" w:type="dxa"/>
            <w:tcBorders/>
            <w:shd w:fill="CCEEFF" w:val="clear"/>
            <w:vAlign w:val="center"/>
          </w:tcPr>
          <w:p>
            <w:pPr>
              <w:pStyle w:val="TableContents"/>
              <w:bidi w:val="0"/>
              <w:spacing w:before="0" w:after="0"/>
              <w:ind w:left="0" w:right="0" w:hanging="0"/>
              <w:jc w:val="both"/>
              <w:rPr/>
            </w:pPr>
            <w:r>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did not generate any revenue during the three months ended September 30, 2025 and 2024, respectively, from the sales or licensing of our product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we received notice of a Product Development Research award totaling approximately $13.1 million from the Cancer Prevention and Research Institute of Texas (“CPRIT”) to support the clinical investigation of MT-401 as an Off-the-Shelf (“OTS”) product in patients with Acute Myeloid Leukemia (“AML”) (the “CPRIT AML Grant”). During the three months ended September 30, 2025 and 2024, we recognized $0.2 million and $0.9 million of revenue, respectively, associated with the CPRIT AML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2022, we received notice from the FDA that it had awarded us a $2.0 million grant from the FDA’s Orphan Products Grant program to support the clinical investigation of MT-401 for the treatment of post-transplant AML (the “FDA Grant”). During the three months ended September 30, 2025 and 2024, we recognized approximately $0.01 million and $0.02 million of revenue, respectively associated with the FDA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we received notice of a $2.0 million grant from the National Institutes of Health (“NIH”) Small Business Innovation Research (“SBIR”) program to support the development and investigation of MT-401 for the treatment of AML patients following standard-of-care therapy with hypomethylating agents (the “SBIR AML Grant”). During the three months ended September 30, 2025 and 2024, we recognized $0.2 million and $0.3 million of revenue associated with the SBIR AML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above funding agencies have agreed to continue their financial support and to shift funds to the MT-401-OTS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June 2024, we received notice of a $2.0 million grant over a 2-year period from the NIH SBIR program to support control over tumor immune escape in pancreatic cancer using a dual T cell product strategy (the “Decoy Grant”). During the three months ended September 30, 2025 and 2024, we recognized approximately $0.1 million and nil of revenue associated with the Decoy Grant,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we received notice of an additional $2.0 million grant from the NIH SBIR program to support the clinical investigation of MT-601 in patients with non-Hodgkin’s lymphoma (“NHL”) who have relapsed following anti-CD19 chimeric antigen receptor (“CAR”) T cell therapy (the “SBIR NHL Grant”). During the three months ended September 30, 2025 and 2024, we recognized $0.6 million and $0.7 million of revenue associated with the SBIR NHL Grant,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we received another $2.0 million grant from the NIH SBIR program to support the advancement of MT-601 in patients with pancreatic cancer (the “PANACEA Grant”). During the three months ended September 30, 2025 and 2024, we recognized approximately $0.2 million and nil of revenue associated with the PANACEA Grant,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2024, we received notice of an additional $9.5 million grant from CPRIT to support the clinical investigation of MT-601 in patients with metastatic pancreatic cancer (the “CPRIT Pancreatic Grant”). The Company recorded no grant income related to this grant for the three months ended September 30, 2025. As of September 30, 2025, $1.4 million was recorded as restricted cash and deferred revenue on the Company’s condensed consolidated balance sheet. The CPRIT Pancreatic Grant and the CPRIT AML Grant are subject to certain revenue-sharing arrangements, see Note 11 to the accompanying condensed consolidated financial statements for further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expenses incurred during the three months ended September 30, 2025 were $3.4 million compared to $4.3 million during the same period ended September 30,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Significant changes and expenditures in operating expenses are outlined as follows: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decreased by 32% to $2.3 million for the three months ended September 30, 2025, compared to $3.5 million for the three months ended September 30,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$1.2 million in 2025 was primarily attributable to the following:</w:t>
      </w:r>
    </w:p>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$1.5 million in clinical trial expenses, offset by</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$0.3 million in clinical consulting and other expenses.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increased by 20% to $1.0 million for the three months ended September 30, 2025, compared to $0.9 million during the same period ended September 30,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of $0.1 million in 2025 was primarily attributable to headcount-related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was $0.1 million for the three months ended September 30, 2025 and 2024, and was attributable to interest income relating to funds that are held in U.S. Treasury notes and U.S. government agency-backed securities.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our net loss during the three months ended September 30, 2025 compared to the three months ended September 30, 2024 was primarily due to cost decreases in our research and development activities. We anticipate that we will continue to incur net losses in the future as we continue to invest in research and development activities, including clinical development of our MAR-T cell product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Nine months Ended September 30, 2025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results of our continuing operations for the nine months ended September 30, 2025 and 2024:</w:t>
      </w:r>
    </w:p>
    <w:tbl>
      <w:tblPr>
        <w:tblW w:w="9878" w:type="dxa"/>
        <w:jc w:val="left"/>
        <w:tblInd w:w="0" w:type="dxa"/>
        <w:tblLayout w:type="fixed"/>
        <w:tblCellMar>
          <w:top w:w="0" w:type="dxa"/>
          <w:left w:w="0" w:type="dxa"/>
          <w:bottom w:w="0" w:type="dxa"/>
          <w:right w:w="0" w:type="dxa"/>
        </w:tblCellMar>
      </w:tblPr>
      <w:tblGrid>
        <w:gridCol w:w="3901"/>
        <w:gridCol w:w="326"/>
        <w:gridCol w:w="211"/>
        <w:gridCol w:w="1156"/>
        <w:gridCol w:w="326"/>
        <w:gridCol w:w="211"/>
        <w:gridCol w:w="1051"/>
        <w:gridCol w:w="326"/>
        <w:gridCol w:w="211"/>
        <w:gridCol w:w="1051"/>
        <w:gridCol w:w="326"/>
        <w:gridCol w:w="436"/>
        <w:gridCol w:w="34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477135" cy="175260"/>
                      <wp:effectExtent l="0" t="0" r="0" b="0"/>
                      <wp:wrapNone/>
                      <wp:docPr id="190" name="Frame187"/>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734060" cy="175260"/>
                      <wp:effectExtent l="0" t="0" r="0" b="0"/>
                      <wp:wrapNone/>
                      <wp:docPr id="193" name="Frame19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67385" cy="175260"/>
                      <wp:effectExtent l="0" t="0" r="0" b="0"/>
                      <wp:wrapNone/>
                      <wp:docPr id="195" name="Frame19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67385" cy="175260"/>
                      <wp:effectExtent l="0" t="0" r="0" b="0"/>
                      <wp:wrapNone/>
                      <wp:docPr id="198" name="Frame19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76860" cy="175260"/>
                      <wp:effectExtent l="0" t="0" r="0" b="0"/>
                      <wp:wrapNone/>
                      <wp:docPr id="200" name="Frame19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29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both"/>
              <w:rPr/>
            </w:pPr>
            <w:r>
              <w:rPr/>
              <w:t> </w:t>
            </w:r>
          </w:p>
        </w:tc>
      </w:tr>
      <w:tr>
        <w:trPr/>
        <w:tc>
          <w:tcPr>
            <w:tcW w:w="390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9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 </w:t>
            </w:r>
          </w:p>
        </w:tc>
      </w:tr>
      <w:tr>
        <w:trPr/>
        <w:tc>
          <w:tcPr>
            <w:tcW w:w="390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both"/>
              <w:rPr/>
            </w:pPr>
            <w:r>
              <w:rPr/>
              <w:t>    </w:t>
            </w:r>
          </w:p>
        </w:tc>
        <w:tc>
          <w:tcPr>
            <w:tcW w:w="20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both"/>
              <w:rPr/>
            </w:pPr>
            <w:r>
              <w:rPr/>
              <w:t> </w:t>
            </w:r>
          </w:p>
        </w:tc>
      </w:tr>
      <w:tr>
        <w:trPr/>
        <w:tc>
          <w:tcPr>
            <w:tcW w:w="3901"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r>
      <w:tr>
        <w:trPr/>
        <w:tc>
          <w:tcPr>
            <w:tcW w:w="390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4,339,000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(1,896,000)</w:t>
            </w:r>
          </w:p>
        </w:tc>
        <w:tc>
          <w:tcPr>
            <w:tcW w:w="326" w:type="dxa"/>
            <w:tcBorders/>
            <w:vAlign w:val="center"/>
          </w:tcPr>
          <w:p>
            <w:pPr>
              <w:pStyle w:val="TableContents"/>
              <w:bidi w:val="0"/>
              <w:spacing w:before="0" w:after="0"/>
              <w:ind w:left="0" w:right="0" w:hanging="0"/>
              <w:jc w:val="center"/>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4,339,000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(1,896,000)</w:t>
            </w:r>
          </w:p>
        </w:tc>
        <w:tc>
          <w:tcPr>
            <w:tcW w:w="326" w:type="dxa"/>
            <w:tcBorders/>
            <w:shd w:fill="CCEEFF" w:val="clear"/>
            <w:vAlign w:val="center"/>
          </w:tcPr>
          <w:p>
            <w:pPr>
              <w:pStyle w:val="TableContents"/>
              <w:bidi w:val="0"/>
              <w:spacing w:before="0" w:after="0"/>
              <w:ind w:left="0" w:right="0" w:hanging="0"/>
              <w:jc w:val="both"/>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w:t>
            </w:r>
          </w:p>
        </w:tc>
      </w:tr>
      <w:tr>
        <w:trPr/>
        <w:tc>
          <w:tcPr>
            <w:tcW w:w="3901"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9,658,000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8,382,000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1,276,000</w:t>
            </w:r>
          </w:p>
        </w:tc>
        <w:tc>
          <w:tcPr>
            <w:tcW w:w="326" w:type="dxa"/>
            <w:tcBorders/>
            <w:shd w:fill="CCEEFF" w:val="clear"/>
            <w:vAlign w:val="center"/>
          </w:tcPr>
          <w:p>
            <w:pPr>
              <w:pStyle w:val="TableContents"/>
              <w:bidi w:val="0"/>
              <w:spacing w:before="0" w:after="0"/>
              <w:ind w:left="0" w:right="0" w:hanging="0"/>
              <w:jc w:val="both"/>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3,338,000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123,000</w:t>
            </w:r>
          </w:p>
        </w:tc>
        <w:tc>
          <w:tcPr>
            <w:tcW w:w="326" w:type="dxa"/>
            <w:tcBorders/>
            <w:vAlign w:val="center"/>
          </w:tcPr>
          <w:p>
            <w:pPr>
              <w:pStyle w:val="TableContents"/>
              <w:bidi w:val="0"/>
              <w:spacing w:before="0" w:after="0"/>
              <w:ind w:left="0" w:right="0" w:hanging="0"/>
              <w:jc w:val="both"/>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on early termination of vendor agreement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453,000</w:t>
            </w:r>
          </w:p>
        </w:tc>
        <w:tc>
          <w:tcPr>
            <w:tcW w:w="326" w:type="dxa"/>
            <w:tcBorders/>
            <w:shd w:fill="CCEEFF" w:val="clear"/>
            <w:vAlign w:val="center"/>
          </w:tcPr>
          <w:p>
            <w:pPr>
              <w:pStyle w:val="TableContents"/>
              <w:bidi w:val="0"/>
              <w:spacing w:before="0" w:after="0"/>
              <w:ind w:left="0" w:right="0" w:hanging="0"/>
              <w:jc w:val="both"/>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both"/>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13,449,000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11,597,000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1,852,000</w:t>
            </w:r>
          </w:p>
        </w:tc>
        <w:tc>
          <w:tcPr>
            <w:tcW w:w="326" w:type="dxa"/>
            <w:tcBorders/>
            <w:vAlign w:val="center"/>
          </w:tcPr>
          <w:p>
            <w:pPr>
              <w:pStyle w:val="TableContents"/>
              <w:bidi w:val="0"/>
              <w:spacing w:before="0" w:after="0"/>
              <w:ind w:left="0" w:right="0" w:hanging="0"/>
              <w:jc w:val="both"/>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(11,006,000)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(7,258,000)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(3,748,000)</w:t>
            </w:r>
          </w:p>
        </w:tc>
        <w:tc>
          <w:tcPr>
            <w:tcW w:w="326" w:type="dxa"/>
            <w:tcBorders/>
            <w:shd w:fill="CCEEFF" w:val="clear"/>
            <w:vAlign w:val="center"/>
          </w:tcPr>
          <w:p>
            <w:pPr>
              <w:pStyle w:val="TableContents"/>
              <w:bidi w:val="0"/>
              <w:spacing w:before="0" w:after="0"/>
              <w:ind w:left="0" w:right="0" w:hanging="0"/>
              <w:jc w:val="both"/>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income (expenses):</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r>
      <w:tr>
        <w:trPr/>
        <w:tc>
          <w:tcPr>
            <w:tcW w:w="3901"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66,000</w:t>
            </w:r>
          </w:p>
        </w:tc>
        <w:tc>
          <w:tcPr>
            <w:tcW w:w="326" w:type="dxa"/>
            <w:tcBorders/>
            <w:shd w:fill="CCEEFF" w:val="clear"/>
            <w:vAlign w:val="center"/>
          </w:tcPr>
          <w:p>
            <w:pPr>
              <w:pStyle w:val="TableContents"/>
              <w:bidi w:val="0"/>
              <w:spacing w:before="0" w:after="0"/>
              <w:ind w:left="0" w:right="0" w:hanging="0"/>
              <w:jc w:val="both"/>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income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117,000</w:t>
            </w:r>
          </w:p>
        </w:tc>
        <w:tc>
          <w:tcPr>
            <w:tcW w:w="326" w:type="dxa"/>
            <w:tcBorders/>
            <w:vAlign w:val="center"/>
          </w:tcPr>
          <w:p>
            <w:pPr>
              <w:pStyle w:val="TableContents"/>
              <w:bidi w:val="0"/>
              <w:spacing w:before="0" w:after="0"/>
              <w:ind w:left="0" w:right="0" w:hanging="0"/>
              <w:jc w:val="both"/>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continuing operations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(10,460,000)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(6,895,000)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(3,565,000)</w:t>
            </w:r>
          </w:p>
        </w:tc>
        <w:tc>
          <w:tcPr>
            <w:tcW w:w="326" w:type="dxa"/>
            <w:tcBorders/>
            <w:shd w:fill="CCEEFF" w:val="clear"/>
            <w:vAlign w:val="center"/>
          </w:tcPr>
          <w:p>
            <w:pPr>
              <w:pStyle w:val="TableContents"/>
              <w:bidi w:val="0"/>
              <w:spacing w:before="0" w:after="0"/>
              <w:ind w:left="0" w:right="0" w:hanging="0"/>
              <w:jc w:val="both"/>
              <w:rPr/>
            </w:pPr>
            <w:r>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did not generate any revenue during the nine months ended September 30, 2025 and 2024, respectively, from the sales or licensing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we received notice of a Product Development Research award totaling approximately $13.1 million from the Cancer Prevention and Research Institute of Texas (“CPRIT”) to support the clinical investigation of MT-401 as an Off-the-Shelf (OTS) product in patients with Acute Myeloid Leukemia (“AML”) (the “CPRIT AML Grant”). During the nine months ended September 30, 2025 and 2024, we recognized $0.7 million and $2.4 million of revenue, respectively, associated with the CPRIT AML Grant.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September 2022, we received notice from the FDA that it had awarded us a $2.0 million grant from the FDA’s Orphan Products Grant program to support the clinical investigation of MT-401 for the treatment of post-transplant AML (the “FDA Grant”). During the nine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months ended September 30, 2025 and 2024, we recognized $0.1 million and $0.5 million of revenue, respectively associated with the FDA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we received notice of a $2.0 million grant from the National Institutes of Health (“NIH”) Small Business Innovation Research (“SBIR”) program to support the development and investigation of MT-401 for the treatment of AML patients following standard-of-care therapy with hypomethylating agents (the “SBIR AML Grant”). During the nine months ended September 30, 2025 and 2024, we recognized $0.3 million and $0.7 million of revenue associated with the SBIR AML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above funding agencies have agreed to continue their financial support and to shift funds to the MT-401-OTS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June 2024, the Company received notice of a $2.0 million grant over a 2-year period from the NIH SBIR program to support control over tumor immune escape in pancreatic cancer using a dual T cell product strategy (the “Decoy Grant”). During the nine months ended September 30, 2025 and 2024, we recognized approximately $0.3 million and nil of revenue associated with the Decoy Grant,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the Company received notice of an additional $2.0 million grant from the NIH SBIR program to support the clinical investigation of MT-601 in patients with non-Hodgkin’s lymphoma (“NHL”) who have relapsed following anti-CD19 chimeric antigen receptor (“CAR”) T cell therapy (the “SBIR NHL Grant”). During the nine months ended September 30, 2025 and 2024, we recognized $0.6 million and $0.7 million of revenue associated with the SBIR NHL Grant,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the Company received another $2.0 million grant from the NIH SBIR Program to support the advancement of MT-601 in patients with pancreatic cancer (the “PANACEA Grant”). During the nine months ended September 30, 2025 and 2024, we recognized approximately $0.2 million and nil of revenue associated with the PANACEA Grant,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2024, the Company received notice of an additional $9.5 million grant from CPRIT to support the clinical investigation of MT-601 in patients with metastatic pancreatic cancer (the “CPRIT Pancreatic Grant”). The Company recorded $0.2 million of grant income related to this grant for the nine months ended September 30, 2025. As of September 30, 2025, $1.4 million was recorded as restricted cash and deferred revenue on the Company’s condensed consolidated balance sheet. The CPRIT Pancreatic Grant and the CPRIT AML Grant are subject to certain revenue-sharing arrangements, see Note 11 to the accompanying financial statements for further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Operating expenses incurred during the nine months ended September 30, 2025 were $13.4 million compared to $11.6 million during the same period ended September 30, 2024.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Significant changes and expenditures in operating expenses are outlined as follows: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increased by 15% to $9.7 million for the nine months ended September 30, 2025, compared to $8.4 million for the nine months ended September 30,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of $1.3 million in 2025 was primarily attributable to the following:</w:t>
      </w:r>
    </w:p>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 of $0.6 million in clinical consulting expenses and other expenses, </w:t>
            </w:r>
          </w:p>
        </w:tc>
      </w:tr>
    </w:tbl>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$0.4 million in clinical trial expenses,</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$0.2 million process development costs, and</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$0.1 million in headcount-related expenses.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increased by 4% to $3.3 million for the nine months ended September 30, 2025, compared to $3.2 million during the same period ended September 30,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of $0.1 million in 2025 was primarily attributable to higher headcount-related expenses and higher legal and professional fees.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was $0.4 million for the nine months ended September 30, 2025 and 2024, and was attributable to interest income relating to funds that are held in U.S. Treasury notes and U.S. government agency-backed securities.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income was $0.1 million and nil for the nine months ended September 30, 2025 and 2024, respectively, and was attributable to a state sales tax rebate from 2022.</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in our net loss during the nine months ended September 30, 2025 compared to the nine months ended September 30, 2024 was primarily due to cost increases in our research and development activities and the loss on termination of the Cell Ready MSA, as well as lower grant income. We anticipate that we will continue to incur net losses in the future as we continue to invest in research and development activities, including clinical development of our MAR-T cell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generated any revenues from the sales or licensing of our product candidates since inception and only have limited revenue associated with grants to fund research. We have financed our operations primarily through public and private offerings of our stock and debt including warrants and the exercise thereof, as well as grants.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our lack of recurring revenues, anticipated uses of cash and historical recurring cash losses from operating activities, and cash, cash equivalents, and restricted cash as of September 30, 2025, and taking into consideration the net proceeds received in July and August of 2025 through the sale of Common Stock pursuant to its ATM Agreement with H.C. Wainwright &amp; Co., LLC, we anticipate that we will be able to fund our operating expenses and capital expenditure requirements through the third quarter of 2026, assuming no additional grant funds are received, either from new grants or from existing awarded grants. We are considering raising additional capital through the issuance of common shares and intend to apply for additional grant funds, which could enable us to fund our operating expenses and capital expenditure requirements beyond the third quarter of 2026, although no assurance can be given that such capital or existing awarded grants will be earned or future grants will be awarded. This estimate is subject to our ability to effectively manage our costs, raise additional capital, and receive additional grant funds, of which there can be no assurance.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and Working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our cash, cash equivalents, restricted cash, and working capital as of September 30, 2025 and December 31, 2024:</w:t>
      </w:r>
    </w:p>
    <w:tbl>
      <w:tblPr>
        <w:tblW w:w="6807" w:type="dxa"/>
        <w:jc w:val="left"/>
        <w:tblInd w:w="0" w:type="dxa"/>
        <w:tblLayout w:type="fixed"/>
        <w:tblCellMar>
          <w:top w:w="0" w:type="dxa"/>
          <w:left w:w="0" w:type="dxa"/>
          <w:bottom w:w="0" w:type="dxa"/>
          <w:right w:w="0" w:type="dxa"/>
        </w:tblCellMar>
      </w:tblPr>
      <w:tblGrid>
        <w:gridCol w:w="3556"/>
        <w:gridCol w:w="326"/>
        <w:gridCol w:w="211"/>
        <w:gridCol w:w="1036"/>
        <w:gridCol w:w="326"/>
        <w:gridCol w:w="211"/>
        <w:gridCol w:w="1141"/>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258060" cy="175260"/>
                      <wp:effectExtent l="0" t="0" r="0" b="0"/>
                      <wp:wrapNone/>
                      <wp:docPr id="202" name="Frame199"/>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57860" cy="175260"/>
                      <wp:effectExtent l="0" t="0" r="0" b="0"/>
                      <wp:wrapNone/>
                      <wp:docPr id="205" name="Frame20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724535" cy="175260"/>
                      <wp:effectExtent l="0" t="0" r="0" b="0"/>
                      <wp:wrapNone/>
                      <wp:docPr id="208" name="Frame20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both"/>
              <w:rPr/>
            </w:pPr>
            <w:r>
              <w:rPr/>
              <w:t>    </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55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both"/>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55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cash equivalents, and restricted cash</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18,943,000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19,192,000</w:t>
            </w:r>
          </w:p>
        </w:tc>
      </w:tr>
      <w:tr>
        <w:trPr/>
        <w:tc>
          <w:tcPr>
            <w:tcW w:w="3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Working capital</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18,389,000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18,558,000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for the nine months ended September 30, 2025 and 2024:</w:t>
      </w:r>
    </w:p>
    <w:tbl>
      <w:tblPr>
        <w:tblW w:w="8292" w:type="dxa"/>
        <w:jc w:val="left"/>
        <w:tblInd w:w="0" w:type="dxa"/>
        <w:tblLayout w:type="fixed"/>
        <w:tblCellMar>
          <w:top w:w="0" w:type="dxa"/>
          <w:left w:w="0" w:type="dxa"/>
          <w:bottom w:w="0" w:type="dxa"/>
          <w:right w:w="0" w:type="dxa"/>
        </w:tblCellMar>
      </w:tblPr>
      <w:tblGrid>
        <w:gridCol w:w="4966"/>
        <w:gridCol w:w="326"/>
        <w:gridCol w:w="211"/>
        <w:gridCol w:w="1156"/>
        <w:gridCol w:w="326"/>
        <w:gridCol w:w="211"/>
        <w:gridCol w:w="1096"/>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153410" cy="175260"/>
                      <wp:effectExtent l="0" t="0" r="0" b="0"/>
                      <wp:wrapNone/>
                      <wp:docPr id="209" name="Frame206"/>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734060" cy="175260"/>
                      <wp:effectExtent l="0" t="0" r="0" b="0"/>
                      <wp:wrapNone/>
                      <wp:docPr id="212" name="Frame209"/>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5960" cy="175260"/>
                      <wp:effectExtent l="0" t="0" r="0" b="0"/>
                      <wp:wrapNone/>
                      <wp:docPr id="215" name="Frame21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9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30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r>
      <w:tr>
        <w:trPr/>
        <w:tc>
          <w:tcPr>
            <w:tcW w:w="49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3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9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both"/>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96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provided by (used in):</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(10,113,000)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(6,207,000)</w:t>
            </w:r>
          </w:p>
        </w:tc>
      </w:tr>
      <w:tr>
        <w:trPr/>
        <w:tc>
          <w:tcPr>
            <w:tcW w:w="49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9,864,000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95,000</w:t>
            </w:r>
          </w:p>
        </w:tc>
      </w:tr>
      <w:tr>
        <w:trPr/>
        <w:tc>
          <w:tcPr>
            <w:tcW w:w="496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decrease in cash, cash equivalents, and restricted cash</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(6,112,000)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during the nine months ended September 30, 2025 was $10.1 million. The use of cash primarily related to our net loss of $10.5 million, offset by $0.4 million of non-cash stock-based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from continuing operations during the nine months ended September 30, 2024 was $6.2 million. The use of cash primarily related to our net loss from continuing operations of $6.9 million offset by a $0.5 million increase from changes in assets and liabilities and a $0.2 million increase from stock-based compensation.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was $9.9 million during the nine months ended September 30, 2025 due to net proceeds from the sale of common stock and the net proceeds from the exercise of warrants. Net cash provided by financing activities was $0.1 million during the nine months ended September 30, 2024 due to the net proceeds from the sale of common stock and the exercise of stock options.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Future Capital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Assuming the Company can continue to raise additional capital and obtain ongoing grant funding, of which there can be no assurances, we expect our expenses to increase in connection with our ongoing activities, particularly if we are able to expand patient enrollment as we continue the research and development of our product candidates and if we are able to successfully commence our pivotal trial for lymphoma, of which there can be no assurances. In addition, if we obtain approval for any of our product candidates, of which there can be no assurances, we expect to incur significant commercialization expenses related to sales, marketing, manufacturing and distribution. We anticipate that we will need substantial additional funding in connection with our continuing operations, of which there can be no assurances. If we are unable to raise capital when needed or on attractive terms, we could be forced to delay, reduce or eliminate our research and development programs or future commercialization efforts.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2021, the Company received notice of a Product Development Research award totaling approximately $13.1 million from the CPRIT to support the Company’s clinical investigation of MT-401 in patients with AML. Through the date of this filing, the Company has received $11.8 million of funds from the CPRIT AML Grant. The Company recorded $0.2 million and $0.7 million of grant income related to the CPRIT grant as revenue during the three and nine months ended September 30, 2025, respectively, and as of September 30, 2025, the Company had a grant income receivable balance of $0.6 million for this grant.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September 13, 2022, the Company received notice from the FDA that it had awarded the Company a $2.0 million grant from the FDA’s Orphan Products Grant program to support the clinical investigation of MT-401 for the treatment of post-transplant AML. Through the date of this filing, the Company has received $1.2 million from the FDA Grant. The Company recorded approximately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$0.01 million and $0.1 million of grant income related to the FDA Grant as revenue during the three and nine months ended September 30, 2025, and as of September 30, 2025, the Company had approximately $0.01 million of grant income receivable balance for this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the Company announced that it had received a $2.0 million grant from the National Institutes of Health (“NIH”) Small Business Innovation Research (“SBIR”) program to support the development and investigation of MT-401 for the treatment of AML patients following standard-of-care therapy with hypomethylating agents. Through the date of this filing, the Company has received $1.5 million from the SBIR AML Grant. The Company recorded $0.2 million and $0.3 million of grant income from the SBIR AML Grant as revenue during the three and nine months ended September 30, 2025, respectively, and as of September 30, 2025, the Company had a grant income receivable balance of $0.2 million for this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above funding agencies have agreed to continue their financial support and to shift funds to the MT-401-OTS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June 2024, the Company received notice of a $2.0 million grant over a 2-year period from the NIH SBIR program to support control over tumor immune escape in pancreatic cancer using a dual T cell product strategy. Through the date of this filing, the Company has received approximately $0.3 million from the NIH for the Decoy Grant. The Company recorded $0.1 million and $0.3 million of grant income related to the Decoy Grant as revenue during the three and nine months ended September 30, 2025, respectively, and as of September 30, 2025, the Company had a grant income receivable balance of approximately $0.02 million for this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2024, the Company received notice of a $2.0 million grant from the NIH SBIR program to support the clinical investigation of MT-601 in patients with non-Hodgkin’s lymphoma (“NHL”) who have relapsed following anti-CD19 chimeric antigen receptor (“CAR”) T cell therapy. Through the date of this filing, the Company has received $1.2 million of funds from the SBIR NHL Grant. The Company recorded $0.6 million grant income related to the SBIR NHL Grant as revenue for the three and nine months ended September 30, 2025, and as of September 30, 2025, the Company had a grant income receivable balance of $0.6 million for this grant.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the Company received another $2.0 million grant from the NIH SBIR Program to support the advancement of MT-601 in patients with pancreatic cancer. Through the date of this filing, the Company has received approximately $0.2 million of funds from the PANACEA Grant. The Company recorded approximately $0.2 million of grant income related to this grant as revenue for the three and nine months ended September 30, 2025, and as of September 30, 2025, the Company had a grant income receivable balance of $0.2 million for this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2024, the Company received notice of an additional $9.5 million grant from CPRIT to support the clinical investigation of MT-601 in patients with metastatic pancreatic cancer. As of the date of this filing, the Company has received $1.5 million of funds related to this grant. The Company recorded nil and $0.2 million of grant income related to this grant as revenue for the three and nine months ended September 30, 2025, respectively. As of September 30, 2025, $1.4 million was recorded as restricted cash and deferred revenue on the Company’s condensed consolidated balance sheet. The CPRIT Pancreatic Grant and the CPRIT AML Grant are subject to certain revenue-sharing arrangements, see Note 11 to the accompanying financial statements for further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discussed further below, between July 17 and 21, 2025, the Company sold 1,624,075 shares of common stock pursuant to our ATM Agreement with H.C. Wainwright &amp; Co., LLC for net proceeds of $4.5 million, after deducting agent commissions, at an average price of $2.87 per share. On August 26, 2025, the Company sold an additional 3,734,217 shares of common stock pursuant to the ATM Agreement with H.C. Wainwright &amp; Co., LLC for net proceeds of $5.4 million, after deducting agent commissions, at an average price of $1.48 per share.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September 30, 2025, we had working capital of $18.4 million, compared to working capital of $18.6 million as of December 31, 2024. Operating expenses incurred during the three and nine months ended September 30, 2025 were $3.4 million and $13.4 million, respectively, compared to $4.3 million and $11.6 million during the equivalent prior year periods, respectively. Based on our lack of recurring revenues, anticipated uses of cash and historical recurring cash losses from operating activities, and cash, cash equivalents, and restricted cash as of September 30, 2025, and taking into consideration the net proceeds received in July and August of 2025 through the sale of Common Stock pursuant to its ATM Agreement with H.C. Wainwright &amp; Co., LLC, we anticipate that we will be able to fund our operating expenses and capital expenditure requirements through the third quarter of 2026, assuming no additional grant funds are received, either from new grants or from existing awarded grants. We are considering raising additional capital through the issuance of securities and intend to apply for additional grant funds, which could enable us to fund our operating expenses and capital expenditure requirements beyond the third quarter of 2026, although no assurance can be given that such capital or existing awarded grants will be earned or future grants will be awarded. This estimate is subject to our ability to effectively manage our costs, raise additional capital, and receive additional grant funds. Our assumptions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or continue clinical trials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the research and development of our product candidates and seek to discover additional product candidates; seek regulatory approvals for our product candidates if they successfully complete clinical trials;</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development of our manufacturing capabilities;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sales, marketing and distribution infrastructure and scale-up manufacturing capabilities to commercialize any product candidates that may receive regulatory approval;</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strategic transactions we may undertake;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 operational, financial and information management systems and hire additional personnel, including personnel to support development of our product candidates and, if a product candidate is approved, our commercialization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to the foregoing, high inflation and concerns about an economic recession in the United States or other major markets have resulted in, among other things, volatility in the capital markets that may have the effect of reducing our ability to access capital, which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could in the future negatively affect our liquidity. In addition, a recession or market correction due to these factors could materially affect our business and the value of our common stock.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ATM Agreement</w:t>
      </w:r>
    </w:p>
    <w:p>
      <w:pPr>
        <w:pStyle w:val="TextBody"/>
        <w:bidi w:val="0"/>
        <w:spacing w:lineRule="auto" w:line="240" w:before="0" w:after="200"/>
        <w:ind w:left="0" w:right="0" w:hanging="0"/>
        <w:jc w:val="both"/>
        <w:rPr>
          <w:rFonts w:ascii="Times New Roman;Times;serif" w:hAnsi="Times New Roman;Times;serif"/>
          <w:sz w:val="20"/>
        </w:rPr>
      </w:pPr>
      <w:r>
        <w:rPr>
          <w:rFonts w:ascii="Times New Roman;Times;serif" w:hAnsi="Times New Roman;Times;serif"/>
          <w:sz w:val="20"/>
        </w:rPr>
        <w:t>In August 2021, we entered into a Controlled Equity Offering</w:t>
      </w:r>
      <w:r>
        <w:rPr>
          <w:rFonts w:ascii="Times New Roman;Times;serif" w:hAnsi="Times New Roman;Times;serif"/>
          <w:sz w:val="15"/>
        </w:rPr>
        <w:t>SM</w:t>
      </w:r>
      <w:r>
        <w:rPr>
          <w:rFonts w:ascii="Times New Roman;Times;serif" w:hAnsi="Times New Roman;Times;serif"/>
          <w:sz w:val="20"/>
        </w:rPr>
        <w:t xml:space="preserve"> Sales Agreement, or the ATM Agreement, with Cantor Fitzgerald &amp; Co. and RBC Capital Markets, LLC, or the Sales Agents, pursuant to which we could offer and sell, from time to time at our sole discretion through the Sales Agents, shares of our common stock having an aggregate offering price of up to $75.0 million. Any shares of our common stock sold were issued pursuant to our shelf registration statement on Form S-3 (File No. 333-258687), which the SEC declared effective on August 19, 2021. However, our use of the shelf registration statement on Form S-3 was limited for so long as we are subject to General Instruction I.B.6 of Form S-3, which limits the amounts that we could sell under the registration statement and in accordance with the ATM agreement. The Sales Agents were entitled to compensation under the Sales Agreement at a commission rate equal to 3.0% of the gross sales price per share sold under the ATM Agreement, and we provided each of the Sales Agents with indemnification and contribution rights. There was no common stock issued under the ATM Agreement during the three months ended March 31, 2024. On June 10, 2024, the Company provided notice of its termination of the ATM Agreement with Cantor Fitzgerald &amp; Co. and RBC Capital Markets, LLC. The Company is not subject to any termination penalties related to the termination of the ATM Agreement.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November 2024, we entered into an At The Market Offering Agreement (the “Sales Agreement”), with H.C. Wainwright &amp; Co. LLC, relating to the sale of shares of our common stock having an agreement offering price of up to $11,431,713 from time to time through H.C. Wainwright &amp; Co. LLC. Any shares of our common stock sold will be issued pursuant to our shelf registration statement on Form S-3 (File No. 333-283512), which the SEC declared effective on December 6, 2024. However, our use of the shelf registration statement on Form S-3 will be limited for so long as we are subject to General Instruction I.B.6 of Form S-3, which limits the amounts that we may sell under the registration statement and in accordance with the ATM agreement. H.C. Wainwright &amp; Co. LLC will be entitled to compensation under the Sales Agreement at a commission rate equal to 3.0% of the gross sales price per share sold under the ATM Agreement, and we have provided H.C. Wainwright &amp; Co. LLC with indemnification and contribution rights.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Between July 17 and 21, 2025, the Company sold 1,624,075 shares of common stock pursuant to our ATM Agreement with H.C. Wainwright &amp; Co., LLC for net proceeds of $4.5 million, after deducting agent commissions, at an average price of $2.87 per share.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August 26, 2025, the Company sold 3,734,217 shares of common stock pursuant to the ATM Agreement with H.C. Wainwright &amp; Co., LLC for net proceeds of $5.4 million, after deducting agent commissions, at an average price of $1.48 per share.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Private Placement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transaction closed on December 23, 2024. The purchase price per share of common stock and accompanying Private Placement Warrant to purchase a share of common stock was $3.20, and the purchase price per Pre-Funded Warrant and accompanying Private Placement Warrant to purchase a share of common stock was $3.199. Total gross proceeds from the sale of securities in the Private Placement, before deducting commissions to the placement agent and estimated offering expenses, was approximately $16.1 million, which does not include any proceeds that may be received upon exercise of any warrants issued in the Private Placement. Both the Pre-Funded Warrants and the Private Placement Warrants were not exercisable until the Company obtained shareholder approval, which approval was received on March 21,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 sources of revenue, other than grant income, to provide incoming cash flows to sustain our future operations. As outlined above, our ability to pursue our long-term planned business activities is dependent upon our successful efforts to raise additional capital.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classification of recorded asset amounts and classification of liabilities that might be necessary should we be unable to continue as a going concern.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Critical Accounting Estimates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critical accounting policies include grant income. The Company does not have any critical accounting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respect to grant income, the Company recognizes revenue when qualifying costs are incurred for the amount the Company is entitled to under the provisions of the contract.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698" w:name="Item3QuantitativeandQualitativeDisclosur"/>
      <w:bookmarkStart w:id="699" w:name="_04982f9b_c37e_4b2b_830f_7f1b53780758"/>
      <w:bookmarkEnd w:id="698"/>
      <w:bookmarkEnd w:id="699"/>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 smaller reporting company as defined by Rule 12b-2 of the Exchange Act and are not required to provide the information required under this item.</w:t>
      </w:r>
    </w:p>
    <w:p>
      <w:pPr>
        <w:pStyle w:val="TextBody"/>
        <w:bidi w:val="0"/>
        <w:spacing w:before="0" w:after="0"/>
        <w:ind w:left="0" w:right="0" w:hanging="0"/>
        <w:jc w:val="left"/>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700" w:name="Item4ControlsandProcedures_453239"/>
      <w:bookmarkStart w:id="701" w:name="_0c863a9d_88de_4238_ad48_47be1e718074"/>
      <w:bookmarkEnd w:id="700"/>
      <w:bookmarkEnd w:id="701"/>
      <w:r>
        <w:rPr>
          <w:rFonts w:ascii="Times New Roman;Times;serif" w:hAnsi="Times New Roman;Times;serif"/>
          <w:b/>
          <w:sz w:val="20"/>
        </w:rPr>
        <w:t>Item 4.         Controls and Procedures</w:t>
      </w:r>
    </w:p>
    <w:p>
      <w:pPr>
        <w:pStyle w:val="TextBody"/>
        <w:bidi w:val="0"/>
        <w:spacing w:before="0" w:after="240"/>
        <w:ind w:left="14"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Evaluation of Disclosure Controls and Procedures</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We have established disclosure controls and procedures, as such term is defined in Rule 13a-15(e) under the Securities Exchange Act of 1934. Under the supervision and with the participation of our management, we conducted an evaluation of the effectiveness of our disclosure controls and procedures as of the end of the period covered by this report to ensure that the information required to be disclosed by us in the reports that we file or submit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principal financial officer as appropriate, to allow timely decisions regarding required disclosure. Our management, with participation of our principal executive officer and principal financial officer, has evaluated the effectiveness of our disclosure controls and procedures as of as of the end of the period covered by this report. Based on that evaluation, our principal executive officer and principal financial officer concluded that our disclosure controls and procedures are effective in recording, processing, summarizing, and reporting, on a timely basis, information required to be disclosed by us in the reports that we file or submit under the Exchange Act. Currently, Dr. Vera serves as both our principal executive officer and principal financial officer.</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In designing and evaluating the disclosure controls and procedures,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Chief Executive Officer and Principal Financial and Accounting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spacing w:before="0" w:after="180"/>
        <w:ind w:left="14"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Exchange Act Rules 13a-15(f) and 15d-15(f)) during the fiscal quarter ended September 30, 2025 that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02" w:name="PARTIIOTHERINFORMATION_786639"/>
      <w:bookmarkStart w:id="703" w:name="_f78b61f6_5472_49c6_a08c_63c659553e63"/>
      <w:bookmarkEnd w:id="702"/>
      <w:bookmarkEnd w:id="703"/>
      <w:r>
        <w:rPr>
          <w:rFonts w:ascii="Times New Roman;Times;serif" w:hAnsi="Times New Roman;Times;serif"/>
          <w:b/>
          <w:sz w:val="20"/>
        </w:rPr>
        <w:t>PART II – OTHER INFORMATION</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704" w:name="Item1LegalProceedings_798737"/>
      <w:bookmarkEnd w:id="704"/>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become involved in legal proceedings, including those arising in the ordinary course of our business. We are not currently a party to any legal proceedings, and we are not aware of any pending or threatened legal proceeding against us that we believe could have a material adverse effect on our business, operating results, or financial condition.</w:t>
      </w:r>
    </w:p>
    <w:p>
      <w:pPr>
        <w:pStyle w:val="TextBody"/>
        <w:bidi w:val="0"/>
        <w:spacing w:before="0" w:after="0"/>
        <w:ind w:left="0" w:right="0" w:hanging="0"/>
        <w:jc w:val="left"/>
        <w:rPr/>
      </w:pPr>
      <w:r>
        <w:rPr/>
        <w:t>​</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705" w:name="Item1ARiskFactors_449487"/>
      <w:bookmarkStart w:id="706" w:name="_7cf4b3c7_ff5c_48d7_be6a_4c384431383c"/>
      <w:bookmarkEnd w:id="705"/>
      <w:bookmarkEnd w:id="706"/>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2024, filed with the Securities and Exchange Commission on March 31,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Inadequate funding for the FDA, the SEC, the NIH and other government agencies, including due to government shut downs, or any other disruptions to these agencies’ staffing and operations, could hinder their ability to hire, retain or deploy personnel, and substantial leadership, personnel, and policy changes or otherwise could prevent new products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of these factors. Disruptions at the FDA and other agencies, including substantial leadership departures, personnel cuts and policy changes, may also slow the time necessary for new product candidates to be reviewed and/or approved by necessary government agencies, which would adversely affect our business. Changes and cuts in FDA staffing have been reported by some in the pharmaceutical industry as creating instances of delays in the FDA’s responsiveness or in its ability to review IND submissions or applications, issue regulations or guidance, or implement or enforce regulatory requirements in a timely fashion or at all.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example, over the last several years the U.S. government has shut down several times and certain regulatory agencies, such as the FDA and the SEC, have had to furlough critical FDA, SEC and other government employees and stop critical activities. Federal agencies in the U.S. were operating under a continuing resolution that expired on September 30, 2025 and as a result, the federal government is currently shutdown. If the government shutdown is prolonged, it could significantly impact the ability of the FDA to timely review and process our regulatory submissions, which could have a material adverse effect on our business. Additionally, disruptions at the NIH or changes to the NIH’s budget may negatively impact our operations and ongoing clinical trials. Further, future government shutdowns could impact our ability to access the public markets and obtain necessary capital in order to properly capitalize and continue our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is substantial uncertainty as to whether and how the new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new administration could issue or promulgate executive orders, regulations, policies or guidance that adversely affect us or create a more challenging or costly environment to pursue the development of new therapeutic candidates.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707" w:name="Item2UnregisteredSalesofEquitySecurities"/>
      <w:bookmarkStart w:id="708" w:name="_d5ff66fd_b394_4e4d_9594_8f8893fb6ff9"/>
      <w:bookmarkEnd w:id="707"/>
      <w:bookmarkEnd w:id="708"/>
      <w:r>
        <w:rPr>
          <w:rFonts w:ascii="Times New Roman;Times;serif" w:hAnsi="Times New Roman;Times;serif"/>
          <w:b/>
          <w:sz w:val="20"/>
        </w:rPr>
        <w:t>Item 2.         Unregistered Sales of Equity Securities and Use of Proceeds</w:t>
      </w:r>
    </w:p>
    <w:p>
      <w:pPr>
        <w:pStyle w:val="TextBody"/>
        <w:pBdr/>
        <w:bidi w:val="0"/>
        <w:spacing w:before="0" w:after="240"/>
        <w:ind w:left="0" w:right="0" w:hanging="360"/>
        <w:jc w:val="both"/>
        <w:rPr>
          <w:rFonts w:ascii="Times New Roman;Times;serif" w:hAnsi="Times New Roman;Times;serif"/>
          <w:sz w:val="20"/>
        </w:rPr>
      </w:pPr>
      <w:r>
        <w:rPr>
          <w:rFonts w:ascii="Times New Roman;Times;serif" w:hAnsi="Times New Roman;Times;serif"/>
          <w:sz w:val="20"/>
        </w:rPr>
        <w:t>We did not record any issuances of unregistered securities during the three months ended September 30, 2025.</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709" w:name="Item3DefaultsUponSeniorSecurities_390946"/>
      <w:bookmarkStart w:id="710" w:name="_fa2e4825_1ce6_4d64_a6b7_b3fb58eb7eca"/>
      <w:bookmarkEnd w:id="709"/>
      <w:bookmarkEnd w:id="710"/>
      <w:r>
        <w:rPr>
          <w:rFonts w:ascii="Times New Roman;Times;serif" w:hAnsi="Times New Roman;Times;serif"/>
          <w:b/>
          <w:sz w:val="20"/>
        </w:rPr>
        <w:t>Item 3.         Defaults Upon Senior Securities</w:t>
      </w:r>
    </w:p>
    <w:p>
      <w:pPr>
        <w:pStyle w:val="TextBody"/>
        <w:bidi w:val="0"/>
        <w:spacing w:before="0" w:after="0"/>
        <w:ind w:left="14"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711" w:name="Item4MineSafetyDisclosure_210061"/>
      <w:bookmarkStart w:id="712" w:name="_6950cb9b_06b8_44e5_9459_0b9217ab0efb"/>
      <w:bookmarkEnd w:id="711"/>
      <w:bookmarkEnd w:id="712"/>
      <w:r>
        <w:rPr>
          <w:rFonts w:ascii="Times New Roman;Times;serif" w:hAnsi="Times New Roman;Times;serif"/>
          <w:b/>
          <w:sz w:val="20"/>
        </w:rPr>
        <w:t>Item 4.         Mine Safety Disclosure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713" w:name="Item5OtherInformation_200318"/>
      <w:bookmarkStart w:id="714" w:name="_b89c80d2_e21e_4469_9eb3_9c60ae2a6d58"/>
      <w:bookmarkEnd w:id="713"/>
      <w:bookmarkEnd w:id="714"/>
      <w:r>
        <w:rPr>
          <w:rFonts w:ascii="Times New Roman;Times;serif" w:hAnsi="Times New Roman;Times;serif"/>
          <w:b/>
          <w:sz w:val="20"/>
        </w:rPr>
        <w:t>Item 5.         Other Information</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On August 8, 2025, the Board of Directors of the Company increased Juan Vera’s annual base salary from $400,000 to $440,000. Dr. Vera serves as the Company’s President, Chief Executive Officer and Treasurer.</w:t>
            </w:r>
          </w:p>
        </w:tc>
      </w:tr>
    </w:tbl>
    <w:tbl>
      <w:tblPr>
        <w:tblW w:w="977" w:type="dxa"/>
        <w:jc w:val="left"/>
        <w:tblInd w:w="0" w:type="dxa"/>
        <w:tblLayout w:type="fixed"/>
        <w:tblCellMar>
          <w:top w:w="0" w:type="dxa"/>
          <w:left w:w="0" w:type="dxa"/>
          <w:bottom w:w="0" w:type="dxa"/>
          <w:right w:w="0" w:type="dxa"/>
        </w:tblCellMar>
      </w:tblPr>
      <w:tblGrid>
        <w:gridCol w:w="346"/>
        <w:gridCol w:w="631"/>
      </w:tblGrid>
      <w:tr>
        <w:trPr/>
        <w:tc>
          <w:tcPr>
            <w:tcW w:w="3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6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None.</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Director and Officer Trading Plans and Arrangements</w:t>
            </w:r>
            <w:r>
              <w:rPr>
                <w:rFonts w:ascii="Times New Roman;Times;serif" w:hAnsi="Times New Roman;Times;serif"/>
                <w:sz w:val="20"/>
              </w:rPr>
              <w:t>. During the quarterly period ended September 30, 2025, no director or officer of the Company adopted or terminated any contract, instruction or written plan for the purchase or sale of securities of the Company intended to satisfy the affirmative defense conditions of Rule 10b5-1(c) of the Exchange Act or any “non-Rule 10b5-1 trading arrangement” (as defined in the Exchange Act).</w:t>
            </w:r>
          </w:p>
        </w:tc>
      </w:tr>
    </w:tbl>
    <w:p>
      <w:pPr>
        <w:pStyle w:val="TextBody"/>
        <w:pBdr/>
        <w:bidi w:val="0"/>
        <w:spacing w:before="0" w:after="0"/>
        <w:ind w:left="0" w:right="0" w:hanging="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715" w:name="Item6Exhibits_556633"/>
      <w:bookmarkStart w:id="716" w:name="_ab351383_a6b7_439d_9283_75781e900bed"/>
      <w:bookmarkEnd w:id="715"/>
      <w:bookmarkEnd w:id="716"/>
      <w:r>
        <w:rPr>
          <w:rFonts w:ascii="Times New Roman;Times;serif" w:hAnsi="Times New Roman;Times;serif"/>
          <w:b/>
          <w:sz w:val="20"/>
        </w:rPr>
        <w:t>Item 6.         Exhibits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exhibits are included with this Quarterly Report on Form 10-Q:</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76"/>
        <w:gridCol w:w="206"/>
        <w:gridCol w:w="4915"/>
        <w:gridCol w:w="206"/>
        <w:gridCol w:w="511"/>
        <w:gridCol w:w="206"/>
        <w:gridCol w:w="773"/>
        <w:gridCol w:w="206"/>
        <w:gridCol w:w="631"/>
        <w:gridCol w:w="206"/>
        <w:gridCol w:w="680"/>
        <w:gridCol w:w="206"/>
        <w:gridCol w:w="783"/>
      </w:tblGrid>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both"/>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 </w:t>
            </w:r>
          </w:p>
        </w:tc>
        <w:tc>
          <w:tcPr>
            <w:tcW w:w="206" w:type="dxa"/>
            <w:tcBorders/>
            <w:vAlign w:val="center"/>
          </w:tcPr>
          <w:p>
            <w:pPr>
              <w:pStyle w:val="TableContents"/>
              <w:bidi w:val="0"/>
              <w:spacing w:before="0" w:after="0"/>
              <w:ind w:left="0" w:right="0" w:hanging="0"/>
              <w:jc w:val="both"/>
              <w:rPr/>
            </w:pPr>
            <w:r>
              <w:rPr/>
              <w:t>​</w:t>
            </w:r>
          </w:p>
        </w:tc>
        <w:tc>
          <w:tcPr>
            <w:tcW w:w="232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br/>
            </w:r>
            <w:r>
              <w:rPr>
                <w:rFonts w:ascii="Times New Roman;Times;serif" w:hAnsi="Times New Roman;Times;serif"/>
                <w:b/>
                <w:sz w:val="16"/>
              </w:rPr>
              <w:t>number</w:t>
            </w:r>
          </w:p>
        </w:tc>
        <w:tc>
          <w:tcPr>
            <w:tcW w:w="206" w:type="dxa"/>
            <w:tcBorders/>
            <w:vAlign w:val="center"/>
          </w:tcPr>
          <w:p>
            <w:pPr>
              <w:pStyle w:val="TableContents"/>
              <w:bidi w:val="0"/>
              <w:spacing w:before="0" w:after="0"/>
              <w:ind w:left="0" w:right="0" w:hanging="0"/>
              <w:jc w:val="both"/>
              <w:rPr/>
            </w:pPr>
            <w:r>
              <w:rPr/>
              <w:t>  </w:t>
            </w:r>
          </w:p>
        </w:tc>
        <w:tc>
          <w:tcPr>
            <w:tcW w:w="49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206" w:type="dxa"/>
            <w:tcBorders/>
            <w:vAlign w:val="center"/>
          </w:tcPr>
          <w:p>
            <w:pPr>
              <w:pStyle w:val="TableContents"/>
              <w:bidi w:val="0"/>
              <w:spacing w:before="0" w:after="0"/>
              <w:ind w:left="0" w:right="0" w:hanging="0"/>
              <w:jc w:val="both"/>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206" w:type="dxa"/>
            <w:tcBorders/>
            <w:vAlign w:val="center"/>
          </w:tcPr>
          <w:p>
            <w:pPr>
              <w:pStyle w:val="TableContents"/>
              <w:bidi w:val="0"/>
              <w:spacing w:before="0" w:after="0"/>
              <w:ind w:left="0" w:right="0" w:hanging="0"/>
              <w:jc w:val="both"/>
              <w:rPr/>
            </w:pPr>
            <w:r>
              <w:rPr/>
              <w:t>  </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206" w:type="dxa"/>
            <w:tcBorders/>
            <w:vAlign w:val="center"/>
          </w:tcPr>
          <w:p>
            <w:pPr>
              <w:pStyle w:val="TableContents"/>
              <w:bidi w:val="0"/>
              <w:spacing w:before="0" w:after="0"/>
              <w:ind w:left="0" w:right="0" w:hanging="0"/>
              <w:jc w:val="both"/>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206" w:type="dxa"/>
            <w:tcBorders/>
            <w:vAlign w:val="center"/>
          </w:tcPr>
          <w:p>
            <w:pPr>
              <w:pStyle w:val="TableContents"/>
              <w:bidi w:val="0"/>
              <w:spacing w:before="0" w:after="0"/>
              <w:ind w:left="0" w:right="0" w:hanging="0"/>
              <w:jc w:val="both"/>
              <w:rPr/>
            </w:pPr>
            <w:r>
              <w:rPr/>
              <w:t>  </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206" w:type="dxa"/>
            <w:tcBorders/>
            <w:vAlign w:val="center"/>
          </w:tcPr>
          <w:p>
            <w:pPr>
              <w:pStyle w:val="TableContents"/>
              <w:bidi w:val="0"/>
              <w:spacing w:before="0" w:after="0"/>
              <w:ind w:left="0" w:right="0" w:hanging="0"/>
              <w:jc w:val="both"/>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Certificate of Incorporation (Delaware).</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10/17/18</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Certificate of Amendment to Certificate of Incorporation.</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5/27/2022</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Certificate of Amendment to Amended and Restated Certificate of Incorporation</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1/26/2023</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Bylaws of Marker Therapeutics, Inc.</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10/17/18</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w:anchor="mrkr-20250930xex31d1.htm">
              <w:r>
                <w:rPr>
                  <w:rStyle w:val="InternetLink"/>
                  <w:rFonts w:ascii="Times New Roman;Times;serif" w:hAnsi="Times New Roman;Times;serif"/>
                  <w:b w:val="false"/>
                  <w:i w:val="false"/>
                  <w:caps w:val="false"/>
                  <w:smallCaps w:val="false"/>
                  <w:sz w:val="20"/>
                </w:rPr>
                <w:t>Certification of Chief Executive Officer Pursuant to Rule 13a-14(a) or 15d-14(a) of the Securities Exchange Act of 1933, as amended.</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w:anchor="mrkr-20250930xex31d2.htm">
              <w:r>
                <w:rPr>
                  <w:rStyle w:val="InternetLink"/>
                  <w:rFonts w:ascii="Times New Roman;Times;serif" w:hAnsi="Times New Roman;Times;serif"/>
                  <w:b w:val="false"/>
                  <w:i w:val="false"/>
                  <w:caps w:val="false"/>
                  <w:smallCaps w:val="false"/>
                  <w:sz w:val="20"/>
                </w:rPr>
                <w:t>Certification of Chief Financial Officer pursuant to Securities Exchange Act of 1934 Rule 13a-14(a) or 15d-14a.</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32.1</w:t>
            </w:r>
            <w:r>
              <w:rPr>
                <w:rFonts w:ascii="Times New Roman;Times;serif" w:hAnsi="Times New Roman;Times;serif"/>
                <w:sz w:val="15"/>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w:anchor="mrkr-20250930xex32d1.htm">
              <w:r>
                <w:rPr>
                  <w:rStyle w:val="InternetLink"/>
                  <w:rFonts w:ascii="Times New Roman;Times;serif" w:hAnsi="Times New Roman;Times;serif"/>
                  <w:b w:val="false"/>
                  <w:i w:val="false"/>
                  <w:caps w:val="false"/>
                  <w:smallCaps w:val="false"/>
                  <w:sz w:val="20"/>
                </w:rPr>
                <w:t>Certification of Chief Executive Officer Pursuant to 18 U.S.C. 1350 as adopted pursuant to Section 906 of the Sarbanes-Oxley Act of 2002.</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32.2</w:t>
            </w:r>
            <w:r>
              <w:rPr>
                <w:rFonts w:ascii="Times New Roman;Times;serif" w:hAnsi="Times New Roman;Times;serif"/>
                <w:sz w:val="15"/>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w:anchor="mrkr-20250930xex32d2.htm">
              <w:r>
                <w:rPr>
                  <w:rStyle w:val="InternetLink"/>
                  <w:rFonts w:ascii="Times New Roman;Times;serif" w:hAnsi="Times New Roman;Times;serif"/>
                  <w:b w:val="false"/>
                  <w:i w:val="false"/>
                  <w:caps w:val="false"/>
                  <w:smallCaps w:val="false"/>
                  <w:sz w:val="20"/>
                </w:rPr>
                <w:t>Certification of Chief Financial Officer pursuant to 18 U.S.C. 1350 as adopted pursuant to Section 906 of the Sarbanes-Oxley Act of 2002.</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 101</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 - XBRL Instance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101.SCH - XBRL Taxonomy Extension Schema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 - XBRL Taxonomy Extension Calculation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 - XBRL Taxonomy Extension Definition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 - XBRL Taxonomy Extension Label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 - XBRL Taxonomy Extension Presentation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         - Cover Page Interactive Data File (formatted as Inline XBRL and contained in Exhibit 101 filed herewith).</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Confidential treatment has been granted as to certain portions of this exhibit pursuant to Rule 406 of the Securities Act of 1933, as amended, or Rule 24b-2 of the Securities Exchange Act of 1934, as amended.</w:t>
            </w:r>
          </w:p>
        </w:tc>
      </w:tr>
    </w:tbl>
    <w:p>
      <w:pPr>
        <w:pStyle w:val="TextBody"/>
        <w:pBdr/>
        <w:bidi w:val="0"/>
        <w:spacing w:before="0" w:after="0"/>
        <w:ind w:left="0" w:right="0" w:hanging="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717" w:name="SIGNATURES_772915"/>
      <w:bookmarkStart w:id="718" w:name="SIGNATURES_208803"/>
      <w:bookmarkStart w:id="719" w:name="_437f21a0_4cac_4b2e_87e9_0b52eaa8aa76"/>
      <w:bookmarkEnd w:id="717"/>
      <w:bookmarkEnd w:id="718"/>
      <w:bookmarkEnd w:id="719"/>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the requirements of the Exchange Act, the registrant caused this report to be signed on its behalf by the undersigned, thereunto duly authorized.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November 13, 2025</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MARKER THERAPEUTICS, INC.</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vAlign w:val="center"/>
          </w:tcPr>
          <w:p>
            <w:pPr>
              <w:pStyle w:val="TableContents"/>
              <w:bidi w:val="0"/>
              <w:spacing w:before="0" w:after="0"/>
              <w:ind w:left="0" w:right="0" w:hanging="0"/>
              <w:jc w:val="both"/>
              <w:rPr/>
            </w:pPr>
            <w:r>
              <w:rPr/>
              <w:t>​</w:t>
            </w:r>
          </w:p>
        </w:tc>
        <w:tc>
          <w:tcPr>
            <w:tcW w:w="9927"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Juan Vera</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9927"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99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Chief Executive Officer and Treasurer (Principal Executive Officer and Principal Financial and Accounting Officer)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240"/>
        <w:ind w:left="0" w:right="0" w:hanging="0"/>
        <w:jc w:val="right"/>
        <w:rPr>
          <w:rFonts w:ascii="Times New Roman;Times;serif" w:hAnsi="Times New Roman;Times;serif"/>
          <w:b/>
          <w:sz w:val="20"/>
        </w:rPr>
      </w:pPr>
      <w:bookmarkStart w:id="720" w:name="mrkr-20250930xex31d1.htm"/>
      <w:bookmarkStart w:id="721" w:name="ksmrkr20250930xex31d1"/>
      <w:bookmarkEnd w:id="720"/>
      <w:bookmarkEnd w:id="721"/>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Juan Vera, certify that:</w:t>
      </w:r>
    </w:p>
    <w:tbl>
      <w:tblPr>
        <w:tblW w:w="6850" w:type="dxa"/>
        <w:jc w:val="left"/>
        <w:tblInd w:w="0" w:type="dxa"/>
        <w:tblLayout w:type="fixed"/>
        <w:tblCellMar>
          <w:top w:w="0" w:type="dxa"/>
          <w:left w:w="0" w:type="dxa"/>
          <w:bottom w:w="0" w:type="dxa"/>
          <w:right w:w="0" w:type="dxa"/>
        </w:tblCellMar>
      </w:tblPr>
      <w:tblGrid>
        <w:gridCol w:w="245"/>
        <w:gridCol w:w="6605"/>
      </w:tblGrid>
      <w:tr>
        <w:trPr/>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66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have reviewed this Quarterly Report on Form 10-Q of Marker Therapeutics, Inc.;</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99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w:t>
      </w:r>
    </w:p>
    <w:tbl>
      <w:tblPr>
        <w:tblW w:w="4731" w:type="dxa"/>
        <w:jc w:val="center"/>
        <w:tblInd w:w="0" w:type="dxa"/>
        <w:tblLayout w:type="fixed"/>
        <w:tblCellMar>
          <w:top w:w="0" w:type="dxa"/>
          <w:left w:w="0" w:type="dxa"/>
          <w:bottom w:w="0" w:type="dxa"/>
          <w:right w:w="0" w:type="dxa"/>
        </w:tblCellMar>
      </w:tblPr>
      <w:tblGrid>
        <w:gridCol w:w="571"/>
        <w:gridCol w:w="4006"/>
        <w:gridCol w:w="154"/>
      </w:tblGrid>
      <w:tr>
        <w:trPr/>
        <w:tc>
          <w:tcPr>
            <w:tcW w:w="57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November 13, 2025</w:t>
            </w:r>
          </w:p>
        </w:tc>
        <w:tc>
          <w:tcPr>
            <w:tcW w:w="154" w:type="dxa"/>
            <w:tcBorders/>
            <w:vAlign w:val="center"/>
          </w:tcPr>
          <w:p>
            <w:pPr>
              <w:pStyle w:val="TableContents"/>
              <w:bidi w:val="0"/>
              <w:spacing w:before="0" w:after="0"/>
              <w:ind w:left="0" w:right="0" w:hanging="0"/>
              <w:jc w:val="both"/>
              <w:rPr/>
            </w:pPr>
            <w:r>
              <w:rPr/>
              <w:t>​</w:t>
            </w:r>
          </w:p>
        </w:tc>
      </w:tr>
      <w:tr>
        <w:trPr/>
        <w:tc>
          <w:tcPr>
            <w:tcW w:w="571" w:type="dxa"/>
            <w:tcBorders/>
            <w:vAlign w:val="center"/>
          </w:tcPr>
          <w:p>
            <w:pPr>
              <w:pStyle w:val="TableContents"/>
              <w:pBdr/>
              <w:bidi w:val="0"/>
              <w:spacing w:before="0" w:after="0"/>
              <w:ind w:left="0" w:right="0" w:hanging="0"/>
              <w:jc w:val="both"/>
              <w:rPr/>
            </w:pPr>
            <w:r>
              <w:rPr/>
              <w:t>​</w:t>
            </w:r>
          </w:p>
        </w:tc>
        <w:tc>
          <w:tcPr>
            <w:tcW w:w="400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577"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Juan Vera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r>
      <w:tr>
        <w:trPr/>
        <w:tc>
          <w:tcPr>
            <w:tcW w:w="571" w:type="dxa"/>
            <w:tcBorders>
              <w:top w:val="single" w:sz="2" w:space="0" w:color="000000"/>
            </w:tcBorders>
            <w:tcMar>
              <w:top w:w="28" w:type="dxa"/>
            </w:tcM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006" w:type="dxa"/>
            <w:tcBorders>
              <w:top w:val="single" w:sz="2" w:space="0" w:color="000000"/>
            </w:tcBorders>
            <w:tcMar>
              <w:top w:w="28" w:type="dxa"/>
            </w:tcM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both"/>
              <w:rPr/>
            </w:pPr>
            <w:r>
              <w:rPr/>
              <w:t>​</w:t>
            </w:r>
          </w:p>
        </w:tc>
      </w:tr>
      <w:tr>
        <w:trPr/>
        <w:tc>
          <w:tcPr>
            <w:tcW w:w="57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4006" w:type="dxa"/>
            <w:tcBorders/>
            <w:vAlign w:val="center"/>
          </w:tcPr>
          <w:p>
            <w:pPr>
              <w:pStyle w:val="TableContents"/>
              <w:pBdr/>
              <w:bidi w:val="0"/>
              <w:spacing w:before="0" w:after="0"/>
              <w:ind w:left="0" w:right="0" w:hanging="144"/>
              <w:jc w:val="both"/>
              <w:rPr>
                <w:rFonts w:ascii="Times New Roman;Times;serif" w:hAnsi="Times New Roman;Times;serif"/>
                <w:sz w:val="20"/>
              </w:rPr>
            </w:pPr>
            <w:r>
              <w:rPr>
                <w:rFonts w:ascii="Times New Roman;Times;serif" w:hAnsi="Times New Roman;Times;serif"/>
                <w:sz w:val="20"/>
              </w:rPr>
              <w:t>President, Chief Executive Officer and Treasurer</w:t>
            </w:r>
          </w:p>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22" w:name="mrkr-20250930xex31d2.htm"/>
      <w:bookmarkStart w:id="723" w:name="ksmrkr20250930xex31d2"/>
      <w:bookmarkEnd w:id="722"/>
      <w:bookmarkEnd w:id="723"/>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Juan Vera, certify that:</w:t>
      </w:r>
    </w:p>
    <w:tbl>
      <w:tblPr>
        <w:tblW w:w="6850" w:type="dxa"/>
        <w:jc w:val="left"/>
        <w:tblInd w:w="0" w:type="dxa"/>
        <w:tblLayout w:type="fixed"/>
        <w:tblCellMar>
          <w:top w:w="0" w:type="dxa"/>
          <w:left w:w="0" w:type="dxa"/>
          <w:bottom w:w="0" w:type="dxa"/>
          <w:right w:w="0" w:type="dxa"/>
        </w:tblCellMar>
      </w:tblPr>
      <w:tblGrid>
        <w:gridCol w:w="245"/>
        <w:gridCol w:w="6605"/>
      </w:tblGrid>
      <w:tr>
        <w:trPr/>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66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have reviewed this Quarterly Report on Form 10-Q of Marker Therapeutics, Inc.;</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99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w:t>
      </w:r>
    </w:p>
    <w:tbl>
      <w:tblPr>
        <w:tblW w:w="4731" w:type="dxa"/>
        <w:jc w:val="center"/>
        <w:tblInd w:w="0" w:type="dxa"/>
        <w:tblLayout w:type="fixed"/>
        <w:tblCellMar>
          <w:top w:w="0" w:type="dxa"/>
          <w:left w:w="0" w:type="dxa"/>
          <w:bottom w:w="0" w:type="dxa"/>
          <w:right w:w="0" w:type="dxa"/>
        </w:tblCellMar>
      </w:tblPr>
      <w:tblGrid>
        <w:gridCol w:w="571"/>
        <w:gridCol w:w="4006"/>
        <w:gridCol w:w="154"/>
      </w:tblGrid>
      <w:tr>
        <w:trPr/>
        <w:tc>
          <w:tcPr>
            <w:tcW w:w="57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November 13, 2025</w:t>
            </w:r>
          </w:p>
        </w:tc>
        <w:tc>
          <w:tcPr>
            <w:tcW w:w="154" w:type="dxa"/>
            <w:tcBorders/>
            <w:vAlign w:val="center"/>
          </w:tcPr>
          <w:p>
            <w:pPr>
              <w:pStyle w:val="TableContents"/>
              <w:bidi w:val="0"/>
              <w:spacing w:before="0" w:after="0"/>
              <w:ind w:left="0" w:right="0" w:hanging="0"/>
              <w:jc w:val="both"/>
              <w:rPr/>
            </w:pPr>
            <w:r>
              <w:rPr/>
              <w:t>​</w:t>
            </w:r>
          </w:p>
        </w:tc>
      </w:tr>
      <w:tr>
        <w:trPr/>
        <w:tc>
          <w:tcPr>
            <w:tcW w:w="571" w:type="dxa"/>
            <w:tcBorders/>
            <w:vAlign w:val="center"/>
          </w:tcPr>
          <w:p>
            <w:pPr>
              <w:pStyle w:val="TableContents"/>
              <w:pBdr/>
              <w:bidi w:val="0"/>
              <w:spacing w:before="0" w:after="0"/>
              <w:ind w:left="0" w:right="0" w:hanging="0"/>
              <w:jc w:val="both"/>
              <w:rPr/>
            </w:pPr>
            <w:r>
              <w:rPr/>
              <w:t>​</w:t>
            </w:r>
          </w:p>
        </w:tc>
        <w:tc>
          <w:tcPr>
            <w:tcW w:w="400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577"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Juan Vera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r>
      <w:tr>
        <w:trPr/>
        <w:tc>
          <w:tcPr>
            <w:tcW w:w="571" w:type="dxa"/>
            <w:tcBorders>
              <w:top w:val="single" w:sz="2" w:space="0" w:color="000000"/>
            </w:tcBorders>
            <w:tcMar>
              <w:top w:w="28" w:type="dxa"/>
            </w:tcM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006" w:type="dxa"/>
            <w:tcBorders>
              <w:top w:val="single" w:sz="2" w:space="0" w:color="000000"/>
            </w:tcBorders>
            <w:tcMar>
              <w:top w:w="28" w:type="dxa"/>
            </w:tcM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both"/>
              <w:rPr/>
            </w:pPr>
            <w:r>
              <w:rPr/>
              <w:t>​</w:t>
            </w:r>
          </w:p>
        </w:tc>
      </w:tr>
      <w:tr>
        <w:trPr/>
        <w:tc>
          <w:tcPr>
            <w:tcW w:w="57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4006" w:type="dxa"/>
            <w:tcBorders/>
            <w:vAlign w:val="center"/>
          </w:tcPr>
          <w:p>
            <w:pPr>
              <w:pStyle w:val="TableContents"/>
              <w:pBdr/>
              <w:bidi w:val="0"/>
              <w:spacing w:before="0" w:after="0"/>
              <w:ind w:left="0" w:right="0" w:hanging="144"/>
              <w:jc w:val="both"/>
              <w:rPr>
                <w:rFonts w:ascii="Times New Roman;Times;serif" w:hAnsi="Times New Roman;Times;serif"/>
                <w:sz w:val="20"/>
              </w:rPr>
            </w:pPr>
            <w:r>
              <w:rPr>
                <w:rFonts w:ascii="Times New Roman;Times;serif" w:hAnsi="Times New Roman;Times;serif"/>
                <w:sz w:val="20"/>
              </w:rPr>
              <w:t>President, Chief Executive Officer and Treasurer</w:t>
            </w:r>
          </w:p>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and Accounting Officer)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24" w:name="mrkr-20250930xex32d1.htm"/>
      <w:bookmarkStart w:id="725" w:name="ksmrkr20250930xex32d1"/>
      <w:bookmarkEnd w:id="724"/>
      <w:bookmarkEnd w:id="725"/>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undersigned, Juan Vera, the Chief Executive Officer of Marker Therapeutics, Inc. (the “Company”) hereby certifies, pursuant to 18 U.S.C. Section 1350, as adopted pursuant to Section 906 of the Sarbanes-Oxley Act of 2002, that, to the best of his knowledge, the Quarterly Report on Form 10-Q for the period ended September 30, 2025,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pStyle w:val="TextBody"/>
        <w:bidi w:val="0"/>
        <w:spacing w:before="0" w:after="0"/>
        <w:ind w:left="0" w:right="0" w:hanging="0"/>
        <w:jc w:val="both"/>
        <w:rPr/>
      </w:pPr>
      <w:r>
        <w:rPr/>
        <w:t>​</w:t>
      </w:r>
    </w:p>
    <w:tbl>
      <w:tblPr>
        <w:tblW w:w="4716" w:type="dxa"/>
        <w:jc w:val="center"/>
        <w:tblInd w:w="0" w:type="dxa"/>
        <w:tblLayout w:type="fixed"/>
        <w:tblCellMar>
          <w:top w:w="0" w:type="dxa"/>
          <w:left w:w="0" w:type="dxa"/>
          <w:bottom w:w="0" w:type="dxa"/>
          <w:right w:w="0" w:type="dxa"/>
        </w:tblCellMar>
      </w:tblPr>
      <w:tblGrid>
        <w:gridCol w:w="556"/>
        <w:gridCol w:w="4006"/>
        <w:gridCol w:w="154"/>
      </w:tblGrid>
      <w:tr>
        <w:trPr/>
        <w:tc>
          <w:tcPr>
            <w:tcW w:w="55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November 13, 2025</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Juan Vera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top w:val="single" w:sz="2" w:space="0" w:color="000000"/>
            </w:tcBorders>
            <w:tcMar>
              <w:top w:w="28" w:type="dxa"/>
            </w:tcM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vAlign w:val="center"/>
          </w:tcPr>
          <w:p>
            <w:pPr>
              <w:pStyle w:val="TableContents"/>
              <w:pBdr/>
              <w:bidi w:val="0"/>
              <w:spacing w:before="0" w:after="0"/>
              <w:ind w:left="0" w:right="0" w:hanging="144"/>
              <w:jc w:val="both"/>
              <w:rPr>
                <w:rFonts w:ascii="Times New Roman;Times;serif" w:hAnsi="Times New Roman;Times;serif"/>
                <w:sz w:val="20"/>
              </w:rPr>
            </w:pPr>
            <w:r>
              <w:rPr>
                <w:rFonts w:ascii="Times New Roman;Times;serif" w:hAnsi="Times New Roman;Times;serif"/>
                <w:sz w:val="20"/>
              </w:rPr>
              <w:t>President, Chief Executive Officer and Treasurer</w:t>
            </w:r>
          </w:p>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26" w:name="mrkr-20250930xex32d2.htm"/>
      <w:bookmarkStart w:id="727" w:name="ksmrkr20250930xex32d2"/>
      <w:bookmarkEnd w:id="726"/>
      <w:bookmarkEnd w:id="727"/>
      <w:r>
        <w:rPr>
          <w:rFonts w:ascii="Times New Roman;Times;serif" w:hAnsi="Times New Roman;Times;serif"/>
          <w:b/>
          <w:sz w:val="20"/>
        </w:rPr>
        <w:t>Exhibit 32.2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undersigned, Juan Vera, the Principal Financial Officer of Marker Therapeutics, Inc. (the “Company”) hereby certifies, pursuant to 18 U.S.C. Section 1350, as adopted pursuant to Section 906 of the Sarbanes-Oxley Act of 2002, that, to the best of his knowledge, the Quarterly Report on Form 10-Q for the period ended September 30, 2025,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pStyle w:val="TextBody"/>
        <w:bidi w:val="0"/>
        <w:spacing w:before="0" w:after="0"/>
        <w:ind w:left="0" w:right="0" w:hanging="0"/>
        <w:jc w:val="both"/>
        <w:rPr/>
      </w:pPr>
      <w:r>
        <w:rPr/>
        <w:t>​</w:t>
      </w:r>
    </w:p>
    <w:tbl>
      <w:tblPr>
        <w:tblW w:w="4716" w:type="dxa"/>
        <w:jc w:val="center"/>
        <w:tblInd w:w="0" w:type="dxa"/>
        <w:tblLayout w:type="fixed"/>
        <w:tblCellMar>
          <w:top w:w="0" w:type="dxa"/>
          <w:left w:w="0" w:type="dxa"/>
          <w:bottom w:w="0" w:type="dxa"/>
          <w:right w:w="0" w:type="dxa"/>
        </w:tblCellMar>
      </w:tblPr>
      <w:tblGrid>
        <w:gridCol w:w="556"/>
        <w:gridCol w:w="4006"/>
        <w:gridCol w:w="154"/>
      </w:tblGrid>
      <w:tr>
        <w:trPr/>
        <w:tc>
          <w:tcPr>
            <w:tcW w:w="55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November 13, 2025</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Juan Vera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top w:val="single" w:sz="2" w:space="0" w:color="000000"/>
            </w:tcBorders>
            <w:tcMar>
              <w:top w:w="28" w:type="dxa"/>
            </w:tcM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pBdr/>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vAlign w:val="center"/>
          </w:tcPr>
          <w:p>
            <w:pPr>
              <w:pStyle w:val="TableContents"/>
              <w:pBdr/>
              <w:bidi w:val="0"/>
              <w:spacing w:before="0" w:after="0"/>
              <w:ind w:left="0" w:right="0" w:hanging="144"/>
              <w:jc w:val="both"/>
              <w:rPr>
                <w:rFonts w:ascii="Times New Roman;Times;serif" w:hAnsi="Times New Roman;Times;serif"/>
                <w:sz w:val="20"/>
              </w:rPr>
            </w:pPr>
            <w:r>
              <w:rPr>
                <w:rFonts w:ascii="Times New Roman;Times;serif" w:hAnsi="Times New Roman;Times;serif"/>
                <w:sz w:val="20"/>
              </w:rPr>
              <w:t>President, Chief Executive Officer and Treasurer</w:t>
            </w:r>
          </w:p>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and Accounting Officer)</w:t>
            </w:r>
          </w:p>
        </w:tc>
        <w:tc>
          <w:tcPr>
            <w:tcW w:w="154" w:type="dxa"/>
            <w:tcBorders/>
            <w:vAlign w:val="center"/>
          </w:tcPr>
          <w:p>
            <w:pPr>
              <w:pStyle w:val="TableContents"/>
              <w:pBdr/>
              <w:bidi w:val="0"/>
              <w:spacing w:before="0" w:after="0"/>
              <w:ind w:left="0" w:right="0" w:hanging="144"/>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094038/000114420418054209/tv504951_ex3-4.htm" TargetMode="External"/><Relationship Id="rId6" Type="http://schemas.openxmlformats.org/officeDocument/2006/relationships/hyperlink" Target="https://www.sec.gov/Archives/edgar/data/1094038/000119312522162322/d480537dex31.htm" TargetMode="External"/><Relationship Id="rId7" Type="http://schemas.openxmlformats.org/officeDocument/2006/relationships/hyperlink" Target="https://www.sec.gov/Archives/edgar/data/1094038/000110465923007019/tm234466d1_ex3-1.htm" TargetMode="External"/><Relationship Id="rId8" Type="http://schemas.openxmlformats.org/officeDocument/2006/relationships/hyperlink" Target="https://www.sec.gov/Archives/edgar/data/1094038/000114420418054209/tv504951_ex3-6.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19134</Words>
  <Characters>106458</Characters>
  <CharactersWithSpaces>126530</CharactersWithSpaces>
  <Paragraphs>3463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