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 C. 20549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9" w:lineRule="exact"/>
        <w:rPr>
          <w:sz w:val="24"/>
          <w:szCs w:val="24"/>
          <w:color w:val="auto"/>
        </w:rPr>
      </w:pPr>
    </w:p>
    <w:p>
      <w:pPr>
        <w:ind w:left="660" w:right="2060" w:hanging="652"/>
        <w:spacing w:after="0" w:line="528"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-19685</wp:posOffset>
            </wp:positionV>
            <wp:extent cx="1466215" cy="72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TAPIMMUNE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0"/>
              </w:rPr>
              <w:t>Nevada</w:t>
            </w:r>
          </w:p>
        </w:tc>
        <w:tc>
          <w:tcPr>
            <w:tcW w:w="262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001-37939</w:t>
            </w:r>
          </w:p>
        </w:tc>
        <w:tc>
          <w:tcPr>
            <w:tcW w:w="1740" w:type="dxa"/>
            <w:vAlign w:val="bottom"/>
          </w:tcPr>
          <w:p>
            <w:pPr>
              <w:spacing w:after="0"/>
              <w:rPr>
                <w:sz w:val="18"/>
                <w:szCs w:val="18"/>
                <w:color w:val="auto"/>
              </w:rPr>
            </w:pPr>
          </w:p>
        </w:tc>
        <w:tc>
          <w:tcPr>
            <w:tcW w:w="28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2"/>
        </w:trPr>
        <w:tc>
          <w:tcPr>
            <w:tcW w:w="3080" w:type="dxa"/>
            <w:vAlign w:val="bottom"/>
            <w:gridSpan w:val="5"/>
          </w:tcPr>
          <w:p>
            <w:pPr>
              <w:jc w:val="center"/>
              <w:ind w:right="220"/>
              <w:spacing w:after="0"/>
              <w:rPr>
                <w:sz w:val="20"/>
                <w:szCs w:val="20"/>
                <w:color w:val="auto"/>
              </w:rPr>
            </w:pPr>
            <w:r>
              <w:rPr>
                <w:rFonts w:ascii="Arial" w:cs="Arial" w:eastAsia="Arial" w:hAnsi="Arial"/>
                <w:sz w:val="18"/>
                <w:szCs w:val="18"/>
                <w:color w:val="auto"/>
                <w:w w:val="93"/>
              </w:rPr>
              <w:t>(State or other jurisdiction of</w:t>
            </w:r>
          </w:p>
        </w:tc>
        <w:tc>
          <w:tcPr>
            <w:tcW w:w="4360" w:type="dxa"/>
            <w:vAlign w:val="bottom"/>
            <w:gridSpan w:val="5"/>
          </w:tcPr>
          <w:p>
            <w:pPr>
              <w:jc w:val="center"/>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 )</w:t>
            </w:r>
          </w:p>
        </w:tc>
      </w:tr>
      <w:tr>
        <w:trPr>
          <w:trHeight w:val="230"/>
        </w:trPr>
        <w:tc>
          <w:tcPr>
            <w:tcW w:w="800" w:type="dxa"/>
            <w:vAlign w:val="bottom"/>
          </w:tcPr>
          <w:p>
            <w:pPr>
              <w:spacing w:after="0"/>
              <w:rPr>
                <w:sz w:val="20"/>
                <w:szCs w:val="20"/>
                <w:color w:val="auto"/>
              </w:rPr>
            </w:pPr>
          </w:p>
        </w:tc>
        <w:tc>
          <w:tcPr>
            <w:tcW w:w="2280" w:type="dxa"/>
            <w:vAlign w:val="bottom"/>
            <w:gridSpan w:val="4"/>
          </w:tcPr>
          <w:p>
            <w:pPr>
              <w:jc w:val="center"/>
              <w:ind w:right="1020"/>
              <w:spacing w:after="0"/>
              <w:rPr>
                <w:sz w:val="20"/>
                <w:szCs w:val="20"/>
                <w:color w:val="auto"/>
              </w:rPr>
            </w:pPr>
            <w:r>
              <w:rPr>
                <w:rFonts w:ascii="Arial" w:cs="Arial" w:eastAsia="Arial" w:hAnsi="Arial"/>
                <w:sz w:val="18"/>
                <w:szCs w:val="18"/>
                <w:color w:val="auto"/>
                <w:w w:val="92"/>
              </w:rPr>
              <w:t>incorporation)</w:t>
            </w: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4"/>
        </w:trPr>
        <w:tc>
          <w:tcPr>
            <w:tcW w:w="30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50 N. Laura Street, Suite 2500</w:t>
            </w: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12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90"/>
              </w:rPr>
              <w:t>Jacksonville, FL</w:t>
            </w:r>
          </w:p>
        </w:tc>
        <w:tc>
          <w:tcPr>
            <w:tcW w:w="1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2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32202</w:t>
            </w:r>
          </w:p>
        </w:tc>
        <w:tc>
          <w:tcPr>
            <w:tcW w:w="820" w:type="dxa"/>
            <w:vAlign w:val="bottom"/>
          </w:tcPr>
          <w:p>
            <w:pPr>
              <w:spacing w:after="0"/>
              <w:rPr>
                <w:sz w:val="16"/>
                <w:szCs w:val="16"/>
                <w:color w:val="auto"/>
              </w:rPr>
            </w:pPr>
          </w:p>
        </w:tc>
      </w:tr>
      <w:tr>
        <w:trPr>
          <w:trHeight w:val="20"/>
        </w:trPr>
        <w:tc>
          <w:tcPr>
            <w:tcW w:w="30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24"/>
        </w:trPr>
        <w:tc>
          <w:tcPr>
            <w:tcW w:w="308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00" w:type="dxa"/>
            <w:vAlign w:val="bottom"/>
            <w:gridSpan w:val="4"/>
          </w:tcPr>
          <w:p>
            <w:pPr>
              <w:jc w:val="center"/>
              <w:ind w:right="820"/>
              <w:spacing w:after="0"/>
              <w:rPr>
                <w:sz w:val="20"/>
                <w:szCs w:val="20"/>
                <w:color w:val="auto"/>
              </w:rPr>
            </w:pPr>
            <w:r>
              <w:rPr>
                <w:rFonts w:ascii="Arial" w:cs="Arial" w:eastAsia="Arial" w:hAnsi="Arial"/>
                <w:sz w:val="18"/>
                <w:szCs w:val="18"/>
                <w:color w:val="auto"/>
                <w:w w:val="94"/>
              </w:rPr>
              <w:t>(Zip Code)</w:t>
            </w:r>
          </w:p>
        </w:tc>
      </w:tr>
      <w:tr>
        <w:trPr>
          <w:trHeight w:val="392"/>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904-516-5436</w:t>
            </w: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(Registrant’s telephone number, including area code)</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Par Value $0. 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u w:val="single" w:color="auto"/>
          <w:color w:val="auto"/>
        </w:rPr>
        <w:t>None</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of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 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checkmark whether the registrant is a large accelerated filer, an accelerated filer, a non-accelerated filer, or a smaller reporting company.</w:t>
      </w:r>
    </w:p>
    <w:p>
      <w:pPr>
        <w:sectPr>
          <w:pgSz w:w="11900" w:h="16838" w:orient="portrait"/>
          <w:cols w:equalWidth="0" w:num="1">
            <w:col w:w="11420"/>
          </w:cols>
          <w:pgMar w:left="240" w:top="828" w:right="239" w:bottom="0" w:gutter="0" w:footer="0" w:header="0"/>
        </w:sectPr>
      </w:pPr>
    </w:p>
    <w:p>
      <w:pPr>
        <w:spacing w:after="0" w:line="20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60" w:space="720"/>
            <w:col w:w="4440"/>
          </w:cols>
          <w:pgMar w:left="240" w:top="828" w:right="239" w:bottom="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60" w:space="720"/>
            <w:col w:w="4440"/>
          </w:cols>
          <w:pgMar w:left="240" w:top="828" w:right="239" w:bottom="0" w:gutter="0" w:footer="0" w:header="0"/>
          <w:type w:val="continuous"/>
        </w:sectPr>
      </w:pP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computed by reference to the price at which the registrant’s common equity was last sold, as of June 30, 2016 (the last day of the registrant’s most recently completed second fiscal quarter) at a price per share of $6.12 and was approximately $36,554,500.</w:t>
      </w:r>
    </w:p>
    <w:p>
      <w:pPr>
        <w:sectPr>
          <w:pgSz w:w="11900" w:h="16838" w:orient="portrait"/>
          <w:cols w:equalWidth="0" w:num="1">
            <w:col w:w="11420"/>
          </w:cols>
          <w:pgMar w:left="240" w:top="828"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registrant had 8,439,166 shares of common stock outstanding as of 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40" w:type="dxa"/>
            <w:vAlign w:val="bottom"/>
            <w:gridSpan w:val="11"/>
          </w:tcPr>
          <w:p>
            <w:pPr>
              <w:ind w:left="4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940" w:type="dxa"/>
            <w:vAlign w:val="bottom"/>
            <w:gridSpan w:val="2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FORWARD LOOKING STATEMENTS</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top w:val="single" w:sz="8" w:color="CCEEFF"/>
            </w:tcBorders>
            <w:gridSpan w:val="5"/>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PART I</w:t>
              </w:r>
            </w:hyperlink>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940" w:type="dxa"/>
            <w:vAlign w:val="bottom"/>
            <w:gridSpan w:val="2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1A.</w:t>
            </w:r>
          </w:p>
        </w:tc>
        <w:tc>
          <w:tcPr>
            <w:tcW w:w="8940" w:type="dxa"/>
            <w:vAlign w:val="bottom"/>
            <w:gridSpan w:val="2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UNRESOLVED STAFF COMMENTS</w:t>
              </w:r>
            </w:hyperlink>
          </w:p>
        </w:tc>
        <w:tc>
          <w:tcPr>
            <w:tcW w:w="6120" w:type="dxa"/>
            <w:vAlign w:val="bottom"/>
            <w:tcBorders>
              <w:bottom w:val="single" w:sz="8" w:color="CCEEFF"/>
            </w:tcBorders>
            <w:gridSpan w:val="13"/>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2.</w:t>
            </w:r>
          </w:p>
        </w:tc>
        <w:tc>
          <w:tcPr>
            <w:tcW w:w="8940" w:type="dxa"/>
            <w:vAlign w:val="bottom"/>
            <w:gridSpan w:val="26"/>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PROPERTIES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LEGAL PROCEEDINGS</w:t>
              </w:r>
            </w:hyperlink>
          </w:p>
        </w:tc>
        <w:tc>
          <w:tcPr>
            <w:tcW w:w="7060" w:type="dxa"/>
            <w:vAlign w:val="bottom"/>
            <w:tcBorders>
              <w:bottom w:val="single" w:sz="8" w:color="CCEEFF"/>
            </w:tcBorders>
            <w:gridSpan w:val="20"/>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4.</w:t>
            </w:r>
          </w:p>
        </w:tc>
        <w:tc>
          <w:tcPr>
            <w:tcW w:w="8940" w:type="dxa"/>
            <w:vAlign w:val="bottom"/>
            <w:gridSpan w:val="26"/>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5"/>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w:t>
              </w:r>
            </w:hyperlink>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w w:val="98"/>
              </w:rPr>
              <w:t>ITEM 5.</w:t>
            </w:r>
          </w:p>
        </w:tc>
        <w:tc>
          <w:tcPr>
            <w:tcW w:w="960" w:type="dxa"/>
            <w:vAlign w:val="bottom"/>
            <w:tcBorders>
              <w:top w:val="single" w:sz="8" w:color="CCEEFF"/>
            </w:tcBorders>
            <w:gridSpan w:val="3"/>
          </w:tcPr>
          <w:p>
            <w:pPr>
              <w:spacing w:after="0"/>
              <w:rPr>
                <w:sz w:val="15"/>
                <w:szCs w:val="15"/>
                <w:color w:val="auto"/>
              </w:rPr>
            </w:pPr>
          </w:p>
        </w:tc>
        <w:tc>
          <w:tcPr>
            <w:tcW w:w="8260" w:type="dxa"/>
            <w:vAlign w:val="bottom"/>
            <w:tcBorders>
              <w:top w:val="single" w:sz="8" w:color="CCEEFF"/>
              <w:bottom w:val="single" w:sz="8" w:color="0000EE"/>
            </w:tcBorders>
            <w:gridSpan w:val="25"/>
          </w:tcPr>
          <w:p>
            <w:pPr>
              <w:spacing w:after="0" w:line="17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MARKET FOR REGISTRANT’S COMMON EQUITY, RELATED STOCKHOLDER MATTERS AND ISSUER</w:t>
              </w:r>
            </w:hyperlink>
          </w:p>
        </w:tc>
        <w:tc>
          <w:tcPr>
            <w:tcW w:w="6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40" w:type="dxa"/>
            <w:vAlign w:val="bottom"/>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PURCHASES OF EQUITY SECURITIES</w:t>
              </w:r>
            </w:hyperlink>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940" w:type="dxa"/>
            <w:vAlign w:val="bottom"/>
            <w:gridSpan w:val="26"/>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SELECTED FINANCIAL DATA</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7.</w:t>
            </w:r>
          </w:p>
        </w:tc>
        <w:tc>
          <w:tcPr>
            <w:tcW w:w="8940" w:type="dxa"/>
            <w:vAlign w:val="bottom"/>
            <w:gridSpan w:val="26"/>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w:t>
              </w:r>
            </w:hyperlink>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7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OPERATIONS</w:t>
              </w:r>
            </w:hyperlink>
          </w:p>
        </w:tc>
        <w:tc>
          <w:tcPr>
            <w:tcW w:w="1180" w:type="dxa"/>
            <w:vAlign w:val="bottom"/>
            <w:gridSpan w:val="4"/>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QUANTITATIVE AND QUALITATIVE DISCLOSURES ABOUT MARKET RISK</w:t>
              </w:r>
            </w:hyperlink>
          </w:p>
        </w:tc>
        <w:tc>
          <w:tcPr>
            <w:tcW w:w="2800" w:type="dxa"/>
            <w:vAlign w:val="bottom"/>
            <w:tcBorders>
              <w:bottom w:val="single" w:sz="8" w:color="CCEEFF"/>
            </w:tcBorders>
            <w:gridSpan w:val="6"/>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8.</w:t>
            </w:r>
          </w:p>
        </w:tc>
        <w:tc>
          <w:tcPr>
            <w:tcW w:w="8940" w:type="dxa"/>
            <w:vAlign w:val="bottom"/>
            <w:gridSpan w:val="26"/>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794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CHANGES IN AND DISAGREEMENTS WITH ACCOUNTANTS ON ACCOUNTING AND FINANCIAL</w:t>
              </w:r>
            </w:hyperlink>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940" w:type="dxa"/>
            <w:vAlign w:val="bottom"/>
            <w:gridSpan w:val="26"/>
            <w:shd w:val="clear" w:color="auto" w:fill="CCEEFF"/>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DISCLOSURE</w:t>
              </w:r>
            </w:hyperlink>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9A.</w:t>
            </w:r>
          </w:p>
        </w:tc>
        <w:tc>
          <w:tcPr>
            <w:tcW w:w="8940" w:type="dxa"/>
            <w:vAlign w:val="bottom"/>
            <w:gridSpan w:val="26"/>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8940" w:type="dxa"/>
            <w:vAlign w:val="bottom"/>
            <w:gridSpan w:val="26"/>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top w:val="single" w:sz="8" w:color="CCEEFF"/>
            </w:tcBorders>
            <w:gridSpan w:val="5"/>
          </w:tcPr>
          <w:p>
            <w:pPr>
              <w:spacing w:after="0" w:line="17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III</w:t>
              </w:r>
            </w:hyperlink>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DIRECTORS, EXECUTIVE OFFICERS AND CORPORATE GOVERNANCE</w:t>
              </w:r>
            </w:hyperlink>
          </w:p>
        </w:tc>
        <w:tc>
          <w:tcPr>
            <w:tcW w:w="3140" w:type="dxa"/>
            <w:vAlign w:val="bottom"/>
            <w:tcBorders>
              <w:bottom w:val="single" w:sz="8" w:color="CCEEFF"/>
            </w:tcBorders>
            <w:gridSpan w:val="7"/>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11.</w:t>
            </w:r>
          </w:p>
        </w:tc>
        <w:tc>
          <w:tcPr>
            <w:tcW w:w="8940" w:type="dxa"/>
            <w:vAlign w:val="bottom"/>
            <w:gridSpan w:val="26"/>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8940" w:type="dxa"/>
            <w:vAlign w:val="bottom"/>
            <w:gridSpan w:val="26"/>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w:t>
              </w:r>
            </w:hyperlink>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180" w:type="dxa"/>
            <w:vAlign w:val="bottom"/>
            <w:tcBorders>
              <w:top w:val="single" w:sz="8" w:color="0000EE"/>
              <w:bottom w:val="single" w:sz="8" w:color="0000EE"/>
            </w:tcBorders>
            <w:gridSpan w:val="8"/>
            <w:shd w:val="clear" w:color="auto" w:fill="CCEEFF"/>
          </w:tcPr>
          <w:p>
            <w:pPr>
              <w:spacing w:after="0" w:line="196"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STOCKHOLDER MATTERS</w:t>
              </w:r>
            </w:hyperlink>
          </w:p>
        </w:tc>
        <w:tc>
          <w:tcPr>
            <w:tcW w:w="5820" w:type="dxa"/>
            <w:vAlign w:val="bottom"/>
            <w:tcBorders>
              <w:top w:val="single" w:sz="8" w:color="0000EE"/>
              <w:bottom w:val="single" w:sz="8" w:color="CCEEFF"/>
            </w:tcBorders>
            <w:gridSpan w:val="16"/>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13.</w:t>
            </w:r>
          </w:p>
        </w:tc>
        <w:tc>
          <w:tcPr>
            <w:tcW w:w="8940" w:type="dxa"/>
            <w:vAlign w:val="bottom"/>
            <w:gridSpan w:val="26"/>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CERTAIN RELATIONSHIPS AND RELATED TRANSACTIONS AND DIRECTOR INDEPENDENCE</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8940" w:type="dxa"/>
            <w:vAlign w:val="bottom"/>
            <w:gridSpan w:val="26"/>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PRINCIPAL ACCOUNTING FEES AND SERVICES</w:t>
              </w:r>
            </w:hyperlink>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top w:val="single" w:sz="8" w:color="CCEEFF"/>
            </w:tcBorders>
            <w:gridSpan w:val="5"/>
          </w:tcPr>
          <w:p>
            <w:pPr>
              <w:spacing w:after="0" w:line="17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IV</w:t>
              </w:r>
            </w:hyperlink>
          </w:p>
        </w:tc>
        <w:tc>
          <w:tcPr>
            <w:tcW w:w="8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86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0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EXHIBITS</w:t>
              </w:r>
            </w:hyperlink>
          </w:p>
        </w:tc>
        <w:tc>
          <w:tcPr>
            <w:tcW w:w="8120" w:type="dxa"/>
            <w:vAlign w:val="bottom"/>
            <w:tcBorders>
              <w:bottom w:val="single" w:sz="8" w:color="CCEEFF"/>
            </w:tcBorders>
            <w:gridSpan w:val="25"/>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tcPr>
          <w:p>
            <w:pPr>
              <w:spacing w:after="0" w:line="176" w:lineRule="exact"/>
              <w:rPr>
                <w:sz w:val="20"/>
                <w:szCs w:val="20"/>
                <w:color w:val="auto"/>
              </w:rPr>
            </w:pPr>
            <w:r>
              <w:rPr>
                <w:rFonts w:ascii="Arial" w:cs="Arial" w:eastAsia="Arial" w:hAnsi="Arial"/>
                <w:sz w:val="18"/>
                <w:szCs w:val="18"/>
                <w:color w:val="auto"/>
              </w:rPr>
              <w:t>ITEM 16.</w:t>
            </w:r>
          </w:p>
        </w:tc>
        <w:tc>
          <w:tcPr>
            <w:tcW w:w="8940" w:type="dxa"/>
            <w:vAlign w:val="bottom"/>
            <w:gridSpan w:val="26"/>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FORM 10-K SUMMARY</w:t>
              </w:r>
            </w:hyperlink>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contains forward-looking statements that involve risks and uncertainties. Any statements contained herein that are not statements of historical fact may be deemed to be forward-looking statements. In some cases, you can identify forward-looking statements by terminology such as “may”, “will”, “should”, “expect”, “plan”, “intend”, “anticipate”, “believe”, “estimate”, “predict”, “potential” or “continue”, the negative of such terms or other comparable terminology. In evaluating these statements, you should consider various factors, including the assumptions, risks and uncertainties outlined in this annual report. Any of these items may cause our actual results to differ materially from any forward-looking statement made in this annual report. Forward-looking statements in this annual report include, statements as to:</w:t>
      </w:r>
    </w:p>
    <w:p>
      <w:pPr>
        <w:spacing w:after="0" w:line="19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discovery, development, formulation, manufacturing and commercialization of our compounds,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collaboration and strategic relationship strategy; anticipated benefits and disadvantages of entering into such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licensing, investment and commercialization strategies;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approval process, including obtaining U.S. Food and Drug Administration and other international health authorities’ approval for our products in the United States and abroad;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develop and commercialize products on our own;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to use third party manufacturers;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expenses and expenditure levels; expected uses of cash;</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capital resources to continue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need to raise additional capital;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patent prosecution and maintenance efforts; and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these forward-looking statements, and any assumptions upon which they are based, are made in good faith and reflect our current judgment regarding future events, our actual results will likely vary, sometimes materially, from any estimates, predictions, projections, assumptions or other future performance suggested herein. Some of the risks and assumptions include:</w:t>
      </w:r>
    </w:p>
    <w:p>
      <w:pPr>
        <w:spacing w:after="0" w:line="18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history of operating losses;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conduct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changing regulatory requirements and administrative practice;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adverse safety findings;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reliance on third party manufacturers, collaborators, and clinical research organizations;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our collaborators’ ability to develop and commercialize drug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obtain adequate product and clinical trial liability and other insurance coverage;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relating to changes in pricing and reimbursements in the markets in which we may compete;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to develop and commercialize similar drug products;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changing laws on our patent portfolio;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in and expenses relating to litigation;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in-license drug candidates or other technology;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conflicts of interest of our directors and officers;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implement our business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manage our growth;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regulatory, legislative and judicial developments.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 this report all references to (i) “TapImmune” “we,” “us,” “our” or the “Company” mean TapImmune Inc. </w:t>
      </w:r>
      <w:r>
        <w:rPr>
          <w:rFonts w:ascii="Arial" w:cs="Arial" w:eastAsia="Arial" w:hAnsi="Arial"/>
          <w:sz w:val="17"/>
          <w:szCs w:val="17"/>
          <w:color w:val="auto"/>
        </w:rPr>
        <w:t>; (ii) “SEC” refers to the Securities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Exchange Commission; (iii) “Securities Act” refers to the United States </w:t>
      </w:r>
      <w:r>
        <w:rPr>
          <w:rFonts w:ascii="Arial" w:cs="Arial" w:eastAsia="Arial" w:hAnsi="Arial"/>
          <w:sz w:val="17"/>
          <w:szCs w:val="17"/>
          <w:i w:val="1"/>
          <w:iCs w:val="1"/>
          <w:color w:val="auto"/>
        </w:rPr>
        <w:t>Securities Act of 1933</w:t>
      </w:r>
      <w:r>
        <w:rPr>
          <w:rFonts w:ascii="Arial" w:cs="Arial" w:eastAsia="Arial" w:hAnsi="Arial"/>
          <w:sz w:val="17"/>
          <w:szCs w:val="17"/>
          <w:color w:val="auto"/>
        </w:rPr>
        <w:t xml:space="preserve">, as amended; (iv) “Exchange Act” refers to the United States </w:t>
      </w:r>
      <w:r>
        <w:rPr>
          <w:rFonts w:ascii="Arial" w:cs="Arial" w:eastAsia="Arial" w:hAnsi="Arial"/>
          <w:sz w:val="17"/>
          <w:szCs w:val="17"/>
          <w:i w:val="1"/>
          <w:iCs w:val="1"/>
          <w:color w:val="auto"/>
        </w:rPr>
        <w:t>Securities Exchange Act of 1934</w:t>
      </w:r>
      <w:r>
        <w:rPr>
          <w:rFonts w:ascii="Arial" w:cs="Arial" w:eastAsia="Arial" w:hAnsi="Arial"/>
          <w:sz w:val="17"/>
          <w:szCs w:val="17"/>
          <w:color w:val="auto"/>
        </w:rPr>
        <w:t>, as amended; and (v) all dollar amounts refer to United States dollars unless otherwise indicated.</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2"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Calculation of Aggregate Market Value of Non-Affiliate Shares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calculating the aggregate market value of shares of our common stock held by non-affiliates as set forth on the cover page of this Annual Report on Form 10-K, we have assumed that all outstanding shares are held by non-affiliates, except for shares held by each of our executive officers, directors and 5% or greater stockholders. In the case of 5% or greater stockholders, we have not deemed such stockholders to be affiliates, other than Eastern Capital Limited, unless there are facts and circumstances which would indicate that such stockholders exercise any control over our company. These assumptions should not be deemed to constitute an admission that all executive officers, directors and 5% or greater stockholders are, in fact, affiliates of our company, or that there are no other persons who may be deemed to be affiliates of our company. Further information concerning shareholdings of our executive officers, directors and principal stockholders can be located in Part III, Item 12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Regarding Reverse Stock Splits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18, 2014, we filed a Certificate of Change pursuant to NRS 78.209 with the Secretary of State of the State of Nevada to effect a reverse split of our common stock at a ratio of one for 100. On September 15, 2016, we filed another Certificate of Change pursuant to NRS 78.209 with the Secretary of State of the State of Nevada to effect a reverse split of our common stock at a ratio of one for 12. All historical share and per share amounts reflected in this report have been adjusted to reflect the reverse stock splits.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Cancer Vaccines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contrast to standard therapies for cancer treatment including surgery, radiation therapy and chemotherapy that imprecisely target cancer cells and normal cells, we are developing vaccines that precisely target candidate breast cancer(s), colorectal cancer(s), ovarian cancer(s) and non-small cell lung cancer(s). We are currently developing three core technology platforms:</w:t>
      </w:r>
    </w:p>
    <w:p>
      <w:pPr>
        <w:spacing w:after="0" w:line="181" w:lineRule="exact"/>
        <w:rPr>
          <w:sz w:val="20"/>
          <w:szCs w:val="20"/>
          <w:color w:val="auto"/>
        </w:rPr>
      </w:pPr>
    </w:p>
    <w:p>
      <w:pPr>
        <w:ind w:right="20" w:firstLine="8"/>
        <w:spacing w:after="0" w:line="277" w:lineRule="auto"/>
        <w:tabs>
          <w:tab w:leader="none" w:pos="30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the treatment of HER2/neu+ breast cancer that overexpresses Human Epidermal Growth Factor Receptor 2 (HER2/neu) (TPIV 100/110),</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exclusively licensed vaccine for treating breast and ovarian cancers that overexpress Folate Receptor Alpha (TPIV 200),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wholly-owned DNA expression vaccine technology (Polystart) for further treatment of various cancers or infectious disease.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stockholder value and taking into account development timelines, we plan to focus on advancing our clinical programs including our Folate Receptor Alpha program for breast and ovarian and our HER2/neu peptide antigen program into Phase II clinical trials. In parallel, we plan to complete the preclinical development of our Polystart technology as an integral component of our prime-and-boost vaccine methodology.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Technology in Development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b w:val="1"/>
                <w:bCs w:val="1"/>
                <w:color w:val="auto"/>
              </w:rPr>
              <w:t>Product/ Candidate</w:t>
            </w:r>
          </w:p>
        </w:tc>
        <w:tc>
          <w:tcPr>
            <w:tcW w:w="2640" w:type="dxa"/>
            <w:vAlign w:val="bottom"/>
            <w:gridSpan w:val="2"/>
          </w:tcPr>
          <w:p>
            <w:pPr>
              <w:ind w:left="780"/>
              <w:spacing w:after="0"/>
              <w:rPr>
                <w:sz w:val="20"/>
                <w:szCs w:val="20"/>
                <w:color w:val="auto"/>
              </w:rPr>
            </w:pPr>
            <w:r>
              <w:rPr>
                <w:rFonts w:ascii="Arial" w:cs="Arial" w:eastAsia="Arial" w:hAnsi="Arial"/>
                <w:sz w:val="18"/>
                <w:szCs w:val="18"/>
                <w:b w:val="1"/>
                <w:bCs w:val="1"/>
                <w:color w:val="auto"/>
              </w:rPr>
              <w:t>Description</w:t>
            </w:r>
          </w:p>
        </w:tc>
        <w:tc>
          <w:tcPr>
            <w:tcW w:w="2980" w:type="dxa"/>
            <w:vAlign w:val="bottom"/>
            <w:gridSpan w:val="2"/>
          </w:tcPr>
          <w:p>
            <w:pPr>
              <w:ind w:left="960"/>
              <w:spacing w:after="0"/>
              <w:rPr>
                <w:sz w:val="20"/>
                <w:szCs w:val="20"/>
                <w:color w:val="auto"/>
              </w:rPr>
            </w:pPr>
            <w:r>
              <w:rPr>
                <w:rFonts w:ascii="Arial" w:cs="Arial" w:eastAsia="Arial" w:hAnsi="Arial"/>
                <w:sz w:val="18"/>
                <w:szCs w:val="18"/>
                <w:b w:val="1"/>
                <w:bCs w:val="1"/>
                <w:color w:val="auto"/>
              </w:rPr>
              <w:t>Application</w:t>
            </w:r>
          </w:p>
        </w:tc>
        <w:tc>
          <w:tcPr>
            <w:tcW w:w="2820" w:type="dxa"/>
            <w:vAlign w:val="bottom"/>
          </w:tcPr>
          <w:p>
            <w:pPr>
              <w:ind w:left="1160"/>
              <w:spacing w:after="0"/>
              <w:rPr>
                <w:sz w:val="20"/>
                <w:szCs w:val="20"/>
                <w:color w:val="auto"/>
              </w:rPr>
            </w:pPr>
            <w:r>
              <w:rPr>
                <w:rFonts w:ascii="Arial" w:cs="Arial" w:eastAsia="Arial" w:hAnsi="Arial"/>
                <w:sz w:val="18"/>
                <w:szCs w:val="18"/>
                <w:b w:val="1"/>
                <w:bCs w:val="1"/>
                <w:color w:val="auto"/>
              </w:rPr>
              <w:t>Status</w:t>
            </w:r>
          </w:p>
        </w:tc>
      </w:tr>
      <w:tr>
        <w:trPr>
          <w:trHeight w:val="195"/>
        </w:trPr>
        <w:tc>
          <w:tcPr>
            <w:tcW w:w="20" w:type="dxa"/>
            <w:vAlign w:val="bottom"/>
          </w:tcPr>
          <w:p>
            <w:pPr>
              <w:spacing w:after="0"/>
              <w:rPr>
                <w:sz w:val="16"/>
                <w:szCs w:val="16"/>
                <w:color w:val="auto"/>
              </w:rPr>
            </w:pPr>
          </w:p>
        </w:tc>
        <w:tc>
          <w:tcPr>
            <w:tcW w:w="28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TPIV 100/110 HER2/neu+ Breast</w:t>
            </w:r>
          </w:p>
        </w:tc>
        <w:tc>
          <w:tcPr>
            <w:tcW w:w="160" w:type="dxa"/>
            <w:vAlign w:val="bottom"/>
          </w:tcPr>
          <w:p>
            <w:pPr>
              <w:spacing w:after="0"/>
              <w:rPr>
                <w:sz w:val="16"/>
                <w:szCs w:val="16"/>
                <w:color w:val="auto"/>
              </w:rPr>
            </w:pPr>
          </w:p>
        </w:tc>
        <w:tc>
          <w:tcPr>
            <w:tcW w:w="24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Peptide Vaccine</w:t>
            </w:r>
          </w:p>
        </w:tc>
        <w:tc>
          <w:tcPr>
            <w:tcW w:w="160" w:type="dxa"/>
            <w:vAlign w:val="bottom"/>
          </w:tcPr>
          <w:p>
            <w:pPr>
              <w:spacing w:after="0"/>
              <w:rPr>
                <w:sz w:val="16"/>
                <w:szCs w:val="16"/>
                <w:color w:val="auto"/>
              </w:rPr>
            </w:pPr>
          </w:p>
        </w:tc>
        <w:tc>
          <w:tcPr>
            <w:tcW w:w="28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Treatment of HER2/neu+ Breast</w:t>
            </w:r>
          </w:p>
        </w:tc>
        <w:tc>
          <w:tcPr>
            <w:tcW w:w="160" w:type="dxa"/>
            <w:vAlign w:val="bottom"/>
          </w:tcPr>
          <w:p>
            <w:pPr>
              <w:spacing w:after="0"/>
              <w:rPr>
                <w:sz w:val="16"/>
                <w:szCs w:val="16"/>
                <w:color w:val="auto"/>
              </w:rPr>
            </w:pPr>
          </w:p>
        </w:tc>
        <w:tc>
          <w:tcPr>
            <w:tcW w:w="28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Phase I trial completed</w:t>
            </w:r>
          </w:p>
        </w:tc>
      </w:tr>
      <w:tr>
        <w:trPr>
          <w:trHeight w:val="230"/>
        </w:trPr>
        <w:tc>
          <w:tcPr>
            <w:tcW w:w="20" w:type="dxa"/>
            <w:vAlign w:val="bottom"/>
          </w:tcPr>
          <w:p>
            <w:pPr>
              <w:spacing w:after="0"/>
              <w:rPr>
                <w:sz w:val="20"/>
                <w:szCs w:val="20"/>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Cancer Vaccine</w:t>
            </w: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Cancer</w:t>
            </w:r>
          </w:p>
        </w:tc>
        <w:tc>
          <w:tcPr>
            <w:tcW w:w="2820" w:type="dxa"/>
            <w:vAlign w:val="bottom"/>
          </w:tcPr>
          <w:p>
            <w:pPr>
              <w:ind w:left="60"/>
              <w:spacing w:after="0"/>
              <w:rPr>
                <w:sz w:val="20"/>
                <w:szCs w:val="20"/>
                <w:color w:val="auto"/>
              </w:rPr>
            </w:pPr>
            <w:r>
              <w:rPr>
                <w:rFonts w:ascii="Arial" w:cs="Arial" w:eastAsia="Arial" w:hAnsi="Arial"/>
                <w:sz w:val="18"/>
                <w:szCs w:val="18"/>
                <w:color w:val="auto"/>
                <w:w w:val="95"/>
              </w:rPr>
              <w:t>Phase I/II to start in 2017(TPIV 110)</w:t>
            </w:r>
          </w:p>
        </w:tc>
      </w:tr>
      <w:tr>
        <w:trPr>
          <w:trHeight w:val="418"/>
        </w:trPr>
        <w:tc>
          <w:tcPr>
            <w:tcW w:w="20" w:type="dxa"/>
            <w:vAlign w:val="bottom"/>
          </w:tcPr>
          <w:p>
            <w:pPr>
              <w:spacing w:after="0"/>
              <w:rPr>
                <w:sz w:val="24"/>
                <w:szCs w:val="24"/>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TPIV 200 Folate Receptor Alpha</w:t>
            </w:r>
          </w:p>
        </w:tc>
        <w:tc>
          <w:tcPr>
            <w:tcW w:w="2640" w:type="dxa"/>
            <w:vAlign w:val="bottom"/>
            <w:gridSpan w:val="2"/>
          </w:tcPr>
          <w:p>
            <w:pPr>
              <w:ind w:left="60"/>
              <w:spacing w:after="0"/>
              <w:rPr>
                <w:sz w:val="20"/>
                <w:szCs w:val="20"/>
                <w:color w:val="auto"/>
              </w:rPr>
            </w:pPr>
            <w:r>
              <w:rPr>
                <w:rFonts w:ascii="Arial" w:cs="Arial" w:eastAsia="Arial" w:hAnsi="Arial"/>
                <w:sz w:val="18"/>
                <w:szCs w:val="18"/>
                <w:color w:val="auto"/>
              </w:rPr>
              <w:t>Peptide Vaccine</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Treatment of Folate Alpha/Triple-</w:t>
            </w:r>
          </w:p>
        </w:tc>
        <w:tc>
          <w:tcPr>
            <w:tcW w:w="2820" w:type="dxa"/>
            <w:vAlign w:val="bottom"/>
          </w:tcPr>
          <w:p>
            <w:pPr>
              <w:ind w:left="60"/>
              <w:spacing w:after="0"/>
              <w:rPr>
                <w:sz w:val="20"/>
                <w:szCs w:val="20"/>
                <w:color w:val="auto"/>
              </w:rPr>
            </w:pPr>
            <w:r>
              <w:rPr>
                <w:rFonts w:ascii="Arial" w:cs="Arial" w:eastAsia="Arial" w:hAnsi="Arial"/>
                <w:sz w:val="18"/>
                <w:szCs w:val="18"/>
                <w:color w:val="auto"/>
              </w:rPr>
              <w:t>Phase I trial completed</w:t>
            </w:r>
          </w:p>
        </w:tc>
      </w:tr>
      <w:tr>
        <w:trPr>
          <w:trHeight w:val="216"/>
        </w:trPr>
        <w:tc>
          <w:tcPr>
            <w:tcW w:w="20" w:type="dxa"/>
            <w:vAlign w:val="bottom"/>
          </w:tcPr>
          <w:p>
            <w:pPr>
              <w:spacing w:after="0"/>
              <w:rPr>
                <w:sz w:val="18"/>
                <w:szCs w:val="18"/>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Vaccine</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color w:val="auto"/>
                <w:w w:val="99"/>
              </w:rPr>
              <w:t>Negative Breast and Ovarian Cancer</w:t>
            </w:r>
          </w:p>
        </w:tc>
        <w:tc>
          <w:tcPr>
            <w:tcW w:w="2820" w:type="dxa"/>
            <w:vAlign w:val="bottom"/>
          </w:tcPr>
          <w:p>
            <w:pPr>
              <w:ind w:left="60"/>
              <w:spacing w:after="0"/>
              <w:rPr>
                <w:sz w:val="20"/>
                <w:szCs w:val="20"/>
                <w:color w:val="auto"/>
              </w:rPr>
            </w:pPr>
            <w:r>
              <w:rPr>
                <w:rFonts w:ascii="Arial" w:cs="Arial" w:eastAsia="Arial" w:hAnsi="Arial"/>
                <w:sz w:val="18"/>
                <w:szCs w:val="18"/>
                <w:color w:val="auto"/>
              </w:rPr>
              <w:t>Multiple Phase II trials started in</w:t>
            </w: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8"/>
                <w:szCs w:val="18"/>
                <w:color w:val="auto"/>
              </w:rPr>
              <w:t>2016</w:t>
            </w:r>
          </w:p>
        </w:tc>
      </w:tr>
      <w:tr>
        <w:trPr>
          <w:trHeight w:val="418"/>
        </w:trPr>
        <w:tc>
          <w:tcPr>
            <w:tcW w:w="20" w:type="dxa"/>
            <w:vAlign w:val="bottom"/>
          </w:tcPr>
          <w:p>
            <w:pPr>
              <w:spacing w:after="0"/>
              <w:rPr>
                <w:sz w:val="24"/>
                <w:szCs w:val="24"/>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rPr>
              <w:t>Polystart</w:t>
            </w:r>
          </w:p>
        </w:tc>
        <w:tc>
          <w:tcPr>
            <w:tcW w:w="2640" w:type="dxa"/>
            <w:vAlign w:val="bottom"/>
            <w:gridSpan w:val="2"/>
          </w:tcPr>
          <w:p>
            <w:pPr>
              <w:ind w:left="60"/>
              <w:spacing w:after="0"/>
              <w:rPr>
                <w:sz w:val="20"/>
                <w:szCs w:val="20"/>
                <w:color w:val="auto"/>
              </w:rPr>
            </w:pPr>
            <w:r>
              <w:rPr>
                <w:rFonts w:ascii="Arial" w:cs="Arial" w:eastAsia="Arial" w:hAnsi="Arial"/>
                <w:sz w:val="18"/>
                <w:szCs w:val="18"/>
                <w:color w:val="auto"/>
              </w:rPr>
              <w:t>DNA expression technology</w:t>
            </w: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Broad Application to “Prime”- and-</w:t>
            </w:r>
          </w:p>
        </w:tc>
        <w:tc>
          <w:tcPr>
            <w:tcW w:w="2820" w:type="dxa"/>
            <w:vAlign w:val="bottom"/>
          </w:tcPr>
          <w:p>
            <w:pPr>
              <w:ind w:left="60"/>
              <w:spacing w:after="0"/>
              <w:rPr>
                <w:sz w:val="20"/>
                <w:szCs w:val="20"/>
                <w:color w:val="auto"/>
              </w:rPr>
            </w:pPr>
            <w:r>
              <w:rPr>
                <w:rFonts w:ascii="Arial" w:cs="Arial" w:eastAsia="Arial" w:hAnsi="Arial"/>
                <w:sz w:val="18"/>
                <w:szCs w:val="18"/>
                <w:color w:val="auto"/>
              </w:rPr>
              <w:t>Preclinical</w:t>
            </w: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“Boost”</w:t>
            </w:r>
          </w:p>
        </w:tc>
        <w:tc>
          <w:tcPr>
            <w:tcW w:w="2820" w:type="dxa"/>
            <w:vAlign w:val="bottom"/>
          </w:tcPr>
          <w:p>
            <w:pPr>
              <w:spacing w:after="0"/>
              <w:rPr>
                <w:sz w:val="20"/>
                <w:szCs w:val="20"/>
                <w:color w:val="auto"/>
              </w:rPr>
            </w:pPr>
          </w:p>
        </w:tc>
      </w:tr>
      <w:tr>
        <w:trPr>
          <w:trHeight w:val="432"/>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CLINICAL</w:t>
            </w: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perspective, we note that clinical trials to support new drug applications are typically conducted in three sequential phases, although the phases may overlap. During Phase I, there is an initial introduction of the therapeutic candidate into healthy human subjects or patients. For an immunotherapeutic/vaccine in particular, Phase I studies are generally conducted in cancer patients that have previously received one or another current standard of care and include the measurement of cellular immune responses. Phase II usually involves studies in a more focused patient population in order to carefully assess clinical activity of the drug in specific targeted indications, dosage tolerance (</w:t>
      </w:r>
      <w:r>
        <w:rPr>
          <w:rFonts w:ascii="Arial" w:cs="Arial" w:eastAsia="Arial" w:hAnsi="Arial"/>
          <w:sz w:val="18"/>
          <w:szCs w:val="18"/>
          <w:i w:val="1"/>
          <w:iCs w:val="1"/>
          <w:color w:val="auto"/>
        </w:rPr>
        <w:t>i.e</w:t>
      </w:r>
      <w:r>
        <w:rPr>
          <w:rFonts w:ascii="Arial" w:cs="Arial" w:eastAsia="Arial" w:hAnsi="Arial"/>
          <w:sz w:val="18"/>
          <w:szCs w:val="18"/>
          <w:color w:val="auto"/>
        </w:rPr>
        <w:t>., dose escalation) and optimal dosage, while continuing to identify possible adverse effects and safety risks. If the therapeutic candidate is found to be potentially effective and to have an acceptable safety profile in Phase II evaluations, Phase III trials are undertaken to further demonstrate clinical efficacy and to further test for safety within an expanded patient population at geographically dispersed clinical trial sites.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Human Clinical Trials – HER2/neu+ Breast Cancer – Mayo Foundation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1, 2010, we signed an exclusive licensing option agreement with the Mayo Foundation for Medical Education and Research (“Mayo Foundation”), Rochester, Minnesota for clinical development of a new HER2/neu+ breast cancer vaccine technology. An Investigational New Drug (“IND”) application for Phase I human clinical trial on the HER2/neu+ cancer vaccine in collaboration with the Mayo Foundation was allowed by the Food and Drug Administration (“FDA”) in July 2011 and the Mayo Institutional Review Board approved the trial on May 4, 2012. Patients had histologically confirmed Stage II-III HER2/neu+ breast cancer and had completed systematic therapy at least 90 days prior to treatment and were without evidence of disease. Patient dosing has been completed and final safety analysis on all the patients treated has been completed. The vaccine was well tolerated with mild adverse effects. In addition,</w:t>
      </w:r>
    </w:p>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19 out of 20 evaluable patients showed robust T-cell immune responses to the antigens in the vaccine composition (Source: The Journal of Immunology: January 1, 2013 190:479-488). These results provided the rationale for advancement into Phase II during 2016</w:t>
      </w:r>
      <w:r>
        <w:rPr>
          <w:rFonts w:ascii="Arial" w:cs="Arial" w:eastAsia="Arial" w:hAnsi="Arial"/>
          <w:sz w:val="17"/>
          <w:szCs w:val="17"/>
          <w:b w:val="1"/>
          <w:bCs w:val="1"/>
          <w:color w:val="auto"/>
        </w:rPr>
        <w:t>.</w:t>
      </w:r>
      <w:r>
        <w:rPr>
          <w:rFonts w:ascii="Arial" w:cs="Arial" w:eastAsia="Arial" w:hAnsi="Arial"/>
          <w:sz w:val="17"/>
          <w:szCs w:val="17"/>
          <w:color w:val="auto"/>
        </w:rPr>
        <w:t xml:space="preserve"> An additional secondary endpoint incorporated into this Phase I Trial was a two-year follow on recording time to disease recurrence in the participating breast cancer patients.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Clinical Trials – Folate Alpha Breast and Ovarian Cancer – Mayo Foundation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Folate Receptor Alpha (“FRA”) is overexpressed in over 80% of breast cancers and in addition, over 90% of ovarian cancers, for which the only treatment options are surgery, radiation therapy and chemotherapy, leaving a very important and urgent clinical need for a new therapeutic. Time to recurrence is relatively short for this type of cancer and survival prognosis is extremely poor after recurrence. In the United States alone, there are approximately 30,000 ovarian cancer patients and 40,000 triple-negative breast cancer patients newly diagnosed every year.</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completed a 24-patient Phase I clinical trial for the Folate Receptor Alpha Vaccine. Twenty-two patients with breast or ovarian cancer, who had undergone standard surgery and adjuvant treatment, were treated with one cycle of cyclophosphamide (given days 1-7 and 15-22 of 28). Following this, patients were vaccinated intradermally at three sites with a mixture of the five FRA peptides on day one of a 28-day cycle for a maximum of six vaccination cycles. The vaccine showed to be well-tolerated and safe and 20 out of 21 evaluable patients showed positive immune responses, providing a strong rationale for progressing to Phase II trials. Further, the data showed that 16 out of 16 patients in the observation stage still showed immune responses (Source: Data published in Journal of Clinical Oncology at ASCO in Chicago May 2015). We have developed a commercial quality lyophilized formulation of the vaccine in a single vial for reconstitution and injection. Good Manufacturing Practice (“GMP”) manufacturing of initial batch for initial Phase II trials has been completed.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27, 2015, we exercised our option agreement with Mayo Foundation with the signing of a worldwide exclusive license agreement to commercialize a proprietary Folate Receptor Alpha vaccine technology for all cancer indications. As part of this agreement, the IND from the Folate Receptor Alpha Phase I Trial was transferred from Mayo Foundation to us for amendment for Phase II Clinical Trials on our lead product.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15, 2015, we announced that our collaborators at the Mayo Foundation had been awarded a grant of $13.3 million from the U.S. Department of Defense. This grant, commencing September 15, 2015, will cover the costs for a 280-patient Phase II Clinical Trial of Folate Receptor Alpha Vaccine in patients with triple-negative breast cancer. We will work closely with Mayo Foundation on this clinical trial by providing clinical and manufacturing expertise as well as providing GMP vaccine formulations. These vaccine formulations are being developed for multiple Phase II clinical programs in triple-negative breast and ovarian cancer in combination with other immunotherapeutics. This Phase II study of TPIV 200 in the treatment of triple-negative breast cancer will begin enrolling patients in early 2017.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 including over 90% of ovarian cancer cells.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On February 3, 2016, we announced that the U.S. FDA designated the investigation of multiple-epitope Folate Receptor Alpha Peptide Vaccine (TPIV 200) with GM-CSF adjuvant for maintenance therapy in subjects with platinum-sensitive advanced ovarian cancer who achieved stable disease or partial response following completion of standard-of-care chemotherapy, as a Fast Track Development Program. We initiated a Phase II study in this indication at the end of 2016 in one clinical site. The remainder of the planned clinical sites are expected to be open during 2017.</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opened ten clinical sites and have begun enrolling and treating patients in a Phase II trial of our Folate Receptor Alpha cancer vaccine, TPIV 200, in the treatment of triple-negative breast cancer, one of the most difficult-to-treat cancers representing a clear unmet medical need. The open-label, 80-patient clinical trial is designed to evaluate dosing regimens, efficacy, and immune responses in women with triple-negative breast cancer. Key data from the trial is expected to be included in a future New Drug Application submission to the FDA for marketing clearance. This trial is sponsored and conducted by TapImmune.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21, 2016, we announced our participation in an ovarian cancer study sponsored by Memorial Sloan Kettering Cancer Center in New York City in collaboration with AstraZeneca Pharmaceuticals in ovarian cancer patients who are not responsive to platinum, a commonly used chemotherapy for ovarian cancer. This study, a Phase II study of TPIV 200 is currently enrolling ovarian cancer patients and is designed to look at the effects of combination therapy with AstraZeneca’s checkpoint inhibitor “durvalumab”. The study will enroll 40 patients and is open-label. Because they are unresponsive to platinum, these patients have no real options left. If the combination therapy proves effective, we believe it would address a critical unmet need. TPIV 200 has received Orphan Drug designation for use in the treatment of ovarian cancer. Although we have no business relationship with AstraZeneca, we are paying for one-half of the costs of the clinical study in addition to providing our TPIV 200 for the study.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parallel with the above completed Phase I clinical trials and upcoming Phase II trials, we plan to complete preclinical development of the Polystart technology as an integral component of our “Prime”-and- “Boost” vaccine methodology. Unlike other vaccine technologies that narrowly address the initiation of an immune response, our “Prime”-and- “Boost” approach broadly stimulates the cellular immune system by enhancing the function of killer T-cells and helper T-cells. Our peptide immunotherapeutic approach may be coupled with our recently developed in-house Polystart nucleic acid-based technology designed to enhance T-cell antigen presentation on the surface of appropriate populations of presenting cells. 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Moreover, our versatile Polystart technology is designed to express either Class I killer or Class II helper T-cell antigenic epitopes. The nucleic acid-based platform may also represent a second stand-alone vaccine technology.</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Polystart technology was invented in-house and is therefore not subject to any licensing fees or downstream royalty payments. The Polystart technology composition can be administered in the form of a plasmid deoxyribonucleic acid (“DNA”) or incorporated into a viral delivery system via ribonucleic acid (“RNA”) or DNA. The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 We have confirmed that the Polystart/PAA technology works in preclinical studies in context with a smallpox vaccine candidate. However, it is important to understand that this is a platform technology which can be adapted to essentially any T-cell peptide antigen targeted indication, including HER2/neu. The Polystart technology combined with our peptide-based technology is an ideal opportunity for developing an effective prime-plus-boost vaccination methodology. On February 7, 2017, we announced that we received a Notice of Allowance from the U.S. Patent and Trademark Office of our patent application titled, “Chimeric nucleic acid molecules with non-AUG initiation sequences and uses thereof,” which represents our first patent on our Polystart program. We anticipate additional patent filings in connection with our research and development in this area.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Infectious Disease Program</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Regarding our programs for the development of vaccines aimed at viral pandemics/biodefense, our collaborations with the Mayo Foundation progressed to a point where the immunogenicity of novel smallpox antigens in mice treated with both antigens and transporter associated with antigen processing (“TAP”) expression vectors was shown to be encouraging. However, due to the resources required to complete primate studies and the focusing of our current resources in the oncology field, we have decided not to dedicate resources to develop a smallpox product. We plan to pursue non-dilutive grant funding for these programs in collaboration with other interested vaccine developers and strategic corporate partnerships. The use of non-dilutive grant funding to progress this area allows us to focus the majority of our internal resources on HER2/neu+ breast, ovarian and triple-negative cancers.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Mayo Foundation for Medical Education and Research Relationships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part of our business strategy, we establish business relationships, including collaborative arrangements with other companies and medical research institutions to assist in the clinical development of certain of our drugs and drug candidates and to provide support for our research programs.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with Mayo Foundation that expand our pipeline and provide us with certain rights to existing and potential new products and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26, 2010, we signed a Technology Option Agreement with the Mayo Foundation in Rochester, Minnesota, for the evaluation of HER2/neu peptide epitopes as antigens for a breast cancer vaccine. The agreement grants us an exclusive worldwide option to become the exclusive licensee of the technology after completion of Phase I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Following approval of the IND by the FDA in July 2011, we executed a Sponsored Research Agreement with the Mayo Foundation for the clinical trial.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HER2/neu License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25, 2012, we entered into a Patent &amp; Know-How Agreement with the Mayo Foundation in Rochester, Minnesota, to license a proprietary MHC Class I HER2/neu antigen technology. Under the terms of this agreement, we acquired from Mayo Foundation (i) an exclusive option for a worldwide license to use the patent rights related to U.S. patent application numbered 61600480 (titled “Methods and materials for generating CD8+ T-cells having the ability to recognize cancer cells expressing a HER2/neu polypeptide”) to make products in the prophylactic and therapeutic field (the “HER2/neu Licensed Products”) and (ii) a non-exclusive license to use certain of Mayo Foundation’s know-how to make the HER2/neu Licensed Products. We had the right to exercise this option after Phase I clinical trials had been reported. We may sublicense the technology with the approval of Mayo Foundation, which approval may not be unreasonably withheld.</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4, 2016, we exercised the option and entered into a license and assignment agreement with Mayo Foundation. The Mayo Foundation granted this license in exchange for an initial payment of $300,000, which was required to be paid by June 3, 2016</w:t>
      </w:r>
      <w:r>
        <w:rPr>
          <w:rFonts w:ascii="Arial" w:cs="Arial" w:eastAsia="Arial" w:hAnsi="Arial"/>
          <w:sz w:val="16"/>
          <w:szCs w:val="16"/>
          <w:b w:val="1"/>
          <w:bCs w:val="1"/>
          <w:color w:val="auto"/>
        </w:rPr>
        <w:t>.</w:t>
      </w:r>
      <w:r>
        <w:rPr>
          <w:rFonts w:ascii="Arial" w:cs="Arial" w:eastAsia="Arial" w:hAnsi="Arial"/>
          <w:sz w:val="16"/>
          <w:szCs w:val="16"/>
          <w:color w:val="auto"/>
        </w:rPr>
        <w:t xml:space="preserve"> Upon the payment, the Mayo Foundation assigned to us IND # 14749, and we assumed all responsibility and liability for this investigative new drug application. In addition to the initial payment, we are to pay an annual license maintenance fee, milestone fees and royalty fees (which will be subject to a minimum annual royalty fee once royalty fees are due).</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Mayo Foundation granted us a license (with a right to sublicense) on a worldwide basis to make, sell and use products for therapeutic use against breast, ovarian, lung and any other cancers that overexpress HER2/neu antigens. This license is an exclusive license for products that are based on the intellectual property and non-exclusive for products that are based on Mayo Foundation know–how and materials. The intellectual property that is being licensed includes</w:t>
      </w:r>
    </w:p>
    <w:p>
      <w:pPr>
        <w:ind w:firstLine="8"/>
        <w:spacing w:after="0" w:line="261" w:lineRule="auto"/>
        <w:tabs>
          <w:tab w:leader="none" w:pos="242"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patent application numbers12/740,562 and 14/480,365, divisionals, continuations and continuations in part, and (ii) U.S. provisional application 60/984,646 and PCT/US2008/081799.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agreement, and subject to certain exceptions, we are responsible for, among other things, developing the technology under the Patent Rights to bring Licensed Products (as defined in the agreement) to market and costs of filing, prosecution and maintenance of the Patent Rights. Mayo Foundation has sole control over the protection, defense, enforcement, maintenance abandonment and other handling of the Know-How (as defined in the agreement) and Materials (as defined in the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agreement by or on behalf of us or any sub-licensee; (ii) research, development, design, manufacture, distribution, use, sale, importation, exportation or other disposition of Licensed Products; (iii) our or any sub-licensee’s act or omission, including negligence or willful misconduct; and (iv) third party suits for patent infringement.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of this agreement runs from May 4, 2016 until the date of our last obligation to make payments under the agreement, provided that Mayo Foundation may terminate the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second anniversary of the agreement and, once initiated, keep current on all of our Phase II funding obligations and (b) initiate a Phase IIB or III clinical trial for a Licensed Product prior to the fifth anniversary of the agreement, (iii) we fail to make a sale of a Licensed Product by May 4, 2026, and (iv) we cease to conduct business in the normal event of operations or become insolvent or bankrupt. We may voluntarily terminate the agreement at any time upon written notice to Mayo Foundation.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Mayo Folate Receptor Alpha License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July 21, 2015, we entered into a License and Assignment Agreement with Mayo Foundation (“Mayo Foundation License”) pursuant to which we acquired certain intellectual property rights from the Mayo Foundation for the development and commercialization of certain products, methods and processes property relating to a Folate Receptor Alpha immunotherapeutic vaccine comprised of a set of unique peptide epitopes targeting breast, lung and ovarian cancer. The Mayo Foundation License resulted from our exercise of an option that we acquired from Ayer Special Situations Fund I, LP (“Ayer”) that was issued pursuant to a Technology Option Agreement that Ayer entered into with the Mayo Foundation on March 18,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Mayo Foundation granted us a license (with a right to sublicense) on a worldwide basis to make, sell and use products for therapeutic use against breast, ovarian, lung and other cancers that express Folate Receptor Alpha. This license is an exclusive license for products that are based on the intellectual property and non-exclusive for products that are based on Mayo Foundation know–how and materials. The intellectual property that is being licensed includes (i) U.S. patent application numbers 12/303,054 and 13/202,236, (ii) U.S. patent number 8,486,412 and 8,858,952 and provisionals, (iii) divisionals including 13/917,410 and (iv) continuations including 14/484,057 (“Patent Rights”).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Mayo Foundation License, and subject to certain exceptions, we are responsible for, among other things, developing the technology under the Patent Rights to bring Licensed Products (as defined in the Mayo Foundation License) to market and costs of filing, prosecution and maintenance of the Patent Rights. Mayo Foundation has sole control over the protection, defense, enforcement, maintenance abandonment and other handling of the Know-How (as defined in the Mayo Foundation License) and Materials (as defined in the Mayo Foundation License).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Mayo Foundation granted this license in exchange for an initial upfront payment of $350,000, which was made on July 21, 2015. Upon the payment of the initial upfront payment, the Mayo Foundation assigned to us IND # 14546, and we assumed all responsibility and liability for this investigative new drug application. In addition to the initial upfront payment, we are to pay additional upfront payments, an annual license maintenance fee, milestone fees and royalty fees (which will be subject to a minimum annual royalty fee once royalty fees are due).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and hold Mayo Foundation harmless from any damages caused as a result of (i) the practice or exercise of any rights and assignments granted by the Mayo Foundation License by or on behalf of us or any sub-licensee; (ii) research, development, design, manufacture, distribution, use, sale, importation, exportation or other disposition of Licensed Products; and (iii) our or any sub-licensee’s act or omission, including negligence or willful misconduct.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 of this agreement runs from July 21, 2015 until the date of our last obligation to make payments under this agreement, provided that the Mayo Foundation may terminate this agreement if, among other matters, (i) 30 days after providing us with notice of a material breach of this agreement, we fail to cure such breach, (ii) 90 days after providing us with written notice, we fail to meet either of the following diligence events (a) initiate a Phase II clinical trial for a Licensed Product prior to the 2nd anniversary of the Mayo Foundation License and, once initiated, keep current on all of our Phase II funding obligations and (b) initiate a Phase IIB or III clinical trial for a Licensed Product prior to the 5th anniversary of the Mayo Foundation License, (iii) we fail to make a sale of a Licensed Product by July 21, 2025 and (iv) we cease to conduct business in the normal event of operations or become insolvent or bankrupt. We may voluntarily terminate the Mayo Foundation License at any time upon written notice to Mayo Foundation.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History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were incorporated under the laws of the State of Nevada in 1991. We have one wholly-owned and dormant subsidiary named GeneMax Pharmaceuticals Inc. (“GeneMax Pharmaceuticals”). Our common stock is currently listed for trading on the Nasdaq Capital Market under the symbol “TPIV.”</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operated offices and laboratories at 1551 Eastlake Avenue, Seattle, Washington until July 1, 2015. This enabled us to effectively leverage world-class resources made available to us and manage our cash flow. Our small core team has allowed us to establish in-house technical expertise in molecular biology (expression vector development) to underpin our current and future development projects, and to optimally work with external collaborators/oncologists. It has also allowed us to make significant progress in the refinement and focus of clinical programs to take advantage of new antigens, the emerging field of vaccinomics and vaccine development strategies. In addition, it has allowed us to start generating new intellectual property (IP), adding to the core TAP IP and antigen specific IP from the Mayo Foundation for which we have either licensed outright or have exclusive options to license.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2015, we moved our corporate headquarters to 50 North Laura Street, Jacksonville, Florida to be in closer proximity to our collaborators at Mayo Clinic in Jacksonville, Florida and our strategic and medical advisors who live in Florida. We continue to lease a single office at Eastlake Avenue in Seattle, Washington for the purposes of continuing to develop and patent our Polystart technology.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Over the past two years, we have, in a challenging financing climate, raised sufficient working capital to fund and progress our operations and significantly restructured our balance sheet and capital structure. We believe that we continue to make progress with the resources available to us. With the start of clinical programs and our focus on securing financing from a number of sources, management is confident that our current pathway will secure longer term capital to finance and accelerate our activities. The strength of our science and development approaches is becoming more widely appreciated, particularly as our clinical program generates data and as we embrace additional collaborations with leading institutions and corporations.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the pathway to successful product development takes time and significant resources, we believe that we have put in place the technical and corporate fundamentals for success. The strength of our product pipeline gives us a unique opportunity to make a major contribution to global health care.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Immunotherapy Industry for Cancer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believes that there is a critical need for more effective cancer therapies. Given the unmet need in the treatment of metastatic cancer combined with our process for harnessing the body’s own immune system to treat certain cancers, we believe that we are positioned to be a leading contributor to solving this problem. The immuno-oncology landscape includes the use of monoclonal antibodies, adoptive T-cell therapies, checkpoint inhibitors and in vivo T-cell vaccines. We believe that our use of peptide antigens that can stimulate both T-killer cells and T-helper cells together with the use of our Polystart expression vector as a “boost” strategy can give us a competitive edge in the in vivo T-cell vaccine sector.</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continue to pursue the development of an approach, which can allow the cellular immune system to make tumor cells more visible to the immune system. Many cancers are not very “immunogenic”, meaning that the cancers are not able to induce an immune response because they no longer express sufficient levels of key proteins on their cell surface, known as Major Histocompatibility Class (“MHC”) I or MHC Class I proteins. In healthy cells, these proteins provide the information to the immune system that defines whether the cell is healthy or, in the case of cancer or viral infection, abnormal. If the MHC Class I proteins signal that the cells are abnormal, then the immune system’s T-cells are activated to attack and kill the infected or malignant cell.</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In many solid tumors and in metastatic cells, antigen presentation is often impaired thus presenting a weakened signal to which the cellular immune system can respond. Management believes that although a number of cancer therapies have been developed that stimulate the immune system, these approaches have often proven ineffective because the cancers remain invisible to the immune system due to this problem. One of our strategic visions is to broadly stimulate the cellular immune system while additionally improving antigen presentation. We believe that the use of our Polystart expression vector for improved expression of antigens and TAP can improve the immune system’s response to a variety of cancers.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focus on the cancer vaccines, with adequate funding, we will also pursue the development of prophylactic vaccines against infectious microbes by partnering with other vaccine developers in the infectious disease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TapImmune’s Target Market and Strategy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focus our product development in oncology, both alone and with corporate partners and/or collaborators, including the Mayo Foundation for HER2/neu+ Breast Cancer, Folate Alpha ovarian and breast cancer.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The goal of our management is to ultimately have the FDA approve our cancer vaccines so that we can secure a portion of this market.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also believes that our Polystart expression vector approach will provide a flexible and unique platform for the creation of new vaccines that can rapidly respond to emerging viral threats/bioterrorism in addition to enhancing the efficacy of current vaccines in the treatment of infectious disease. If successful, this platform technology would be a significant advance in vaccine development and it will be a key business development strategy to pursue additional partnerships and joint research and/or development ventures with vaccine manufacturers and pharmaceutical companies to bring new and improved vaccines to market. In addition to a broad range of oncological treatments, this strategy includes the development of vaccines for pandemic diseases and for bioterrorism threats. Management believes that our adjuvant will increase the potency of many of the currently available vaccines and lead to the creation of better, more effective new vaccines, thereby allowing us to participate in this large market through novel new products and in combination with existing vaccines.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strategy in cancer is to take products through Phase II clinical trials and then partner with pharmaceutical marketing organizations ahead of Phase III trials. In the infectious disease/biodefense area our business, strategy is to seek joint research and development partnerships on our infectious disease platform with companies seeking to expand their product portfolios.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market for cancer immunotherapy is estimated to grow to more than $80 billion by 2020 according to ResearchandMarkets.com. There exists significant development opportunities in the global vaccine market, as there are more than 300 infectious diseases yet effective prophylactic therapies for only approximately 15% of these (Source: The Life Sciences Report’s “Vaccine Therapies Hold Promise for Investors: Stephen Dunn,” April 12, 2012 http://jutiagroup.com/20120412-vaccine-therapies-hold-promise-for-investors-stephen-dunn/). Management believes that ultimately our combined technology platform(s) have the potential to develop more effective new vaccines, thereby allowing us to participate in this large market through novel new products and in combination with existing vaccines.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Efforts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direct our research and development efforts towards the advancement of immunotherapeutic and prophylactic vaccine products for the treatment of cancer, using our combined proprietary technologies, relevant killer plus helper T-cell peptide antigens, and Polystart nucleic acid-based expression system(s) expressing antigens. We have focused our efforts initially on the development of a therapeutic vaccine for applications in cancer treatment, while concomitantly demonstrating the breadth of our combined technology platform for the development of prophylactic vaccines. Our product development efforts are opportunistically designed to consider combinations with approved and emerging products in both cancer therapeutics and prophylactic vaccines against microbes. This approach allows us to pursue our own internal product development while positioning us to enter into multiple partnerships and licensing agreements. We have made significant progress in the development of a nucleic acid-based (co-linear Polystart) technology which directs the enhanced synthesis of a linear peptide antigen array comprising multiple proprietary T-cell epitopes (CD4 and CD8). In addition, the technology also directs the synthesis of the protein TAP1 associated with the transport of MHC Class I epitopes to the surface of cells. The expression or functioning of this protein is often lowered in tumor cells or virally infected cells and its replacement can enhance antigen presentation. Recent work on this novel expression vector platform has demonstrated that T-cells recognize cell surface presented T-cell peptide epitopes confirming that multiple individual peptides are effectively and functional processed from a linear peptide antigen array and that this leads to peptide specific T-cell killing.</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Item 1A, “Risk Factors”.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rely upon a combination of licenses, patents, trade secrets, know-how, and licensing opportunities to develop our business. Our future prospects depend on our ability to protect our intellectual property. We also need to operate without infringing the proprietary rights of third parties.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Patents and other proprietary rights are vital to our business operations. We protect our technology through various United States and foreign patent filings, and maintain trade secrets that we own. As of December 2016, we held four U.S. issued patents (one owned, three licensed or option to license), seven patent applications pending (three owned, four licensed or option to license), three foreign issued/allowed patents, and seventeen foreign patent applications pending (eight owned, nine licensed or option to license). Our policy is to seek appropriate patent protection both in the United States and abroad for our proprietary technologies and product candidates. An enforceable patent with appropriate claim coverage can provide an advantage over competitors who may seek to employ similar approaches to develop therapeutics, and so the future commercial success of products, and therefore our future success, will be in part dependent on our intellectual property strategy. The information provided in this section should be reviewed in the context of the information disclosed elsewhere in this annual report under “Risk Factors”. We reassess the value of each patent at the time maintenance fees are due, and in cases where maintaining the patent is judged to be of no significant strategic value we decline to pay the maintenance fee.</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conceived of by an employee shall be our exclusive property.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There can be no assurance that our patents, and any patents that may be issued to us in the future, will afford protection against competitors with similar technology. In addition, no assurances can be given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 Patent coverage may also vary from country to country based on the scope of available patent protection. There are also opportunities to obtain an extension of patent coverage for a product in certain countries, which adds further complexity to the determination of patent life.</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have a number of issued and pending patents covering composition of matter of Polystart and TAP. In addition, a number of issued and pending patents cover the HER2/neu and Folate Receptor Alpha peptides in our Option to License or License Agreements from the Mayo Foundation.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December 31, 2016 on each issued patent currently held or licensed by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Jurisdiction</w:t>
            </w:r>
          </w:p>
        </w:tc>
      </w:tr>
      <w:tr>
        <w:trPr>
          <w:trHeight w:val="216"/>
        </w:trPr>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jc w:val="center"/>
              <w:ind w:left="90"/>
              <w:spacing w:after="0"/>
              <w:rPr>
                <w:sz w:val="20"/>
                <w:szCs w:val="20"/>
                <w:color w:val="auto"/>
              </w:rPr>
            </w:pPr>
            <w:r>
              <w:rPr>
                <w:rFonts w:ascii="Arial" w:cs="Arial" w:eastAsia="Arial" w:hAnsi="Arial"/>
                <w:sz w:val="18"/>
                <w:szCs w:val="18"/>
                <w:b w:val="1"/>
                <w:bCs w:val="1"/>
                <w:color w:val="auto"/>
                <w:w w:val="94"/>
              </w:rPr>
              <w:t>Where</w:t>
            </w: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Patent No.</w:t>
            </w:r>
          </w:p>
        </w:tc>
        <w:tc>
          <w:tcPr>
            <w:tcW w:w="20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3"/>
              </w:rPr>
              <w:t>Expiration</w:t>
            </w:r>
          </w:p>
        </w:tc>
        <w:tc>
          <w:tcPr>
            <w:tcW w:w="30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7"/>
              </w:rPr>
              <w:t>Title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17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4"/>
              </w:rPr>
              <w:t>Granted/Filed</w:t>
            </w:r>
          </w:p>
        </w:tc>
      </w:tr>
      <w:tr>
        <w:trPr>
          <w:trHeight w:val="195"/>
        </w:trPr>
        <w:tc>
          <w:tcPr>
            <w:tcW w:w="77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Peptide Based Vaccine (Folate Receptor Alpha, Breast and Ovarian Cancer)</w:t>
            </w:r>
          </w:p>
        </w:tc>
        <w:tc>
          <w:tcPr>
            <w:tcW w:w="19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Patent No. 8,486,412</w:t>
            </w:r>
          </w:p>
        </w:tc>
        <w:tc>
          <w:tcPr>
            <w:tcW w:w="2020" w:type="dxa"/>
            <w:vAlign w:val="bottom"/>
          </w:tcPr>
          <w:p>
            <w:pPr>
              <w:jc w:val="center"/>
              <w:ind w:left="230"/>
              <w:spacing w:after="0"/>
              <w:rPr>
                <w:sz w:val="20"/>
                <w:szCs w:val="20"/>
                <w:color w:val="auto"/>
              </w:rPr>
            </w:pPr>
            <w:r>
              <w:rPr>
                <w:rFonts w:ascii="Arial" w:cs="Arial" w:eastAsia="Arial" w:hAnsi="Arial"/>
                <w:sz w:val="18"/>
                <w:szCs w:val="18"/>
                <w:color w:val="auto"/>
                <w:w w:val="89"/>
              </w:rPr>
              <w:t>Expires 2030</w:t>
            </w:r>
          </w:p>
        </w:tc>
        <w:tc>
          <w:tcPr>
            <w:tcW w:w="3000" w:type="dxa"/>
            <w:vAlign w:val="bottom"/>
          </w:tcPr>
          <w:p>
            <w:pPr>
              <w:jc w:val="center"/>
              <w:ind w:left="3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Exclusive License</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7"/>
              </w:rPr>
              <w:t>USA</w:t>
            </w:r>
          </w:p>
        </w:tc>
      </w:tr>
      <w:tr>
        <w:trPr>
          <w:trHeight w:val="432"/>
        </w:trPr>
        <w:tc>
          <w:tcPr>
            <w:tcW w:w="2740" w:type="dxa"/>
            <w:vAlign w:val="bottom"/>
          </w:tcPr>
          <w:p>
            <w:pPr>
              <w:spacing w:after="0"/>
              <w:rPr>
                <w:sz w:val="20"/>
                <w:szCs w:val="20"/>
                <w:color w:val="auto"/>
              </w:rPr>
            </w:pPr>
            <w:r>
              <w:rPr>
                <w:rFonts w:ascii="Arial" w:cs="Arial" w:eastAsia="Arial" w:hAnsi="Arial"/>
                <w:sz w:val="18"/>
                <w:szCs w:val="18"/>
                <w:color w:val="auto"/>
              </w:rPr>
              <w:t>Patent No. 9,243,033</w:t>
            </w:r>
          </w:p>
        </w:tc>
        <w:tc>
          <w:tcPr>
            <w:tcW w:w="2020" w:type="dxa"/>
            <w:vAlign w:val="bottom"/>
          </w:tcPr>
          <w:p>
            <w:pPr>
              <w:jc w:val="center"/>
              <w:ind w:left="230"/>
              <w:spacing w:after="0"/>
              <w:rPr>
                <w:sz w:val="20"/>
                <w:szCs w:val="20"/>
                <w:color w:val="auto"/>
              </w:rPr>
            </w:pPr>
            <w:r>
              <w:rPr>
                <w:rFonts w:ascii="Arial" w:cs="Arial" w:eastAsia="Arial" w:hAnsi="Arial"/>
                <w:sz w:val="18"/>
                <w:szCs w:val="18"/>
                <w:color w:val="auto"/>
                <w:w w:val="89"/>
              </w:rPr>
              <w:t>Expires 2027</w:t>
            </w:r>
          </w:p>
        </w:tc>
        <w:tc>
          <w:tcPr>
            <w:tcW w:w="3000" w:type="dxa"/>
            <w:vAlign w:val="bottom"/>
          </w:tcPr>
          <w:p>
            <w:pPr>
              <w:jc w:val="center"/>
              <w:ind w:left="3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Exclusive License</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7"/>
              </w:rPr>
              <w:t>USA</w:t>
            </w: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Not yet assigned</w:t>
            </w:r>
          </w:p>
        </w:tc>
        <w:tc>
          <w:tcPr>
            <w:tcW w:w="2020" w:type="dxa"/>
            <w:vAlign w:val="bottom"/>
          </w:tcPr>
          <w:p>
            <w:pPr>
              <w:jc w:val="center"/>
              <w:ind w:left="230"/>
              <w:spacing w:after="0"/>
              <w:rPr>
                <w:sz w:val="20"/>
                <w:szCs w:val="20"/>
                <w:color w:val="auto"/>
              </w:rPr>
            </w:pPr>
            <w:r>
              <w:rPr>
                <w:rFonts w:ascii="Arial" w:cs="Arial" w:eastAsia="Arial" w:hAnsi="Arial"/>
                <w:sz w:val="18"/>
                <w:szCs w:val="18"/>
                <w:color w:val="auto"/>
                <w:w w:val="89"/>
              </w:rPr>
              <w:t>Expires 2027</w:t>
            </w:r>
          </w:p>
        </w:tc>
        <w:tc>
          <w:tcPr>
            <w:tcW w:w="3000" w:type="dxa"/>
            <w:vAlign w:val="bottom"/>
          </w:tcPr>
          <w:p>
            <w:pPr>
              <w:jc w:val="center"/>
              <w:ind w:left="30"/>
              <w:spacing w:after="0"/>
              <w:rPr>
                <w:sz w:val="20"/>
                <w:szCs w:val="20"/>
                <w:color w:val="auto"/>
              </w:rPr>
            </w:pPr>
            <w:r>
              <w:rPr>
                <w:rFonts w:ascii="Arial" w:cs="Arial" w:eastAsia="Arial" w:hAnsi="Arial"/>
                <w:sz w:val="18"/>
                <w:szCs w:val="18"/>
                <w:color w:val="auto"/>
                <w:w w:val="91"/>
              </w:rPr>
              <w:t>Immunity to Folate Receptors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Exclusive License</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85"/>
              </w:rPr>
              <w:t>Canada</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(allowed 9-19-2016)</w:t>
            </w:r>
          </w:p>
        </w:tc>
        <w:tc>
          <w:tcPr>
            <w:tcW w:w="20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Peptide Based Vaccine (HER2/neu+ Breast Cancer)</w:t>
            </w:r>
          </w:p>
        </w:tc>
        <w:tc>
          <w:tcPr>
            <w:tcW w:w="3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Patent No. 8,858,952</w:t>
            </w:r>
          </w:p>
        </w:tc>
        <w:tc>
          <w:tcPr>
            <w:tcW w:w="2020" w:type="dxa"/>
            <w:vAlign w:val="bottom"/>
          </w:tcPr>
          <w:p>
            <w:pPr>
              <w:jc w:val="center"/>
              <w:ind w:left="230"/>
              <w:spacing w:after="0"/>
              <w:rPr>
                <w:sz w:val="20"/>
                <w:szCs w:val="20"/>
                <w:color w:val="auto"/>
              </w:rPr>
            </w:pPr>
            <w:r>
              <w:rPr>
                <w:rFonts w:ascii="Arial" w:cs="Arial" w:eastAsia="Arial" w:hAnsi="Arial"/>
                <w:sz w:val="18"/>
                <w:szCs w:val="18"/>
                <w:color w:val="auto"/>
                <w:w w:val="89"/>
              </w:rPr>
              <w:t>Expires 2031</w:t>
            </w:r>
          </w:p>
        </w:tc>
        <w:tc>
          <w:tcPr>
            <w:tcW w:w="3000" w:type="dxa"/>
            <w:vAlign w:val="bottom"/>
          </w:tcPr>
          <w:p>
            <w:pPr>
              <w:jc w:val="center"/>
              <w:ind w:left="30"/>
              <w:spacing w:after="0"/>
              <w:rPr>
                <w:sz w:val="20"/>
                <w:szCs w:val="20"/>
                <w:color w:val="auto"/>
              </w:rPr>
            </w:pPr>
            <w:r>
              <w:rPr>
                <w:rFonts w:ascii="Arial" w:cs="Arial" w:eastAsia="Arial" w:hAnsi="Arial"/>
                <w:sz w:val="18"/>
                <w:szCs w:val="18"/>
                <w:color w:val="auto"/>
                <w:w w:val="92"/>
              </w:rPr>
              <w:t>Methods and Materials for</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Exclusive License</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7"/>
              </w:rPr>
              <w:t>USA</w:t>
            </w:r>
          </w:p>
        </w:tc>
      </w:tr>
      <w:tr>
        <w:trPr>
          <w:trHeight w:val="230"/>
        </w:trPr>
        <w:tc>
          <w:tcPr>
            <w:tcW w:w="2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0" w:type="dxa"/>
            <w:vAlign w:val="bottom"/>
          </w:tcPr>
          <w:p>
            <w:pPr>
              <w:jc w:val="center"/>
              <w:ind w:left="30"/>
              <w:spacing w:after="0"/>
              <w:rPr>
                <w:sz w:val="20"/>
                <w:szCs w:val="20"/>
                <w:color w:val="auto"/>
              </w:rPr>
            </w:pPr>
            <w:r>
              <w:rPr>
                <w:rFonts w:ascii="Arial" w:cs="Arial" w:eastAsia="Arial" w:hAnsi="Arial"/>
                <w:sz w:val="18"/>
                <w:szCs w:val="18"/>
                <w:color w:val="auto"/>
                <w:w w:val="90"/>
              </w:rPr>
              <w:t>Generating T Cells</w:t>
            </w: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Nucleic Acid Based Vaccine (Polystart; infectious disease, breast and ovarian Cancer)</w:t>
            </w: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Patent No. 9,364,523</w:t>
            </w:r>
          </w:p>
        </w:tc>
        <w:tc>
          <w:tcPr>
            <w:tcW w:w="2020" w:type="dxa"/>
            <w:vAlign w:val="bottom"/>
          </w:tcPr>
          <w:p>
            <w:pPr>
              <w:jc w:val="center"/>
              <w:ind w:left="230"/>
              <w:spacing w:after="0"/>
              <w:rPr>
                <w:sz w:val="20"/>
                <w:szCs w:val="20"/>
                <w:color w:val="auto"/>
              </w:rPr>
            </w:pPr>
            <w:r>
              <w:rPr>
                <w:rFonts w:ascii="Arial" w:cs="Arial" w:eastAsia="Arial" w:hAnsi="Arial"/>
                <w:sz w:val="18"/>
                <w:szCs w:val="18"/>
                <w:color w:val="auto"/>
                <w:w w:val="89"/>
              </w:rPr>
              <w:t>Expires 2035</w:t>
            </w:r>
          </w:p>
        </w:tc>
        <w:tc>
          <w:tcPr>
            <w:tcW w:w="3000" w:type="dxa"/>
            <w:vAlign w:val="bottom"/>
          </w:tcPr>
          <w:p>
            <w:pPr>
              <w:jc w:val="center"/>
              <w:ind w:left="10"/>
              <w:spacing w:after="0"/>
              <w:rPr>
                <w:sz w:val="20"/>
                <w:szCs w:val="20"/>
                <w:color w:val="auto"/>
              </w:rPr>
            </w:pPr>
            <w:r>
              <w:rPr>
                <w:rFonts w:ascii="Arial" w:cs="Arial" w:eastAsia="Arial" w:hAnsi="Arial"/>
                <w:sz w:val="18"/>
                <w:szCs w:val="18"/>
                <w:color w:val="auto"/>
                <w:w w:val="93"/>
              </w:rPr>
              <w:t>Nucleic Acid Molecule Vaccine</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Exclusive License</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97"/>
              </w:rPr>
              <w:t>USA</w:t>
            </w:r>
          </w:p>
        </w:tc>
      </w:tr>
      <w:tr>
        <w:trPr>
          <w:trHeight w:val="230"/>
        </w:trPr>
        <w:tc>
          <w:tcPr>
            <w:tcW w:w="2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0" w:type="dxa"/>
            <w:vAlign w:val="bottom"/>
          </w:tcPr>
          <w:p>
            <w:pPr>
              <w:jc w:val="center"/>
              <w:ind w:left="30"/>
              <w:spacing w:after="0"/>
              <w:rPr>
                <w:sz w:val="20"/>
                <w:szCs w:val="20"/>
                <w:color w:val="auto"/>
              </w:rPr>
            </w:pPr>
            <w:r>
              <w:rPr>
                <w:rFonts w:ascii="Arial" w:cs="Arial" w:eastAsia="Arial" w:hAnsi="Arial"/>
                <w:sz w:val="18"/>
                <w:szCs w:val="18"/>
                <w:color w:val="auto"/>
                <w:w w:val="91"/>
              </w:rPr>
              <w:t>Compositions And Uses Thereof</w:t>
            </w: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HLA DR Peptide Vaccines</w:t>
            </w:r>
          </w:p>
        </w:tc>
        <w:tc>
          <w:tcPr>
            <w:tcW w:w="2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Patent No. 6,006,265</w:t>
            </w:r>
          </w:p>
        </w:tc>
        <w:tc>
          <w:tcPr>
            <w:tcW w:w="2020" w:type="dxa"/>
            <w:vAlign w:val="bottom"/>
          </w:tcPr>
          <w:p>
            <w:pPr>
              <w:jc w:val="center"/>
              <w:ind w:left="230"/>
              <w:spacing w:after="0"/>
              <w:rPr>
                <w:sz w:val="20"/>
                <w:szCs w:val="20"/>
                <w:color w:val="auto"/>
              </w:rPr>
            </w:pPr>
            <w:r>
              <w:rPr>
                <w:rFonts w:ascii="Arial" w:cs="Arial" w:eastAsia="Arial" w:hAnsi="Arial"/>
                <w:sz w:val="18"/>
                <w:szCs w:val="18"/>
                <w:color w:val="auto"/>
                <w:w w:val="89"/>
              </w:rPr>
              <w:t>Expires 2028</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HLA-DR Binding Peptides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Exclusive License</w:t>
            </w: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85"/>
              </w:rPr>
              <w:t>Japan</w:t>
            </w:r>
          </w:p>
        </w:tc>
      </w:tr>
      <w:tr>
        <w:trPr>
          <w:trHeight w:val="230"/>
        </w:trPr>
        <w:tc>
          <w:tcPr>
            <w:tcW w:w="2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0" w:type="dxa"/>
            <w:vAlign w:val="bottom"/>
          </w:tcPr>
          <w:p>
            <w:pPr>
              <w:jc w:val="center"/>
              <w:ind w:left="10"/>
              <w:spacing w:after="0"/>
              <w:rPr>
                <w:sz w:val="20"/>
                <w:szCs w:val="20"/>
                <w:color w:val="auto"/>
              </w:rPr>
            </w:pPr>
            <w:r>
              <w:rPr>
                <w:rFonts w:ascii="Arial" w:cs="Arial" w:eastAsia="Arial" w:hAnsi="Arial"/>
                <w:sz w:val="18"/>
                <w:szCs w:val="18"/>
                <w:color w:val="auto"/>
                <w:w w:val="91"/>
              </w:rPr>
              <w:t>And Their Uses</w:t>
            </w:r>
          </w:p>
        </w:tc>
        <w:tc>
          <w:tcPr>
            <w:tcW w:w="19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2740" w:type="dxa"/>
            <w:vAlign w:val="bottom"/>
          </w:tcPr>
          <w:p>
            <w:pPr>
              <w:spacing w:after="0"/>
              <w:rPr>
                <w:sz w:val="20"/>
                <w:szCs w:val="20"/>
                <w:color w:val="auto"/>
              </w:rPr>
            </w:pPr>
            <w:r>
              <w:rPr>
                <w:rFonts w:ascii="Arial" w:cs="Arial" w:eastAsia="Arial" w:hAnsi="Arial"/>
                <w:sz w:val="18"/>
                <w:szCs w:val="18"/>
                <w:color w:val="auto"/>
              </w:rPr>
              <w:t>Patent No. 2,215,111</w:t>
            </w:r>
          </w:p>
        </w:tc>
        <w:tc>
          <w:tcPr>
            <w:tcW w:w="2020" w:type="dxa"/>
            <w:vAlign w:val="bottom"/>
          </w:tcPr>
          <w:p>
            <w:pPr>
              <w:jc w:val="center"/>
              <w:ind w:left="230"/>
              <w:spacing w:after="0"/>
              <w:rPr>
                <w:sz w:val="20"/>
                <w:szCs w:val="20"/>
                <w:color w:val="auto"/>
              </w:rPr>
            </w:pPr>
            <w:r>
              <w:rPr>
                <w:rFonts w:ascii="Arial" w:cs="Arial" w:eastAsia="Arial" w:hAnsi="Arial"/>
                <w:sz w:val="18"/>
                <w:szCs w:val="18"/>
                <w:color w:val="auto"/>
                <w:w w:val="89"/>
              </w:rPr>
              <w:t>Expires 2028</w:t>
            </w:r>
          </w:p>
        </w:tc>
        <w:tc>
          <w:tcPr>
            <w:tcW w:w="3000" w:type="dxa"/>
            <w:vAlign w:val="bottom"/>
          </w:tcPr>
          <w:p>
            <w:pPr>
              <w:jc w:val="center"/>
              <w:spacing w:after="0"/>
              <w:rPr>
                <w:sz w:val="20"/>
                <w:szCs w:val="20"/>
                <w:color w:val="auto"/>
              </w:rPr>
            </w:pPr>
            <w:r>
              <w:rPr>
                <w:rFonts w:ascii="Arial" w:cs="Arial" w:eastAsia="Arial" w:hAnsi="Arial"/>
                <w:sz w:val="18"/>
                <w:szCs w:val="18"/>
                <w:color w:val="auto"/>
                <w:w w:val="94"/>
              </w:rPr>
              <w:t>HLA-DR Binding Peptides</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Exclusive License</w:t>
            </w:r>
          </w:p>
        </w:tc>
        <w:tc>
          <w:tcPr>
            <w:tcW w:w="1740" w:type="dxa"/>
            <w:vAlign w:val="bottom"/>
          </w:tcPr>
          <w:p>
            <w:pPr>
              <w:jc w:val="center"/>
              <w:ind w:left="90"/>
              <w:spacing w:after="0"/>
              <w:rPr>
                <w:sz w:val="20"/>
                <w:szCs w:val="20"/>
                <w:color w:val="auto"/>
              </w:rPr>
            </w:pPr>
            <w:r>
              <w:rPr>
                <w:rFonts w:ascii="Arial" w:cs="Arial" w:eastAsia="Arial" w:hAnsi="Arial"/>
                <w:sz w:val="18"/>
                <w:szCs w:val="18"/>
                <w:color w:val="auto"/>
                <w:w w:val="89"/>
              </w:rPr>
              <w:t>Europe</w:t>
            </w:r>
          </w:p>
        </w:tc>
      </w:tr>
      <w:tr>
        <w:trPr>
          <w:trHeight w:val="230"/>
        </w:trPr>
        <w:tc>
          <w:tcPr>
            <w:tcW w:w="2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00" w:type="dxa"/>
            <w:vAlign w:val="bottom"/>
          </w:tcPr>
          <w:p>
            <w:pPr>
              <w:jc w:val="center"/>
              <w:ind w:left="10"/>
              <w:spacing w:after="0"/>
              <w:rPr>
                <w:sz w:val="20"/>
                <w:szCs w:val="20"/>
                <w:color w:val="auto"/>
              </w:rPr>
            </w:pPr>
            <w:r>
              <w:rPr>
                <w:rFonts w:ascii="Arial" w:cs="Arial" w:eastAsia="Arial" w:hAnsi="Arial"/>
                <w:sz w:val="18"/>
                <w:szCs w:val="18"/>
                <w:color w:val="auto"/>
                <w:w w:val="91"/>
              </w:rPr>
              <w:t>And Their Uses</w:t>
            </w:r>
          </w:p>
        </w:tc>
        <w:tc>
          <w:tcPr>
            <w:tcW w:w="1920" w:type="dxa"/>
            <w:vAlign w:val="bottom"/>
          </w:tcPr>
          <w:p>
            <w:pPr>
              <w:spacing w:after="0"/>
              <w:rPr>
                <w:sz w:val="20"/>
                <w:szCs w:val="20"/>
                <w:color w:val="auto"/>
              </w:rPr>
            </w:pPr>
          </w:p>
        </w:tc>
        <w:tc>
          <w:tcPr>
            <w:tcW w:w="1740" w:type="dxa"/>
            <w:vAlign w:val="bottom"/>
          </w:tcPr>
          <w:p>
            <w:pPr>
              <w:jc w:val="center"/>
              <w:ind w:left="70"/>
              <w:spacing w:after="0"/>
              <w:rPr>
                <w:sz w:val="20"/>
                <w:szCs w:val="20"/>
                <w:color w:val="auto"/>
              </w:rPr>
            </w:pPr>
            <w:r>
              <w:rPr>
                <w:rFonts w:ascii="Arial" w:cs="Arial" w:eastAsia="Arial" w:hAnsi="Arial"/>
                <w:sz w:val="18"/>
                <w:szCs w:val="18"/>
                <w:color w:val="auto"/>
                <w:w w:val="93"/>
              </w:rPr>
              <w:t>(DE, FR, GB, IE)</w:t>
            </w:r>
          </w:p>
        </w:tc>
      </w:tr>
      <w:tr>
        <w:trPr>
          <w:trHeight w:val="648"/>
        </w:trPr>
        <w:tc>
          <w:tcPr>
            <w:tcW w:w="27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9</w:t>
            </w:r>
          </w:p>
        </w:tc>
        <w:tc>
          <w:tcPr>
            <w:tcW w:w="19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color w:val="auto"/>
        </w:rPr>
        <w:t>On February 7, 2017, we announced that we received a Notice of Allowance from the U.S. Patent and Trademark Office of our patent application titled, “Chimeric nucleic acid molecules with non-AUG initiation sequences and uses thereof.”</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exclusively licensed the intellectual property for our TPIV 100/110 HER2/neu+ breast cancer vaccine and TPIV 200 folate receptor alpha vaccine product candidates from Mayo Foundation for Medical Education and Research. See “Mayo Foundation for Medical Education and Research Relationships.”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effect of the issued patents is that they provide us with patent protection for the claims covered by the patents. While the expiration of a product patent normally results in a loss of market exclusivity for the covered product or product candidate, commercial benefits may continue to be derived from: (i) later-granted patents on processes and intermediates related to the most economical method of manufacture of the active ingredient of such product; (ii) patents relating to the use of such product; (iii) patents relating to novel compositions and formulations; and (iv) in the United States and certain other countries, market exclusivity that may be available under relevant law. The effect of patent expiration on our product candidates also depends upon many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pending patent applications cover a range of technologies, including specific embodiments and applications for treatment of various medical indications, improved application methods and adjunctive utilization with other therapeutic modalities. The coverage claimed in a patent application can be significantly reduced before the patent is issued. Accordingly, we do not know whether any of the applications we acquire or license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opposition proceedings in a foreign patent office, or for United States patent applications filed before March 16, 2013, in interference proceedings declared by the United States Patent and Trademark Office to determine priority of invention, or in United States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post-grant review procedures, any of which could result in substantial cost to us, even if the eventual outcome is favorable to us. There can be no assurance that the patents, if issued, would be held valid by a court of competent jurisdiction. An adverse outcome could subject us to significant liabilities to third parties, require disputed rights to be licensed from third parties or require us to cease using such technology.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patents and patent applications in other countries, as well as in the European Patent Office that we believe provide equivalent or comparable protection for our product candidates in jurisdictions internationally that we consider to be key markets. Because of the differences in patent laws and laws concerning proprietary rights, the extent of protection provided by U.S. patents or proprietary rights owned by us may differ from that of their foreign counterparts.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patents, the protection of discoveries in connection with our development activities, our proprietary products, technologies, processes and know-how and all of our intellectual property are important to our business. To achieve a competitive position, we rely on trade secrets, non-patented proprietary know-how and continuing technological innovation, where patent protection is not believed to be appropriate or attainable. In addition, as outlined above, we have a number of patent licenses from third parties, some of which important to our business. See “Mayo Foundation for Medical Education and Research Relationships”. There can be no assurance that any of our patents, licenses or other intellectual property rights will afford us any protection from competition.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trademarks are of material importance to our business. We currently have pending with the U.S. PTO, an application for registration of the mark of POLYSTART. We recently received notice of the registration of the mark TAPIMMUNE from the U.S. PTO. We also have rights to use other names essential to our business. Federally registered trademarks have a perpetual life, as long as they are maintained and renewed on a timely basis and used properly as trademarks, subject to the rights of third parties to seek cancellation of the trademarks if they claim priority or confusion of usage. We regard our trademarks and other proprietary rights as valuable assets and believe they have significant value to 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drug discovery, development and ultimate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our drug candidates. Management believes that a number of companies, which are developing various types of similar in vivo T-cell immunotherapies and therapeutic cancer vaccines to treat cancer, could be our major competitors including: Advaxis Inc., Genzyme Molecular Oncology, Immune Design, Oncothyreon, Celldex, BN Immunotherapeutics, Immunocellular, Galena BioPharma, Antigen Express, Transgene S. A., and Bavarian Nordic. Other immunotherapy approaches including adoptive T-cell therapies, monoclonal antibodies and checkpoint inhibitors also provide competition in the oncology space. In these areas competitors include, Lion Biotechnology, Juno Therapeutics, Kite Pharma, Roche Pharmaceuticals, Merck &amp; Co, Bristol Myers Squibb, AstraZeneca plc and Medimmune, LLC. We believe that our in vivo T-cell therapy approaches will be synergistic with these approaches and might even improve them.</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7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our drug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any drug candidate that we successfully develop may compete with existing therapies that have long histories of safe and effective use.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Competition may also arise from:</w:t>
      </w:r>
    </w:p>
    <w:p>
      <w:pPr>
        <w:spacing w:after="0" w:line="211"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small molecules;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than ours.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 and maintain products that reach the market first, are technologically superior to and/or are of lower cost than other products in the market;</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ongoing research and development activities and any manufacturing and marketing of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and Approval Process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(“GLP”) and Good Manufacturing Practice (“GMP”) regulations;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of a New Drug Application (“NDA”) or Biologics License Application (“BLA”) to the FDA for review;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user and establishment fees, if applicable.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practices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1" w:lineRule="exact"/>
        <w:rPr>
          <w:sz w:val="20"/>
          <w:szCs w:val="20"/>
          <w:color w:val="auto"/>
        </w:rPr>
      </w:pPr>
    </w:p>
    <w:p>
      <w:pPr>
        <w:ind w:left="66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The FDA’s fast track and breakthrough therapy designation programs are intended to facilitate the development and expedite the review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guarantee that the FDA will grant any of our requests for fast track or breakthrough therapy designations, that any such designations would affect the time of review or that the FDA will approve the NDA or BLA submitted for any of our drug candidates, whether or not these designations are granted. Additionally, FDA approval of a fast track/breakthrough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FDA’s decision to have an advisory committee review, and difficulties in scheduling an advisory committee meeting. The recommendations of an advisory committee are not binding on the FDA.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practice. Management believes that these standards provide assurance that the data and reported results are credible and accurate, and that the rights, integrity, and privacy of clinical trial subjects are protected.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Sponsors wishing to conduct clinical trials in Phases I through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 xml:space="preserve">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Additional information is available on Health Canada’s website - </w:t>
      </w:r>
      <w:r>
        <w:rPr>
          <w:rFonts w:ascii="Arial" w:cs="Arial" w:eastAsia="Arial" w:hAnsi="Arial"/>
          <w:sz w:val="18"/>
          <w:szCs w:val="18"/>
          <w:i w:val="1"/>
          <w:iCs w:val="1"/>
          <w:u w:val="single" w:color="auto"/>
          <w:color w:val="auto"/>
        </w:rPr>
        <w:t>www.hc-sc.gc.ca</w:t>
      </w:r>
      <w:r>
        <w:rPr>
          <w:rFonts w:ascii="Arial" w:cs="Arial" w:eastAsia="Arial" w:hAnsi="Arial"/>
          <w:sz w:val="18"/>
          <w:szCs w:val="18"/>
          <w:color w:val="auto"/>
        </w:rPr>
        <w: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Outside the United States and Canada,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registration procedures are available to companies wishing to market a product in more than one EU member state. If the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The first developer to receive FDA marketing approval for an orphan drug is entitled to a seven-year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seven-year exclusive marketing period.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FDA Modernization Act of 1997, designation as a Fast Track product for a new drug or biological product means that the FDA will take such actions as are appropriate to expedite the development and review of the application for approval of such product.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Manufacturing Process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when NDA or BLA approval is obtained, a marketed product,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and our third-party manufacturers are subject to current Good Manufacturing Practices (“GMP”), which are extensive regulations governing manufacturing processes, including but not limited to stability testing, record keeping and quality standards as defined by the FDA and the European Medicines Agency. Similar regulations are in effect in other countries. Manufacturing facilities are subject to inspection by the applicable regulatory authorities. These facilities, whether our own or our contract manufacturers, must be inspected before we can use them in commercial manufacturing of our related products. We or our contract manufacturers may not be able to comply with applicable GMP and FDA or other regulatory requirements. If we or our contract manufacturers fail to comply, we or our contract manufacturers may be subject to legal or regulatory action, such as suspension of manufacturing, seizure of product, or voluntary recall of product. Furthermore, continued compliance with applicable Good Manufacturing Practices will require continual expenditure of time, money and effort on the part of us or our contract manufacturers in the areas of production and quality control and record keeping and reporting, in order to ensure full compliance.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(“PDMA”) which, among other things, imposes various requirements in connection with the distribution of product samples to physicians.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inspections related to manufacturing, we may be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a variety of state laws and regulations that apply in the states or localities where our drug candidates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FDA’s policies may change and additional government regulations may be enacted which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Law Compliance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In addition to FDA laws and regulations, we must also comply with various federal and state laws and regulations pertaining to healthcare “fraud and abuse” laws which govern, among other things, our relationships with healthcare providers, and organizations such as specialty pharmacies, wholesalers and group purchasing organizations relating to the marketing and pricing of prescription drug products. Such laws include, without limitation, state and federal anti-kickback, fraud and abuse, false claims, privacy and security, and physician payment sunshine laws.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The federal Anti-Kickback Statute makes it illegal for any person or entity, including a prescription drug manufacturer (or a party acting on its behalf) to knowingly and willfully, directly or indirectly, solicit, receive, offer, or pay any remuneration that is intended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false claims and false statement laws, including the federal civil False Claims Act, prohibit, among other things, any person or entity from knowingly presenting, or causing to be presented, for payment to, or approval by, federal programs, including Medicare and Medicaid, claims for items or services, including drugs, that are false or fraudulent or not provided as claimed. Entities can be held liable under these laws if they are deemed to “cause” the submission of false or fraudulent claims by, for example, providing inaccurate billing or coding information to customers, promoting a product off-label, or for providing medically unnecessary services or items.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and their implementing regulations, require certain types of individuals and entities to protect the privacy, security, and electronic exchange of certain patient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and applicable manufacturers and applicable group purchasing organizations to report annually to CMS ownership and investment interests held by the physicians and their immediate family members.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 party payors, including private insurers. Additionally, we may be subject to state laws that require pharmaceutical companies to comply with the pharmaceutical industry’s voluntary compliance guidelines and the relevant compliance guidance promulgated by the federal government. Further, we may be subject to state laws that require drug manufacturers to report information related to payments and other transfers of value to physicians and other healthcare providers or marketing expenditures, as well as state and foreign laws governing the privacy and security of health information in some circumstances, many of which differ from each other in significant ways and often are not preempted by HIPAA, thus complicating compliance efforts. If our operations are found to be in violation of any of these federal, state or foreign laws or regulations, we may be subject to penalties, including without limitation, administrative or civil penalties, imprisonment, damages, fines, disgorgement, exclusion from participation in government healthcare programs, contractual damages, reputational harm, diminished profits and future earnings, or the curtailment or restructuring of our operations.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also an increasing number of state laws that require manufacturers to make reports to those states on certain pricing and marketing information. Many of these laws contain ambiguities as to what is required to comply with the laws. Given the lack of clarity in laws and their implementation, our reporting actions could be subject to the penalty provisions of the state authorities.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Healthcare Reform and Reimbursement and Pricing Controls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has been an increased focus on drug pricing in recent years in the United States. Although there are no direct government price controls over private sector purchases in the United States, there are rebates and other financial requirements for federal and state health care programs. The Medicare Modernization Act, enacted in December 2003, established the Medicare Part D outpatient prescription drug benefit, which is provided primarily through private entities that attempt to negotiate price concessions from pharmaceutical manufacturers. The health care reform legislation enacted in 2010, known as the Affordable Care Act, requires drug manufacturers to pay 50% of the Medicare Part D coverage gap, also known as the “donut hole,” on prescriptions for branded products filled when the beneficiary reaches this coverage. The Deficit Reduction Act of 2005 resulted in changes to the way drug prices are reported to the government and the formula using such information to calculate the required Medicaid rebates. The Affordable Care Act increased the minimum basic Medicaid rebate for branded prescription drugs from 15.1% to 23.1% and requires pharmaceutical manufacturers to pay states rebates on prescription drugs dispensed to Medicaid managed care enrollees. In addition, the Affordable Care Act increased the additional Medicaid rebate on “line extensions” (such as extended release formulations) of solid oral dosage forms of branded products, revised the definition of average manufacturer price by changing the classes of purchasers included in the calculation, and expanded the entities eligible for discounted pricing under the federal 340B drug pricing program. Current orphan drugs are excluded from the expanded 340B hospitals eligible for discounts.</w:t>
      </w:r>
    </w:p>
    <w:p>
      <w:pPr>
        <w:spacing w:after="0" w:line="16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Affordable Care Act imposes a significant annual fee on companies that manufacture or import branded prescription drug products. The fee (which is not deductible for federal income tax purposes) is based on the manufacturer’s market share of sales of branded drugs and biologics (excluding orphan drugs) to, or pursuant to coverage under, specified U.S. government programs. The Affordable Care Act also contains a number of provisions, including provisions governing the way that health care is financed by both governmental and private insurers, enrollment in federal health care programs, reimbursement changes, the increased use of comparative effectiveness research in health care decision-making, and enhancements to fraud and abuse requirements and enforcement, that are affecting existing government health care programs and will result in the development of new programs. The Affordable Care Act also contains requirements for manufacturers to publicly report certain payments or other transfers of value made to physicians and teaching hospitals. We are unable to predict the future course of federal or state health care legislation and regulations, including regulations that will be issued to implement provisions of the Affordable Care Act. The Affordable Care Act and further changes in the law or regulatory framework that reduce our revenues or increase our costs could also have a material adverse effect on our business, financial condition and results of operations and cash flows.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Public and private health 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 Payors may require physicians to seek approval from them before a product will be reimbursed or covered, commonly referred to as prior authorization. In particular, many public and private health care payors limit reimbursement and coverage to the uses of a drug that are either approved by the FDA or appear in a recognized drug compendium. Drug compendia are publications that summarize the available medical evidence for particular drug products and identify which uses of a drug are supported or not supported by the available evidence, whether or not such uses have been approved by the FDA. For example, in the case of Medicare Part D coverage for oncology drugs, the Medicare Modernization Act, with certain exceptions, provides for Medicare coverage of unapproved uses of an FDA-approved drug if the unapproved use is reasonable and necessary and is supported by one or more citations in CMS-approved compendia, such as the National Comprehensive Cancer Network Drugs and Biologics Compendium. Different pricing and reimbursement schemes exist in other countries. For example, in the European Union, governments influence the price of pharmaceutical products through their pricing and reimbursement rules and control of national health care systems that fund a large part of the cost of such products to consumers. The approach taken varies from member state to member state. Some jurisdictions operate positive or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 care costs in general, and prescription drugs in particular, has become very intense. As a result, increasingly high barriers are being erected to the entry of new products, as exemplified by the actions of the National Institute for Clinical Excellence in the United Kingdom, which evaluates the data supporting new medicines and passes reimbursement recommendations to the government. In addition, in some countries, cross-border imports from low-priced markets (parallel imports) exert a commercial pressure on pricing within a country.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manufacturing strategy is to contract with third parties to manufacture the raw materials, our active pharmaceutical ingredients (“API”) and finished solid dose products for clinical and ultimately commercial uses. We currently do not operate manufacturing facilities for clinical or commercial production our drug candidates. In addition, we expect for the foreseeable future to continue to rely on third parties for the manufacture of commercial supplies of the raw materials, API and finished drug product for any drugs that we successfully develop and are approved for commercial sale. In this manner, we expect to continue to build and maintain our supply chain and quality assurance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of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contract with third parties to manufacture our drug candidates for clinical purposes. Third-party manufacturers supply us with raw materials, and other third-party manufacturers convert these raw materials into API or convert the API into final dosage form. For most of our drug candidates, once our raw materials are produced, we rely on one third party to manufacture the API, another to make finished drug product and a third to lyophilize, package and label the finished product. While we currently have focused on single vendors for manufacturing of peptide, formulation development, and lyophilization and vialing, there are a number of vendors we are in contact with and can also use if required.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obtain sufficient quantities of any of our raw materials or drug candidates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which could have a material adverse effect on our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when applicable, in accordance with the FDA’s current Good Manufacturing Practices and other applicable regulations.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ultimately meet customer demand for commercial products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Manufacturers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that these risks materialize and affect their performance obligations to us, our financial results may be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there are multiple third parties capable of providing most of the materials and services we need in order to manufacture our product candidates, and that supply of materials that cannot be second-sourced can be managed with inventory planning, there is always a risk that we may underestimate demand, and that our manufacturing capacity through third-party manufacturers may not be sufficient.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Supplies and Materials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third-party manufacturers need access to certain supplies and products to manufacture our drug candidates. If delivery of material from their suppliers were interrupted for any reason or if they are unable to purchase sufficient quantities of raw materials used to manufacture our drug candidates, they may be unable to supply our drug candidates in development for clinical trials.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inception, we have made substantial investments in research and technology development. During the years ended December 31, 2016 and 2015, we incurred research and development expenses of approximately $3,800,000, and $1,700,000,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Once we are able to commence the sale of our products into the market, we will face the risk of product liability claims. Because we are not yet selling our products, we have not experienced any product liability claims to date. Management maintains products and clinical trial liability insurance policies. There can be no assurance that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eight full-time employees. The management team is comprised of Dr. Glynn Wilson (Chief Executive Officer), John Bonfiglio (President and Chief Operating Officer), Michael J. Loiacono (Chief Financial Officer), Dr. Robert Florkiewicz (Sr. Research Director) and a Director of Administration. Additionally, we employ a Director of Manufacturing, a Clinical Trials Manager and an Executive Assistant.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consulting agreements with a number of leading academic scientists, clinicians and regulatory experts. These individuals serve as key consultants or expert witnesses with respect to the imetelstat program or in legal proceedings. They also serve as important contacts for us throughout the broader scientific and clinical communities. They are distinguished individuals with expertise in numerous fields, including cellular biology, molecular biology, oncology, clinical, manufacturing and regulatory. Dr. Patrick Yeramian serves as our medical director in a consulting capacity.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retain each consultant according to the terms of a consulting agreement. Under such agreements, we pay them a consulting fee and reimburse them for out-of-pocket expenses incurred in performing their services for us. In addition, some consultants hold options to purchase our common stock,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www.tapimmune.com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described below before making an investment decision in our securities. These risk factors are effective as of the date of this Form 10-K and shall be deemed to be modified or superseded to the extent that a statement contained in our future filings modifies or replaces such statement. All of these risks may impair our business operations. The forward-looking statements in this Form 10-K involve risks and uncertainties and actual results may differ materially from the results we discuss in the forward-looking statements. If any of the following risks actually occur, our business, financial condition or results of operations could be materially adversely affected. In that case, the trading price of our stock could decline, and you may lose all or part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capital in the future to continue to operate our business and this capital might not be available on acceptable terms, if at all.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we have no sources of revenue to provide incoming cash flows to sustain our future operations, our ability to pursue our planned business activities is dependent upon our successful efforts to raise additional capital. As of December 31, 2016, we had cash of approximately $7,851,000. We believe that our cash resources can be sufficient to fund our research efforts and operations through the end of 2017. Until we can generate a sufficient amount of product revenue, if ever, we expect to finance future cash needs through public or private equity offerings or debt financings or through a business combination or strategic partnership. Additional capital, if needed, may not be available on satisfactory terms, or at all. Furthermore, if we raise additional funds by issuing equity securities, dilution to our existing stockholders could result. Any equity securities issued also may provide for rights, preferences or privileges senior to those of holders of our common stock. If we raise additional funds by issuing debt securities, these debt securities would have rights, preferences and privileges senior to those of holders of our common stock, and the terms of the debt securities issued could impose significant restrictions on our operations. If we are unable to obtain adequate financing or financing on terms acceptable to us, we may not be able to sustain our future operations and may be required to suspend our research efforts and reduce or cease our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auditor has expressed substantial doubt about our ability to continue as a going concern and absent additional financing we may be unable to remain a going concern.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our recurring losses, accumulated deficit and negative cash flow as described in our notes to our audited financial statements, the report of our independent registered public accounting firm on our financial statements for the year ended December 31, 2016 contains an explanatory paragraph raising substantial doubt about our ability to continue as a going concern. Our financial statements do not include any adjustments that may be necessary in the event we are unable to continue as a going concern. We believe our current capital resources are sufficient to support our operations through the end of 2017. Management intends to continue our research efforts and to finance our operations through debt and/or equity financings. Management plans to seek additional debt and/or equity financing through private or public offerings or through a business combination or strategic partnership. There can be no assurance that we will be successful in obtaining additional financing on favorable terms, or at all. These matters raise substantial doubt about our ability to continue as a going concern.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financing</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2016, we had an accumulated deficit of approximately $146,000,000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commercial-scale products, or conduct sales and marketing activities necessary for successful product commercialization. Without revenue, we can only finance our company through debt and equity financings.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required to make additional cash payments to warrant holders in the event any registration statement we have filed with the SEC to register the shares issuable upon exercise of the warrants ceases to be effective and we are unable to deliver registered shares.</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Since we are required to deliver unlegended registered shares of common stock to certain of the warrant holders acquiring warrants in our 2015 and 2016 financings upon exercise of such outstanding warrants, we have filed registration statements with the SEC to register such shares. The registration statements permit registered shares of common stock to be issued upon the exercise of such warrants. In some cases, we would be required to make additional cash payments to such warrant holders if we fail to maintain the effectiveness of the relevant registration statement for the issuance of such registered shares upon an exercise by the warrant holder. For each trading day that the shares are not timely delivered we would be required to pay an amount to the holder equal to 1% of the product of (A) the aggregate number of shares not issued to the holder on a timely basis and to which the holder is entitled and (B) the closing sale price of our common stock on the trading day immediately preceding the last possible date on which we could have issued such shares to the holder. Additionally, we could be required to pay the holder a “buy-in” if the holder is required to purchase shares on the open market to cover any warrant shares sold. As such, the amount of additional cash payments we would be required to make could be substantial, as a percentage of our cash, if we are unable to deliver registered shares upon the warrant exercise. Currently, the registration statements we have filed are not useable until such time as appropriate post-effective amendments to the registration statements can be filed by us and ultimately be declared effective by the Securities and Exchange Commission. While we have filed such amendments to our registration statements, there can be no assurance that we will be able to have the post-effective amendments to our registration statements declared effective in a timely manner. During such time that we are not able to provide an effective registration statement and to the extent we receive any notices of exercises related to the warrants with such rights, we would be unable to deliver registered shares. In such event we could be required to make cash payments to an exercising warrant holder. We may not be able to make the required cash payments and the failure to do so could materially harm our financial condition and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Food and Drug Administration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at least five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healthcare payors and the medical community.</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obtain regulatory approval for our product candidates, they may not gain market acceptance among physicians, healthcare payors, patients or the medical community. Market acceptance of our product candidates, if we receive approval, depends on a number of factors, including the:</w:t>
      </w:r>
    </w:p>
    <w:p>
      <w:pPr>
        <w:spacing w:after="0" w:line="14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efficacy and safety of our product candidates as demonstrated in clinical trials and post-marketing experience;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indications for which our product candidates may be approved;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by physicians and patients of our product candidates as safe and effective;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and perceived advantages of our product candidates over alternative treatments;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of our product candidates seen in a broader patient group, including its use outside the approved indications should physicians choose to prescribe for such uses;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market introduction of our product candidates as well as competitive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in relation to alternative treatments;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coverage and adequate reimbursement and pricing by third-party payors and government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effectiveness of any sales and marketing efforts.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Moreover, if our product candidates are approved but fail to achieve market acceptance among physicians, patients, healthcare payors and the medical community, we may not be able to generate significant revenues, which would compromise our ability to become profitable.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establish or maintain the third-party relationships that are necessary to develop or potentially commercialize some or all of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depend on collaborators, partners, licensees, clinical research organizations and other third parties to support our discovery efforts, to formulate product candidates, to manufacture our product candidates, and to conduct clinical trials for some or all of our product candidates. We cannot guarantee that we will be able to successfully negotiate agreements for or maintain relationships with collaborators, partners, licensees, clinical investigators, vendors and other third parties on favorable terms, if at all. Our ability to successfully negotiate such agreements will depend on, among other things, potential partners’ evaluation of the superiority of our technology over competing technologies and the quality of the preclinical and clinical data that we have generated, and the perceived risks specific to developing our product candidates. If we are unable to obtain or maintain these agreements, we may not be able to clinically develop, formulate, manufacture, obtain regulatory approvals for or commercialize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face legal claims involving stockholders, consumers, competitors, entities from whom we license technology, entities with whom we collaborate, persons claiming that we are infringing on their intellectual property and others. The biotechnology and pharmaceutical industries have been characterized by extensive litigation regarding patents and other intellectual property rights, and companies have employed intellectual property litigation to gain a competitive advantage. We may initiate or become subject to infringement claims or litigation arising out of patents and pending applications of our competitors, or we may become subject to proceedings initiated by our competitors or other third parties or the United States Patent and Trademark Office (“USPTO”) or applicable foreign bodies to reexamine the patentability of our licensed or owned patents. In addition, litigation may be necessary to enforce our issued patents, to protect our trade secrets and know-how, or to determine the enforceability, scope, and validity of the proprietary rights of other.</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world-wide exclusive licenses on (1) a novel set of Class II HER2/neu peptide antigens, (ii) a novel Class I HER2/neu antigen, and (iii) a novel set of Class II Folate Receptor Alpha peptide antigens. As a result of these in-licenses, we could lose the right to develop each of the technologies if:</w:t>
      </w:r>
    </w:p>
    <w:p>
      <w:pPr>
        <w:spacing w:after="0" w:line="147" w:lineRule="exact"/>
        <w:rPr>
          <w:sz w:val="20"/>
          <w:szCs w:val="20"/>
          <w:color w:val="auto"/>
        </w:rPr>
      </w:pPr>
    </w:p>
    <w:p>
      <w:pPr>
        <w:ind w:left="660" w:right="2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and licensed technologies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positions,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Even though we were granted orphan drug designation,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European Medicines Evaluation Agency (“EMEA”) determines that the request for designation was materially defective or if the manufacturer is unable to assure sufficient quantity of the drug to meet the needs of patients with the rare disease or condition.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New regulatory pathways for biosimilar competition could reduce the duration of market exclusivity for our products.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limited manufacturing experience and have no manufacturing facility. We are dependent on third-party manufacturers for the manufacture of our product candidates as well as on third parties for our supply chain, and if we experience problems with any such third parties, the manufacturing of our product candidates could be delayed.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own or operate facilities for the manufacture of our product candidates. We currently have no plans to build our own clinical or commercial scale manufacturing capabilities. We currently rely on third-party Contract Manufacturing Organizations (“CMOs”). To meet our projected needs for preclinical and clinical supplies to support our activities through regulatory approval and commercial manufacturing, the CMOs with whom we currently work may need to increase the scale of production. We may need to identify additional CMOs for continued production of supply for our product candidates. Although alternative third-party suppliers with the necessary manufacturing and regulatory expertise and facilities exist, it could be expensive and take a significant amount of time to arrange for alternative suppliers. If we are unable to arrange for alternative third-party manufacturing sources, or to do so on commercially reasonable terms or in a timely manner, we may not be able to complete development of our product candidates, or market or distribute our product candidates.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our product candidates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drugs we may eventually commercialize in accordance with our specifications, and the possibility of termination or nonrenewal of agreement by the third party, based on its own business priorities, at a time that is costly or damaging to us. In addition, the FDA and other regulatory authorities would require that our product candidates and any products that we may eventually commercialize be manufactured according to Current Good Manufacturing Practice (“cGMP”) and similar foreign standards. Any failure by our third-party manufacturers to comply with cGMP or failure to scale up manufacturing processes, including any failure to deliver sufficient quantities of our product candidates in a timely manner, could lead to a delay in, or failure to obtain, regulatory approval of our product candidates. In addition, such failure could be the basis for the FDA to issue a warning letter, withdraw approvals for such product candidate previously granted to us, or take other regulatory or legal action, including recall or seizure of outside supplies of our product candidates,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7"/>
          <w:szCs w:val="17"/>
          <w:color w:val="auto"/>
        </w:rPr>
        <w:t>Any significant disruption in our supplier relationships could harm our business. Any significant delay in the supply of our product candidates or their respective key materials for an ongoing preclinical study or clinical trial could considerably delay completion of such preclinical study or clinical trial, product testing and potential regulatory approval of our product candidates. If our manufacturers or we are unable to purchase these key materials after regulatory approval has been obtained for one of our product candidates, the commercial launch of such product candidate would be delayed or there would be a shortage in supply, which would impair our ability to generate revenues from the sale of that product candidate.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be unable to generate any revenue.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do not currently have an organization for the sale, marketing and distribution of products and the cost of establishing and maintaining such an organization may exceed the cost-effectiveness of doing so. In order to market any products approved by the FDA or comparable foreign regulatory authorities, we must build our sales, marketing, managerial and other non-technical capabilities or make arrangements with third parties to perform these services. If we are unable to establish adequate sales, marketing and distribution capabilities, whether independently or with third parties, we may not be able to generate product revenue and may not become profitable. We will be competing with many companies that currently have extensive and well-funded sales and marketing operations. Without an internal commercial organization or the support of a third party to perform sales and marketing functions, we may be unable to compete successfully against these more established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2016, we had eight full-time employees and a number of management and scientific consultants and advisors. Our ability to attract and retain highly skilled personnel is critical to our operations and expansion. We face competition for these types of personnel from other biotechnology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upon the efforts and abilities of our Chief Executive Officer Dr. Glynn Wilson, our President and Chief Operating Officer Dr. John Bonfiglio and our Sr. Research Director, Dr. Robert Florkiewicz, as well as the services of several key consultants. The loss or unavailability of the services of either of these individuals for any significant period of time could have a material adverse effect on our business, prospects,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cybersecurity/information systems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manufacturers and other third parties on which we rely, are vulnerable to damage from computer viruses, unauthorized access, natural disasters, fire, terrorism, war and telecommunication and electrical failures. In addition, our systems safeguard important confidential personal data regarding our subjects.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outsource some of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those Phase II clinical trials started in 2016 and those planned to commence in 2017.</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Successful development of biopharmaceuticals is highly uncertain and depends on numerous factors, many of which are beyond our control.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97"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(“BLA”) preparation, discussions with the FDA, an FDA request for additional preclinical or clinical data, or unexpected safety or manufacturing issues;</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proprietary rights of others and their competing products and technologies that may prevent the immunotherapy from being commercialized.</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payors, including government payors such as the Medicare and Medicaid programs and managed care organizations, which may be affected by existing and future health care reform measures designed to reduce the cost of health care. Third-party payors could require us to conduct additional studies, including post-marketing studies related to the cost effectiveness of a product, to qualify for reimbursement, which could be costly and divert our resources. If government and other health care payors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7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7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8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carry products and clinical trial liability insurance. There can be no assurance that future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U.S. administration and Congress could carry out significant changes in legislation, regulation, and government policy (including with respect to the possible repeal of all or portions of the PPACA, possible changes in the existing treaty and trade relationships with other countries, and tax reform), as evidenced by statements and recent actions of the current president. While it is not possible to predict whether and when any such changes will occur, changes in the laws, regulations, and policies governing the development and approval of our product candidates and the commercialization, importation, and reimbursement of our product candidates could adversely affect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at which our shares of common stock,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187"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of fluctuations in the overall stock market from time to time;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our preclinical studies and clinical trials or delays in anticipated timing;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collaboration agreements with strategic partners or developments by our existing collaboration partners;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acquisitions, mergers or business combinations;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failures of products, or progress toward commercialization by our competitors or peers;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biotechnology sectors;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common stock to maintain listing requirements on the Nasdaq Capital Market;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listing of our common stock on the Nasdaq Capital Market does not assure that a meaningful, consistent and liquid trading market currently exists or will exist in the future. In recent years, the stock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stockholders could suffer losses or be unable to liquidate their holdings. Our stock is thinly traded due to the limited number of shares available for trading thus causing large swings in price. There is no established trading market for our warrants.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Market prices for our common stock will be influenced by a number of factors, including:</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660" w:right="44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Nasdaq Capital Market which would limit the ability of broker-dealers to sell our securities and the ability of stockholders to sell their securities in the secondary market.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listed for trading on the Nasdaq Capital Market must be reporting issuers under Section 12 of the Securities Exchange Act, as amended. If we fail to file such reports in a timely manner, the shares of our common stock would eventually cease to be listed on the Nasdaq Capital Market, and the market liquidity for our securities could be severely adversely affected by limiting the ability of broker-dealers to sell our securities and the ability of stockholders to sell their securities in the secondary market.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determined to be ineffective in the past, and may be determined to be ineffective again in the future, and failure to improve them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stockholders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Because we have a significant number of additional authorized shares of common stock available for issuance and outstanding warrants to purchase our common stock, our stockholders may experience dilution in the future and it may adversely affect the market price of our securities.</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currently authorized to issue 41,666,667 shares of our common stock. As of December 31, 2016, we had 8,421,185 shares of our common stock issued and outstanding, excluding shares issuable upon exercise of our outstanding warrants, options and shares of common stock earned but not yet issued under Omnibus Stock Option Plan. Those outstanding shares represent a minority of our authorized shares, meaning that the ownership position of the current stockholders could be diluted significantly were we to issue a large number of additional shares. For example, as of December 31, 2016, we had outstanding warrants and options to purchase an aggregate of approximately 5,492,000 shares of our common stock with exercise prices ranging between $1.20 and $240.00 per share that will result in dilution if and when exercised.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statement of operations and make our financial results unpredictable.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our outstanding warrants contain or contained prior to being amended, or may be deemed to contain from time to time, embedded derivative rights in accordance with U.S. Generally Accepted Accounting Principles, or GAAP.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 These derivative rights, or similar rights in securities we may issue in the future, need to be, or may need to be, separately valued as of the end of each accounting period in accordance with GAAP. We record these embedded derivatives as liabilities at issuance, valued using the Black Scholes Option Pricing Model and are subject to revaluation at each reporting date. Any change in fair value between reporting periods is reported on our statement of operations. At December 31, 2016, the fair value of the derivative liability – warrants was $14,500.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Nevada law contains provisions which could make it more difficult for a third party to acquire us, even if closing such a transaction would be beneficial to our stockholders. These provisions may discourage certain types of coercive takeover practices and inadequate takeover bids and encourage persons seeking to acquire control of our company to first negotiate with our board. These provisions may delay or prevent someone from acquiring or merging with us, which may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own any real estate or other properties. We lease office space at 50 N. Laura Street, Suite 2500, Jacksonville, Florida 32202, for our principal business office on a one-year agreement due to expire on July 31, 2017. The rent is approximately $3,500 per month. We also rent a single office at 2815 Eastlake Avenue East in Seattle, Washington. The monthly rent is approximately $1,100. Additionally, we rent an office at the Florida Atlantic Research and Development Authority at 3651 FAU Blvd, Boca Raton, Florida on a month by month agreement. The monthly rent for the Boca Raton space is $1,550 per month. Lastly, we rent a 100 square-foot office in the Innovation Bio Business Center at Mayo Clinic Jacksonville at 4500 San Pablo Road, Jacksonville, Florida 32224. The term is for six months ending May 14, 2017, and the monthly rent is $275.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are not aware of any legal proceedings contemplated by any government authority or any other party involving the Company. As of the date of this annual report, no director, officer or affiliate is (i) a party averse to us in any legal proceeding, or (ii) has an adverse interest to us in any legal proceeding.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listed for trading on the Nasdaq Capital Market under the symbol “TPIV”. The following table sets forth, for the periods indicated, the high and low sales prices for the common stock since January 1, 2015, as reported on Nasdaq.com.</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 2016</w:t>
            </w:r>
          </w:p>
        </w:tc>
        <w:tc>
          <w:tcPr>
            <w:tcW w:w="3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r>
      <w:tr>
        <w:trPr>
          <w:trHeight w:val="216"/>
        </w:trPr>
        <w:tc>
          <w:tcPr>
            <w:tcW w:w="4560" w:type="dxa"/>
            <w:vAlign w:val="bottom"/>
          </w:tcPr>
          <w:p>
            <w:pPr>
              <w:spacing w:after="0"/>
              <w:rPr>
                <w:sz w:val="20"/>
                <w:szCs w:val="20"/>
                <w:color w:val="auto"/>
              </w:rPr>
            </w:pPr>
            <w:r>
              <w:rPr>
                <w:rFonts w:ascii="Arial" w:cs="Arial" w:eastAsia="Arial" w:hAnsi="Arial"/>
                <w:sz w:val="18"/>
                <w:szCs w:val="18"/>
                <w:b w:val="1"/>
                <w:bCs w:val="1"/>
                <w:color w:val="auto"/>
              </w:rPr>
              <w:t>Fiscal Year 2015</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Third Quarter</w:t>
            </w:r>
          </w:p>
        </w:tc>
        <w:tc>
          <w:tcPr>
            <w:tcW w:w="3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First Quarter</w:t>
            </w:r>
          </w:p>
        </w:tc>
        <w:tc>
          <w:tcPr>
            <w:tcW w:w="3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2017, we had 458 stockholders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dividends have been declared or paid on our common stock. We have incurred recurring losses and do not currently intend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2016, there were an aggregate of approximately 5,492,000 common stock purchase warrants and stock options issued and outstanding, with exercise prices ranging between $1.20 and $240.00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recorded the issuances of the following securities during the fourth quarter of 2016 to the named individual pursuant to exemptions under the Securities Act of 1933, including Section 4(2):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2016, Dr. John Bonfiglio exercised 10,417 shares of common stock pursuant to stock options at an exercise price equal to $1.74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2016, 15,000 shares of common stock were awarded to Omnicor Media, LLC pursuant to a vendor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of our financial condition, changes in financial condition, plan of operations and results of operations should be read in conjunction with (i) our audited consolidated financial statements as at December 31, 2016 and December 31, 2015 and (ii)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Cancer Vaccines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clinical-stage immuno-oncology company specializing in the development of innovative peptide and gene-based immunotherapeutics and vaccines for the treatment of cancer &amp; metastatic disease. We are also developing a proprietary technology to improve the ability of the cellular immune system to recognize and destroy diseased cells. This DNA expression technology named Polystart is in preclinical development.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enhance shareholder value and taking into account development timelines, we plan to focus on advancing our clinical programs including our Folate Receptor Alpha program for breast and ovarian cancer and our HER2/neu peptide antigen program into Phase II clinical trials. In parallel, we plan to complete the preclinical development of our Polystart technology as an integral component of our prime-and-boost vaccine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Immunotherapy Industry for Cancer</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Immuno-oncology has become the most rapidly growing sector in the pharmaceutical and biotech industry. The approval and success of checkpoint inhibitors Yervoy and Opdivo (Bristol Myers Squibb) and Keytruda (Merck &amp; Co.) together with the development of CAR T-cell therapies (Juno Therapeutics, Kite Pharma) has provided much momentum in this sector. In addition, new evidence points to the increasing use of combination immunotherapies for the treatment of cancer. This has provided greater opportunities for the successful development of T-cell vaccines in combination with other approaches.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 in Development-Clinical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Phase I Human Clinical Trials – </w:t>
      </w:r>
      <w:r>
        <w:rPr>
          <w:rFonts w:ascii="Arial" w:cs="Arial" w:eastAsia="Arial" w:hAnsi="Arial"/>
          <w:sz w:val="18"/>
          <w:szCs w:val="18"/>
          <w:b w:val="1"/>
          <w:bCs w:val="1"/>
          <w:color w:val="auto"/>
        </w:rPr>
        <w:t>Folate Alpha Breast and Ovarian Cancer – Mayo Clinic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Folate Receptor Alpha is expressed in over 80% of triple-negative breast cancers and in addition, over 90% of ovarian cancers, for which the only treatment options are surgery, radiation therapy and chemotherapy, leaving a very important and urgent clinical need for a new therapeutic. Time to recurrence is relatively short for these types of cancer and survival prognosis is extremely poor after recurrence. In the United States alone, there are approximately 30,000 ovarian cancer patients and 40,000 triple-negative breast cancer patients newly diagnosed every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TPIV 200 Folate Receptor Alpha</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24-patient Phase I clinical trial has been completed. The vaccine is well tolerated and safe and 20 out of 21 evaluable patients showed positive immune responses providing a strong rationale for progressing to Phase II trials. GMP manufacturing for Phase II trials is progressing well towards a commercial formulation and final analyses of clinical plans are near completion. On July 27, 2015, TapImmune exercised its option agreement with Mayo Clinic with the signing of a worldwide exclusive license agreement to commercialize a proprietary Folate Receptor Alpha Vaccine technology for all cancer indications. As part of this Agreement, the IND for the Folate Receptor Alpha Phase I trial was transferred from Mayo to TapImmune for amendment for our Phase II Clinical Trials on our lead product.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2015, we announced that our collaborators at the Mayo Clinic had been awarded a grant of $13.3 million from the U.S. Department of Defense. This grant, commencing September 15, 2015, will cover the costs for a 280-patient Phase II Clinical Trial of Folate Receptor Alpha Vaccine in patients with triple-negative breast cancer. TapImmune will work closely with Mayo Clinic on this clinical trial by providing clinical and manufacturing expertise as well as providing GMP vaccine formulations. These vaccine formulations are being developed for multiple Phase II clinical programs in triple-negative breast and ovarian cancer in combination with other immunotherapeutics.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On December 9, 2015, we announced that we received Orphan Drug Designation from the U.S. Food &amp; Drug Administration’s Office of Orphan Products Development (OOPD) for our cancer vaccine TPIV 200 in the treatment of ovarian cancer. The TPIV 200 ovarian cancer clinical program will now receive benefits including tax credits on clinical research and seven-year market exclusivity upon receiving marketing approval. TPIV 200 is a multi-epitope peptide vaccine that targets Folate Receptor Alpha which is overexpressed in multiple cancers.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2016, we announced that the U.S. Food &amp; Drug Administration (“FDA”) has designated the investigation of multiple-epitope Folate Receptor Alpha Peptide Vaccine (TPIV 200) with GM-CSF adjuvant for maintenance therapy in subjects with platinum-sensitive advanced ovarian cancer who achieved stable disease or partial response following completion of standard of care chemotherapy, as a Fast Track Development Program. A Phase II study in this indication was ready for initiation at the end of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enrolling a Company-sponsored triple-negative breast cancer study at eight clinical sites nation-wide. The study will enroll 80 patients. It is open-label and designed to look at dosing regimens, immune responses and efficacy.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announced the start of an ovarian cancer study sponsored by Memorial Sloan Kettering Cancer Center in New York City in collaboration with AstraZeneca Pharmaceuticals. This study is currently enrolling platinum resistant ovarian cancer patients and is designed to look at the effects of combination therapy with AstraZeneca’s checkpoint inhibitor “durvalumab”. The study will enroll 40 patients and is open label. Although we have no business relationship with AstraZeneca, we are paying for half of the clinical study plus providing our TPIV 200 for the study.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 Human Clinical Trials – HER2/neu+ Breast Cancer – Mayo Clinic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Patient dosing has been completed. Final safety analysis on all the patients treated is complete and shown to be safe. In addition, 19 out of 20 evaluable patients showed robust T-cell immune responses to the antigens in the vaccine composition providing a solid case for advancement to Phase II in 2015. An additional secondary endpoint incorporated into this Phase I Trial will be a two year follow on recording time to disease recurrence in the participating breast cancer patients.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Phase I(b)/II studies, we plan to add a Class I peptide, licensed from the Mayo Clinic (April 16, 2012), to the four Class II peptides. Management believes that the combination of Class I and Class II HER2/neu antigens, gives us the leading HER2/neu vaccine platform. As the Folate Receptor Alpha Vaccine is our lead product our plans are now initiating formulation studies to progress the HER2/neu vaccine towards a Phase II Clinical Trial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Technology-Preclinical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Polystart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converted the previously filed U.S. Provisional Patent Application on Polystart into a full Patent Application, and in February 2016 we received a Notice of Allowance from the U.S. Patent and Trademark Office (“USPTO”) for a patent application entitled, “A chimeric nucleic acid molecule with non-AUG initiation sequences.” The term of this patent extends to March 17, 2034. Additional patent filings are in progress. We plan to develop Polystart as both a stand-alone therapy and as a ‘boost strategy’ to be used synergistically with our peptide-based vaccines for breast and ovarian cancer.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State of the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clinical-stage immunotherapy company specializing in the development of innovative peptide and gene-based immunotherapeutics and vaccines for the treatment of cancer. We now plan to conduct multiple Phase II clinical trials on our vaccines. The largest of these studies in triple-negative breast cancer is totally funded by a $13.3 million grant from the U.S. Department of Defense to our collaborators at the Mayo Clinic in Jacksonville, Florida. A Company-sponsored trial in triple-negative breast cancer started during the second quarter of 2016 with recruitment at multiple sites and treatment of first patients. We believe that our development pipeline is strong and provides us the opportunity to continue to expand on collaborations with leading institutions and corporations.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science and development approaches is becoming more widely appreciated, particularly as our clinical program has now generated positive interim data on both clinical programs in breast and ovarian cancer.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We continue to be focused on our entry into Phase II Triple-Negative Breast Cancer Trials including application for Fast Track &amp; Orphan Drug Status as well as planning for Phase II HER2/neu Breast Cancer Trials.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prosecute our Polystart patent filings and develop new constructs to facilitate collaborative efforts in our current clinical indications and those where others have already indicated interest in combination therapies.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these fundamental programs and corporate activities have positioned TapImmune to capitalize on the acceptance of immunotherapy as a leading therapeutic strategy in cancer and infectious disease.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TapImmune’s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151765</wp:posOffset>
            </wp:positionV>
            <wp:extent cx="5746115" cy="31470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6115"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pipeline of potential immunotherapies under development. Phase I clinical programs on HER2/neu for breast and ovarian cancer have been completed and strong immune responses in over 90% of patients treated has provided the rationale and catalyst to advance these programs to Phase II clinical trials.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the exciting clinical developments, our peptide vaccine technology may be coupled with our recently developed in-house Polystart nucleic acid-based technology designed to make vaccines significantly more effective by producing four times the required peptides for the immune systems to recognize and act on. Our nucleic acid-based systems can also incorporate “TAP” which stands for Transporter associated with Antigen Presentation.</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key component to success is having a comprehensive patent strategy that continually updates and extends patent coverage for key products. It is highly unlikely that early patents will extend through ultimate product marketing, so extending patent life is an important strategy for ensuring product protection.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active patent families that we are supporting:</w:t>
      </w:r>
    </w:p>
    <w:p>
      <w:pPr>
        <w:spacing w:after="0" w:line="225" w:lineRule="exact"/>
        <w:rPr>
          <w:sz w:val="20"/>
          <w:szCs w:val="20"/>
          <w:color w:val="auto"/>
        </w:rPr>
      </w:pPr>
    </w:p>
    <w:p>
      <w:pPr>
        <w:ind w:firstLine="8"/>
        <w:spacing w:after="0" w:line="277" w:lineRule="auto"/>
        <w:tabs>
          <w:tab w:leader="none" w:pos="191"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patents on Polystart expression vector (owned by TapImmune and filed in 2014: this IP covers the use with TAP). We announced the allowance of this patent in February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patents on HER2/neu Class II and Class I antigens: exclusive license from Mayo Foundation;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patents on Folate Receptor Alpha antigens: exclusive license from Mayo Foundation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While the pathway to successful product development takes time, we believe we have put in place significant for success. The strength of our product pipeline and access to leading scientists and institutions gives us a unique opportunity to make a major contribution to global health care.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broader market, a major driver and positive influence on our activities has been the emergence and general acceptance of the potential of a new generation of immunotherapies that promise to change the standard of care for cancer. The immunotherapy sector has been greatly stimulated by the approval of Provenge® for prostate cancer and Yervoy™ for metastatic melanoma, progression of the areas of checkpoint inhibitors and adoptive T-cell therapy and multiple approaches reaching Phase II and Phase III status.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through our combination of technologies, we are well positioned to be a leading player in this emerging market. It is important to note that many of the late-stage immunotherapies currently in development do not represent competition to our programs, but instead offer synergistic opportunities to partner our antigen based immunotherapeutics, and Polystart expression system. Thus, the use of naturally processed T-cell antigens discovered using samples derived from cancer patients plus our Polystart expression technology to improve antigen presentation to T-cells could not only produce an effective cancer vaccine in its own right but also to enhance the efficacy of other immunotherapy approaches such as CAR-T and PD1 inhibitors for example.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HER2/neu License Agreement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June 7, 2016, we announced that we exercised our option agreement with Mayo Clinic and signed a worldwide license agreement to a proprietary HER2/neu vaccine technology. The license gives us the right to develop and commercialize the technology in any cancer indication in which the HER2/neu antigen is overexpressed.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II Trials Started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26, 2016, we announced plans to participate in a Phase II trial of our cancer vaccine, TPIV 200, a multi-epitope anti-Folate Receptor vaccine (FRα), in combination with AstraZeneca’s durvalumab (MEDI4736), an anti-PD-L1 antibody, in patients with platinum-resistant ovarian cancer. The study started with the enrollment and treatment of patients in the second quarter of 2016 at Memorial Sloan Kettering Cancer Center in New York and is being led by Jason Konner, M.D. as Principal Investigator. On June 21, 2016, we announced the treatment of the first patient in a company-sponsored Phase II trial in triple-negative breast cancer as part of a multi-center study.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7, 2016, we announced that we have successfully completed formulation development, scale-up, GMP (Good Manufacturing Practice) manufacturing, and the release of TPIV 200, our multi-epitope folate receptor peptide vaccine for breast and ovarian cancer. The manufactured product contains five peptide antigens freeze dried in a single vial, ready for injection after reconstitution and addition of granulocyte-macrophage colony-stimulating factor (GM-CSF). TPIV 200 doses are now available for the upcoming Phase II clinical trials in both triple-negative breast cancer and ovarian cancer.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 200 Trial in Triple-Negative Breast Cancer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opened ten clinical sites (with another two more sites anticipated in 2017) and have begun treating patients in a Phase II trial of our Folate Receptor Alpha cancer vaccine, TPIV 200, in the treatment of triple-negative breast cancer, one of the most difficult cancers to treat, representing a clear unmet medical need. The open-label, 80-patient clinical trial is designed to evaluate dosing regimens, adjuvants, efficacy, and immune responses in women with triple-negative breast cancer. Key data from the trial is expected to be included in a future New Drug Application submission to the FDA for marketing clearance. This trial is sponsored and conducted by TapImmune. Details regarding this trial can be found at </w:t>
      </w:r>
      <w:r>
        <w:rPr>
          <w:rFonts w:ascii="Arial" w:cs="Arial" w:eastAsia="Arial" w:hAnsi="Arial"/>
          <w:sz w:val="18"/>
          <w:szCs w:val="18"/>
          <w:i w:val="1"/>
          <w:iCs w:val="1"/>
          <w:u w:val="single" w:color="auto"/>
          <w:color w:val="auto"/>
        </w:rPr>
        <w:t>www.clinicaltrials.gov</w:t>
      </w:r>
      <w:r>
        <w:rPr>
          <w:rFonts w:ascii="Arial" w:cs="Arial" w:eastAsia="Arial" w:hAnsi="Arial"/>
          <w:sz w:val="18"/>
          <w:szCs w:val="18"/>
          <w:color w:val="auto"/>
        </w:rPr>
        <w:t xml:space="preserve"> under identifier numbers NCT02593227 and FRV-002.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Trial at Memorial Sloan Kettering of TPIV 200 in Ovarian Cancer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 Phase II study of TPIV 200 in ovarian cancer patients who are not responsive to platinum, a commonly used chemotherapy for ovarian cancer, sponsored by Memorial Sloan Kettering Cancer Center, and in collaboration with AstraZeneca and TapImmune, has begun enrollment for a 40-patient study. The open-label study is designed to evaluate a combination therapy which includes our TPIV 200 T-cell vaccine and AstraZeneca’s checkpoint inhibitor, durvalumab. Because they are unresponsive to platinum, these patients have no real remaining options. If the combination therapy proves effective, we believe it would address a critical unmet need. TPIV 200 has received Orphan Drug designation for use in the treatment of ovarian cancer. Details regarding this trial can be found at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under identifier numbers NCT02764333.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Enrolling Patients: Phase II TPIV 200 Trial in Platinum-Sensitive Ovarian Cancer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opened one clinical site (with at least another 10 sites anticipated in 2017) in a Phase II trial of TPIV 200 in 80 ovarian cancer patients who are responsive to platinum. We have received the FDA’s Fast Track designation to develop TPIV 200 as a maintenance therapy in combination with platinum, in platinum responsive ovarian cancer patients. This multi-center, double-blind efficacy study is sponsored and conducted by TapImmune. Details regarding this trial can be found at </w:t>
      </w:r>
      <w:r>
        <w:rPr>
          <w:rFonts w:ascii="Arial" w:cs="Arial" w:eastAsia="Arial" w:hAnsi="Arial"/>
          <w:sz w:val="17"/>
          <w:szCs w:val="17"/>
          <w:i w:val="1"/>
          <w:iCs w:val="1"/>
          <w:color w:val="auto"/>
        </w:rPr>
        <w:t>www.clinicaltrials.gov</w:t>
      </w:r>
      <w:r>
        <w:rPr>
          <w:rFonts w:ascii="Arial" w:cs="Arial" w:eastAsia="Arial" w:hAnsi="Arial"/>
          <w:sz w:val="17"/>
          <w:szCs w:val="17"/>
          <w:color w:val="auto"/>
        </w:rPr>
        <w:t xml:space="preserve"> under identifier numbers NCT02978222 and FRV-004.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Patient Enrollment to Commence in the First Quarter of 2017: Phase II Mayo Clinic-U.S. DOD Trial of TPIV 200 in Triple-Negative Breast Cancer</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anticipate this Phase II study of TPIV 200 in the treatment of triple-negative breast cancer, conducted by the Mayo Clinic and sponsored by the U.S. Department of Defense (“DOD”), will begin to enroll patients in the first quarter of 2017. The anticipated 280-patient study will be led by Dr. Keith Knutson of the Mayo Clinic in Jacksonville, Florida. Dr. Knutson is the inventor of the technology and in the Scientific Advisory Board at TapImmune. While TapImmune is supplying doses of TPIV 200 for the trial, and being reimbursed for the costs associated with manufacturing, the remaining costs associated with conducting this study will be funded by a $13.3 million grant made by the DOD to the Mayo Clinic.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IND with FDA for TPIV 110 Early 2017: Phase II Protocol Now in Preparation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reformulated our second cancer vaccine product, TPIV 110, following very strong safety and immune responses from a Phase I Mayo Clinic study. TPIV 110 targets HER2/neu, which makes it applicable to breast, ovarian and colorectal cancer. The reformulated product adds a fifth antigen which should produce an even more robust immune response activating both CD4+ and CD8+ T-cells. We have participated in a pre-Investigational New Drug (pre”IND”) meeting with the FDA and are now in discussions with the FDA as to requirements for filing the amended IND containing the fifth peptide. Although we cannot know for sure, we anticipate having an open IND in early 2017 pending comments from FDA. The protocol for a Phase II trial of TPIV 110 in the treatment of HER2/neu positive breast cancer patients has been designed and is now being reviewed by our Scientific Advisory Board and collaborators.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TPIV Products Are Off-the-Shelf, Commercially Viable, with Excellent Potential Margins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continuously working on improving our product formulation and supply. We believe TPIV 200 and TPIV 110 are both very stable, off-the-shelf, lyophilized products that only require reconstitution at the clinical site before injection. We believe the investments we have made in the formulation work we have performed will result in a commercially viable product with excellent potential profit margins.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Robust Product Data &amp; Independent Vetting Key to High-Value Collaborations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Phase I data produced for both TPIV 200 and TPIV 100 in collaboration with the Mayo Clinic are the driving force behind the high-value collaborations we have been able to maintain and establish with organizations including Mayo Clinic, AstraZeneca, Sloan Kettering, and the U.S. Department of Defense. As we move forward into advancing the Phase II studies, some of which are represent collaboration with prestigious third-party organizations, we believe this represents further independent validation of the potential of our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16, 2016, we effected a one-for-twelve reverse split of our common shares. The common shares began trading on a split-adjusted basis on September 16, 2016. The reverse stock split was effected in connection with our intention to apply to list our common stock on the Nasdaq Capital Market. On November 2, 2016, we received notification that our common stock was approved for listing on The Nasdaq Capital Market and it began trading on Tuesday, November 8, 2016 under the ticker symbol “TPIV.”</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historical financial results have been adjusted to reflect a reduction in the number of shares of our outstanding common stock from 70,550,763 shares to 5,882,955 shares at December 31, 2015. In addition, effective upon the reverse stock split, the number of authorized shares of our common stock was reduced from 500 million shares to 41,666,667 shares. All fractional shares resulting from the reverse stock split were rounded up to the nearest whole share. All share data herein has been retroactively adjusted for the reverse stock split. The par value was not adjusted as a result of the one for twelve reverse stock split.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we completed private placements of units with certain accredited investors. The units consisted of (i) one share of our common stock, par value $0.001 per share and (ii) one five-year warrant to purchase one share of our common stock for $6.00. We issued and sold an aggregate of 653,187 units at a purchase price per unit of $4.80 for an aggregate of approximately $3,100,000. We incurred approximately $0.8 million in agency fees and legal costs.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issued five-year warrants to the placement agent in the offering providing for the purchase of up to 65,327 shares of our common stock for $4.80 per share.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the registration rights agreements entered into in connection with the private placements, we were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We were required to file the registration statement within 120 days of the August 26, 2016 closing, or by December 27, 2016. We were also required to ensure that the registration statement is declared effective within 90 calendar days after filing with the Securities and Exchange Commission.</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filed the registration statement on December 22, 2016 and it was subsequently declared effective by the Securities and Exchange Commission on January 18, 2017, meeting the contractual deadlines.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August 2016 Warrant Amendments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 with the exercise of the Series C and Series C-1 Warrants, we and holders of an aggregate of 3,096,665 outstanding Series A Warrants, Series A-1 Warrants, Series C Warrants, Series C-1 Warrants, Series D Warrants, Series D-1 Warrants, Series E Warrants and Series E-1 Warrants (the “Outstanding Series Warrants”) entered into Warrant Amendment Agreements (the “Amendment Agreement”), in which they agreed to amend the terms of the Outstanding Series Warrants to remove provisions from the Outstanding Series Warrants that had previously caused them to be classified as a derivative liability as opposed to equity on our balance sheet. In consideration for such amendment and the exercise of the Series C Warrants and Series C-1 Warrants, we issued an aggregate of 750,000 additional shares of common stock to such warrant holders and new five-year warrants to purchase one million shares of our common stock at an exercise price of $7.20 per share (the “Series F and F-1 Warrants”).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status of the outstanding warrants from the January 2015, March 2015, and August 2016 private placement financings (including placement agent warrants) following the Amendment Agreement and private placement:</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Series</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Outstanding Warrants</w:t>
            </w:r>
          </w:p>
        </w:tc>
        <w:tc>
          <w:tcPr>
            <w:tcW w:w="1360" w:type="dxa"/>
            <w:vAlign w:val="bottom"/>
            <w:gridSpan w:val="4"/>
          </w:tcPr>
          <w:p>
            <w:pPr>
              <w:ind w:left="180"/>
              <w:spacing w:after="0"/>
              <w:rPr>
                <w:sz w:val="20"/>
                <w:szCs w:val="20"/>
                <w:color w:val="auto"/>
              </w:rPr>
            </w:pPr>
            <w:r>
              <w:rPr>
                <w:rFonts w:ascii="Arial" w:cs="Arial" w:eastAsia="Arial" w:hAnsi="Arial"/>
                <w:sz w:val="18"/>
                <w:szCs w:val="18"/>
                <w:b w:val="1"/>
                <w:bCs w:val="1"/>
                <w:color w:val="auto"/>
                <w:w w:val="94"/>
              </w:rPr>
              <w:t>Exercise Price</w:t>
            </w:r>
          </w:p>
        </w:tc>
        <w:tc>
          <w:tcPr>
            <w:tcW w:w="4300" w:type="dxa"/>
            <w:vAlign w:val="bottom"/>
            <w:gridSpan w:val="2"/>
          </w:tcPr>
          <w:p>
            <w:pPr>
              <w:ind w:left="8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0" w:type="dxa"/>
            <w:vAlign w:val="bottom"/>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214,433</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jc w:val="right"/>
              <w:ind w:right="3310"/>
              <w:spacing w:after="0"/>
              <w:rPr>
                <w:sz w:val="20"/>
                <w:szCs w:val="20"/>
                <w:color w:val="auto"/>
              </w:rPr>
            </w:pPr>
            <w:r>
              <w:rPr>
                <w:rFonts w:ascii="Arial" w:cs="Arial" w:eastAsia="Arial" w:hAnsi="Arial"/>
                <w:sz w:val="18"/>
                <w:szCs w:val="18"/>
                <w:color w:val="auto"/>
                <w:w w:val="86"/>
              </w:rPr>
              <w:t>01/13/2020</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424,433</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300" w:type="dxa"/>
            <w:vAlign w:val="bottom"/>
            <w:gridSpan w:val="2"/>
          </w:tcPr>
          <w:p>
            <w:pPr>
              <w:jc w:val="right"/>
              <w:ind w:right="3310"/>
              <w:spacing w:after="0"/>
              <w:rPr>
                <w:sz w:val="20"/>
                <w:szCs w:val="20"/>
                <w:color w:val="auto"/>
              </w:rPr>
            </w:pPr>
            <w:r>
              <w:rPr>
                <w:rFonts w:ascii="Arial" w:cs="Arial" w:eastAsia="Arial" w:hAnsi="Arial"/>
                <w:sz w:val="18"/>
                <w:szCs w:val="18"/>
                <w:color w:val="auto"/>
                <w:w w:val="97"/>
              </w:rPr>
              <w:t>01/13/2020</w:t>
            </w:r>
          </w:p>
        </w:tc>
      </w:tr>
      <w:tr>
        <w:trPr>
          <w:trHeight w:val="202"/>
        </w:trPr>
        <w:tc>
          <w:tcPr>
            <w:tcW w:w="20" w:type="dxa"/>
            <w:vAlign w:val="bottom"/>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1"/>
              </w:rPr>
              <w:t>Between 07/16/2020 and 08/13/2020 and 08/19/2020 and</w:t>
            </w: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jc w:val="right"/>
              <w:ind w:right="3310"/>
              <w:spacing w:after="0"/>
              <w:rPr>
                <w:sz w:val="20"/>
                <w:szCs w:val="20"/>
                <w:color w:val="auto"/>
              </w:rPr>
            </w:pPr>
            <w:r>
              <w:rPr>
                <w:rFonts w:ascii="Arial" w:cs="Arial" w:eastAsia="Arial" w:hAnsi="Arial"/>
                <w:sz w:val="18"/>
                <w:szCs w:val="18"/>
                <w:color w:val="auto"/>
                <w:w w:val="97"/>
              </w:rPr>
              <w:t>09/09/2020</w:t>
            </w:r>
          </w:p>
        </w:tc>
      </w:tr>
      <w:tr>
        <w:trPr>
          <w:trHeight w:val="202"/>
        </w:trPr>
        <w:tc>
          <w:tcPr>
            <w:tcW w:w="2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E</w:t>
            </w: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1"/>
              </w:rPr>
              <w:t>Between 10/01/2020 and 11/12/2020 and 11/30/2020 and</w:t>
            </w: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616,100</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4300" w:type="dxa"/>
            <w:vAlign w:val="bottom"/>
            <w:gridSpan w:val="2"/>
          </w:tcPr>
          <w:p>
            <w:pPr>
              <w:jc w:val="right"/>
              <w:ind w:right="3310"/>
              <w:spacing w:after="0"/>
              <w:rPr>
                <w:sz w:val="20"/>
                <w:szCs w:val="20"/>
                <w:color w:val="auto"/>
              </w:rPr>
            </w:pPr>
            <w:r>
              <w:rPr>
                <w:rFonts w:ascii="Arial" w:cs="Arial" w:eastAsia="Arial" w:hAnsi="Arial"/>
                <w:sz w:val="18"/>
                <w:szCs w:val="18"/>
                <w:color w:val="auto"/>
                <w:w w:val="97"/>
              </w:rPr>
              <w:t>12/09/2020</w:t>
            </w: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418,750</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ind w:right="3310"/>
              <w:spacing w:after="0"/>
              <w:rPr>
                <w:sz w:val="20"/>
                <w:szCs w:val="20"/>
                <w:color w:val="auto"/>
              </w:rPr>
            </w:pPr>
            <w:r>
              <w:rPr>
                <w:rFonts w:ascii="Arial" w:cs="Arial" w:eastAsia="Arial" w:hAnsi="Arial"/>
                <w:sz w:val="18"/>
                <w:szCs w:val="18"/>
                <w:color w:val="auto"/>
                <w:w w:val="97"/>
              </w:rPr>
              <w:t>03/09/2020</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4300" w:type="dxa"/>
            <w:vAlign w:val="bottom"/>
            <w:gridSpan w:val="2"/>
          </w:tcPr>
          <w:p>
            <w:pPr>
              <w:jc w:val="right"/>
              <w:ind w:right="3310"/>
              <w:spacing w:after="0"/>
              <w:rPr>
                <w:sz w:val="20"/>
                <w:szCs w:val="20"/>
                <w:color w:val="auto"/>
              </w:rPr>
            </w:pPr>
            <w:r>
              <w:rPr>
                <w:rFonts w:ascii="Arial" w:cs="Arial" w:eastAsia="Arial" w:hAnsi="Arial"/>
                <w:sz w:val="18"/>
                <w:szCs w:val="18"/>
                <w:color w:val="auto"/>
                <w:w w:val="97"/>
              </w:rPr>
              <w:t>01/13/2020</w:t>
            </w: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Between 08/19/2020 and 09/09/2020</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E-1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418,750</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4300" w:type="dxa"/>
            <w:vAlign w:val="bottom"/>
            <w:gridSpan w:val="2"/>
          </w:tcPr>
          <w:p>
            <w:pPr>
              <w:jc w:val="right"/>
              <w:ind w:right="3310"/>
              <w:spacing w:after="0"/>
              <w:rPr>
                <w:sz w:val="20"/>
                <w:szCs w:val="20"/>
                <w:color w:val="auto"/>
              </w:rPr>
            </w:pPr>
            <w:r>
              <w:rPr>
                <w:rFonts w:ascii="Arial" w:cs="Arial" w:eastAsia="Arial" w:hAnsi="Arial"/>
                <w:sz w:val="18"/>
                <w:szCs w:val="18"/>
                <w:color w:val="auto"/>
                <w:w w:val="97"/>
              </w:rPr>
              <w:t>06/16/2020</w:t>
            </w: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583,333</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ind w:right="3310"/>
              <w:spacing w:after="0"/>
              <w:rPr>
                <w:sz w:val="20"/>
                <w:szCs w:val="20"/>
                <w:color w:val="auto"/>
              </w:rPr>
            </w:pPr>
            <w:r>
              <w:rPr>
                <w:rFonts w:ascii="Arial" w:cs="Arial" w:eastAsia="Arial" w:hAnsi="Arial"/>
                <w:sz w:val="18"/>
                <w:szCs w:val="18"/>
                <w:color w:val="auto"/>
                <w:w w:val="97"/>
              </w:rPr>
              <w:t>08/11/2021</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F-1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416,667</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4300" w:type="dxa"/>
            <w:vAlign w:val="bottom"/>
            <w:gridSpan w:val="2"/>
          </w:tcPr>
          <w:p>
            <w:pPr>
              <w:jc w:val="right"/>
              <w:ind w:right="3310"/>
              <w:spacing w:after="0"/>
              <w:rPr>
                <w:sz w:val="20"/>
                <w:szCs w:val="20"/>
                <w:color w:val="auto"/>
              </w:rPr>
            </w:pPr>
            <w:r>
              <w:rPr>
                <w:rFonts w:ascii="Arial" w:cs="Arial" w:eastAsia="Arial" w:hAnsi="Arial"/>
                <w:sz w:val="18"/>
                <w:szCs w:val="18"/>
                <w:color w:val="auto"/>
                <w:w w:val="97"/>
              </w:rPr>
              <w:t>08/11/2021</w:t>
            </w: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PIPE Warrants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653,187</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jc w:val="right"/>
              <w:ind w:right="3310"/>
              <w:spacing w:after="0"/>
              <w:rPr>
                <w:sz w:val="20"/>
                <w:szCs w:val="20"/>
                <w:color w:val="auto"/>
              </w:rPr>
            </w:pPr>
            <w:r>
              <w:rPr>
                <w:rFonts w:ascii="Arial" w:cs="Arial" w:eastAsia="Arial" w:hAnsi="Arial"/>
                <w:sz w:val="18"/>
                <w:szCs w:val="18"/>
                <w:color w:val="auto"/>
                <w:w w:val="97"/>
              </w:rPr>
              <w:t>08/11/2021</w:t>
            </w: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Broker Warrants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65,327</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4300" w:type="dxa"/>
            <w:vAlign w:val="bottom"/>
            <w:gridSpan w:val="2"/>
          </w:tcPr>
          <w:p>
            <w:pPr>
              <w:jc w:val="right"/>
              <w:ind w:right="3310"/>
              <w:spacing w:after="0"/>
              <w:rPr>
                <w:sz w:val="20"/>
                <w:szCs w:val="20"/>
                <w:color w:val="auto"/>
              </w:rPr>
            </w:pPr>
            <w:r>
              <w:rPr>
                <w:rFonts w:ascii="Arial" w:cs="Arial" w:eastAsia="Arial" w:hAnsi="Arial"/>
                <w:sz w:val="18"/>
                <w:szCs w:val="18"/>
                <w:color w:val="auto"/>
                <w:w w:val="97"/>
              </w:rPr>
              <w:t>08/11/2021</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are prepared in conformity with U.S. GAAP, which require the use of estimates, judgments and assumptions that affect the reported amounts of assets and liabilities, the disclosure of contingent liabilities at the date of the financial statements, and the reported amounts of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 The critical accounting estimates that affect the consolidated financial statements and the judgments and assumptions used are consistent with those described under Part II, Item 7 of our Annual Report on Form 10-K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Preparation of our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stock-based transactions, the fair value of the components of the convertible notes payable, foreign exchange gains and losses, and accrued liabilities. Matters impacting our ability to continue as a going concern and contingencies also involve the use of estimates and assumptions.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certain of our financial instruments, including cash and cash equivalents, accrued compensation, and other accrued liabilities, approximate cost because of their short maturities. We measure the fair value of certain of our financial assets and liabilities on a recurring basis. 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87" w:lineRule="exact"/>
        <w:rPr>
          <w:sz w:val="20"/>
          <w:szCs w:val="20"/>
          <w:color w:val="auto"/>
        </w:rPr>
      </w:pPr>
    </w:p>
    <w:p>
      <w:pPr>
        <w:ind w:left="1180" w:hanging="200"/>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980"/>
        <w:spacing w:after="0" w:line="264" w:lineRule="auto"/>
        <w:tabs>
          <w:tab w:leader="none" w:pos="12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80"/>
        <w:spacing w:after="0" w:line="277" w:lineRule="auto"/>
        <w:tabs>
          <w:tab w:leader="none" w:pos="12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our stock-based awards are expected to be outstanding based on the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which is the half-life from vesting to the end of its contractual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We compute stock price volatility over expected terms based on our historical common stock trading prices.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We base the risk-free interest rate on the implied yield available on U. S. Treasury zero-coupon issues with an equivalent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term.</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declared or paid any cash dividends on our common shares and does not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 therefore, use an expected dividend yield of zero in our valuation models. We recognize fair value of stock options granted to nonemployees as stock-based compensation expense over the period in which the related services are received.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Liability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evaluate our convertible debt, options, warrants or other contracts to determine if those contracts or embedded components of those contracts qualify as derivatives to be separately accounted.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twelve months of the balance sheet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our stock. An entity should use a two-step approach to evaluate whether an equity-linked financial instrument (or embedded feature) is indexed to its own stock, including evaluating the instrument’s contingent exercise and settlement provisions. The application of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2015</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this discussion of our results of operations and financial condition, amounts, other than per-share amounts, have been rounded to the nearest thousand dollars.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a net loss of $2,455,000 or ($0.36) basic per share and ($0.72) diluted per share during the year ended December 31, 2016 compared to a net loss of $34,066,000 or ($9.30) basic and diluted per share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incurred during the fiscal year ended December 31, 2016 were $8,492,000 compared to $6,159,000 in the prior year. Significant changes and expenditures are outlined as follows:</w:t>
      </w:r>
    </w:p>
    <w:p>
      <w:pPr>
        <w:spacing w:after="0" w:line="170" w:lineRule="exact"/>
        <w:rPr>
          <w:sz w:val="20"/>
          <w:szCs w:val="20"/>
          <w:color w:val="auto"/>
        </w:rPr>
      </w:pPr>
    </w:p>
    <w:p>
      <w:pPr>
        <w:jc w:val="both"/>
        <w:ind w:left="66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and development costs during the fiscal year ended December 31, 2016 were $3,800,000 compared to 1,711,000 during the prior fiscal year. This was due to our exercising our option to acquire Mayo Clinic technology as part of an agreement entered into in March 2014 and increased in-house research activity in the current period.</w:t>
      </w: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and administrative expenses increased to $4,692,000 during the year ended December 31, 2016 from $4,448,000 during the prior period. was due to generally increased expenses relating to consulting, general and administrative, investor relations and professional fees as our operating activities increased substantially.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changes in fair value of derivative liabilities for the year ended December 31, 2016 was $5,940,000 as compared to ($27,873,000) for the year ended December 31, 2015. The variance from the previous year was due to the following factor : the revaluation of the Series A and A-1, Series C and C-1, Series D and D-1 and Series E and E-1 warrants issued by us in January and March 2015, from December 31, 2015 through August 10, 2016, when on August 10, 2016 we amended warrant agreements to remove the clause that caused the warrants to be classified as derivative liabilities. We revalue the derivative liabilities at each balance sheet date to fair value and record with a corresponding gain in the consolidated statement of operations. The most significant change in the revaluation was the difference in the stock price used at August 10, 2016 of $6.00 compared to $7.20 at December 31, 2015. Of the $5,940,000 change in fair value of derivative liabilities for fiscal 2016, $5,937,000 was due to the revaluation between December 31, 2015 and August 10, 2016. The remaining change was due to the revaluation of the remaining derivative warrants through December 31, 2016.</w:t>
      </w:r>
    </w:p>
    <w:p>
      <w:pPr>
        <w:spacing w:after="0" w:line="4"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year ended December 31, 2016, we received $231,000 of a grant awarded to Mayo Foundation from the U.S. Department of Defense for the Phase II Clinical Trial of TPIV 200. The grant paid for the clinical supplies purchased by us.</w:t>
      </w:r>
    </w:p>
    <w:p>
      <w:pPr>
        <w:ind w:left="660" w:hanging="328"/>
        <w:spacing w:after="0" w:line="290"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year ended December 31, 2016, we incurred $136,000 loss on debt settlement agreements relating to an outstanding debt agreement from previous years. This compares to $25,000 loss on debt settlement agreements for the year ended December 31, 2015.</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 average number of shares outstanding were approximately 6,890,000 basic and 7,421,000 diluted for the year ended December 31, 2016 compared to approximately 3,662,000 basic and diluted for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not generated any revenues since inception, we have financed our operations primarily through public and private offerings of our stock and debt including warrants and the exercise thereof.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6"/>
              </w:rPr>
              <w:t>The following table sets forth our cash and working capital as of December 31, 2016 and 2015:</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100" w:type="dxa"/>
            <w:vAlign w:val="bottom"/>
            <w:gridSpan w:val="4"/>
          </w:tcPr>
          <w:p>
            <w:pPr>
              <w:ind w:left="460"/>
              <w:spacing w:after="0"/>
              <w:rPr>
                <w:sz w:val="20"/>
                <w:szCs w:val="20"/>
                <w:color w:val="auto"/>
              </w:rPr>
            </w:pPr>
            <w:r>
              <w:rPr>
                <w:rFonts w:ascii="Arial" w:cs="Arial" w:eastAsia="Arial" w:hAnsi="Arial"/>
                <w:sz w:val="18"/>
                <w:szCs w:val="18"/>
                <w:b w:val="1"/>
                <w:bCs w:val="1"/>
                <w:color w:val="auto"/>
                <w:w w:val="99"/>
              </w:rPr>
              <w:t>December 31, 2016</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2015</w:t>
            </w:r>
          </w:p>
        </w:tc>
      </w:tr>
      <w:tr>
        <w:trPr>
          <w:trHeight w:val="210"/>
        </w:trPr>
        <w:tc>
          <w:tcPr>
            <w:tcW w:w="4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7,851,000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4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6,185,000</w:t>
            </w:r>
          </w:p>
        </w:tc>
        <w:tc>
          <w:tcPr>
            <w:tcW w:w="1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(21,360,000)</w:t>
            </w:r>
          </w:p>
        </w:tc>
      </w:tr>
      <w:tr>
        <w:trPr>
          <w:trHeight w:val="20"/>
        </w:trPr>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2016 and 2015:</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Years Ended December 31,</w:t>
            </w:r>
          </w:p>
        </w:tc>
      </w:tr>
      <w:tr>
        <w:trPr>
          <w:trHeight w:val="223"/>
        </w:trPr>
        <w:tc>
          <w:tcPr>
            <w:tcW w:w="40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4020" w:type="dxa"/>
            <w:vAlign w:val="bottom"/>
            <w:shd w:val="clear" w:color="auto" w:fill="CCEEFF"/>
          </w:tcPr>
          <w:p>
            <w:pPr>
              <w:jc w:val="center"/>
              <w:ind w:right="1670"/>
              <w:spacing w:after="0"/>
              <w:rPr>
                <w:sz w:val="20"/>
                <w:szCs w:val="20"/>
                <w:color w:val="auto"/>
              </w:rPr>
            </w:pPr>
            <w:r>
              <w:rPr>
                <w:rFonts w:ascii="Arial" w:cs="Arial" w:eastAsia="Arial" w:hAnsi="Arial"/>
                <w:sz w:val="18"/>
                <w:szCs w:val="18"/>
                <w:color w:val="auto"/>
                <w:w w:val="90"/>
              </w:rPr>
              <w:t>Net cash provided by (used in):</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jc w:val="center"/>
              <w:ind w:right="1630"/>
              <w:spacing w:after="0"/>
              <w:rPr>
                <w:sz w:val="20"/>
                <w:szCs w:val="20"/>
                <w:color w:val="auto"/>
              </w:rPr>
            </w:pPr>
            <w:r>
              <w:rPr>
                <w:rFonts w:ascii="Arial" w:cs="Arial" w:eastAsia="Arial" w:hAnsi="Arial"/>
                <w:sz w:val="18"/>
                <w:szCs w:val="18"/>
                <w:color w:val="auto"/>
                <w:w w:val="92"/>
              </w:rPr>
              <w:t>Operating activities</w:t>
            </w:r>
          </w:p>
        </w:tc>
        <w:tc>
          <w:tcPr>
            <w:tcW w:w="1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(6,510,000)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(4,343,000)</w:t>
            </w:r>
          </w:p>
        </w:tc>
      </w:tr>
      <w:tr>
        <w:trPr>
          <w:trHeight w:val="230"/>
        </w:trPr>
        <w:tc>
          <w:tcPr>
            <w:tcW w:w="402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3"/>
              </w:rPr>
              <w:t>Financing activities</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7,785,000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10,778,000</w:t>
            </w:r>
          </w:p>
        </w:tc>
        <w:tc>
          <w:tcPr>
            <w:tcW w:w="60" w:type="dxa"/>
            <w:vAlign w:val="bottom"/>
            <w:shd w:val="clear" w:color="auto" w:fill="CCEEFF"/>
          </w:tcPr>
          <w:p>
            <w:pPr>
              <w:spacing w:after="0"/>
              <w:rPr>
                <w:sz w:val="19"/>
                <w:szCs w:val="19"/>
                <w:color w:val="auto"/>
              </w:rPr>
            </w:pPr>
          </w:p>
        </w:tc>
      </w:tr>
      <w:tr>
        <w:trPr>
          <w:trHeight w:val="223"/>
        </w:trPr>
        <w:tc>
          <w:tcPr>
            <w:tcW w:w="4020" w:type="dxa"/>
            <w:vAlign w:val="bottom"/>
          </w:tcPr>
          <w:p>
            <w:pPr>
              <w:ind w:left="860"/>
              <w:spacing w:after="0"/>
              <w:rPr>
                <w:sz w:val="20"/>
                <w:szCs w:val="20"/>
                <w:color w:val="auto"/>
              </w:rPr>
            </w:pPr>
            <w:r>
              <w:rPr>
                <w:rFonts w:ascii="Arial" w:cs="Arial" w:eastAsia="Arial" w:hAnsi="Arial"/>
                <w:sz w:val="18"/>
                <w:szCs w:val="18"/>
                <w:color w:val="auto"/>
              </w:rPr>
              <w:t>Net increase in cash</w:t>
            </w:r>
          </w:p>
        </w:tc>
        <w:tc>
          <w:tcPr>
            <w:tcW w:w="1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1,275,000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6,435,000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current available funding has come from financings that we conducted in January and March of 2015 and from the exercise of warrants issued in connection with our January and March, 2015 financings as well as our recent August 2016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2015, we entered into a Securities Purchase Agreement with certain investors for the sale of 610,000 units at a purchase price of $2.40 per unit, for a total purchase price of approximately $1,250,000, net of finders’ fee and offering expenses of approximately $214,000. Each unit consisting of (i) one share of our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were exercisable at $18.00 per share, with a five-year term. Series B warrants were exercisable at $4.80 per share, with a six-month term. Series C warrants were exercisable at $12.00 per share, with a five-year term. Series D warrants were exercisable at $9.00 per share only if and to the extent that the Series B warrants are exercised, with a five-year term from the date that the Series B warrants are exercised. Series E warrants were exercisable at $15.00 per share, only if and to the extent that the Series C warrants are exercised, with a five-year term from the date that the Series C warrants are exercised. Pursuant to a placement agent agreement, we agreed to issue warrants to purchase 30,500 common shares with substantially the same terms as the January 2015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our common stock, (ii) one Series A-1 warrant to purchase one share of common stock, (iii) one Series B-1 warrant to purchase one share of common stock (iv) one Series C-1 warrant to purchase one share of common stock, (v) one Series D-1 warrant to purchase one share of common stock, and</w:t>
      </w:r>
    </w:p>
    <w:p>
      <w:pPr>
        <w:spacing w:after="0" w:line="2" w:lineRule="exact"/>
        <w:rPr>
          <w:sz w:val="20"/>
          <w:szCs w:val="20"/>
          <w:color w:val="auto"/>
        </w:rPr>
      </w:pPr>
    </w:p>
    <w:p>
      <w:pPr>
        <w:jc w:val="both"/>
        <w:ind w:firstLine="8"/>
        <w:spacing w:after="0" w:line="277" w:lineRule="auto"/>
        <w:tabs>
          <w:tab w:leader="none" w:pos="309"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10,417 common shares with substantially the same terms as the March 2015 Warrants.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$18.00 per share to $1.20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$4.80 per share to $2.40 per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$12.00 per share to $6.00 per share,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restructuring agreement, we issued an additional 1,026,667 Series B and B-1 warrants and 1,026,667 Series C and C-1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Private Placement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and August 26, 2016, we completed private placements of units with certain accredited investors. The units consisted of (i) one share of our common stock, par value $0.001 per share and (ii) one five-year warrant to purchase one share of our common stock for $6.00. We issued and sold an aggregate of 653,187 units at a purchase price per unit of $4.80 for an aggregate of approximately $3,100,000. We incurred approximately $0.8 million in agency fees and legal costs.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issued five-year warrants to the placement agent in the offering providing for the purchase of up to 65,327 shares of our common stock for $4.80 per share.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registration rights agreements entered into in connection with the private placements, we were required to file a registration statement with the Securities and Exchange Commission registering for resale (a) the common stock issued in the private placement offering; (b) the shares of common stock issuable upon the exercise of the five-year warrants; and (c) the shares of common stock issuable upon the exercise of the warrants issued to the placement agent. We were required to file the registration statement within 120 days of the August 26, 2016 closing, or by December 27, 2016. We were also required to ensure that the registration statement is declared effective within 90 calendar days after filing with the Securities and Exchange Commission. We met all of the foregoing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June 16, 2015 and December 9, 2015, 3,090,000 shares were issued upon exercise of certain warrants we issued in connection with our 2015 financings, providing $9.22 million in proceeds. In August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Capital Requirements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capital requirements through 2017 will depend on numerous factors, including the success of our research and development, the resources we devote to develop and support our technologies and our success in pursuing strategic licensing and funded product development relationships with external partners. Subject to our ability to raise additional capital including through possible joint ventures and/or partnerships, we expect to incur substantial expenditures to further develop our technologies including continued increases in costs related to research, nonclinical testing and clinical studies, as well as costs associated with our capital raising efforts and being a public company. We believe our existing cash and cash equivalents will allow us to fund our operations over the next twelve months. We will require substantial funds to conduct research and development and nonclinical and Phase II clinical testing of our licensed, patented technologies and to develop sublicensing relationships for the Phase II and III clinical testing. Our plans include seeking both equity and debt financing, alliances or other partnership agreements with entities interested in our technologies, or other business transactions that would generate sufficient resources to ensure continuation of our operations and research and development programs.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We expect to continue to seek additional funding for our operations. Any such required additional capital may not be available on reasonable terms, if at all. If we were unable to obtain additional financing, we may be required to reduce the scope of, delay or eliminate some or all of our planned clinical testing and research and development activities, which could harm our business. The sale of additional equity or debt securities may result in additional dilution to our shareholders. If we raise additional funds through the issuance of debt securities or preferred stock, these securities could have rights senior to those of our common stock and could contain covenants that would restrict our operations. We also will require additional capital beyond our currently forecasted amounts.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amounts of our working capital requirements. Our future funding requirements will depend on many factors, including, but not limited to:</w:t>
      </w:r>
    </w:p>
    <w:p>
      <w:pPr>
        <w:spacing w:after="0" w:line="124" w:lineRule="exact"/>
        <w:rPr>
          <w:sz w:val="20"/>
          <w:szCs w:val="20"/>
          <w:color w:val="auto"/>
        </w:rPr>
      </w:pPr>
    </w:p>
    <w:p>
      <w:pPr>
        <w:ind w:left="880" w:hanging="31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5" w:lineRule="exact"/>
        <w:rPr>
          <w:rFonts w:ascii="Arial" w:cs="Arial" w:eastAsia="Arial" w:hAnsi="Arial"/>
          <w:sz w:val="18"/>
          <w:szCs w:val="18"/>
          <w:color w:val="auto"/>
        </w:rPr>
      </w:pPr>
    </w:p>
    <w:p>
      <w:pPr>
        <w:ind w:left="880" w:hanging="318"/>
        <w:spacing w:after="0" w:line="308" w:lineRule="auto"/>
        <w:tabs>
          <w:tab w:leader="none" w:pos="8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nonclinical and clinical trials including the research and development expenditures we expect to make in connection with our license agreements with Mayo Foundation;</w:t>
      </w:r>
    </w:p>
    <w:p>
      <w:pPr>
        <w:spacing w:after="0" w:line="146" w:lineRule="exact"/>
        <w:rPr>
          <w:rFonts w:ascii="Arial" w:cs="Arial" w:eastAsia="Arial" w:hAnsi="Arial"/>
          <w:sz w:val="17"/>
          <w:szCs w:val="17"/>
          <w:color w:val="auto"/>
        </w:rPr>
      </w:pPr>
    </w:p>
    <w:p>
      <w:pPr>
        <w:ind w:left="880" w:hanging="31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current research and development licensing agreements and to establish new strategic partnerships, licensing or other arrangements and the financial terms of such agreements;</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our milestones under our licensing arrangements and the payment obligations we may have;</w:t>
      </w:r>
    </w:p>
    <w:p>
      <w:pPr>
        <w:spacing w:after="0" w:line="225" w:lineRule="exact"/>
        <w:rPr>
          <w:rFonts w:ascii="Arial" w:cs="Arial" w:eastAsia="Arial" w:hAnsi="Arial"/>
          <w:sz w:val="18"/>
          <w:szCs w:val="18"/>
          <w:color w:val="auto"/>
        </w:rPr>
      </w:pPr>
    </w:p>
    <w:p>
      <w:pPr>
        <w:ind w:left="880" w:hanging="318"/>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70" w:lineRule="exact"/>
        <w:rPr>
          <w:rFonts w:ascii="Arial" w:cs="Arial" w:eastAsia="Arial" w:hAnsi="Arial"/>
          <w:sz w:val="18"/>
          <w:szCs w:val="18"/>
          <w:color w:val="auto"/>
        </w:rPr>
      </w:pPr>
    </w:p>
    <w:p>
      <w:pPr>
        <w:ind w:left="880" w:hanging="318"/>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based our estimates on assumptions that may prove to be wrong. We may need to obtain additional funds sooner or in greater amounts than we currently anticipate. Potential sources of financing include strategic relationships, public or private sales of our shares or debt and other sources. We may seek to access the public or private equity markets when conditions are favorable due to our long-term capital requirements. We do not have any committed sources of financing at this time, and it is uncertain whether additional funding will be available when we need it on terms that will be acceptable to us, or at all. If we raise funds by selling additional shares of common stock or other securities convertible into common stock, the ownership interest of our existing stockholders will be diluted. If we are not able to obtain financing when needed, we may be unable to carry out our business plan. As a result, we may have to significantly limit our operations and our business, financial condition and results of operations would be materially harmed.</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Various conditions outside of our control may detract from our ability to raise additional capital needed to execute our plan of operations, including overall market conditions in the international and local economies. We recognize that the United States economy has suffered through a period of uncertainty during which the capital markets have been impacted, and that there is no certainty that these levels will stabilize or reverse despite the optics of an improving economy. Any of these factors could have a material impact upon our ability to raise financing and, as a result, upon our short-term or long-term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sources of revenue to provide incoming cash flows to sustain our future operations. As outlined above, our ability to pursue our planned business activities is dependent upon our successful efforts to raise additional capital.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While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Our financial statements do not include any adjustments to the recoverability and classification of recorded asset amounts and classification of liabilities that might be necessary should we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Loss and Credit Carryforwards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2016, we have approximately $31,000,000 of federal and $11,200,000 of state Net Operating Loss (“NOL”s) that may be available to offset future taxable income, if any. The federal net operating loss carryforwards, if not utilized, will expire between 2029 and 2036. The state net operating loss carryforwards, if not utilized, will expire in 2036. Any greater than 50% change in ownership under Section 382 of the Internal Revenue Code, or the Code, places significant annual limitations on the use of such net operating loss carryforwards.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2016 and 2015, we recorded a 100% valuation allowance against our deferred tax assets of approximately $13,792,000 and $10,826,000, respectively, as our management believes it is uncertain that they will be fully realized. If we determine in the future that we will be able to realize all or a portion of our net operating loss carryforwards, an adjustment to valuation allowance against our deferred tax assets would increase net income in the period in which we make such a determination.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Inflation affects the cost of raw materials, goods and services that we use. In recent years, inflation has been modest. However, fluctuations in energy costs and commodity prices can affect the cost of all raw materials and components. The competitive environment somewhat limits our ability to recover higher costs resulting from inflation by raising prices. Although we cannot precisely determine the effects of inflation on our business, it is management’s belief that the effects on revenues and operating results will not be significant. We do not believe that inflation has had a material impact on our results of operations for the periods presented, except with respect to payroll-related costs and other costs arising from or related to government imposed regulations.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required under this item.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are incorporated herein by reference to pages F-1 to F-24 at the end of this report and the supplementary data is not applicable.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had no disagreements with our principal independent accountants.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such term is defined in Rules 13a-15(e) and 15d-15(e) under the Exchange Act), as of the end of the period covered by this report. Disclosure controls and procedures include, without limitation, controls and procedures designed to ensure that information required to be disclosed in the reports we file or submit under the Exchange Act is accumulated and communicated to management, including our Principal Executive Officer and Principal Financial Officer, as appropriate, to allow timely decisions regarding required disclosure.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such evaluation, our Chief Executive Officer and Chief Financial Officer have concluded that, as of the end of the period covered by this report, our disclosure controls and procedures are not effective in recording, processing, summarizing and reporting, on a timely basis, information required to be disclosed by us in the reports that we file or submit under the Exchange Act.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should be noted that any system of controls is based in part upon certain assumptions designed to obtain reasonable (and not absolute) assurance as to its effectiveness, and there can be no assurance that any design will succeed in achieving its stated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controls over financial reporting, as such term is defined in Exchange Act Rule 13a15(f). Under the supervision and with the participation of our management, including our principal executive, financial and accounting officer, we conducted an evaluation of the effectiveness of our internal controls over financial reporting as of December 31, 2016. This evaluation was based on the framework in Internal Control-Integrated Framework (2013) issued by the Committee of Sponsoring Organizations of the Treadway Commission ("COSO").</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management's evaluation as of December 31, 2016, our management identified the following material weaknesses set forth below in our internal control over financial reporting:</w:t>
      </w:r>
    </w:p>
    <w:p>
      <w:pPr>
        <w:spacing w:after="0" w:line="170"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inadequate segregation of duties consistent with control objectives;</w:t>
      </w:r>
    </w:p>
    <w:p>
      <w:pPr>
        <w:spacing w:after="0" w:line="23" w:lineRule="exact"/>
        <w:rPr>
          <w:rFonts w:ascii="Arial" w:cs="Arial" w:eastAsia="Arial" w:hAnsi="Arial"/>
          <w:sz w:val="18"/>
          <w:szCs w:val="18"/>
          <w:color w:val="auto"/>
        </w:rPr>
      </w:pPr>
    </w:p>
    <w:p>
      <w:pPr>
        <w:ind w:right="20" w:firstLine="8"/>
        <w:spacing w:after="0" w:line="250" w:lineRule="auto"/>
        <w:tabs>
          <w:tab w:leader="none" w:pos="2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insufficient written policies and procedures for accounting and financial reporting with respect to the requirements and application of US GAAP and SEC disclosure requirements;</w:t>
      </w: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ineffective controls over period-end financial disclosure and reporting processes;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non-performance of an evaluation, risk assessment or monitoring of our internal controls over financial reporting; and</w:t>
      </w:r>
    </w:p>
    <w:p>
      <w:pPr>
        <w:spacing w:after="0" w:line="9" w:lineRule="exact"/>
        <w:rPr>
          <w:rFonts w:ascii="Arial" w:cs="Arial" w:eastAsia="Arial" w:hAnsi="Arial"/>
          <w:sz w:val="18"/>
          <w:szCs w:val="18"/>
          <w:color w:val="auto"/>
        </w:rPr>
      </w:pPr>
    </w:p>
    <w:p>
      <w:pPr>
        <w:ind w:firstLine="8"/>
        <w:spacing w:after="0" w:line="261" w:lineRule="auto"/>
        <w:tabs>
          <w:tab w:leader="none" w:pos="26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an effective anti-fraud program designed to detect and prevent fraud relating to (i) an effective whistle-blower program or other comparable mechanism and (ii) an ongoing program to manage identified fraud risks.</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believes that none of the material weaknesses set forth above had a material adverse effect on our financial results for the fiscal year ended December 31, 2016, but management concluded that in light of the material weaknesses described above, we did not maintain effective internal control over financial reporting as of December 31, 2016 based on the criteria set forth in Internal Control-Integrated Framework (2013) issued by the COSO.</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committed to improving our financial organization. As part of this commitment, we intend to continue to enhance our internal control over financial reporting by: i) expanding our personnel, ii) improving segregated duties consistent with control objectives; and iii) preparing and implementing sufficient written policies and checklists which will set forth procedures for accounting and financial reporting with respect to the requirements and application of US GAAP and SEC disclosure requirements.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believes that the appointment of one or more outside directors, who were appointed to a fully functioning audit committee, remedied the ineffective audit committee. To this end, David Laskow-Pooley and Frederick Wasserman were appointed to our audit Committee in 2015 and all audit committee members are considered outside directors as of the date of this filing. In addition, management believes that preparing and implementing sufficient written policies and checklists will remedy the following material weaknesses (i) insufficient written policies and procedures for accounting and financial reporting with respect to the requirements and application of US GAAP and SEC disclosure requirements; and (ii) ineffective controls over period end financial close and reporting processes. Further, management believes that the hiring of additional personnel will result in improved segregation of duties and provide more checks and balances within the financial reporting department.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both"/>
        <w:spacing w:after="0" w:line="264" w:lineRule="auto"/>
        <w:rPr>
          <w:sz w:val="20"/>
          <w:szCs w:val="20"/>
          <w:color w:val="auto"/>
        </w:rPr>
      </w:pPr>
      <w:r>
        <w:rPr>
          <w:rFonts w:ascii="Arial" w:cs="Arial" w:eastAsia="Arial" w:hAnsi="Arial"/>
          <w:sz w:val="18"/>
          <w:szCs w:val="18"/>
          <w:color w:val="auto"/>
        </w:rPr>
        <w:t>We will continue to monitor and evaluate the effectiveness of our internal controls and procedures over financial reporting on an ongoing basis and are committed to taking further action by implementing additional enhancements or improvements, or deploying additional human resources as may be deemed necessary.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controls over financial reporting. Management’s report was not subject to attestation by our registered public accounting firm pursuant to the temporary rules of the SEC that permit us to provide only management’s report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hired an experienced Chief Financial Officer effective August 25, 2016 to manage our finance-related functions and to take primary responsibility for preparing the various filings required under the rules of the Securities and Exchange Commission.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2016, our finance and accounting review functions were supplemented by an external firm on a contract services basis. This firm specializes in providing finance and accounting functions for biotech companies, and the founders and senior managers are highly experienced former partners of national accounting firms. In addition, during the quarter ended December 31, 2016, we engaged a national accounting and consulting firm to provide assistance in complying with the requirements of Sarbanes-Oxley and help us improve its disclosure controls and procedures. Together with these two external firms, we conducted an evaluation of our disclosure controls and procedures, as such term is defined under Rule 13a-15(e) promulgated under the Securities Exchange Act of 1934, as amended.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and as of the date of this filing, we have completed remediation of one of the five material weaknesses identified in our Annual Report on Form 10-K, filed in April 2016:</w:t>
      </w:r>
    </w:p>
    <w:p>
      <w:pPr>
        <w:spacing w:after="0" w:line="170" w:lineRule="exact"/>
        <w:rPr>
          <w:sz w:val="20"/>
          <w:szCs w:val="20"/>
          <w:color w:val="auto"/>
        </w:rPr>
      </w:pPr>
    </w:p>
    <w:p>
      <w:pPr>
        <w:jc w:val="both"/>
        <w:ind w:firstLine="8"/>
        <w:spacing w:after="0" w:line="286" w:lineRule="auto"/>
        <w:tabs>
          <w:tab w:leader="none" w:pos="572"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Management believes that the appointment of one or more outside directors, who were appointed to a fully functioning audit committee, remedied the ineffective audit committee. To this end, David Laskow-Pooley and Frederick Wasserman were appointed to our audit Committee in 2015, such that the audit committee, together with Audit Chair Sherry Grisewood, as of December 31, 2016 consists entirely of outside directors.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have made substantial progress towards remediation of the remaining four continuing material weaknesses identified above. Since the quarter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 have:</w:t>
      </w:r>
    </w:p>
    <w:p>
      <w:pPr>
        <w:spacing w:after="0" w:line="211" w:lineRule="exact"/>
        <w:rPr>
          <w:sz w:val="20"/>
          <w:szCs w:val="20"/>
          <w:color w:val="auto"/>
        </w:rPr>
      </w:pPr>
    </w:p>
    <w:p>
      <w:pPr>
        <w:ind w:right="20" w:firstLine="8"/>
        <w:spacing w:after="0" w:line="277" w:lineRule="auto"/>
        <w:tabs>
          <w:tab w:leader="none" w:pos="666"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prepared a comprehensive entity-wide risk assessment to evaluate and ultimately report on risks to financial reporting throughout the organization. Following this assessment, we undertook an action plan to strengthen internal controls and procedures;</w:t>
      </w:r>
    </w:p>
    <w:p>
      <w:pPr>
        <w:spacing w:after="0" w:line="170" w:lineRule="exact"/>
        <w:rPr>
          <w:rFonts w:ascii="Arial" w:cs="Arial" w:eastAsia="Arial" w:hAnsi="Arial"/>
          <w:sz w:val="18"/>
          <w:szCs w:val="18"/>
          <w:color w:val="auto"/>
        </w:rPr>
      </w:pPr>
    </w:p>
    <w:p>
      <w:pPr>
        <w:ind w:firstLine="8"/>
        <w:spacing w:after="0" w:line="277" w:lineRule="auto"/>
        <w:tabs>
          <w:tab w:leader="none" w:pos="7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prepared comprehensive documentation of our internal controls over financial reporting and tested key financial reporting controls for operating effectiveness;</w:t>
      </w:r>
    </w:p>
    <w:p>
      <w:pPr>
        <w:spacing w:after="0" w:line="170" w:lineRule="exact"/>
        <w:rPr>
          <w:rFonts w:ascii="Arial" w:cs="Arial" w:eastAsia="Arial" w:hAnsi="Arial"/>
          <w:sz w:val="18"/>
          <w:szCs w:val="18"/>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further segregated duties within our finance and accounting functions, to ensure that incompatible duties are segregated;</w:t>
      </w:r>
    </w:p>
    <w:p>
      <w:pPr>
        <w:spacing w:after="0" w:line="225" w:lineRule="exact"/>
        <w:rPr>
          <w:rFonts w:ascii="Arial" w:cs="Arial" w:eastAsia="Arial" w:hAnsi="Arial"/>
          <w:sz w:val="18"/>
          <w:szCs w:val="18"/>
          <w:color w:val="auto"/>
        </w:rPr>
      </w:pPr>
    </w:p>
    <w:p>
      <w:pPr>
        <w:ind w:firstLine="8"/>
        <w:spacing w:after="0" w:line="3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implemented a new process in connection with our year-end financial close to more fully document our identification of related parties and related party transactions, to ensure that all material transactions and developments impacting the financial statements are reflected and properly recorded;</w:t>
      </w:r>
    </w:p>
    <w:p>
      <w:pPr>
        <w:spacing w:after="0" w:line="123" w:lineRule="exact"/>
        <w:rPr>
          <w:rFonts w:ascii="Arial" w:cs="Arial" w:eastAsia="Arial" w:hAnsi="Arial"/>
          <w:sz w:val="16"/>
          <w:szCs w:val="16"/>
          <w:color w:val="auto"/>
        </w:rPr>
      </w:pPr>
    </w:p>
    <w:p>
      <w:pPr>
        <w:ind w:firstLine="8"/>
        <w:spacing w:after="0" w:line="277" w:lineRule="auto"/>
        <w:tabs>
          <w:tab w:leader="none" w:pos="5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implemented a new process to more fully document and test our accounting operations throughout the organization, including the review, supervision and monitoring taking place;</w:t>
      </w:r>
    </w:p>
    <w:p>
      <w:pPr>
        <w:spacing w:after="0" w:line="170" w:lineRule="exact"/>
        <w:rPr>
          <w:rFonts w:ascii="Arial" w:cs="Arial" w:eastAsia="Arial" w:hAnsi="Arial"/>
          <w:sz w:val="18"/>
          <w:szCs w:val="18"/>
          <w:color w:val="auto"/>
        </w:rPr>
      </w:pPr>
    </w:p>
    <w:p>
      <w:pPr>
        <w:ind w:firstLine="8"/>
        <w:spacing w:after="0" w:line="277" w:lineRule="auto"/>
        <w:tabs>
          <w:tab w:leader="none" w:pos="6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expanded the personnel resources allocated to our internal controls over financial reporting, and the activities performed for us, by the two external firms referred to above; and</w:t>
      </w:r>
    </w:p>
    <w:p>
      <w:pPr>
        <w:spacing w:after="0" w:line="170" w:lineRule="exact"/>
        <w:rPr>
          <w:rFonts w:ascii="Arial" w:cs="Arial" w:eastAsia="Arial" w:hAnsi="Arial"/>
          <w:sz w:val="18"/>
          <w:szCs w:val="18"/>
          <w:color w:val="auto"/>
        </w:rPr>
      </w:pPr>
    </w:p>
    <w:p>
      <w:pPr>
        <w:ind w:firstLine="8"/>
        <w:spacing w:after="0" w:line="342" w:lineRule="auto"/>
        <w:tabs>
          <w:tab w:leader="none" w:pos="661"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implemented a whistleblower policy, with a hotline number allowing for anonymous communications, to encourage open and effective channels of information in order to help ensure the accuracy and reliability of our financial statements and disclosures and identification of possible fraudulent activities.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There have been no additional changes in our internal control over financial reporting during our fourth fiscal quarter of our fiscal year ended December 31, 2016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9, 2017 the Board of Directors approved changes to the Director Compensation Program for non-employee directors. In lieu of any per board or committee meeting fees (including telephonic meetings), or committee chair fees, the Board approved an annual retainer in the amount of $80,000 for each non-employee director. The annual retainer is payable as follows:</w:t>
      </w:r>
    </w:p>
    <w:p>
      <w:pPr>
        <w:spacing w:after="0" w:line="181" w:lineRule="exact"/>
        <w:rPr>
          <w:sz w:val="20"/>
          <w:szCs w:val="20"/>
          <w:color w:val="auto"/>
        </w:rPr>
      </w:pPr>
    </w:p>
    <w:p>
      <w:pPr>
        <w:ind w:right="20" w:firstLine="8"/>
        <w:spacing w:after="0" w:line="258" w:lineRule="auto"/>
        <w:tabs>
          <w:tab w:leader="none" w:pos="7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half in cash ($40,000) to be paid in four equal quarterly payments at the end of each calendar quarter, provided such director is still serving as a director, and</w:t>
      </w:r>
    </w:p>
    <w:p>
      <w:pPr>
        <w:spacing w:after="0" w:line="1" w:lineRule="exact"/>
        <w:rPr>
          <w:rFonts w:ascii="Arial" w:cs="Arial" w:eastAsia="Arial" w:hAnsi="Arial"/>
          <w:sz w:val="18"/>
          <w:szCs w:val="18"/>
          <w:color w:val="auto"/>
        </w:rPr>
      </w:pPr>
    </w:p>
    <w:p>
      <w:pPr>
        <w:jc w:val="both"/>
        <w:ind w:firstLine="8"/>
        <w:spacing w:after="0" w:line="255" w:lineRule="auto"/>
        <w:tabs>
          <w:tab w:leader="none" w:pos="8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half ($40,000) to be paid in restricted common stock under the 2014 Omnibus Stock Ownership Plan (the “Plan”) at the time of the Company’s annual shareholder meeting in which directors are elected, with such shares determined based on the closing price for the Company’s shares on the day preceding the annual meeting and which shall be immediately vested.</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any per meeting fees were paid in 2017 to our non-employee directors under the prior non-employee director compensation plan, such fees are to be deducted from the cash portion of the quarterly payments until fully accounted for. The following components of the Director Compensation Program applicable to non-employee directors remain in place:</w:t>
      </w:r>
    </w:p>
    <w:p>
      <w:pPr>
        <w:spacing w:after="0" w:line="18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Reimbursement of reasonable expenses incurred;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Eligibility for discretionary awards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below is provided in lieu of a separate Form 8-K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Compensatory Arrangements of Certain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Awards 2016</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9, 2017 the Board of Directors approved a discretionary 2016 bonus award for Dr. Wilson, our Chief Executive Officer in the amount of $110,000 payable, (i) half in cash ($55,000), and (ii) half ($55,000) in restricted, immediately vested, common stock under the Company’s Plan. The restricted share portion of the 2016 bonus award for Dr. Wilson resulted in the issuance of 12,761 shares of restricted common stock based on the closing price or our common stock of $4.31 per share on the day immediately preceding the date the 2016 bonus award was approved by the Board.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9, 2017 the Compensation Committee approved discretionary 2016 bonus awards for each of Dr. Bonfiglio, our President and Chief Operating Officer and Mr. Loiacono, our Chief Financial Officer for their performance during 2016. Dr. Bonfiglio was awarded a 2016 bonus of $45,000 payable, (i) half in cash ($22,500), and (ii) half ($22,500) in restricted, immediately vested, common stock under the Company’s Plan. The restricted share portion of the 2016 bonus award for Dr. Bonfiglio resulted in the issuance of 5,220 shares of restricted common stock based on the closing price or our common, of $4.31 per share, on the day immediately preceding the date the 2016 bonus award was approved by the Committee. Mr. Loiacono was awarded a 2016 bonus of $10,000 payable in cash.</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and their respective ages as of the date of this annual report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Age</w:t>
            </w:r>
          </w:p>
        </w:tc>
        <w:tc>
          <w:tcPr>
            <w:tcW w:w="120" w:type="dxa"/>
            <w:vAlign w:val="bottom"/>
          </w:tcPr>
          <w:p>
            <w:pPr>
              <w:spacing w:after="0"/>
              <w:rPr>
                <w:sz w:val="20"/>
                <w:szCs w:val="20"/>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 with the Company</w:t>
            </w:r>
          </w:p>
        </w:tc>
      </w:tr>
      <w:tr>
        <w:trPr>
          <w:trHeight w:val="195"/>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60" w:type="dxa"/>
            <w:vAlign w:val="bottom"/>
          </w:tcPr>
          <w:p>
            <w:pPr>
              <w:spacing w:after="0" w:line="195" w:lineRule="exact"/>
              <w:rPr>
                <w:sz w:val="20"/>
                <w:szCs w:val="20"/>
                <w:color w:val="auto"/>
              </w:rPr>
            </w:pPr>
            <w:r>
              <w:rPr>
                <w:rFonts w:ascii="Arial" w:cs="Arial" w:eastAsia="Arial" w:hAnsi="Arial"/>
                <w:sz w:val="18"/>
                <w:szCs w:val="18"/>
                <w:color w:val="auto"/>
              </w:rPr>
              <w:t>Chairman of the Board, Chief Executive Officer, Principal Executive</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Dr. Glynn Wilson</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Officer and a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Dr. John Bonfiglio</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President, Chief Operating Officer and a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Michael J. Loiacono</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Chief Financial Officer and Chief Accounting Officer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Sherry Grisewood</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David Laskow-Pooley</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Mark Reddish</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Joshua Silverman</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Frederick Wasserman</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business experience of each of our directors and executive officers, including other directorships held in other public companies: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Glynn Wilson, Ph. D. , Chief Executive Officer and Chairman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Dr. Wilson was appointed to the Board in February 2005 and as Chief Executive Officer and President in November 2015. On July 18, 2016, Dr. Wilson relinquished the office of President when we hired Dr. John Bonfiglio as President and Chief Operating Officer. Prior to joining the Board, he was President and Chief Scientific Officer of Auriga Pharmaceuticals, a public specialty pharmaceutical company.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Most recently Dr. Wilson is President and Chief Scientific Officer of Auriga Pharmaceuticals, a public specialty pharmaceutical company. He has been an adjunct professor, Pharmaceutics and Pharmaceutical Chemistry, at the University of Utah since 1994, and was a faculty member at Rockefeller University, New York, in the laboratory of the Nobel Laureates, Sanford Moore and William Stein, from 1974 to 1979. He is a recognized leader in the development of drug delivery systems and has been involved in taking lead products &amp; technologies from concept to commercialization. Dr. Wilson has a Ph. D. in Biochemistry and conducted medical research at The Rockefeller University, New York.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Dr. Wilson brings an extensive background of success in corporate management and product development with tenures in both major multinational pharmaceutical companies and start-up pharmaceutical/biotech organizations.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 Director, President and Chief Operating Officer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Dr. John Bonfiglio joined the Board in July 2015 and serves as President, Chief Operating Officer and a Director. Dr. Bonfiglio served as President, Chief Executive Officer and Director of Oragenics, Inc. (NYSE MKT: OGEN) from May 2011 through October 2014. Dr. John Bonfiglio also served as the Chief Executive Officer, President and Director of Transdel Pharmaceuticals (a public company: TDLPE. OB) between October 2010 and May 13, 2011. Previously Dr. John Bonfiglio served as the President and Chief Executive Officer of Argos Therapeutics from January 2007 to February 2010. From November 2005 to December 2006, he served as an independent consultant to two medical device companies, a therapeutic company and a medical communications company. From January 2003 to October 2005, he served as the Chief Executive Officer of The Immune Response Corporation, a public company and immuno-pharmaceutical company focused on developing products to treat autoimmune and infectious diseases. From 2001 to 2002, he was the Chief Operating Officer and Executive Vice President of Cypress Biosciences, a public company (NASDAQ: CYPB) providing therapeutics and personalized medicine services. From 1997 to 2001, he served as the Chief Executive Officer and President of Peregrine Pharmaceuticals, Inc., a public biopharmaceutical company (NASDAQ: PPHM) developing first-in-class monoclonal antibodies for the treatment of cancer and viral infections. Dr. John Bonfiglio has also held senior management positions with Baxter Healthcare and Allergan, Inc. Dr. John Bonfiglio received his bachelor of sciences degree in chemistry from State University of New York at Stony Brook in 1976, later earning his master’s degree and a doctorate in synthetic organic chemistry from University of California at San Diego in 1978 and 1980 respectively. He later went on to serve as a postdoctoral fellow in organometallic chemistry at the University of California at Berkeley in 1981, earning his master’s in business administration from Pepperdine University in 1992.</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We believe that Dr. John Bonfiglio’s qualifications to serve as a director include his 30 years of executive experience in the pharmaceutical, medical device and healthcare businesses, his experience in raising funds and completing licensing transactions for his prior companies and his experience on other company boards.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Loiacono, Chief Financial Officer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Michael J. Loiacono has more than 25 years of financial management experience. At his previous company, FCTI, Inc., Michael was responsible for the company’s strategic development to include new products and services, new market penetration and maximizing gross and net revenues. In 2013, FCTI, Inc. acquired Global Axcess Corp, a publicly-traded company, where Michael served as CFO since 2006. At Global Axcess, Michael oversaw the overall financial strategy of the company, including capital raises, mergers &amp; acquisitions, corporate finance, treasury, financial planning and analysis, accounting, investor relations, external auditing and was responsible for Global Axcess’ corporate strategy function. In 2009, Michael was named a Jacksonville Florida Ultimate CFO of the year. Prior to FCTI/Global Axcess, Michael held various positions of increasing responsibility in finance management through several private and publicly-traded organizations.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Grisewood, CFA, Director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Ms. Grisewood joined the Board in March 2013. She has over 25 years of securities industry experience in a range of investment banking, advisory and research-related activities. Since December 2012 she was associated with Dawson James Securities Inc., first as Managing Director, Corporate Finance until September 2015 and now as Managing Partner, Life Science Research. Prior to joining Dawson James, she inaugurated a Lifesciences specialty investment banking practice as Managing Director, Lifesciences and Technology Banking, for Tripoint Global Equities where she was employed from December 2010 to December 2012. Prior to that, she was an investment banker, independent strategic advisor and consultant in life sciences for several investment banks over the prior 12-year period. Prior to consulting for investment banks, Ms. Grisewood served as Director of Research for a mid-tier brokerage company and a leading independent investment research company. Ms. Grisewood holds a Bachelor of Science degree (Highest Honors) in Life Science from Ramapo College of New Jersey. She is a member of the American Society of Gene and Cell Therapy, the Tissue Engineering and Regenerative Medicine Society International, the Society of Biomaterials, and the CFA Institute.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Grisewood brings a wealth of knowledge about the securities and biomedical industries to TapImmune. She has participated in over 70 transaction-related projects involving initial public offerings, secondary offerings, PIPE’s, private equity, M&amp;A and licensing transactions. These deals and projects represented US, Canadian, Scandinavian, UK, Chinese and Australian clients with advanced therapeutic technologies and delivery systems in the life sciences such as those addressing nucleic acid therapeutics, regenerative medicine, immune-therapy, CNS diseases, or leading edge device technologies for life science special situations.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Laskow-Pooley, Director</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Laskow-Pooley joined the Board in March 2015. He is currently CEO of LondonPharma Ltd, a clinical stage company re-purposing approved drugs through novel drug delivery technologies, where he has been employed since April 2012. He is also a Co-founder of Pharmafor Ltd, a small company incubator. He was formerly Managing Director (UK) of Nasdaq- listed drug discovery platform company, OSI, where he was employed from 2002 to 2004. He also was part of the corporate team that developed and launched Tarceva for the treatment of lung cancer with marketing partners Roche and Genentech. He is a pharmacist with more than 35 years of experience in the Pharmaceutical, Diagnostic and Device sectors, and has had a distinguished career in multinational pharmaceutical companies including Glaxo SmithKline and Abbott, in addition to InVitrogen (Biotech Life Sciences) and Amersham, now GE Healthcare (Diagnostic Imaging). He currently serves on the boards of directors of Pharmafor Ltd, LondonPharma Ltd and OBN Ltd, all UK private companies in addition to Neurovive AB, a Swedish and US public company.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Mr. Laskow-Pooley brings a wealth of experience in the pharmaceutical industry and with start-up and early stage pharmaceutical/biotech organizations.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Mark Reddish, Director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Reddish joined the Company as Vice-President of Product Development in November 2011, and was appointed to the Board in April 2012. Mr. Reddish previously served as Vice President of Product Development and Principal Investigator, Biodefense at ID Biomedical, Bothell, WA, where he was employed from 1998 to 2005. At Biomira Inc. (renamed Oncothyreon), where he was employed from 1991 to 1998, He was responsible for preclinical development of their cancer vaccines program where he led the early research and clinical development of Stimuvax, which is currently in late Stage 3 clinical trials under a partnership with Merck KGa.</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Reddish brings thirty years of biomedical experience ranging from clinical and academic research to industrial product development and has already brought significant value and insight to TapImmune as a member of the scientific advisory board. He has over 50 publications and a number of issued and pending patents in the area of vaccine technologies.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Frederick Wasserman, Director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Wasserman joined the Board in January 2016. He is a business executive with over 35 years of business experience, having served at various companies in roles including Chief Executive Officer, President, Chief Operating Officer and Chief Financial Officer. He is currently the President of FGW Partners LLC, Pennington, NJ, where he has been employed since 2007. He currently serves on the boards of directors of DHL Holdings Corp, MAM Software Group, Inc., and SMTC Corporation. Mr. Wasserman was employed as a certified public accountant from 1976 to 1989. He earned a Bachelor of Science degree from The Wharton School at The University of Pennsylvania in 1976.</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Mr. Wasserman brings to our Board an extensive array of business and industry experience as well as experience as a director of public companies.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Joshua Silverman, Director</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 Silverman joined the board in November 2016. 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2009, our board of directors elected Glynn Wilson as our Chairman. In addition to his role as Chief Executive Officer, focusing on the day-to-day business and strategic decisions, as Chairman Mr. Wilson leads our board in its fundamental role of providing advice to and oversight of management. Our board of directors recognizes the time, effort and energy that the Chief Executive Officer role is required to devote to the current business environment, as well as the commitment that is required to serve as our Chairman, particularly as the board’s oversight responsibilities continue to grow. Our bylaws and corporate governance guidelines do not require that our Chairman and Chief Executive Officer positions be separate. In addition, the independent members of our board meet during every board meeting in separate executive session without any member of management present.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2016, our board of directors met six times. Our board of directors adopted various resolutions pursuant to one unanimous written consent in lieu of a meeting during the year ended December 31, 2016. All but one board member attended 100% of the aggregate of (i) meetings of our board of directors during the year and (ii) the total number of meetings of all committees on our board of directors on which the incumbent directors served. The other remaining directors attended 83% of the aggregate of (i) the meetings of our board of directors during the year and (ii) the total number of meetings of all committees of our board of directors on which the incumbent directors served, due to joining the board during the year.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stockholders or until they resign or are removed from the board in accordance with our bylaws. Our officers are appointed by our Board of Directors and hold office until they resign or are removed from office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affirmatively determines the independence of each director and nominee for election as a director in accordance with guidelines it has adopted, which include all elements of independence set forth in the Nasdaq Capital Market listing standards. Based upon these standards, the Board determined that Mark Reddish, Sherry Grisewood, David Laskow-Pooley and Frederick G. Wasserman were independent and had no relationships with the Company, except as a director and stockholder of the Company. At the time of his appointment in November 2016, the Board determined that Josh Silverman also was an Independent Director.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 of Directors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Governance Guidelines provide that our Chairman and Chief Executive Officer are responsible for establishing effective communications with our shareholders. Our board of directors has implemented a process for shareholders to send communications to our board of directors and to specific individual directors. Any shareholder desiring to communicate with our board of directors, or with specific individual directors, may do so by writing to our Secretary at 50 N. Laura Street, Suite 2500, Jacksonville, Florida 32202. Our Secretary will promptly forward all such sealed communications to our board of directors or such individual directors, as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board of directors has three standing committees – the audit committee, the compensation committee, and the nominating and corporate governance committee. Each of our committees operates pursuant to a written charter which, as in effect from time to time, may be found on our website at </w:t>
      </w:r>
      <w:r>
        <w:rPr>
          <w:rFonts w:ascii="Arial" w:cs="Arial" w:eastAsia="Arial" w:hAnsi="Arial"/>
          <w:sz w:val="18"/>
          <w:szCs w:val="18"/>
          <w:i w:val="1"/>
          <w:iCs w:val="1"/>
          <w:color w:val="auto"/>
        </w:rPr>
        <w:t xml:space="preserve">www.tapimmune.com/investors/briefcase. </w:t>
      </w:r>
      <w:r>
        <w:rPr>
          <w:rFonts w:ascii="Arial" w:cs="Arial" w:eastAsia="Arial" w:hAnsi="Arial"/>
          <w:sz w:val="18"/>
          <w:szCs w:val="18"/>
          <w:color w:val="auto"/>
        </w:rPr>
        <w:t>Each of the committees is composed of independent directors, consistent with the independence standards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SEC and NASDAQ. Each committee has the right to retain its own legal and other advisors.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current membership of each Board committee: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7"/>
              </w:rPr>
              <w:t>Committee Membership</w:t>
            </w:r>
          </w:p>
        </w:tc>
        <w:tc>
          <w:tcPr>
            <w:tcW w:w="154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Nominating</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and Corporate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Audit</w:t>
            </w:r>
          </w:p>
        </w:tc>
        <w:tc>
          <w:tcPr>
            <w:tcW w:w="2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Compensation</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0"/>
              </w:rPr>
              <w:t>Governance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1640"/>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Committee</w:t>
            </w:r>
          </w:p>
        </w:tc>
        <w:tc>
          <w:tcPr>
            <w:tcW w:w="2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Committee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Committee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Chair</w:t>
            </w: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David Laskow-Pooley</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Chair</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Joshua Silverman(1)</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960" w:type="dxa"/>
            <w:vAlign w:val="bottom"/>
            <w:gridSpan w:val="3"/>
          </w:tcPr>
          <w:p>
            <w:pPr>
              <w:spacing w:after="0"/>
              <w:rPr>
                <w:sz w:val="20"/>
                <w:szCs w:val="20"/>
                <w:color w:val="auto"/>
              </w:rPr>
            </w:pPr>
            <w:r>
              <w:rPr>
                <w:rFonts w:ascii="Arial" w:cs="Arial" w:eastAsia="Arial" w:hAnsi="Arial"/>
                <w:sz w:val="18"/>
                <w:szCs w:val="18"/>
                <w:color w:val="auto"/>
              </w:rPr>
              <w:t>(1) Joined the Board on November 28, 2016.</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has established an Audit Committee which functions pursuant to a written charter last amended by our Board of Directors in July 2016. The members of the Committee consist of Sherry Grisewood, David Laskow-Pooley and Frederick Wasserman. Ms. Grisewood serves as Chair of the Committee. Our Board of Directors has determined that Ms. Grisewood qualifies as an “audit committee financial expert” as defined in Item 407(d)(5)(ii) of Regulation S-K. The Audit Committee met six times during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established a Compensation Committee which functions pursuant to a written charter last amended by our Board of Directors in July 2016. The members of the Committee are David Laskow-Pooley, Mark Reddish and Sherry Grisewood. Mr. Laskow-Pooley serves as Chair of the Committee. The Compensation Committee met or acted by written consent three times during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Nominating and Corporate Governance Committee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Board of Directors has established a Nominating and Corporate Governance Committee which functions pursuant to a written charter last amended by our Board of Directors in July 2016. The members of the Committee are David Laskow-Pooley, Mark Reddish and Frederick Wasserman. Mr. Wasserman serves as Chair of the Committee. The Nominating and Corporate Governance Committee met or acted by written consent twice during 2016.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oversees our stockholders’ and other stakeholders’ interest in our long-term health and overall success and financial strength. Risk is inherent with every business, and how well a business manages risk can ultimately determine is success. We face a number of risks, including economic risks, environmental and regulatory risks, and others, such as the impact of competition. Management is responsible for the day-to-day management of risks, while our board of directors, as a whole and through its committees, has the responsibility of satisfying itself that the risk management processes designed and implemented by management are adequate and functioning as designed.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believes that establishing the right “tone at the top” and that full and open communication between management and our board of directors are essential for effective risk management and oversight. Our Chairman and Chief Executive Officer meets with our senior officers on a monthly basis to discuss strategy and risks facing us. In addition, senior management regularly attends board meetings and is available to address any questions or concerns raised by our board on risk management-related and other matters. Our board also holds strategic planning sessions with senior management to discuss strategies, key challenges, and risks and opportunities.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our entire board of directors is ultimately responsible for risk oversight, our board committees assist our board of directors in fulfilling its oversight responsibilities in certain areas of risk. Our audit committee assists our board in the areas of financial reporting, internal controls and compliance with legal and regulatory requirements and discusses policies with respect to risk assessment and risk management. Risk assessment reports are provided annually by management to our audit committee. Our compensation committee assists our board with respect to the management of risk arising from our compensation policies and programs. Our nominating and corporate governance committee assists our board with respect to the management of risk associated with board organization, membership and structure, succession planning for our directors and executive officers, and corporate governance.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nominating and corporate governance committee will consider candidates recommended by shareholders. To recommend director candidates, shareholders should submit their suggestions in writing to the chairman of the nominating and corporate governance committee, c/o our Secretary, providing the candidate’s name, biographical data and other relevant information, together with consent from the suggested candidate to serve on our board of directors if nominated and elected.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adopted a Code of Ethics and Business Conduct that applies to all directors and officers. The code describes the legal, ethical and regulatory standards that must be followed by our directors and officers and sets forth high standards of business conduct applicable to each director and officer. A copy of the code can be viewed on our website at </w:t>
      </w:r>
      <w:r>
        <w:rPr>
          <w:rFonts w:ascii="Arial" w:cs="Arial" w:eastAsia="Arial" w:hAnsi="Arial"/>
          <w:sz w:val="18"/>
          <w:szCs w:val="18"/>
          <w:i w:val="1"/>
          <w:iCs w:val="1"/>
          <w:u w:val="single" w:color="auto"/>
          <w:color w:val="auto"/>
        </w:rPr>
        <w:t>http://tapimmune.com/investors/briefcase/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2016, the executive officers and directors of the Company filed with the Securities and Exchange Commission (the “Commission”) on a timely basis, all required reports relating to transactions involving equity securities of the Company beneficially owned by them. The Company has relied solely on the written representation of its executive officers and directors and copies of the reports they have filed with the Commission in providing this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earned by our executive officers for their services as executive officers during our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6"/>
          </w:tcPr>
          <w:p>
            <w:pPr>
              <w:ind w:left="380"/>
              <w:spacing w:after="0"/>
              <w:rPr>
                <w:sz w:val="20"/>
                <w:szCs w:val="20"/>
                <w:color w:val="auto"/>
              </w:rPr>
            </w:pPr>
            <w:r>
              <w:rPr>
                <w:rFonts w:ascii="Arial" w:cs="Arial" w:eastAsia="Arial" w:hAnsi="Arial"/>
                <w:sz w:val="18"/>
                <w:szCs w:val="18"/>
                <w:b w:val="1"/>
                <w:bCs w:val="1"/>
                <w:color w:val="auto"/>
              </w:rPr>
              <w:t>Summary Compensation Table(6)</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Salary</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Bonus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5"/>
              </w:rPr>
              <w:t>($)(5)</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276,200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191,000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Chairman, CEO and Principal</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John Bonfiglio</w:t>
            </w: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4"/>
              </w:rPr>
              <w:t>President and Chief Operating Officer</w:t>
            </w: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Michael J. Loiacono</w:t>
            </w: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Chief Financial Officer, Chief</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Accounting Officer and Principal</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Accounting Officer</w:t>
            </w:r>
          </w:p>
        </w:tc>
        <w:tc>
          <w:tcPr>
            <w:tcW w:w="10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56" w:lineRule="auto"/>
        <w:tabs>
          <w:tab w:leader="none" w:pos="2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salary paid to Dr. Glynn Wilson, Dr. John Bonfiglio and Michael J. Loiacono in accordance with the terms of their employment agreement with us. In the case of Dr. John Bonfiglio and Mr. Michael J. Loiacono the salary reflects the portion of the year they served us in the capacity as an officer from the time their employment became effective.</w:t>
      </w:r>
    </w:p>
    <w:p>
      <w:pPr>
        <w:jc w:val="both"/>
        <w:ind w:firstLine="8"/>
        <w:spacing w:after="0" w:line="250" w:lineRule="auto"/>
        <w:tabs>
          <w:tab w:leader="none" w:pos="2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bonus awards of $110,000 earned by Dr. Glynn Wilson for fiscal year 2016, of which $55,000 is to be paid in cash and $55,000 is to be paid in stock. Dr. John Bonfiglio earned $45,000 of bonus for fiscal year 2016, of which $22,500 is to be paid in cash and $22,500 is to be paid in stock. Michael J. Loiacono earned $10,000 bonus for fiscal year 2016 which is to be paid in cash.</w:t>
      </w:r>
    </w:p>
    <w:p>
      <w:pPr>
        <w:spacing w:after="0" w:line="1" w:lineRule="exact"/>
        <w:rPr>
          <w:rFonts w:ascii="Arial" w:cs="Arial" w:eastAsia="Arial" w:hAnsi="Arial"/>
          <w:sz w:val="18"/>
          <w:szCs w:val="18"/>
          <w:color w:val="auto"/>
        </w:rPr>
      </w:pPr>
    </w:p>
    <w:p>
      <w:pPr>
        <w:jc w:val="both"/>
        <w:ind w:firstLine="8"/>
        <w:spacing w:after="0" w:line="250" w:lineRule="auto"/>
        <w:tabs>
          <w:tab w:leader="none" w:pos="2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awards of restricted common stock under our 2014 Omnibus Stock Ownership Plan awarded to Dr. Glynn Wilson of 26,250 shares and Dr. John Bonfiglio of 20,833 shares. Such share awards were granted in connection with Dr. Glynn Wilson’s amended and restated employment agreement and in the case of Dr. John Bonfiglio in connection with his initial employment agreement with us. The shares issued to Dr. Glynn Wilson and Dr. John Bonfiglio were issued at a fair value of $7.32 per share and $4.92 per share, respectively.</w:t>
      </w:r>
    </w:p>
    <w:p>
      <w:pPr>
        <w:spacing w:after="0" w:line="1" w:lineRule="exact"/>
        <w:rPr>
          <w:rFonts w:ascii="Arial" w:cs="Arial" w:eastAsia="Arial" w:hAnsi="Arial"/>
          <w:sz w:val="18"/>
          <w:szCs w:val="18"/>
          <w:color w:val="auto"/>
        </w:rPr>
      </w:pPr>
    </w:p>
    <w:p>
      <w:pPr>
        <w:jc w:val="both"/>
        <w:ind w:firstLine="8"/>
        <w:spacing w:after="0" w:line="250" w:lineRule="auto"/>
        <w:tabs>
          <w:tab w:leader="none" w:pos="274"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option awards made to Dr. John Bonfiglio and Michael J. Loiacono in connection with their employment with us. Dr. John Bonfiglio was awarded options to acquire 62,500 shares, with 20,833 shares vesting immediately and the remaining options vesting in 24 equal monthly installments of 1,737. The exercise price for the option is $5.70 per share which was based on the fair market value on the date of the grant. Michael J. Loiacono was awarded an option to acquire 54,167 with 6,251 shares vesting immediately and the remaining shares vesting in 36 equal monthly installments of 1,331 shares on the last day of each of the 36 months following the grant date, at an exercise price of $5.70 per share based upon the fair market value on the date of the grant. See Note 12 of the Notes to the Consolidated Financial Statements contained in this Annual Report on Form 10-K for a discussion of all assumptions made by us in the valuation of the equity awards.</w:t>
      </w:r>
    </w:p>
    <w:p>
      <w:pPr>
        <w:spacing w:after="0" w:line="3" w:lineRule="exact"/>
        <w:rPr>
          <w:rFonts w:ascii="Arial" w:cs="Arial" w:eastAsia="Arial" w:hAnsi="Arial"/>
          <w:sz w:val="18"/>
          <w:szCs w:val="18"/>
          <w:color w:val="auto"/>
        </w:rPr>
      </w:pPr>
    </w:p>
    <w:p>
      <w:pPr>
        <w:jc w:val="both"/>
        <w:ind w:firstLine="8"/>
        <w:spacing w:after="0" w:line="281" w:lineRule="auto"/>
        <w:tabs>
          <w:tab w:leader="none" w:pos="26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under the Other column for 2016 reflected for Dr. Glynn Wilson include payroll taxes paid by the Company on behalf of Dr. Glynn Wilson in connection with the 26,250 shares of restricted stock awarded to Dr. Glynn Wilson. Amounts reflected under the Other column for Dr. John Bonfiglio include</w:t>
      </w:r>
    </w:p>
    <w:p>
      <w:pPr>
        <w:spacing w:after="0" w:line="1" w:lineRule="exact"/>
        <w:rPr>
          <w:rFonts w:ascii="Arial" w:cs="Arial" w:eastAsia="Arial" w:hAnsi="Arial"/>
          <w:sz w:val="16"/>
          <w:szCs w:val="16"/>
          <w:color w:val="auto"/>
        </w:rPr>
      </w:pPr>
    </w:p>
    <w:p>
      <w:pPr>
        <w:jc w:val="both"/>
        <w:spacing w:after="0" w:line="250" w:lineRule="auto"/>
        <w:rPr>
          <w:rFonts w:ascii="Arial" w:cs="Arial" w:eastAsia="Arial" w:hAnsi="Arial"/>
          <w:sz w:val="16"/>
          <w:szCs w:val="16"/>
          <w:color w:val="auto"/>
        </w:rPr>
      </w:pPr>
      <w:r>
        <w:rPr>
          <w:rFonts w:ascii="Arial" w:cs="Arial" w:eastAsia="Arial" w:hAnsi="Arial"/>
          <w:sz w:val="18"/>
          <w:szCs w:val="18"/>
          <w:color w:val="auto"/>
        </w:rPr>
        <w:t>(i) compensation he was paid as a consultant up to the time he became employed as an officer, and (ii) payroll taxes paid by the Company on behalf of Dr. John Bonfiglio in connection with the 20,833 shares of restricted stock awarded to Dr. John Bonfiglio. Mr. Loiacono’s amount under the Other column reflects payments made to Mr. Loiacono as a consultant prior to his joining the Company as an officer.</w:t>
      </w:r>
    </w:p>
    <w:p>
      <w:pPr>
        <w:spacing w:after="0" w:line="1" w:lineRule="exact"/>
        <w:rPr>
          <w:rFonts w:ascii="Arial" w:cs="Arial" w:eastAsia="Arial" w:hAnsi="Arial"/>
          <w:sz w:val="16"/>
          <w:szCs w:val="16"/>
          <w:color w:val="auto"/>
        </w:rPr>
      </w:pPr>
    </w:p>
    <w:p>
      <w:pPr>
        <w:ind w:firstLine="8"/>
        <w:spacing w:after="0" w:line="261" w:lineRule="auto"/>
        <w:tabs>
          <w:tab w:leader="none" w:pos="2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 amounts reflected in the notes to this table have been adjusted to reflect the one for twelve reverse split that occurred on September 15, 2016 unless such share awards occurred after the date of the reverse split.</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amounts represent fees paid or accrued by us to the executive officers during the past year pursuant to various employment and consulting services agreements, as between us and the executive officers, which are described below. Our executive officers are also reimbursed for any out-of-pocket expenses incurred in connection with corporate duties. We presently have no pension, annuity, life insurance, profit sharing or similar benefit plans.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following table sets forth information as at December 31, 2016 relating to outstanding equity awards for each named executive officer: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8"/>
                <w:szCs w:val="18"/>
                <w:b w:val="1"/>
                <w:bCs w:val="1"/>
                <w:color w:val="auto"/>
                <w:w w:val="97"/>
              </w:rPr>
              <w:t>Outstanding Equity Awards at Year End Table(3)</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05"/>
              <w:spacing w:after="0" w:line="191" w:lineRule="exact"/>
              <w:rPr>
                <w:sz w:val="20"/>
                <w:szCs w:val="20"/>
                <w:color w:val="auto"/>
              </w:rPr>
            </w:pPr>
            <w:r>
              <w:rPr>
                <w:rFonts w:ascii="Arial" w:cs="Arial" w:eastAsia="Arial" w:hAnsi="Arial"/>
                <w:sz w:val="18"/>
                <w:szCs w:val="18"/>
                <w:b w:val="1"/>
                <w:bCs w:val="1"/>
                <w:color w:val="auto"/>
                <w:w w:val="91"/>
              </w:rPr>
              <w:t>Number of</w:t>
            </w: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5"/>
              </w:rPr>
              <w:t>Securities</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1"/>
              </w:rPr>
              <w:t>Underlying</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7"/>
              </w:rPr>
              <w:t>Unexercised</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Option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91"/>
              </w:rPr>
              <w:t>Options</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Unearned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540" w:type="dxa"/>
            <w:vAlign w:val="bottom"/>
            <w:gridSpan w:val="2"/>
          </w:tcPr>
          <w:p>
            <w:pPr>
              <w:jc w:val="center"/>
              <w:ind w:right="205"/>
              <w:spacing w:after="0"/>
              <w:rPr>
                <w:sz w:val="20"/>
                <w:szCs w:val="20"/>
                <w:color w:val="auto"/>
              </w:rPr>
            </w:pPr>
            <w:r>
              <w:rPr>
                <w:rFonts w:ascii="Arial" w:cs="Arial" w:eastAsia="Arial" w:hAnsi="Arial"/>
                <w:sz w:val="18"/>
                <w:szCs w:val="18"/>
                <w:b w:val="1"/>
                <w:bCs w:val="1"/>
                <w:color w:val="auto"/>
                <w:w w:val="89"/>
              </w:rPr>
              <w:t>(exercisable)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(unexercisable)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Chairman, CEO and Principal Executive Officer</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125,000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33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204.00</w:t>
            </w:r>
            <w:r>
              <w:rPr>
                <w:rFonts w:ascii="Arial" w:cs="Arial" w:eastAsia="Arial" w:hAnsi="Arial"/>
                <w:sz w:val="15"/>
                <w:szCs w:val="15"/>
                <w:color w:val="auto"/>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07/06/17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87"/>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204.00</w:t>
            </w:r>
            <w:r>
              <w:rPr>
                <w:rFonts w:ascii="Arial" w:cs="Arial" w:eastAsia="Arial" w:hAnsi="Arial"/>
                <w:sz w:val="15"/>
                <w:szCs w:val="15"/>
                <w:color w:val="auto"/>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87"/>
              </w:rPr>
              <w:t>(1)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204.00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John Bonfilgio</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Chief Operating Officer</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10,416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9,375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07/23/25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29,514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32,986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07/18/26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Michael J. Loiacono</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4"/>
              </w:rPr>
              <w:t>Chief Financial Officer, Chief Accounting Officer and</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Principal Accounting Officer</w:t>
            </w:r>
          </w:p>
        </w:tc>
        <w:tc>
          <w:tcPr>
            <w:tcW w:w="164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11,575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42,592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08/25/26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5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plan under which these shares were issued was approved by the Board of Directors and the stockholders in 2009 but did not come into effect until February 22, 2010.</w:t>
      </w:r>
    </w:p>
    <w:p>
      <w:pPr>
        <w:spacing w:after="0" w:line="1" w:lineRule="exact"/>
        <w:rPr>
          <w:rFonts w:ascii="Arial" w:cs="Arial" w:eastAsia="Arial" w:hAnsi="Arial"/>
          <w:sz w:val="18"/>
          <w:szCs w:val="18"/>
          <w:color w:val="auto"/>
        </w:rPr>
      </w:pPr>
    </w:p>
    <w:p>
      <w:pPr>
        <w:ind w:left="720" w:hanging="71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February 16, 2011, the option exercise price was reduced to $204.00.</w:t>
      </w:r>
    </w:p>
    <w:p>
      <w:pPr>
        <w:spacing w:after="0" w:line="9" w:lineRule="exact"/>
        <w:rPr>
          <w:rFonts w:ascii="Arial" w:cs="Arial" w:eastAsia="Arial" w:hAnsi="Arial"/>
          <w:sz w:val="18"/>
          <w:szCs w:val="18"/>
          <w:color w:val="auto"/>
        </w:rPr>
      </w:pPr>
    </w:p>
    <w:p>
      <w:pPr>
        <w:ind w:firstLine="8"/>
        <w:spacing w:after="0" w:line="261" w:lineRule="auto"/>
        <w:tabs>
          <w:tab w:leader="none" w:pos="7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amounts reflected in this table have been adjusted to reflect the one for twelve reverse split that occurred on September 15, 2016, unless such share awards occurred after the date of the reverse split.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The following table sets forth information relating to compensation earned or paid to our directors for their services as directors in the fiscal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excludes compensation paid to our directors for their services as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ind w:left="300"/>
              <w:spacing w:after="0"/>
              <w:rPr>
                <w:sz w:val="20"/>
                <w:szCs w:val="20"/>
                <w:color w:val="auto"/>
              </w:rPr>
            </w:pPr>
            <w:r>
              <w:rPr>
                <w:rFonts w:ascii="Arial" w:cs="Arial" w:eastAsia="Arial" w:hAnsi="Arial"/>
                <w:sz w:val="18"/>
                <w:szCs w:val="18"/>
                <w:b w:val="1"/>
                <w:bCs w:val="1"/>
                <w:color w:val="auto"/>
                <w:w w:val="93"/>
              </w:rPr>
              <w:t>Director Compensation Table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Fees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Earned or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Paid in</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Awards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gridSpan w:val="2"/>
          </w:tcPr>
          <w:p>
            <w:pPr>
              <w:ind w:left="176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Cash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w:t>
            </w:r>
          </w:p>
        </w:tc>
        <w:tc>
          <w:tcPr>
            <w:tcW w:w="34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Glynn Wilson(3)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Bonfiglio(3)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Sherry Grisewood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Laskow-Pooley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Reddish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Silverman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60,200(4)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Frederick Wasserman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94,500(4)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are no stock awards outstanding for any non-employee director.</w:t>
      </w:r>
    </w:p>
    <w:p>
      <w:pPr>
        <w:spacing w:after="0" w:line="23" w:lineRule="exact"/>
        <w:rPr>
          <w:rFonts w:ascii="Arial" w:cs="Arial" w:eastAsia="Arial" w:hAnsi="Arial"/>
          <w:sz w:val="18"/>
          <w:szCs w:val="18"/>
          <w:color w:val="auto"/>
        </w:rPr>
      </w:pPr>
    </w:p>
    <w:p>
      <w:pPr>
        <w:ind w:firstLine="8"/>
        <w:spacing w:after="0" w:line="250" w:lineRule="auto"/>
        <w:tabs>
          <w:tab w:leader="none" w:pos="2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 Wilson, Dr. Bonfiglio, Ms. Grisewood, Mr. Laskow-Pooley, Mr. Reddish, Mr. Silverman, Mr. Wasserman have aggregate options to acquire 168,167, 95,834, 12,500, 12,500, 12,875, 12,500 and 12,500, respectively.</w:t>
      </w:r>
    </w:p>
    <w:p>
      <w:pPr>
        <w:jc w:val="both"/>
        <w:ind w:firstLine="8"/>
        <w:spacing w:after="0" w:line="250" w:lineRule="auto"/>
        <w:tabs>
          <w:tab w:leader="none" w:pos="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was no amount paid to Dr. Wilson for his services as a director given his service as our Chief Executive Officer for the compensation paid to him for such services. See Summary Compensation Table. The reflected amount paid to Dr. Bonfiglio was for services as a director prior to the time he became employed as our President and Chief Operating Officer. See Summary Compensation Table.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awards of options upon joining our Board of Directors in the share amount of 12,500 for each of Mr. Wasserman and Mr. Silverman. See Note</w:t>
      </w:r>
    </w:p>
    <w:p>
      <w:pPr>
        <w:spacing w:after="0" w:line="32" w:lineRule="exact"/>
        <w:rPr>
          <w:rFonts w:ascii="Arial" w:cs="Arial" w:eastAsia="Arial" w:hAnsi="Arial"/>
          <w:sz w:val="16"/>
          <w:szCs w:val="16"/>
          <w:color w:val="auto"/>
        </w:rPr>
      </w:pPr>
    </w:p>
    <w:p>
      <w:pPr>
        <w:ind w:right="20"/>
        <w:spacing w:after="0" w:line="250" w:lineRule="auto"/>
        <w:rPr>
          <w:rFonts w:ascii="Arial" w:cs="Arial" w:eastAsia="Arial" w:hAnsi="Arial"/>
          <w:sz w:val="16"/>
          <w:szCs w:val="16"/>
          <w:color w:val="auto"/>
        </w:rPr>
      </w:pPr>
      <w:r>
        <w:rPr>
          <w:rFonts w:ascii="Arial" w:cs="Arial" w:eastAsia="Arial" w:hAnsi="Arial"/>
          <w:sz w:val="18"/>
          <w:szCs w:val="18"/>
          <w:color w:val="auto"/>
        </w:rPr>
        <w:t>12 of the Notes to the Consolidated Financial Statements contained in this Annual Report for a discussion of all assumptions made by us in the valuation of the equity awards.</w:t>
      </w:r>
    </w:p>
    <w:p>
      <w:pPr>
        <w:ind w:firstLine="8"/>
        <w:spacing w:after="0" w:line="261" w:lineRule="auto"/>
        <w:tabs>
          <w:tab w:leader="none" w:pos="2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amounts reflected in the notes to this table have been adjusted to reflect the one for twelve reverse split that occurred on September 15, 2016, unless such share awards occurred after the date of the reverse split.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6, 2015 the Board of Directors met and ratified and approved the Non-Employee Director Compensation Plan which provided for the following for non-employee directors:</w:t>
      </w:r>
    </w:p>
    <w:p>
      <w:pPr>
        <w:spacing w:after="0" w:line="17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initial grant upon joining the Board of 12,500 stock options under the 2014 Omnibus Stock Ownership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In-person meeting fees of $2,000, with the anticipation that four in person board meetings would be held each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fees for telephonic meetings (board and committee);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annual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committee meeting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committee chair fees;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Reimbursement of reasonable expenses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Directors did not receive any compensation for board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Consulting and Services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Glynn Wilson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12, 2015, we entered into a new employment agreement with Dr. Glynn Wilson, our Chief Executive Officer, President and Chairman, the material terms and conditions of which are summarized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spacing w:after="0" w:line="255" w:lineRule="auto"/>
        <w:rPr>
          <w:sz w:val="20"/>
          <w:szCs w:val="20"/>
          <w:color w:val="auto"/>
        </w:rPr>
      </w:pPr>
      <w:r>
        <w:rPr>
          <w:rFonts w:ascii="Arial" w:cs="Arial" w:eastAsia="Arial" w:hAnsi="Arial"/>
          <w:sz w:val="18"/>
          <w:szCs w:val="18"/>
          <w:color w:val="auto"/>
        </w:rPr>
        <w:t>The employment agreement provides that Dr. Wilson will serve as our Chief Executive Officer, President and Chairman. The initial term of the agreement ends November 11, 2017, but it will automatically be extended for 12-months unless terminated by us or Dr. Wilson by written notice to the other not later than 12 months prior to the end of such initial term. It will thereafter be further extended for an additional 12 months after the end of each such extended term unless terminated by us or Dr. Wilson by written notice no later than 90 days prior to the end of such term, subject to early termination for cause or good reason by Dr. Wilson. Under the agreement, Dr. Wilson’s annual base salary is to be $280,000, and he is entitled to a performance-based bonus ranging of up to 50% of his base salary based on goals and other conditions as the Board determines on an annual basis, which may be paid in cash or equity awards as the Board determines.</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Dr. Wilson will be entitled to 21 days paid vacation per calendar year plus such sick leave as he may reasonably and actually require, and he will be entitled to participate in all group insurance, vacation, retirement and other employee benefits established by us for our full time employees generally, on terms comparable to those provided to such employees from time to time by us.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entering into the new agreement, Dr. Wilson received equity awards under our 2014 Omnibus Stock Ownership Plan consisting of (i) an award of 26,250 shares of unregistered common stock, which immediately vested, and (ii) an award of stock options to purchase 166,667 shares of our common stock, prior to November 12, 2025, for $7.26 per share (the closing price of the common stock on November 12, 2015). One-half of the stock options immediately vested, and the remaining half will vest ratably over the following 24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agreement is terminated by us without cause (as defined in the agreement), or if the agreement is terminated by Dr. Wilson for good reason (as defined in the agreement), we are required to pay Dr. Wilson a severance payment in an amount equal to 2/3 of his annual base salary, plus any amount of his annual performance bonus that was earned as of the date of termination but not yet paid.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agreement is terminated either by us without cause or by Dr. Wilson for good reason during the period of ninety (90) days following a change in control (as defined in the agreement), then in lieu of the severance payment described above, we are required to pay Dr. Wilson severance equal to the sum of (i) 2/3 of his annual base salary and (ii) his Annual Performance Bonus for the year which includes the effective date of the change in control, payable at the target level of performance. In addition, we will also be required to pay Dr. Wilson the amount of any annual performance bonus that, as of the date of termination, has been earned by him but not yet paid. If Dr. Wilson holds any stock options or other stock awards granted under our equity plans which are not fully vested at the time his employment is terminated either by us without Cause or by him for good reason during the period of ninety (90) days following a change in control, such equity awards shall become fully vested as of the termination date.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 provides that Dr. Wilson may not solicit any of our employees or compete directly or indirectly with us during the term of the agreement and for one year after its expiration anywhere in the United States. The agreement contains customary confidentiality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July 18, 2016, we amended the employment agreement of Dr. Wilson such that Dr. Wilson relinquished the office of President.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John Bonfiglio</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July 18, 2016, we entered into an Employment Agreement with Dr. John Bonfiglio. Pursuant to that Agreement, Dr. Bonfiglio was to (a) serve as our President and Chief Operating Officer; (b) dedicate his full business time, attention and energies to performing his duties to us, as prescribed by the CEO; (c) report to our CEO; and (d) carry out the decisions and otherwise abide by and enforce our lawful rules and policies. The Agreement provided that Dr. Bonfiglio would perform such services in exchange for an annual salary of $260,000 per year. The agreement provided for equity awards under our 2014 Omnibus Stock Ownership Plan consisting of stock options to purchase 62,500 shares of our common stock at an exercise price of $5.70 which options will vest one third (20,834) immediately and the remaining options shall vest in 23 equal monthly installments of 1,737 options on the last day of each of the 23 months following the grant date, and the remaining 1,737 options shall vest on the last day of the 24th month, and 1,737 shares of unregistered, restricted common stock, all of which shall vest upon the earlier to occur of (i) the listing of our common stock on a national securities exchange in the United States or</w:t>
      </w:r>
    </w:p>
    <w:p>
      <w:pPr>
        <w:spacing w:after="0" w:line="1" w:lineRule="exact"/>
        <w:rPr>
          <w:sz w:val="20"/>
          <w:szCs w:val="20"/>
          <w:color w:val="auto"/>
        </w:rPr>
      </w:pPr>
    </w:p>
    <w:p>
      <w:pPr>
        <w:jc w:val="both"/>
        <w:ind w:firstLine="8"/>
        <w:spacing w:after="0" w:line="254" w:lineRule="auto"/>
        <w:tabs>
          <w:tab w:leader="none" w:pos="27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first anniversary of the July 18, 2016, so long as Dr. Bonfiglio is employed with us at such time or on such date, either as an employee or consultant. The term of the Agreement is two years, and will be automatically extended for successive additional twelve (12) month periods, unless terminated by us or Dr. Bonfiglio by written notice. The options awarded to Dr. Bonfiglio at the time he became a consultant have fully vested and, would continue to be exercisable notwithstanding the termination of his consulting services.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Michael J. Loiacono</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August 25, 2016, we entered into an Employment Agreement with Michael J. Loiacono. Pursuant to that Agreement, Mr. Loiacono was to (a) serve as our Chief Financial Officer and Chief Accounting Officer, Secretary and Treasurer; (b) dedicate his full business time, attention and energies to performing his duties to us, as prescribed by the CEO; (c) manage our financial affairs and perform the duties typically assigned to the chief financial officer and chief accounting officer of a similarly situated company in our industry; and (d) perform such other reasonable duties as may hereafter be assigned to him by the CEO, consistent with his abilities and position as the Chief Financial Officer and Chief Accounting Officer and providing such further services to us as may reasonably be requested of him. The Agreement provided that Mr. Loiacono would perform such services in exchange for an annual base salary of $200,000 per year. The agreement provided for equity awards under our 2014 Omnibus Stock Ownership Plan consisting stock options to purchase 54,167 shares of our common stock at an exercise price of $5.70, which 6,251 options shall vest immediately and the remaining options shall vest in 36 equal monthly installments of 1,331 options on the last day of each of the 36 months following the grant date. The term of the Agreement is two years, and will be automatically extended for successive additional twelve (12) month periods after the end of the initial term, unless terminated by us or Mr. Loiacono by written notice.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sets forth, as of the date of this annual report, certain information regarding the ownership of our common stock by (i) each person known by us to be the beneficial owner of more than 5% of our outstanding shares of common stock, (ii) each of our directors, (iii) our Chief Executive Officer and</w:t>
      </w:r>
    </w:p>
    <w:p>
      <w:pPr>
        <w:jc w:val="both"/>
        <w:ind w:firstLine="8"/>
        <w:spacing w:after="0" w:line="277" w:lineRule="auto"/>
        <w:tabs>
          <w:tab w:leader="none" w:pos="311"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of our directors and our Chief Executive Officer as a group. Unless otherwise indicated, the address of each person shown is c/o TapImmune Inc., 50 N. Laura Street, Suite 2500, Jacksonville, Florida 32202. Beneficial ownership, for purposes of this table, includes options and warrants to purchase common stock that are either currently exercisable or will be exercisable within 60 days of the date of this annual report.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Amount and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Nature of</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Percent of</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4960" w:type="dxa"/>
            <w:vAlign w:val="bottom"/>
            <w:gridSpan w:val="2"/>
          </w:tcPr>
          <w:p>
            <w:pPr>
              <w:ind w:left="280"/>
              <w:spacing w:after="0"/>
              <w:rPr>
                <w:sz w:val="20"/>
                <w:szCs w:val="20"/>
                <w:color w:val="auto"/>
              </w:rPr>
            </w:pPr>
            <w:r>
              <w:rPr>
                <w:rFonts w:ascii="Arial" w:cs="Arial" w:eastAsia="Arial" w:hAnsi="Arial"/>
                <w:sz w:val="18"/>
                <w:szCs w:val="18"/>
                <w:b w:val="1"/>
                <w:bCs w:val="1"/>
                <w:color w:val="auto"/>
              </w:rPr>
              <w:t>Name and Address of Beneficial Owner</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Ownership(1)</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Class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2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8"/>
              </w:rPr>
              <w:t>Dr. Glynn Wilson, Chairman and Chief Executive Officer (2)</w:t>
            </w:r>
          </w:p>
        </w:tc>
        <w:tc>
          <w:tcPr>
            <w:tcW w:w="4300" w:type="dxa"/>
            <w:vAlign w:val="bottom"/>
            <w:gridSpan w:val="4"/>
          </w:tcPr>
          <w:p>
            <w:pPr>
              <w:jc w:val="right"/>
              <w:ind w:right="200"/>
              <w:spacing w:after="0"/>
              <w:rPr>
                <w:sz w:val="20"/>
                <w:szCs w:val="20"/>
                <w:color w:val="auto"/>
              </w:rPr>
            </w:pPr>
            <w:r>
              <w:rPr>
                <w:rFonts w:ascii="Arial" w:cs="Arial" w:eastAsia="Arial" w:hAnsi="Arial"/>
                <w:sz w:val="18"/>
                <w:szCs w:val="18"/>
                <w:color w:val="auto"/>
              </w:rPr>
              <w:t>225,955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Mark Reddish, Director (3)</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31,764</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Sherry Grisewood, Director (4)</w:t>
            </w:r>
          </w:p>
        </w:tc>
        <w:tc>
          <w:tcPr>
            <w:tcW w:w="4300" w:type="dxa"/>
            <w:vAlign w:val="bottom"/>
            <w:gridSpan w:val="4"/>
          </w:tcPr>
          <w:p>
            <w:pPr>
              <w:jc w:val="right"/>
              <w:ind w:right="200"/>
              <w:spacing w:after="0"/>
              <w:rPr>
                <w:sz w:val="20"/>
                <w:szCs w:val="20"/>
                <w:color w:val="auto"/>
              </w:rPr>
            </w:pPr>
            <w:r>
              <w:rPr>
                <w:rFonts w:ascii="Arial" w:cs="Arial" w:eastAsia="Arial" w:hAnsi="Arial"/>
                <w:sz w:val="18"/>
                <w:szCs w:val="18"/>
                <w:color w:val="auto"/>
              </w:rPr>
              <w:t>14,861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Dr. John Bonfiglio, Director (5)</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92,026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David Laskow-Pooley, Director (6)</w:t>
            </w:r>
          </w:p>
        </w:tc>
        <w:tc>
          <w:tcPr>
            <w:tcW w:w="4300" w:type="dxa"/>
            <w:vAlign w:val="bottom"/>
            <w:gridSpan w:val="4"/>
          </w:tcPr>
          <w:p>
            <w:pPr>
              <w:jc w:val="right"/>
              <w:ind w:right="200"/>
              <w:spacing w:after="0"/>
              <w:rPr>
                <w:sz w:val="20"/>
                <w:szCs w:val="20"/>
                <w:color w:val="auto"/>
              </w:rPr>
            </w:pPr>
            <w:r>
              <w:rPr>
                <w:rFonts w:ascii="Arial" w:cs="Arial" w:eastAsia="Arial" w:hAnsi="Arial"/>
                <w:sz w:val="18"/>
                <w:szCs w:val="18"/>
                <w:color w:val="auto"/>
              </w:rPr>
              <w:t>12,500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Frederick Wasserman, Director (7)</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6,771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Joshua Silverman, Director (8)</w:t>
            </w:r>
          </w:p>
        </w:tc>
        <w:tc>
          <w:tcPr>
            <w:tcW w:w="4300" w:type="dxa"/>
            <w:vAlign w:val="bottom"/>
            <w:gridSpan w:val="4"/>
          </w:tcPr>
          <w:p>
            <w:pPr>
              <w:jc w:val="right"/>
              <w:ind w:right="200"/>
              <w:spacing w:after="0"/>
              <w:rPr>
                <w:sz w:val="20"/>
                <w:szCs w:val="20"/>
                <w:color w:val="auto"/>
              </w:rPr>
            </w:pPr>
            <w:r>
              <w:rPr>
                <w:rFonts w:ascii="Arial" w:cs="Arial" w:eastAsia="Arial" w:hAnsi="Arial"/>
                <w:sz w:val="18"/>
                <w:szCs w:val="18"/>
                <w:color w:val="auto"/>
              </w:rPr>
              <w:t>1,563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Michael J. Loiacono, Chief Financial Officer (9)</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15,568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All executive officers and directors as a group (8 persons)</w:t>
            </w:r>
          </w:p>
        </w:tc>
        <w:tc>
          <w:tcPr>
            <w:tcW w:w="4300" w:type="dxa"/>
            <w:vAlign w:val="bottom"/>
            <w:gridSpan w:val="4"/>
          </w:tcPr>
          <w:p>
            <w:pPr>
              <w:jc w:val="right"/>
              <w:ind w:right="200"/>
              <w:spacing w:after="0"/>
              <w:rPr>
                <w:sz w:val="20"/>
                <w:szCs w:val="20"/>
                <w:color w:val="auto"/>
              </w:rPr>
            </w:pPr>
            <w:r>
              <w:rPr>
                <w:rFonts w:ascii="Arial" w:cs="Arial" w:eastAsia="Arial" w:hAnsi="Arial"/>
                <w:sz w:val="18"/>
                <w:szCs w:val="18"/>
                <w:color w:val="auto"/>
              </w:rPr>
              <w:t>401,008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5% Stockholders:</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Eastern Capital Limited (10)</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10 Market St. #773</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Camana Bay, Grand Cayman KY1-1206</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4,000,000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Iroquois Capital Management L.L.C. (11)</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205 East 42nd St.,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878,860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Brio Capital Master Fund (12)</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100 Merrick Road, Suite 401</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 Rockville Center, NY 11570</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1,155,515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Empery Asset Management LP (13)</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212121"/>
              </w:rPr>
              <w:t>1 Rockefeller Plaza, Suite 1205</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212121"/>
              </w:rPr>
              <w:t>New York, New York 10020</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939,999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46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Kimberly Page (14)</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8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205 East 42nd St., 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43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1,425,427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Less than one percent (1%)</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1" w:name="page72"/>
    <w:bookmarkEnd w:id="71"/>
    <w:p>
      <w:pPr>
        <w:jc w:val="both"/>
        <w:ind w:firstLine="8"/>
        <w:spacing w:after="0" w:line="283" w:lineRule="auto"/>
        <w:tabs>
          <w:tab w:leader="none" w:pos="1086"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annual report. As of February 28, 2017 there were 8,421,185 shares of common stock issued and outstanding.</w:t>
      </w:r>
    </w:p>
    <w:p>
      <w:pPr>
        <w:spacing w:after="0" w:line="6" w:lineRule="exact"/>
        <w:rPr>
          <w:rFonts w:ascii="Arial" w:cs="Arial" w:eastAsia="Arial" w:hAnsi="Arial"/>
          <w:sz w:val="16"/>
          <w:szCs w:val="16"/>
          <w:color w:val="auto"/>
        </w:rPr>
      </w:pPr>
    </w:p>
    <w:p>
      <w:pPr>
        <w:ind w:firstLine="8"/>
        <w:spacing w:after="0" w:line="250" w:lineRule="auto"/>
        <w:tabs>
          <w:tab w:leader="none" w:pos="7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figure includes 85,567 shares directly owned by Dr. Glynn Wilson, 140,388 shares subject to currently exercisable stock options and excludes 27,779 shares subject to options that have not yet vested.</w:t>
      </w:r>
    </w:p>
    <w:p>
      <w:pPr>
        <w:ind w:left="700" w:hanging="69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figure includes 18,889 shares directly owned by Mark Reddish and 12,875 shares subject to currently exercisable stock options.</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figure includes 2,361 shares directly owned by Sherry Grisewood and 12,500 shares subject to currently exercisable stock options.</w:t>
      </w:r>
    </w:p>
    <w:p>
      <w:pPr>
        <w:spacing w:after="0" w:line="20" w:lineRule="exact"/>
        <w:rPr>
          <w:rFonts w:ascii="Arial" w:cs="Arial" w:eastAsia="Arial" w:hAnsi="Arial"/>
          <w:sz w:val="17"/>
          <w:szCs w:val="17"/>
          <w:color w:val="auto"/>
        </w:rPr>
      </w:pPr>
    </w:p>
    <w:p>
      <w:pPr>
        <w:ind w:firstLine="8"/>
        <w:spacing w:after="0" w:line="250" w:lineRule="auto"/>
        <w:tabs>
          <w:tab w:leader="none" w:pos="7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figure includes 26,053 shares directly or indirectly owned by Dr. John Bonfiglio, 65,973 shares subject to currently exercisable stock options and excludes 29,861 shares subject to options that have not yet vested.</w:t>
      </w:r>
    </w:p>
    <w:p>
      <w:pPr>
        <w:ind w:left="700" w:hanging="69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figure includes 12,500 shares subject to currently exercisable stock options.</w:t>
      </w:r>
    </w:p>
    <w:p>
      <w:pPr>
        <w:spacing w:after="0" w:line="9" w:lineRule="exact"/>
        <w:rPr>
          <w:rFonts w:ascii="Arial" w:cs="Arial" w:eastAsia="Arial" w:hAnsi="Arial"/>
          <w:sz w:val="18"/>
          <w:szCs w:val="18"/>
          <w:color w:val="auto"/>
        </w:rPr>
      </w:pPr>
    </w:p>
    <w:p>
      <w:pPr>
        <w:ind w:left="700" w:hanging="692"/>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figure includes 6,771 shares subject to currently exercisable stock options and excludes 5,729 shares subject to options that have not yet vested.</w:t>
      </w:r>
    </w:p>
    <w:p>
      <w:pPr>
        <w:spacing w:after="0" w:line="32" w:lineRule="exact"/>
        <w:rPr>
          <w:rFonts w:ascii="Arial" w:cs="Arial" w:eastAsia="Arial" w:hAnsi="Arial"/>
          <w:sz w:val="16"/>
          <w:szCs w:val="16"/>
          <w:color w:val="auto"/>
        </w:rPr>
      </w:pPr>
    </w:p>
    <w:p>
      <w:pPr>
        <w:ind w:left="860" w:hanging="852"/>
        <w:spacing w:after="0"/>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figure includes 1,563 shares subject to currently exercisable stock options and excludes 10,467 shares subject to options that have not yet</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vested.</w:t>
      </w:r>
    </w:p>
    <w:p>
      <w:pPr>
        <w:spacing w:after="0" w:line="9" w:lineRule="exact"/>
        <w:rPr>
          <w:rFonts w:ascii="Arial" w:cs="Arial" w:eastAsia="Arial" w:hAnsi="Arial"/>
          <w:sz w:val="16"/>
          <w:szCs w:val="16"/>
          <w:color w:val="auto"/>
        </w:rPr>
      </w:pPr>
    </w:p>
    <w:p>
      <w:pPr>
        <w:ind w:left="840" w:hanging="832"/>
        <w:spacing w:after="0"/>
        <w:tabs>
          <w:tab w:leader="none" w:pos="8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figure includes 15,568 shares subject to currently exercisable stock options and excludes 38,599 shares subject to options that have not yet</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vested.</w:t>
      </w:r>
    </w:p>
    <w:p>
      <w:pPr>
        <w:spacing w:after="0" w:line="9" w:lineRule="exact"/>
        <w:rPr>
          <w:rFonts w:ascii="Arial" w:cs="Arial" w:eastAsia="Arial" w:hAnsi="Arial"/>
          <w:sz w:val="16"/>
          <w:szCs w:val="16"/>
          <w:color w:val="auto"/>
        </w:rPr>
      </w:pPr>
    </w:p>
    <w:p>
      <w:pPr>
        <w:jc w:val="both"/>
        <w:ind w:firstLine="8"/>
        <w:spacing w:after="0" w:line="250" w:lineRule="auto"/>
        <w:tabs>
          <w:tab w:leader="none" w:pos="79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information is based upon the Schedule 13D jointly filed with the Securities and Exchange Commission by Eastern Capital Limited, Portfolio Services LTD. and Kenneth B. Dart, on August 12, 2016. Eastern Capital beneficially owns 2,333,333 shares of common stock and 1,666,667 shares of common stock issuable upon exercise of the Series A-1 Warrants, Series D-1 Warrants, Series E-1 Warrants and Series F-1 Warrants. All warrants are subject to a limit of exercise to the extent (and only to the extent) that Eastern Capital Limited or any of its affiliates would beneficially own in excess of 49.9% of the common stock after giving effect to such exercise.</w:t>
      </w:r>
    </w:p>
    <w:p>
      <w:pPr>
        <w:spacing w:after="0" w:line="2" w:lineRule="exact"/>
        <w:rPr>
          <w:rFonts w:ascii="Arial" w:cs="Arial" w:eastAsia="Arial" w:hAnsi="Arial"/>
          <w:sz w:val="18"/>
          <w:szCs w:val="18"/>
          <w:color w:val="auto"/>
        </w:rPr>
      </w:pPr>
    </w:p>
    <w:p>
      <w:pPr>
        <w:jc w:val="both"/>
        <w:ind w:firstLine="8"/>
        <w:spacing w:after="0" w:line="265" w:lineRule="auto"/>
        <w:tabs>
          <w:tab w:leader="none" w:pos="901"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information is based upon the Schedule 13G jointly filed with the Securities and Exchange Commission by Iroquois Capital Management L.L.C. (“Iroquois”), Richard Abbe and Kimberly Page on February 14, 2017. Includes 358,025 shares of common stock and warrants to purchase 520,835 shares of common stock (312,501 shares pursuant to Series A Warrants, Series D Warrants and Series E Warrants, and 208,334 shares pursuant to Series C Warrants and Series F Warrants) held by Iroquois Master Fund Ltd (the “Fund”). The Series A Warrants, Series D Warrants and Series E Warrants are subject to a limit of exercise to the extent (and only to the extent) that Iroquois or any of its affiliates would beneficially own in excess of 4.9% of the common stock after giving effect to such exercise. The Series C and Series F Warrants are subject to a limit of exercise to the extent (and only to the extent) that Iroquois or any of its affiliates would beneficially own in excess of 9.9% of the common stock after giving effect to such exercise. Mr. Abbe shares authority and responsibility for the investments made on behalf of the Fund with Ms. Page, each of whom is a director of the Fund. Iroquois is the investment manager for the Fund and Mr. Abbe is the President of Iroquois.</w:t>
      </w:r>
    </w:p>
    <w:p>
      <w:pPr>
        <w:spacing w:after="0" w:line="2" w:lineRule="exact"/>
        <w:rPr>
          <w:rFonts w:ascii="Arial" w:cs="Arial" w:eastAsia="Arial" w:hAnsi="Arial"/>
          <w:sz w:val="17"/>
          <w:szCs w:val="17"/>
          <w:color w:val="auto"/>
        </w:rPr>
      </w:pPr>
    </w:p>
    <w:p>
      <w:pPr>
        <w:jc w:val="both"/>
        <w:ind w:firstLine="8"/>
        <w:spacing w:after="0" w:line="250" w:lineRule="auto"/>
        <w:tabs>
          <w:tab w:leader="none" w:pos="75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information is based upon the Schedule 13G filed with the Securities and Exchange Commission by Brio Capital Master Fund Ltd. on February 6, 2017. Includes 347,179 shares of common stock and warrants to purchase 808,336 shares of common stock (416,668 shares pursuant to Series D Warrants and Series E Warrants, and 391,668 shares pursuant to Series C Warrants and Series F Warrants). The Series C Warrants and Series F Warrants are subject to a limit of exercise to the extent (and only to the extent) that Brio Capital Master Fund Ltd. or any of its affiliates would beneficially own in excess of 9.9% of the common stock after giving effect to such exercise. The Series D Warrants and Series E Warrants are subject to a limit of exercise to the extent (and only to the extent) that Brio Capital Master Fund Ltd. or any of its affiliates would beneficially own in excess of 4.9% of the common stock after giving effect to such exercise.</w:t>
      </w:r>
    </w:p>
    <w:p>
      <w:pPr>
        <w:spacing w:after="0" w:line="3" w:lineRule="exact"/>
        <w:rPr>
          <w:rFonts w:ascii="Arial" w:cs="Arial" w:eastAsia="Arial" w:hAnsi="Arial"/>
          <w:sz w:val="18"/>
          <w:szCs w:val="18"/>
          <w:color w:val="auto"/>
        </w:rPr>
      </w:pPr>
    </w:p>
    <w:p>
      <w:pPr>
        <w:jc w:val="both"/>
        <w:ind w:firstLine="8"/>
        <w:spacing w:after="0" w:line="285" w:lineRule="auto"/>
        <w:tabs>
          <w:tab w:leader="none" w:pos="784"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information is based upon (i) the Schedule 13G jointly filed with the Securities and Exchange Commission by Empery Asset Management LP, Empery Tax Efficient II, LP, Ryan M. Lane and Martin D. Hoe on January 19, 2016, (ii) the Company’s records relating to the issuance of shares of common stock and Series F Warrants to Empery Asset Management and its affiliates in August 2016, and (iii) the Company’s records relating to the transfer in December 2016 by Empery and its affiliates of warrants issued to them in August 2014. Includes 360,000 shares of common stock and warrants to purchase 579,999 shares of common stock (386,666 shares pursuant to the Series D Warrants and Series E Warrants, and 193,333 shares pursuant to Series F Warrants). The Series F Warrants are subject to a limit of exercise to the extent (and only to the extent) that Empery Asset Management or any of its affiliates would beneficially own in excess of 9.9% of the common stock after giving effect to such exercise. The Series D Warrants and Series E Warrants are subject to a limit of exercise to the extent (and only to the extent) that Empery Asset Management or any of its affiliates would beneficially own in excess of 4.9% of the common stock after giving effect to such exercise. Empery Asset Management LP, which serves as the investment manager to Empery Tax Efficient II, LP and other funds (the “Empery Funds”), may be deemed to be the beneficial owner of all shares of common stock held by, and underlying the warrants held by, the Empery Funds. Each of the reporting individuals, as managing members of the general partner of Empery Asset Management LP with the power to exercise investment discretion, may be deemed to be the beneficial owner of all shares of common stock held by, and underlying the warrants held by, the Empery Funds. Each of the reporting individuals has disclaimed beneficial ownership of any such shares of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firstLine="8"/>
        <w:spacing w:after="0" w:line="286" w:lineRule="auto"/>
        <w:tabs>
          <w:tab w:leader="none" w:pos="908"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information is based upon the Schedule 13G jointly filed with the Securities and Exchange Commission by Iroquois Capital Management L.L.C. (“Iroquois”), Richard Abbe and Kimberly Page on February 14, 2017. Includes 358,025 shares of common stock and warrants to purchase 520,835 shares of common stock (312,501 shares pursuant to Series A Warrants, Series D Warrants and Series E Warrants, and 208,334 shares pursuant to Series C Warrants and Series F Warrants) held by Iroquois Master Fund Ltd (the “Fund”). Also includes 234,000 shares of common stock and warrants to purchase 312,567 shares of common stock (187,500 shares pursuant to Series A Warrants, Series D Warrants and Series E Warrants, and 125,067 shares pursuant to Series C Warrants and Series F Warrants) held by American Capital Management (“American Capital”). The Series A Warrants, Series D Warrants and Series E Warrants held by the Fund and those held by American Capital are subject to a limit of exercise to the extent (and only to the extent) that Iroquois or any of its affiliates, or American Capital or any of its affiliates, respectively, would beneficially own in excess of 4.9% of the common stock after giving effect to such exercise. The Series C and Series F Warrants are subject to a limit of exercise to the extent (and only to the extent) that Iroquois or any of its affiliates, or American Capital or any of its affiliates, respectively, would beneficially own in excess of 9.9% of the common stock after giving effect to such exercise. Ms. Page shares authority and responsibility for the investments made on behalf of the Fund with Mr. Abbe, each of whom is a director of the Fund. Iroquois is the investment manager for the Fund and Mr. Abbe is the President of Iroquois. Ms. Page has sole authority and responsibility for the investments made on behalf of American Capital by virtue of her relationship as manager of American Capital.</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arrangements or understanding among the parties set out above or their respective associates or affiliates concerning election of directors or any other matters which may require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Control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the changes in stock ownership by our major stockholders who hold warrants to acquire additional shares of our common stock (as reflected in the footnotes to the table above), we are unaware of any contract, or other arrangement or provision, the operation of which may at a subsequent date result in a change of control of our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equity compensation plans under which our equity securities may be issued as of December 31, 2016:</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5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20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Issued Upon</w:t>
            </w:r>
          </w:p>
        </w:tc>
        <w:tc>
          <w:tcPr>
            <w:tcW w:w="10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Exercise Price of</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Plans (Excluding</w:t>
            </w:r>
          </w:p>
        </w:tc>
      </w:tr>
      <w:tr>
        <w:trPr>
          <w:trHeight w:val="216"/>
        </w:trPr>
        <w:tc>
          <w:tcPr>
            <w:tcW w:w="52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8"/>
                <w:szCs w:val="18"/>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Securities Reflected in</w:t>
            </w:r>
          </w:p>
        </w:tc>
      </w:tr>
      <w:tr>
        <w:trPr>
          <w:trHeight w:val="234"/>
        </w:trPr>
        <w:tc>
          <w:tcPr>
            <w:tcW w:w="52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Column (a))</w:t>
            </w:r>
          </w:p>
        </w:tc>
        <w:tc>
          <w:tcPr>
            <w:tcW w:w="100" w:type="dxa"/>
            <w:vAlign w:val="bottom"/>
            <w:tcBorders>
              <w:bottom w:val="single" w:sz="8" w:color="CCEEFF"/>
            </w:tcBorders>
          </w:tcPr>
          <w:p>
            <w:pPr>
              <w:spacing w:after="0"/>
              <w:rPr>
                <w:sz w:val="20"/>
                <w:szCs w:val="20"/>
                <w:color w:val="auto"/>
              </w:rPr>
            </w:pPr>
          </w:p>
        </w:tc>
      </w:tr>
      <w:tr>
        <w:trPr>
          <w:trHeight w:val="237"/>
        </w:trPr>
        <w:tc>
          <w:tcPr>
            <w:tcW w:w="52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Equity compensation plans approved by stockholders</w:t>
            </w:r>
            <w:r>
              <w:rPr>
                <w:rFonts w:ascii="Arial" w:cs="Arial" w:eastAsia="Arial" w:hAnsi="Arial"/>
                <w:sz w:val="27"/>
                <w:szCs w:val="27"/>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215.27</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20"/>
                <w:szCs w:val="20"/>
                <w:color w:val="auto"/>
              </w:rPr>
            </w:pPr>
          </w:p>
        </w:tc>
      </w:tr>
      <w:tr>
        <w:trPr>
          <w:trHeight w:val="270"/>
        </w:trPr>
        <w:tc>
          <w:tcPr>
            <w:tcW w:w="5280" w:type="dxa"/>
            <w:vAlign w:val="bottom"/>
          </w:tcPr>
          <w:p>
            <w:pPr>
              <w:spacing w:after="0" w:line="269" w:lineRule="exact"/>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30"/>
                <w:szCs w:val="30"/>
                <w:color w:val="auto"/>
                <w:vertAlign w:val="superscript"/>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442,500</w:t>
            </w:r>
          </w:p>
        </w:tc>
        <w:tc>
          <w:tcPr>
            <w:tcW w:w="1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6.38</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140,834</w:t>
            </w:r>
          </w:p>
        </w:tc>
        <w:tc>
          <w:tcPr>
            <w:tcW w:w="100" w:type="dxa"/>
            <w:vAlign w:val="bottom"/>
          </w:tcPr>
          <w:p>
            <w:pPr>
              <w:spacing w:after="0"/>
              <w:rPr>
                <w:sz w:val="23"/>
                <w:szCs w:val="23"/>
                <w:color w:val="auto"/>
              </w:rPr>
            </w:pP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Includes shares of common stock authorized for awards under the 2009 Stock Incentive Plan.</w:t>
      </w:r>
    </w:p>
    <w:p>
      <w:pPr>
        <w:spacing w:after="0" w:line="1" w:lineRule="exact"/>
        <w:rPr>
          <w:rFonts w:ascii="Arial" w:cs="Arial" w:eastAsia="Arial" w:hAnsi="Arial"/>
          <w:sz w:val="30"/>
          <w:szCs w:val="30"/>
          <w:i w:val="1"/>
          <w:iCs w:val="1"/>
          <w:color w:val="auto"/>
          <w:vertAlign w:val="superscript"/>
        </w:rPr>
      </w:pPr>
    </w:p>
    <w:p>
      <w:pPr>
        <w:ind w:left="660" w:hanging="652"/>
        <w:spacing w:after="0" w:line="186" w:lineRule="auto"/>
        <w:tabs>
          <w:tab w:leader="none" w:pos="660" w:val="left"/>
        </w:tabs>
        <w:numPr>
          <w:ilvl w:val="0"/>
          <w:numId w:val="44"/>
        </w:numPr>
        <w:rPr>
          <w:rFonts w:ascii="Arial" w:cs="Arial" w:eastAsia="Arial" w:hAnsi="Arial"/>
          <w:sz w:val="24"/>
          <w:szCs w:val="24"/>
          <w:i w:val="1"/>
          <w:iCs w:val="1"/>
          <w:color w:val="auto"/>
          <w:vertAlign w:val="superscript"/>
        </w:rPr>
      </w:pPr>
      <w:r>
        <w:rPr>
          <w:rFonts w:ascii="Arial" w:cs="Arial" w:eastAsia="Arial" w:hAnsi="Arial"/>
          <w:sz w:val="15"/>
          <w:szCs w:val="15"/>
          <w:i w:val="1"/>
          <w:iCs w:val="1"/>
          <w:color w:val="auto"/>
        </w:rPr>
        <w:t>Represents shares of common stock authorized for issuance under the 2014 Omnibus Stock Option Plan.</w:t>
      </w:r>
    </w:p>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14, 2009, we adopted the 2009 Stock Incentive Plan (the “2009 Plan”). The 2009 Plan allows for the issuance of up to 8,333 common shares. Options granted under the Plan shall be at prices and for terms as determined by our Board of Directors, and may have vesting requirements as determined by our Board of Directors. The foregoing summary of the 2009 Plan is not complete and is qualified in its entirety by reference to the 2009 Stock Incentive Plan, a copy of which has been filed with the SEC. To date, 3,679 options have been issued under the 2009 Plan, of which 2,013 are outstanding.</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19, 2014, the Board adopted the 2014 Omnibus Stock Option Plan (“2014 Plan”). The 2014 Plan allowed for grants of stock options, restricted shares, stock bonuses and other equity based awards to our employees and non-employee directors.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our stockholders, other than under certain limited circumstances such as a stock split, or take any other action with respect to a stock option that would be treated as a repricing under the rules and regulations of the Nasdaq Stock Market. Under the 2014 as originally approved, stock could be issued under the 2014 Plan as a bonus to any employee, other than our executive officers, and 166,667 shares of common stock were reserved for issuance under the 2014 Plan. The 2014 Plan was amended in February 2015 to provide for grants to consultants, and again in November 2015 to (i) increase the number of shares reserved for issuance under the Plan by 416,667 shares to 583,334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To date, 442,500 options have been issued under the 2014 Plan.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affirmatively determines the independence of each director and nominee for election as a director in accordance with guidelines it has adopted, which include all elements of independence set forth in the NASDAQ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ensure that material transactions and relationships involving a potential conflict of interest for any of our executive officers or directors are in our best interests, under the Code of Ethics and Business Conduct (“Code of Ethics”) adopted by the Board of Directors for all of our employees and directors, all such conflicts of interest are required to be reported to the Audit Committee of the Board of Directors, and the approval of the Audit Committee must be obtained in advance for us to enter into any such transaction or relationship. Pursuant to the Code of Ethics, none of our officers or employees may, on our behalf, authorize or approve any transaction or relationship, or enter into any agreement, in which such officer, director or any member of his or her immediate family, may have a personal interest without such Audit Committee approval. Further, nonoe of our officers or employees may, on our behalf, authorize or approve any transaction or relationship, or enter into any agreement, if they are aware that one of our executive officers or directors, or any member of any such person’s family, may have a personal interest in such transaction or relationship, without such Audit Committee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reviews all conflict of interest transactions involving our executive officers and directors, pursuant to its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their review of a related party transaction, the Audit Committee considers:</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the director or executive officer to act in our best interests;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member of the Audit Committee who has a conflict of interest with respect to a transaction under review may not participate in the deliberations or vote respecting approval of the transaction, provided, however, that such director may be counted in determining the presence of a quorum.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Since January 1, 2016, we entered into transactions with certain of our officers and directors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Dr. John Bonfiglio Consulting Agreement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23, 2015, Dr. John Bonfiglio became a director. Prior to that time, on February 10, 2015, we entered into a Consulting Agreement with Dr. John Bonfiglio. Pursuant to that Agreement, Dr. John Bonfiglio was to (a) review our strategy, technology differentiation and development; (b) identify and implement new strategies to increase our financing opportunities; (c) present our company at external meetings and conferences; (d) develop and implement improved an investors’ relations program; and (e) upgrade our management team and Board of Directors. The Agreement provided that Dr. John Bonfiglio would perform such services for up to 80 hours per month, and in exchange for these services, he would be paid $10,000 per month and receive 20,834 options to purchase shares of our common stock for $1.74 per share. The stock options vested as follows: 2,778 options vested at the end of each of the first three months and 1,389 options vested at the end of each of the following nine months. The term of the Agreement was originally one year, and provided for termination by either party with 30 days’ notice. The Agreement was amended in June 2015 to increase the monthly cash payment to $15,000 per month, and increase the number of hours during which Dr. John Bonfiglio would perform services to up to 120 hours per month. The Agreement was amended again in February 2016 to extend the term until August 10, 2016. Because Dr. John Bonfiglio was a director at the time of the most recent amendment, the amendment was approved by our audit committee. On July 18, 2016, we entered into an employment agreement with Dr. John Bonfiglio. Pursuant to that agreement, Dr. John Bonfiglio agreed to serve as our President and Chief Operating Officer.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Joshua Silverman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28, 2016, Joshua Silverman, age 46, of Scarsdale, New York, was appointed to our Board of Directors. Mr. Silverman is currently and has been the Co–founder and Managing Member of Parkfield Funding LLC, an investment and consulting firm, since August 1, 2016. Mr. Silverman was a former Principal and Managing Partner of Iroquois Capital Management, LLC (“Iroquois”), where he served as Co–Chief Investment Officer of Iroquois from 2003 until August 1, 2016. From 2000 to 2003, Mr. Silverman served as Co–Chief Investment Officer of Vertical Ventures, LLC, a merchant bank. Prior to forming Iroquois, Mr. Silverman was a Director of Joele Frank, a boutique consulting firm specializing in mergers and acquisitions. Previously, Mr. Silverman served as Assistant Press Secretary to the President of the United States. Mr. Silverman received his B.A. from Lehigh University in 1992. In the past five years, Mr. Silverman has served on the boards of directors of Neurotrope, Inc., MGT Capital Investments Inc., National Holdings Corporation, Alanco Technologies Inc., Protagenic Therapeutics, Inc. and WPCS International Incorporated.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agreed to add Mr. Silverman to the Board pursuant to the terms of the Warrant Amendment Agreement, dated August 10, 2016, between us and Iroquois Master Fund Ltd., American Capital Management LLC, The Merav Abbe Irrevocable Trust, The Samantha Abbe Irrevocable Trust, The Talia Abbe Irrevocable Trust and The Bennett Abbe Irrevocable Trust (collectively, the “Warrant Amendment Entities”). The Warrant Amendment Agreement with the Warrant Amendment Entities was one of four such agreements entered into on August 10, 2016, pursuant to which holders of an aggregate of 3,096,665 outstanding Series A Warrants, Series A-1 Warrants, Series C Warrants, Series C-1 Warrants, Series D Warrants, Series D-1 Warrants, Series E Warrants and Series E-1 Warrants (the “Outstanding Series Warrants”) agreed to amend the terms of the Outstanding Series Warrants to remove provisions from the Outstanding Series Warrants that had previously caused them to be classified as a derivative liability as opposed to equity on our balance sheets. Such agreements were described in, and included as exhibits to, our Current Report on Form 8-K dated August 10, 2016.</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Warrant Amendment Agreement with the Warrant Amendment Entities, the Warrant Amendment Entities were issued an aggregate of 166,667 additional shares of our common stock and new five-year warrants to purchase an aggregate of 196,667 shares of our common stock at an exercise price of $7.20 per share in consideration of their exercise of warrants to purchase an aggregate of 196,667 shares of our common stock at $6.00 per share and the amendment of their remaining warrants to remove the provisions that had previously caused them to be classified as a derivative liability as opposed to equity on our balance sheets.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Warrant Amendment Entities were also purchasers of our common stock and warrants in January 2015, pursuant to a Securities Purchase Agreement, dated January 12, 2015, when they purchased, for an aggregate of $500,000, an aggregate of 208,333 shares of common stock and Series A, Series B, Series C, Series D and Series E Warrants entitling them to purchase an aggregate of 208,333 shares of common stock under each such Series over various time periods and at various purchase prices. The Securities Purchase Agreement and the warrants were described in, and included as exhibits to, our Current Report on Form 8-K, dated January 12, 2015. The terms of such warrants were modified pursuant to a Restructuring Agreement, dated May 28, 2015, and in connection with entering into the Restructuring Agreement, we issued an aggregate of 208,333 additional Series B Warrants and an aggregate of 208,333 additional Series C Warrants to the Warrant Amendment Entities for no additional cash consideration. The Restructuring Agreement was described in, and included as an exhibit to, our Current Report on Form 8-K dated May 28, 2015.</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Pursuant to the Director Compensation Plan previously approved by the Board of Directors, in connection with his appointment to the Board, Mr. Silverman was granted an option to purchase 12,500 shares of our common stock under the 2014 Omnibus Stock Ownership Plan, at a price equal to the closing price of the common stock on the date of his appointment, with such options to vest in in equal monthly installments over the following 24 months.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Marcum LLP served as our independent registered public accounting firm and audited our financial statements for the fiscal years ended December 31, 2016 and December 31, 2015. Aggregate fees for professional services rendered to us by our auditor are set forth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Year Ended</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r>
      <w:tr>
        <w:trPr>
          <w:trHeight w:val="216"/>
        </w:trPr>
        <w:tc>
          <w:tcPr>
            <w:tcW w:w="4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December</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December</w:t>
            </w:r>
          </w:p>
        </w:tc>
      </w:tr>
      <w:tr>
        <w:trPr>
          <w:trHeight w:val="230"/>
        </w:trPr>
        <w:tc>
          <w:tcPr>
            <w:tcW w:w="4980" w:type="dxa"/>
            <w:vAlign w:val="bottom"/>
            <w:tcBorders>
              <w:bottom w:val="single" w:sz="8" w:color="CCEEFF"/>
            </w:tcBorders>
          </w:tcPr>
          <w:p>
            <w:pPr>
              <w:spacing w:after="0"/>
              <w:rPr>
                <w:sz w:val="20"/>
                <w:szCs w:val="20"/>
                <w:color w:val="auto"/>
              </w:rPr>
            </w:pPr>
          </w:p>
        </w:tc>
        <w:tc>
          <w:tcPr>
            <w:tcW w:w="3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31, 2015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8"/>
              </w:rPr>
              <w:t>31, 2016</w:t>
            </w:r>
          </w:p>
        </w:tc>
        <w:tc>
          <w:tcPr>
            <w:tcW w:w="100" w:type="dxa"/>
            <w:vAlign w:val="bottom"/>
            <w:tcBorders>
              <w:bottom w:val="single" w:sz="8" w:color="CCEEFF"/>
            </w:tcBorders>
          </w:tcPr>
          <w:p>
            <w:pPr>
              <w:spacing w:after="0"/>
              <w:rPr>
                <w:sz w:val="20"/>
                <w:szCs w:val="20"/>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194,800</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Audit Related Fees</w:t>
            </w:r>
          </w:p>
        </w:tc>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68,300</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All Other Fees</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98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Audit fees are the aggregate fees billed for professional services rendered by our independent auditors for the audit of our annual financial statements, the review of the financial statements included in each of our quarterly reports and services provided in connection with statutory and regulatory filings or engagements.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Audit related fees are the aggregate fees billed by our independent auditors for assurance and related services that are reasonably related to the performance of the audit or review of our financial statements and are not described in the preceding category.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Tax fees are billed by our independent auditors for tax compliance, tax advice and tax planning.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billed by our independent auditors for products or services other than as described in the immediately preceding three categories.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Pre-Approval of Services Performed by Independent Auditors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It is our Audit Committee’s policy to pre-approve all audit and permissible non-audit services performed by the independent auditors. The Audit Committee approved all services that our independent accountants provided to us in the past two fiscal years.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ind w:left="5360"/>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documents filed as part of this report are as follows:</w:t>
      </w:r>
    </w:p>
    <w:p>
      <w:pPr>
        <w:spacing w:after="0" w:line="225" w:lineRule="exact"/>
        <w:rPr>
          <w:sz w:val="20"/>
          <w:szCs w:val="20"/>
          <w:color w:val="auto"/>
        </w:rPr>
      </w:pPr>
    </w:p>
    <w:p>
      <w:pPr>
        <w:ind w:right="400" w:firstLine="8"/>
        <w:spacing w:after="0" w:line="277" w:lineRule="auto"/>
        <w:tabs>
          <w:tab w:leader="none" w:pos="7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financial statements and accompanying report of independent registered public accounting firm are set forth immediately following the signature page of this report on pages F-1 through F-24.</w:t>
      </w:r>
    </w:p>
    <w:p>
      <w:pPr>
        <w:spacing w:after="0" w:line="170" w:lineRule="exact"/>
        <w:rPr>
          <w:rFonts w:ascii="Arial" w:cs="Arial" w:eastAsia="Arial" w:hAnsi="Arial"/>
          <w:sz w:val="18"/>
          <w:szCs w:val="18"/>
          <w:color w:val="auto"/>
        </w:rPr>
      </w:pPr>
    </w:p>
    <w:p>
      <w:pPr>
        <w:ind w:right="20" w:firstLine="8"/>
        <w:spacing w:after="0" w:line="277" w:lineRule="auto"/>
        <w:tabs>
          <w:tab w:leader="none" w:pos="7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inapplicable, not required or the information is included elsewhere in the financial statements or the notes thereto.</w:t>
      </w:r>
    </w:p>
    <w:p>
      <w:pPr>
        <w:spacing w:after="0" w:line="170" w:lineRule="exact"/>
        <w:rPr>
          <w:rFonts w:ascii="Arial" w:cs="Arial" w:eastAsia="Arial" w:hAnsi="Arial"/>
          <w:sz w:val="18"/>
          <w:szCs w:val="18"/>
          <w:color w:val="auto"/>
        </w:rPr>
      </w:pPr>
    </w:p>
    <w:p>
      <w:pPr>
        <w:ind w:right="280" w:firstLine="8"/>
        <w:spacing w:after="0" w:line="277" w:lineRule="auto"/>
        <w:tabs>
          <w:tab w:leader="none" w:pos="71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exhibits required to be filed by this report or able to be incorporated by reference are listed in the “Exhibit Index” following the financial statements.</w:t>
      </w:r>
    </w:p>
    <w:p>
      <w:pPr>
        <w:spacing w:after="0" w:line="170" w:lineRule="exact"/>
        <w:rPr>
          <w:sz w:val="20"/>
          <w:szCs w:val="20"/>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Exhibits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Exhibits required by Item 601 of Regulation S-K are submitted (or incorporated by reference) and listed in a separate section herein immediately following the “Exhibit Index” and are incorporated herein by reference.</w:t>
      </w:r>
    </w:p>
    <w:p>
      <w:pPr>
        <w:spacing w:after="0" w:line="184" w:lineRule="exact"/>
        <w:rPr>
          <w:sz w:val="20"/>
          <w:szCs w:val="20"/>
          <w:color w:val="auto"/>
        </w:rPr>
      </w:pPr>
    </w:p>
    <w:p>
      <w:pPr>
        <w:ind w:left="740" w:hanging="732"/>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and 15 (d)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Dated: March 14, 2017</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760"/>
        <w:spacing w:after="0"/>
        <w:tabs>
          <w:tab w:leader="none" w:pos="6260" w:val="left"/>
        </w:tabs>
        <w:rPr>
          <w:sz w:val="20"/>
          <w:szCs w:val="20"/>
          <w:color w:val="auto"/>
        </w:rPr>
      </w:pPr>
      <w:r>
        <w:rPr>
          <w:rFonts w:ascii="Arial" w:cs="Arial" w:eastAsia="Arial" w:hAnsi="Arial"/>
          <w:sz w:val="18"/>
          <w:szCs w:val="18"/>
          <w:color w:val="auto"/>
        </w:rPr>
        <w:t>By:</w:t>
        <w:tab/>
        <w:t>/s/ Glynn Wilson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Dr. Glynn Wilson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ind w:left="5760"/>
        <w:spacing w:after="0"/>
        <w:tabs>
          <w:tab w:leader="none" w:pos="6260" w:val="left"/>
        </w:tabs>
        <w:rPr>
          <w:sz w:val="20"/>
          <w:szCs w:val="20"/>
          <w:color w:val="auto"/>
        </w:rPr>
      </w:pPr>
      <w:r>
        <w:rPr>
          <w:rFonts w:ascii="Arial" w:cs="Arial" w:eastAsia="Arial" w:hAnsi="Arial"/>
          <w:sz w:val="18"/>
          <w:szCs w:val="18"/>
          <w:color w:val="auto"/>
        </w:rPr>
        <w:t>By:</w:t>
        <w:tab/>
        <w:t>/s/ Michael J. Loiacono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J. Loiacono</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(Principal Accounting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Each of the undersigned officers and directors of TapImmune, Inc., hereby constitutes and appoints Glynn Wilson and Michael J. Loiacono,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March 14, 2017 on behalf of the registrant and in the capacities indicated.</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Glynn 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Director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Sherry Grisewood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Sherry Grisewood, Director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Laskow-Pooley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Laskow-Pooley, Director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Reddish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Reddish, Director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Bonfiglio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Bonfiglio, Director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Frederick Wasserman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Frederick Wasserman, Director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Silverman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Silverman, Director</w:t>
      </w:r>
    </w:p>
    <w:p>
      <w:pPr>
        <w:spacing w:after="0" w:line="21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Loiacono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Loiacono,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60" w:type="dxa"/>
            <w:vAlign w:val="bottom"/>
          </w:tcPr>
          <w:p>
            <w:pPr>
              <w:jc w:val="center"/>
              <w:ind w:right="2370"/>
              <w:spacing w:after="0"/>
              <w:rPr>
                <w:sz w:val="20"/>
                <w:szCs w:val="20"/>
                <w:color w:val="auto"/>
              </w:rPr>
            </w:pPr>
            <w:r>
              <w:rPr>
                <w:rFonts w:ascii="Arial" w:cs="Arial" w:eastAsia="Arial" w:hAnsi="Arial"/>
                <w:sz w:val="18"/>
                <w:szCs w:val="18"/>
                <w:b w:val="1"/>
                <w:bCs w:val="1"/>
                <w:color w:val="auto"/>
              </w:rPr>
              <w:t>TAPIMMUNE INC.</w:t>
            </w: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40" w:type="dxa"/>
            <w:vAlign w:val="bottom"/>
            <w:gridSpan w:val="3"/>
          </w:tcPr>
          <w:p>
            <w:pPr>
              <w:jc w:val="center"/>
              <w:ind w:right="1510"/>
              <w:spacing w:after="0"/>
              <w:rPr>
                <w:sz w:val="20"/>
                <w:szCs w:val="20"/>
                <w:color w:val="auto"/>
              </w:rPr>
            </w:pPr>
            <w:r>
              <w:rPr>
                <w:rFonts w:ascii="Arial" w:cs="Arial" w:eastAsia="Arial" w:hAnsi="Arial"/>
                <w:sz w:val="18"/>
                <w:szCs w:val="18"/>
                <w:b w:val="1"/>
                <w:bCs w:val="1"/>
                <w:color w:val="auto"/>
              </w:rPr>
              <w:t>CONSOLIDATED FINANCIAL STATEMENTS</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Pr>
          <w:p>
            <w:pPr>
              <w:jc w:val="center"/>
              <w:ind w:right="2370"/>
              <w:spacing w:after="0"/>
              <w:rPr>
                <w:sz w:val="20"/>
                <w:szCs w:val="20"/>
                <w:color w:val="auto"/>
              </w:rPr>
            </w:pPr>
            <w:r>
              <w:rPr>
                <w:rFonts w:ascii="Arial" w:cs="Arial" w:eastAsia="Arial" w:hAnsi="Arial"/>
                <w:sz w:val="18"/>
                <w:szCs w:val="18"/>
                <w:b w:val="1"/>
                <w:bCs w:val="1"/>
                <w:color w:val="auto"/>
                <w:w w:val="96"/>
              </w:rPr>
              <w:t>DECEMBER 31, 2016</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Report of Independent Registered Public Accounting Firm</w:t>
              </w:r>
            </w:hyperlink>
          </w:p>
        </w:tc>
        <w:tc>
          <w:tcPr>
            <w:tcW w:w="2040" w:type="dxa"/>
            <w:vAlign w:val="bottom"/>
            <w:shd w:val="clear" w:color="auto" w:fill="CCEEFF"/>
          </w:tcPr>
          <w:p>
            <w:pPr>
              <w:ind w:left="1800"/>
              <w:spacing w:after="0" w:line="176" w:lineRule="exact"/>
              <w:rPr>
                <w:sz w:val="20"/>
                <w:szCs w:val="20"/>
                <w:color w:val="auto"/>
              </w:rPr>
            </w:pPr>
            <w:r>
              <w:rPr>
                <w:rFonts w:ascii="Arial" w:cs="Arial" w:eastAsia="Arial" w:hAnsi="Arial"/>
                <w:sz w:val="18"/>
                <w:szCs w:val="18"/>
                <w:color w:val="auto"/>
                <w:w w:val="81"/>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Consolidated Balance Sheets</w:t>
              </w:r>
            </w:hyperlink>
          </w:p>
        </w:tc>
        <w:tc>
          <w:tcPr>
            <w:tcW w:w="2040" w:type="dxa"/>
            <w:vAlign w:val="bottom"/>
            <w:shd w:val="clear" w:color="auto" w:fill="CCEEFF"/>
          </w:tcPr>
          <w:p>
            <w:pPr>
              <w:ind w:left="1800"/>
              <w:spacing w:after="0" w:line="176" w:lineRule="exact"/>
              <w:rPr>
                <w:sz w:val="20"/>
                <w:szCs w:val="20"/>
                <w:color w:val="auto"/>
              </w:rPr>
            </w:pPr>
            <w:r>
              <w:rPr>
                <w:rFonts w:ascii="Arial" w:cs="Arial" w:eastAsia="Arial" w:hAnsi="Arial"/>
                <w:sz w:val="18"/>
                <w:szCs w:val="18"/>
                <w:color w:val="auto"/>
                <w:w w:val="81"/>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Consolidated Statements of Operations</w:t>
              </w:r>
            </w:hyperlink>
          </w:p>
        </w:tc>
        <w:tc>
          <w:tcPr>
            <w:tcW w:w="2040" w:type="dxa"/>
            <w:vAlign w:val="bottom"/>
            <w:shd w:val="clear" w:color="auto" w:fill="CCEEFF"/>
          </w:tcPr>
          <w:p>
            <w:pPr>
              <w:ind w:left="1800"/>
              <w:spacing w:after="0" w:line="176" w:lineRule="exact"/>
              <w:rPr>
                <w:sz w:val="20"/>
                <w:szCs w:val="20"/>
                <w:color w:val="auto"/>
              </w:rPr>
            </w:pPr>
            <w:r>
              <w:rPr>
                <w:rFonts w:ascii="Arial" w:cs="Arial" w:eastAsia="Arial" w:hAnsi="Arial"/>
                <w:sz w:val="18"/>
                <w:szCs w:val="18"/>
                <w:color w:val="auto"/>
                <w:w w:val="81"/>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Consolidated Statement of Stockholders’ Equity (Deficit)</w:t>
              </w:r>
            </w:hyperlink>
          </w:p>
        </w:tc>
        <w:tc>
          <w:tcPr>
            <w:tcW w:w="2040" w:type="dxa"/>
            <w:vAlign w:val="bottom"/>
            <w:shd w:val="clear" w:color="auto" w:fill="CCEEFF"/>
          </w:tcPr>
          <w:p>
            <w:pPr>
              <w:ind w:left="1800"/>
              <w:spacing w:after="0" w:line="176" w:lineRule="exact"/>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Consolidated Statements of Cash Flows</w:t>
              </w:r>
            </w:hyperlink>
          </w:p>
        </w:tc>
        <w:tc>
          <w:tcPr>
            <w:tcW w:w="2040" w:type="dxa"/>
            <w:vAlign w:val="bottom"/>
            <w:shd w:val="clear" w:color="auto" w:fill="CCEEFF"/>
          </w:tcPr>
          <w:p>
            <w:pPr>
              <w:ind w:left="1800"/>
              <w:spacing w:after="0" w:line="176" w:lineRule="exact"/>
              <w:rPr>
                <w:sz w:val="20"/>
                <w:szCs w:val="20"/>
                <w:color w:val="auto"/>
              </w:rPr>
            </w:pPr>
            <w:r>
              <w:rPr>
                <w:rFonts w:ascii="Arial" w:cs="Arial" w:eastAsia="Arial" w:hAnsi="Arial"/>
                <w:sz w:val="18"/>
                <w:szCs w:val="18"/>
                <w:color w:val="auto"/>
                <w:w w:val="81"/>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8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60" w:type="dxa"/>
            <w:vAlign w:val="bottom"/>
            <w:gridSpan w:val="7"/>
            <w:shd w:val="clear" w:color="auto" w:fill="CCEEFF"/>
          </w:tcPr>
          <w:p>
            <w:pPr>
              <w:spacing w:after="0" w:line="176" w:lineRule="exact"/>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Notes to the Consolidated Financial Statements</w:t>
              </w:r>
            </w:hyperlink>
          </w:p>
        </w:tc>
        <w:tc>
          <w:tcPr>
            <w:tcW w:w="2040" w:type="dxa"/>
            <w:vAlign w:val="bottom"/>
            <w:shd w:val="clear" w:color="auto" w:fill="CCEEFF"/>
          </w:tcPr>
          <w:p>
            <w:pPr>
              <w:ind w:left="1800"/>
              <w:spacing w:after="0" w:line="176" w:lineRule="exact"/>
              <w:rPr>
                <w:sz w:val="20"/>
                <w:szCs w:val="20"/>
                <w:color w:val="auto"/>
              </w:rPr>
            </w:pPr>
            <w:r>
              <w:rPr>
                <w:rFonts w:ascii="Arial" w:cs="Arial" w:eastAsia="Arial" w:hAnsi="Arial"/>
                <w:sz w:val="18"/>
                <w:szCs w:val="18"/>
                <w:color w:val="auto"/>
                <w:w w:val="81"/>
              </w:rPr>
              <w:t>F-8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CCEEFF"/>
              <w:bottom w:val="single" w:sz="8" w:color="auto"/>
            </w:tcBorders>
          </w:tcPr>
          <w:p>
            <w:pPr>
              <w:jc w:val="center"/>
              <w:ind w:right="2370"/>
              <w:spacing w:after="0"/>
              <w:rPr>
                <w:sz w:val="20"/>
                <w:szCs w:val="20"/>
                <w:color w:val="auto"/>
              </w:rPr>
            </w:pPr>
            <w:r>
              <w:rPr>
                <w:rFonts w:ascii="Arial" w:cs="Arial" w:eastAsia="Arial" w:hAnsi="Arial"/>
                <w:sz w:val="18"/>
                <w:szCs w:val="18"/>
                <w:color w:val="auto"/>
                <w:w w:val="88"/>
              </w:rPr>
              <w:t>F-1</w:t>
            </w:r>
          </w:p>
        </w:tc>
        <w:tc>
          <w:tcPr>
            <w:tcW w:w="20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TapImmune, Inc.</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TapImmune, Inc. (the “Company”) as of December 31, 2016 and 2015, and the related consolidated statements of operations, changes in stockholders’ equity (deficit) and cash flows for the years then ended. These financial statements are the responsibility of the Company’s management. Our responsibility is to express an opinion on these financial statements based on our audits.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TapImmune, Inc. as of December 31, 2016 and 2015, and the consolidated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has suffered losses from operations and will require identifying new sources of capital to fund operations. These matters raise substantial doubt about the Company’s ability to continue as a going concern. Management’s plans concerning these matters are also discussed in Note 2 to the consolidated financial statements. The accompanying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38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7,851,243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6,576,564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Prepaid expenses and deposits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70,149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7,921,392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6,645,367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80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1,224,940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967,358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agreement obligations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492,365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492,365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14,500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26,493,000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Promissory notes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Promissory note, related party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1,736,805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28,005,723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Convertible preferred stock, $0.001 par value — 5,000,000 shares authorized: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2"/>
              </w:rPr>
              <w:t>Series A, $0.001 par value, 1,250,000 shares designated, -0- shares issued and outstanding as of December 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2016 and December 31, 2015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20"/>
              <w:spacing w:after="0" w:line="201" w:lineRule="exact"/>
              <w:rPr>
                <w:sz w:val="20"/>
                <w:szCs w:val="20"/>
                <w:color w:val="auto"/>
              </w:rPr>
            </w:pPr>
            <w:r>
              <w:rPr>
                <w:rFonts w:ascii="Arial" w:cs="Arial" w:eastAsia="Arial" w:hAnsi="Arial"/>
                <w:sz w:val="18"/>
                <w:szCs w:val="18"/>
                <w:color w:val="auto"/>
                <w:w w:val="92"/>
              </w:rPr>
              <w:t>Series B, $0.001 par value, 1,500,000 shares designated, -0- shares issued and outstanding as of December 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120"/>
              <w:spacing w:after="0"/>
              <w:rPr>
                <w:sz w:val="20"/>
                <w:szCs w:val="20"/>
                <w:color w:val="auto"/>
              </w:rPr>
            </w:pPr>
            <w:r>
              <w:rPr>
                <w:rFonts w:ascii="Arial" w:cs="Arial" w:eastAsia="Arial" w:hAnsi="Arial"/>
                <w:sz w:val="18"/>
                <w:szCs w:val="18"/>
                <w:color w:val="auto"/>
              </w:rPr>
              <w:t>2016 and December 31, 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$0.001 par value, 41,666,667 shares authorized,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89"/>
              </w:rPr>
              <w:t>8,421,185 and 5,882,955 shares issued and outstanding at December 31, 2016 and December 31, 2015,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151,991,974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112,142,187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(145,815,808)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(133,508,427)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6,184,587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(21,360,356</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7,921,392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6,645,367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December 31,</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3,800,035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1,711,177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2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4,692,234</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4,447,781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(8,492,269)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(6,158,958)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Changes in fair value of warrant liabilities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5,939,500</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(27,872,585)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exchange gain</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Grant income</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231,200</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and financing charges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0"/>
              <w:spacing w:after="0"/>
              <w:rPr>
                <w:sz w:val="20"/>
                <w:szCs w:val="20"/>
                <w:color w:val="auto"/>
              </w:rPr>
            </w:pPr>
            <w:r>
              <w:rPr>
                <w:rFonts w:ascii="Arial" w:cs="Arial" w:eastAsia="Arial" w:hAnsi="Arial"/>
                <w:sz w:val="18"/>
                <w:szCs w:val="18"/>
                <w:color w:val="auto"/>
              </w:rPr>
              <w:t>Loss on debt settlement agreement</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(135,640)</w:t>
            </w: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2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7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(2,455,381)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(34,066,390)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loss per share</w:t>
            </w:r>
          </w:p>
        </w:tc>
        <w:tc>
          <w:tcPr>
            <w:tcW w:w="27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gridSpan w:val="2"/>
            <w:vMerge w:val="continue"/>
          </w:tcPr>
          <w:p>
            <w:pPr>
              <w:spacing w:after="0"/>
              <w:rPr>
                <w:sz w:val="17"/>
                <w:szCs w:val="17"/>
                <w:color w:val="auto"/>
              </w:rPr>
            </w:pPr>
          </w:p>
        </w:tc>
        <w:tc>
          <w:tcPr>
            <w:tcW w:w="2720" w:type="dxa"/>
            <w:vAlign w:val="bottom"/>
            <w:vMerge w:val="continue"/>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(0.36)</w:t>
            </w:r>
          </w:p>
        </w:tc>
        <w:tc>
          <w:tcPr>
            <w:tcW w:w="20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(9.30)</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loss per share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Shares Outstanding, Basic</w:t>
            </w:r>
          </w:p>
        </w:tc>
        <w:tc>
          <w:tcPr>
            <w:tcW w:w="2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6,889,898</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3,662,256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Common Shares Outstanding, Diluted</w:t>
            </w:r>
          </w:p>
        </w:tc>
        <w:tc>
          <w:tcPr>
            <w:tcW w:w="2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7,420,995</w:t>
            </w: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3,662,256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 (DEFICIT)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3040" w:type="dxa"/>
            <w:vAlign w:val="bottom"/>
            <w:gridSpan w:val="5"/>
          </w:tcPr>
          <w:p>
            <w:pPr>
              <w:jc w:val="right"/>
              <w:ind w:right="108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8"/>
                <w:szCs w:val="18"/>
                <w:color w:val="auto"/>
              </w:rPr>
              <w:t>Number of</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Paid In</w:t>
            </w: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Accumulated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1520" w:type="dxa"/>
            <w:vAlign w:val="bottom"/>
            <w:gridSpan w:val="2"/>
          </w:tcPr>
          <w:p>
            <w:pPr>
              <w:ind w:left="42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Deficit</w:t>
            </w:r>
          </w:p>
        </w:tc>
        <w:tc>
          <w:tcPr>
            <w:tcW w:w="24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2015</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1,693,238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85,284,400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(86,309,731)</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(1,023,636)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settled in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Private placement (net of finders’ fee)</w:t>
            </w:r>
          </w:p>
        </w:tc>
        <w:tc>
          <w:tcPr>
            <w:tcW w:w="1280" w:type="dxa"/>
            <w:vAlign w:val="bottom"/>
          </w:tcPr>
          <w:p>
            <w:pPr>
              <w:jc w:val="right"/>
              <w:spacing w:after="0"/>
              <w:rPr>
                <w:sz w:val="20"/>
                <w:szCs w:val="20"/>
                <w:color w:val="auto"/>
              </w:rPr>
            </w:pPr>
            <w:r>
              <w:rPr>
                <w:rFonts w:ascii="Arial" w:cs="Arial" w:eastAsia="Arial" w:hAnsi="Arial"/>
                <w:sz w:val="18"/>
                <w:szCs w:val="18"/>
                <w:color w:val="auto"/>
              </w:rPr>
              <w:t>1,030,288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2,324,987</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2,326,015</w:t>
            </w:r>
          </w:p>
        </w:tc>
      </w:tr>
      <w:tr>
        <w:trPr>
          <w:trHeight w:val="202"/>
        </w:trPr>
        <w:tc>
          <w:tcPr>
            <w:tcW w:w="4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Fair  value  of  warrants  recognized  as  derivative</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in January and March 2015 Financing</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(2,313,694)</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(6,999,306)</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(9,313,000)</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Fair value of warrants issued on May 28, 2015</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(6,133,000)</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(6,133,000)</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9,216,904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9,219,998</w:t>
            </w: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w w:val="98"/>
              </w:rPr>
              <w:t>Reclassification of Derivative Warrant Liabilities to</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Equity at Exercise Date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16,835,000</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16,835,000</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Finders’ fee on exercise of warrants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(767,995)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(767,995)</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Shares issued in settlement</w:t>
            </w:r>
          </w:p>
        </w:tc>
        <w:tc>
          <w:tcPr>
            <w:tcW w:w="1280" w:type="dxa"/>
            <w:vAlign w:val="bottom"/>
          </w:tcPr>
          <w:p>
            <w:pPr>
              <w:jc w:val="right"/>
              <w:spacing w:after="0"/>
              <w:rPr>
                <w:sz w:val="20"/>
                <w:szCs w:val="20"/>
                <w:color w:val="auto"/>
              </w:rPr>
            </w:pPr>
            <w:r>
              <w:rPr>
                <w:rFonts w:ascii="Arial" w:cs="Arial" w:eastAsia="Arial" w:hAnsi="Arial"/>
                <w:sz w:val="18"/>
                <w:szCs w:val="18"/>
                <w:color w:val="auto"/>
              </w:rPr>
              <w:t>4,163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26,468</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26,473</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51,676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1,514,214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1,514,266</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(34,066,390)</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(34,066,390)</w:t>
            </w:r>
          </w:p>
        </w:tc>
      </w:tr>
      <w:tr>
        <w:trPr>
          <w:trHeight w:val="202"/>
        </w:trPr>
        <w:tc>
          <w:tcPr>
            <w:tcW w:w="4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Adjustment for rounded shares due to reverse stock</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split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2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Balance, December 31, 2015</w:t>
            </w:r>
          </w:p>
        </w:tc>
        <w:tc>
          <w:tcPr>
            <w:tcW w:w="1280" w:type="dxa"/>
            <w:vAlign w:val="bottom"/>
          </w:tcPr>
          <w:p>
            <w:pPr>
              <w:jc w:val="right"/>
              <w:spacing w:after="0"/>
              <w:rPr>
                <w:sz w:val="20"/>
                <w:szCs w:val="20"/>
                <w:color w:val="auto"/>
              </w:rPr>
            </w:pPr>
            <w:r>
              <w:rPr>
                <w:rFonts w:ascii="Arial" w:cs="Arial" w:eastAsia="Arial" w:hAnsi="Arial"/>
                <w:sz w:val="18"/>
                <w:szCs w:val="18"/>
                <w:color w:val="auto"/>
              </w:rPr>
              <w:t>5,882,955</w:t>
            </w:r>
          </w:p>
        </w:tc>
        <w:tc>
          <w:tcPr>
            <w:tcW w:w="2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5,884</w:t>
            </w:r>
          </w:p>
        </w:tc>
        <w:tc>
          <w:tcPr>
            <w:tcW w:w="2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112,142,187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9"/>
              </w:rPr>
              <w:t>(133,508,427)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(21,360,356)</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Issuance of common stock in private placement</w:t>
            </w:r>
          </w:p>
        </w:tc>
        <w:tc>
          <w:tcPr>
            <w:tcW w:w="1280" w:type="dxa"/>
            <w:vAlign w:val="bottom"/>
          </w:tcPr>
          <w:p>
            <w:pPr>
              <w:jc w:val="right"/>
              <w:spacing w:after="0"/>
              <w:rPr>
                <w:sz w:val="20"/>
                <w:szCs w:val="20"/>
                <w:color w:val="auto"/>
              </w:rPr>
            </w:pPr>
            <w:r>
              <w:rPr>
                <w:rFonts w:ascii="Arial" w:cs="Arial" w:eastAsia="Arial" w:hAnsi="Arial"/>
                <w:sz w:val="18"/>
                <w:szCs w:val="18"/>
                <w:color w:val="auto"/>
              </w:rPr>
              <w:t>653,187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3,134,543</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3,135,196</w:t>
            </w:r>
          </w:p>
        </w:tc>
      </w:tr>
      <w:tr>
        <w:trPr>
          <w:trHeight w:val="202"/>
        </w:trPr>
        <w:tc>
          <w:tcPr>
            <w:tcW w:w="4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Finders’  fee  and  legal  costs  relating  to  private</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placements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(804,070)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(804,070)</w:t>
            </w:r>
          </w:p>
        </w:tc>
      </w:tr>
      <w:tr>
        <w:trPr>
          <w:trHeight w:val="216"/>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Fair value of shares issued as inducement on August</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10, 2016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4,499,250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(4,500,000)</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rPr>
              <w:t>Fair value of series F and F-1 warrants issued as</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inducement in August 2016</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5,352,000</w:t>
            </w:r>
          </w:p>
        </w:tc>
        <w:tc>
          <w:tcPr>
            <w:tcW w:w="1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(5,352,000)</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8"/>
              </w:rPr>
              <w:t>Reclassification of fair value of derivative liabilities</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equity on amendment of warrant agreements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15,465,000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15,465,000</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Exercise of stock 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5,999,000</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6,000,000</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Finders’ fee on exercise of warrants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(516,651)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(516,651)</w:t>
            </w:r>
          </w:p>
        </w:tc>
      </w:tr>
      <w:tr>
        <w:trPr>
          <w:trHeight w:val="202"/>
        </w:trPr>
        <w:tc>
          <w:tcPr>
            <w:tcW w:w="4120" w:type="dxa"/>
            <w:vAlign w:val="bottom"/>
          </w:tcPr>
          <w:p>
            <w:pPr>
              <w:ind w:left="180"/>
              <w:spacing w:after="0" w:line="201" w:lineRule="exact"/>
              <w:rPr>
                <w:sz w:val="20"/>
                <w:szCs w:val="20"/>
                <w:color w:val="auto"/>
              </w:rPr>
            </w:pPr>
            <w:r>
              <w:rPr>
                <w:rFonts w:ascii="Arial" w:cs="Arial" w:eastAsia="Arial" w:hAnsi="Arial"/>
                <w:sz w:val="18"/>
                <w:szCs w:val="18"/>
                <w:color w:val="auto"/>
                <w:w w:val="97"/>
              </w:rPr>
              <w:t>Reclassification of fair value of warrant liabilities at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exercise date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5,074,000</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5,074,000</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10,417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18,115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18,125</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Shares issued in debt settlement agreements</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10,191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70,305</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70,315</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114,435</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1,558,295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1,558,409</w:t>
            </w: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(2,455,381)</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(2,455,381)</w:t>
            </w:r>
          </w:p>
        </w:tc>
      </w:tr>
      <w:tr>
        <w:trPr>
          <w:trHeight w:val="223"/>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December 31, 2016</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8,421,185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151,991,974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(145,815,808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6,184,587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Year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(2,455,381)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(34,066,390)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Changes in fair value of warrant liabilities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(5,939,500)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27,872,585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debt settlement agreements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Non-cash interest and finance charges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1,558,409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deposits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257,582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(6,509,921)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(4,343,397)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Private placements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3,135,196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2,464,000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Finders’ fee and legal costs on private placements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(804,070)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Repayment of promissory note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promissory note – related party</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18,125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warrants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Finders’ fee on exercise of warrants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(516,651)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(767,996)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7,784,600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10,778,017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1,274,679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6,434,620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beginning of year</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6,576,564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year</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7,851,243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7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interest</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Cash paid for taxes</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Year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Reclassification of accrued liability upon issuance of common shares relating to Dr. Glynn Wilson’s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settled in common stock</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series F and F-1 warrants as inducement in August 2016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5,352,000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shares issued as inducement on August 10, 2016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Reclassification of fair value of derivative liabilities to equity on amendment of warrant agreements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issuance of warrants in January and March 2015 financing</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Issuance of additional warrants in May 28, 2015 transaction</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Derivative Warrant Liabilities to Equity at exercise date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5,074,000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16,835,000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720" w:type="dxa"/>
            <w:vAlign w:val="bottom"/>
            <w:gridSpan w:val="5"/>
          </w:tcPr>
          <w:p>
            <w:pPr>
              <w:jc w:val="center"/>
              <w:ind w:left="159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640" w:type="dxa"/>
            <w:vAlign w:val="bottom"/>
            <w:tcBorders>
              <w:bottom w:val="single" w:sz="8" w:color="auto"/>
            </w:tcBorders>
          </w:tcPr>
          <w:p>
            <w:pPr>
              <w:jc w:val="center"/>
              <w:ind w:left="3670"/>
              <w:spacing w:after="0"/>
              <w:rPr>
                <w:sz w:val="20"/>
                <w:szCs w:val="20"/>
                <w:color w:val="auto"/>
              </w:rPr>
            </w:pPr>
            <w:r>
              <w:rPr>
                <w:rFonts w:ascii="Arial" w:cs="Arial" w:eastAsia="Arial" w:hAnsi="Arial"/>
                <w:sz w:val="18"/>
                <w:szCs w:val="18"/>
                <w:color w:val="auto"/>
                <w:w w:val="88"/>
              </w:rPr>
              <w:t>F-7</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(the “Company”), a Nevada corporation incorporated in 1992, is a biotechnology company focusing on immunotherapy specializing in the development of innovative peptide and gene-based immunotherapeutics and vaccines for the treatment of oncology and infectious disease. Unlike other vaccine technologies that narrowly address the initiation of an immune response, TapImmune's approach broadly stimulates the cellular immune system by enhancing the function of killer T-cells and T-helper cells and by restoring antigen presentation in tumor cells allowing their recognition and killing by the immune system.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Phase I study at the Mayo Clinic, Rochester, MN, evaluating the safety and immune responses of a set of proprietary HER2/neu+ antigens has been successfully completed and the results led to the decision to proceed with Phase II clinical studies in 2017.</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separate Phase I study has also been conducted at Mayo Foundation (“Mayo”) in ovarian and breast cancer (Folate Receptor Alpha). Folate Receptor Alpha is expressed in nearly 50% of breast cancers and in addition, over 95% of ovarian cancers, for which the only treatment options are surgery and chemotherapy, leaving a very important and urgent clinical need for a new therapeutic. Time to recurrence is relatively short for this type of cancer and survival prognosis is extremely poor after recurrence. In the USA alone, there are approximately 30,000 ovarian cancer patients newly diagnosed every year. These Folate Receptor Antigens are applicable to ovarian and triple-negative breast cancer. Both of these diseases have few treatment options if any beyond surgery and chemotherapy and therefore the Company is hopeful that it might be an ideal candidate for orphan drug status in these indications. This study has been successfully completed and the results led to the decision to proceed with multiple Phase II studies in 2017.</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enhancing the visibility of cancer or infected cells to a patient’s immune system is a critical aspect of an effective vaccine. In this regard, TapImmune’s Polystart™ nucleic acid-based technology provides a four-fold increase in target cell specific naturally processed antigenic epitopes on a cells surface. This increased cell surface presentation corresponding increases activated Helper and/or long-lived Killer T-cell populations that then effectively seek out and work to destroy a patient’s cancer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financial condition and managements plans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consolidated financial statements have been prepared on the basis of a going concern which contemplates the realization of assets and the satisfaction of liabilities in the normal course of business. As at December 31, 2016, the Company had cash balances of approximately $7,851,000. Historically, the Company has incurred significant losses in the development of its business. The ability of the Company to continue as a going concern is dependent on raising additional capital to fund current clinical trials, ongoing research and development, maintenance and protection of patents and ultimately on generating future profitable operations. Planned expenditures relating to current and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is addressing going concern remediation through seeking new sources of capital and is continuing initiatives to raise capital through private placements, related party loans and other institutional sources to meet future working capital requirements.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the Company has raised capital through issuances of various financial instruments and during 2016, the Company completed significant restructuring of outstanding debt and equity instruments into equity. Additional capital is required to expand programs including pre-clinical work and to progress clinical trials for the lead vaccine candidates. Strategic partnerships will be needed to continue the product development portfolio and fund development costs. These measures, if successful, may contribute to reduce the risk of going concern uncertainties for the Company beyond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is no certainty that the Company will be able to arrange sufficient funding to continue development of products to marketability.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Reverse stock split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13, 2016, the Company’s Board of Directors approved a 1-for-12 reverse stock split of the Company’s authorized and issued and outstanding common stock. The reverse stock split became effective on September 16, 2016. Upon the effectiveness of the reverse stock split, (i) every twelve shares of outstanding common stock was combined into one share of common stock, (ii) the number of shares of common stock into which each outstanding warrant or option to purchase common stock is exercisable was proportionally decreased and (iii) the exercise price of each outstanding warrant or option to purchase common stock was proportionately increased. All historical share and per share amounts reflected in this annual report have been adjusted to reflect the reverse stock split.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financial statements are presented in United States dollars and have been prepared in accordance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include the accounts of the Company and its wholly-owned and dormant subsidiary GeneMax Pharmaceuticals Inc. All significant intercompany balances and transactions are eliminated upon consolidation.</w:t>
      </w:r>
    </w:p>
    <w:p>
      <w:pPr>
        <w:sectPr>
          <w:pgSz w:w="11900" w:h="16838" w:orient="portrait"/>
          <w:cols w:equalWidth="0" w:num="1">
            <w:col w:w="11420"/>
          </w:cols>
          <w:pgMar w:left="240" w:top="905" w:right="239" w:bottom="0" w:gutter="0" w:footer="0" w:header="0"/>
        </w:sectPr>
      </w:pPr>
    </w:p>
    <w:bookmarkStart w:id="87" w:name="page88"/>
    <w:bookmarkEnd w:id="87"/>
    <w:p>
      <w:pPr>
        <w:jc w:val="center"/>
        <w:ind w:right="-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Preparation of the Company’s financial statements in conformity with GAAP requires management to make estimates and assumptions that affect certain reported amounts and disclosures. Accordingly, actual results could differ materially from those estimates. Significant areas requiring management’s estimates and assumptions include valuation allowance on deferred tax assets, determining the fair value of stock-based compensation and stock-based transactions, the fair value of the components of the warrant liabilities and accrued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follows Accounting Standards Codification (“ASC”) 820, “Fair Value Measurements and Disclosures,” (“ASC 820”) for the Company’s financial assets and liabilities that are re-measured and reported at fair value at each reporting period, and are re-measured and reported at fair value at least annually using a fair value hierarchy that is broken down into three levels. Level inputs are defined as follows:</w:t>
      </w:r>
    </w:p>
    <w:p>
      <w:pPr>
        <w:spacing w:after="0" w:line="181" w:lineRule="exact"/>
        <w:rPr>
          <w:sz w:val="20"/>
          <w:szCs w:val="20"/>
          <w:color w:val="auto"/>
        </w:rPr>
      </w:pPr>
    </w:p>
    <w:p>
      <w:pPr>
        <w:ind w:left="840" w:hanging="184"/>
        <w:spacing w:after="0"/>
        <w:tabs>
          <w:tab w:leader="none" w:pos="8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rFonts w:ascii="Arial" w:cs="Arial" w:eastAsia="Arial" w:hAnsi="Arial"/>
          <w:sz w:val="18"/>
          <w:szCs w:val="18"/>
          <w:color w:val="auto"/>
        </w:rPr>
      </w:pPr>
    </w:p>
    <w:p>
      <w:pPr>
        <w:jc w:val="both"/>
        <w:ind w:left="900" w:hanging="254"/>
        <w:spacing w:after="0" w:line="264" w:lineRule="auto"/>
        <w:tabs>
          <w:tab w:leader="none" w:pos="899"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900" w:hanging="254"/>
        <w:spacing w:after="0" w:line="277" w:lineRule="auto"/>
        <w:tabs>
          <w:tab w:leader="none" w:pos="8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 Financial Instruments and Concentration of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Company believes that its patents and underlying technology have continuing value, the amount of future benefits to be derived from the patents is uncertain. Patent costs are, therefore,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follows the provisions ASC 718, “Compensation – Stock Compensation”, which requires the measurement and recognition of compensation expense for all share-based payment awards made to employees, non-employee directors and consultants, including employee stock options. Stock compensation expense based on the grant date fair value estimated in accordance with the provisions of ASC 718 is recognized as an expense over the requisite service period and are recorded in general and administrative expenses. For stock options and warrants granted in consideration for services rendered by non-employees, the Company recognizes compensation expense in accordance with the requirements of ASC Topic 505, “Equity”. Non-employee option and warrant grants that do not vest immediately upon grant are recorded as an expense over the vesting period. At the end of each financial reporting period prior to vesting, the value of these options and warrants, as calculated using the Black-Scholes option-pricing model, is being re-measured using the fair value of the Company’s common stock and the non-cash compensation recognized during the period will be adjusted accordingly. Since the fair market value of options and warrants granted to non-employees is subject to change in the future, the amount of the future compensation expense will include fair value re-measurements until the stock options and warrants are fully vested.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The fair value of the award that is ultimately expected to vest is recognized as expense on a straight-line basis over the requisite service period, which is generally the vesting period. The expense recognized for the portion of the award that is expected to vest has been reduced by an estimated forfeiture rate. The forfeiture rate is determined at the time of grant and revised, if necessary, in subsequent periods if actual forfeitures differ from those estimates.</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options represents the period that the Company’s stock-based awards are expected to be outstanding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simplified method, which is the half-life from vesting to the end of its contractual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The Company computes stock price volatility over expected terms based on its historical common stock trading prices.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9" w:name="page90"/>
    <w:bookmarkEnd w:id="89"/>
    <w:p>
      <w:pPr>
        <w:jc w:val="both"/>
        <w:ind w:left="660" w:right="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Company bases the risk-free interest rate on the implied yield available on U. S. Treasury zero-coupon issues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 remaining term.</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 The Company has never declared or paid any cash dividends on its common shares and does not plan to pay cash dividends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foreseeable future, and, therefore, uses an expected dividend yield of zero in its valuation models. The Company recognizes fair value of stock options granted to nonemployees as stock-based compensation expense over the period in which the related services are received.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acquired research and development rights to certain technologies. The rights and licenses acquired are considered rights to unproven technology which may not have alternate future uses and therefore, are expensed as incurred as research and development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trial expenses include direct costs associated with contract research organizations (“CROs”), as well as patient-related costs at sites at which our trials are being conducted. Direct costs associated with our CROs are generally payable on a time and materials basis, or when certain enrollment and monitoring milestones are achieved.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incurred costs of approximately $3,800,000 and $1,711,000 on research and development for the year ended December 31,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follows the asset and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Potential deferred tax assets and liabilities are measured using enacted tax rates expected to apply to the taxable income in the years in which those differences are expected to be recovered or settled. The effect on potential deferred tax assets and liabilities of a change in tax rates is recognized in the statement of operations in the period that includes the date of allowances against deferred tax assets.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2016 and 2015,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2016 and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evaluates its convertible debt, options, warrants or other contracts to determine if those contracts or embedded components of those contracts qualify as derivatives to be separately accounted for. This accounting treatment requires that the carrying amount of embedded derivatives be marked-to-market at each balance sheet date and carried at fair value. In the event that the fair value is recorded as a liability, the change in fair value during the period is recorded in the Statement of Operations as either income or expense. Upon conversion, exercise or modification to the terms of a derivative instrument, the instrument is marked to fair value at the conversion date and then the related fair value is reclassified to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circumstances where the embedded conversion option in a convertible instrument is required to be bifurcated and there are also other embedded derivative instruments in the convertible instrument that are required to be bifurcated, the bifurcated derivative instruments are accounted for as a single, compound derivative instrument.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classification of financial instruments, including whether such instruments should be recorded as liabilities or as equity, is re-assessed at the end of each reporting period. Equity instruments that are initially classified as equity that become subject to reclassification are reclassified to liability at the fair value of the instrument on the reclassification date. Derivative instrument liabilities will be classified in the balance sheet as current or non-current based on whether or not net-cash settlement of the derivative instrument is expected within 12 months of the balance sheet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spacing w:after="0" w:line="257" w:lineRule="auto"/>
        <w:rPr>
          <w:sz w:val="20"/>
          <w:szCs w:val="20"/>
          <w:color w:val="auto"/>
        </w:rPr>
      </w:pPr>
      <w:r>
        <w:rPr>
          <w:rFonts w:ascii="Arial" w:cs="Arial" w:eastAsia="Arial" w:hAnsi="Arial"/>
          <w:sz w:val="18"/>
          <w:szCs w:val="18"/>
          <w:color w:val="auto"/>
        </w:rPr>
        <w:t>Management must determine whether an instrument (or an embedded feature) is indexed to the Company’s own stock. An entity should use a two-step approach to evaluate whether an equity-linked financial instrument (or embedded feature) is indexed to its own stock, including evaluating the instrument’s contingent exercise and settlement provisions. This exercise affects the accounting for (i) certain freestanding warrants that contain exercise price adjustment features and (ii) convertible notes containing full-ratchet and anti-dilution protections (iii) certain free standing warrants that contain contingently puttable cash settlement.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grant income in accordance with the terms stipulated under the grant awarded to the Company’s collaborators at the Mayo Foundation from the U. S. Department of Defense. In various situations, the Company receives certain payments from the U.S. Department of Defense for reimbursement of clinical supplies. These payments are non-refundable, and are not dependent on the Company’s ongoing future performance. The Company has adopted a policy of recognizing these payments as grant income when received.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Common Share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Basic earnings (loss) per share include only the weighted average common shares outstanding, without consideration of potentially dilutive securities. Diluted earnings per share include the weighted average common shares outstanding and any potentially dilutive common stock equivalent shares in the calculation.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Credit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in accounts which are in excess of the Federal Deposit Insurance Corporation (“FDIC”) insured limits of $250,000. As of December 31, 2016 and 2015, approximately $7.6 million and $6.3 million, respectively, in cash was uninsured based upon the FDIC insurance coverage limits.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New Accounting Pronouncement</w:t>
      </w:r>
      <w:r>
        <w:rPr>
          <w:rFonts w:ascii="Arial" w:cs="Arial" w:eastAsia="Arial" w:hAnsi="Arial"/>
          <w:sz w:val="18"/>
          <w:szCs w:val="18"/>
          <w:b w:val="1"/>
          <w:bCs w:val="1"/>
          <w:color w:val="auto"/>
        </w:rPr>
        <w: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Statement of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2016, the FASB issued Accounting Standards Update (“ASU”) No. 2016-15, Statement of Cash Flows (Topic 230). This amendment provides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is evaluating the effect that ASU 2016-15 will have on its financial statements and related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2014, the FASB issued ASU No. 2014-15, ”Presentation of Financial Statements-Going Concern”, which defines management's responsibility to assess an entity's ability to continue as a going concern, and requires related footnote disclosures if there is substantial doubt about its ability to continue as a going concern. ASU No. 2014-15 is effective for the Company for the fiscal year ending on December 31, 2016, with early adoption permitted. The Company adopted ASU 2014-15 as of December 31, 2016 in its consolidated financial statements and related disclosures, which did not have a material impact on its results of operations, cash flows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2015, FASB issued ASU No. 2015-17, ”Balance Sheet Classification of Deferred Taxes”. ASU No. 2015-17 requires that deferred tax liabilities and assets be classified as noncurrent in a classified statement of financial position. ASU No. 2015-17 is effective for financial statements issued for fiscal years beginning after December 15, 2016, and interim periods within those fiscal years. The Company adopted ASU No. 2015-17 on January 1, 2017 and its adoption did not have a material impact on the Company’s financial position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Compensation-Stock Compensation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March 2016, the FASB issued ASU No. 2016-09, Compensation-Stock Compensation (Topic 718), Improvements to Employee Share-Based Payment Accounting. Under ASU No. 2016-09, companies will no longer record excess tax benefits and certain tax deficiencies in additional paid-in capital (“APIC”). Instead, they will record all excess tax benefits and tax deficiencies as income tax expense or benefit in the income statement and the APIC pools will be eliminated. In addition, ASU No. 2016-09 eliminates the requirement that excess tax benefits be realized before companies can recognize them. ASU No. 2016-09 also requires companies to present excess tax benefits as an operating activity on the statement of cash flows rather than as a financing activity. Furthermore, ASU No. 2016-09 will increase the amount an employer can withhold to cover income taxes on awards and still qualify for the exception to liability classification for shares used to satisfy the employer’s statutory income tax withholding obligation. An employer with a statutory income tax withholding obligation will now be allowed to withhold shares with a fair value up to the amount of taxes owed using the maximum statutory tax rate in the employee’s applicable jurisdiction(s). ASU No. 2016-09 requires a company to classify the cash paid to a tax authority when shares are withheld to satisfy its statutory income tax withholding obligation as a financing activity on the statement of cash flows. Under current U.S. GAAP, it was not specified how these cash flows should be classified. In addition, companies will now have to elect whether to account for forfeitures on share-based payments by (1) recognizing forfeitures of awards as they occur or (2) estimating the number of awards expected to be forfeited and adjusting the estimate when it is likely to change, as is currently required. The amendments of this ASU are effective for reporting periods beginning after January 1, 2017, with early adoption permitted but all of the guidance must be adopted in the same period. The Company adopted this on January 1, 2017. The Company has evaluated the impact of ASU No. 2016-09 and has determined that the adoption of the impact of forfeitures, net of income taxes, will not have a material impact on the Company’s future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spacing w:after="0"/>
        <w:tabs>
          <w:tab w:leader="none" w:pos="12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NET LOSS PER SHARE APPLICABLE TO COMMON SHAREHOLDER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Applicable to Common Stockholders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loss per common share is computed by dividing net loss by the weighted average number of common shares outstanding during the reporting period. Diluted loss per common share is computed similar to basic loss per common share except that it reflects the potential dilution that could occur if dilutive securities or other obligations to issue common stock were exercised or converted into common stock.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following table sets forth the computation of loss per share for the years ended December 31, 2016 and 2015,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(2,455,381)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(34,066,390)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Less: Non cash income from changes in fair value of derivative liabilities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(2,856,000)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 diluted</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(5,311,381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(34,066,390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6,889,898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warrants</w:t>
            </w:r>
          </w:p>
        </w:tc>
        <w:tc>
          <w:tcPr>
            <w:tcW w:w="14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4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7,420,995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data:</w:t>
            </w: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Basic</w:t>
            </w:r>
          </w:p>
        </w:tc>
        <w:tc>
          <w:tcPr>
            <w:tcW w:w="1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securities, rounded to the thousand, were not included in the diluted net loss per share calculation because their effect was anti-dilutive for the periods presented:</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equity treatment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 liability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Potentially dilutive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liabilities consist of the following as of December 31, 2016 and 2015, respectively: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wp:posOffset>
            </wp:positionV>
            <wp:extent cx="2023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jc w:val="right"/>
              <w:ind w:right="690"/>
              <w:spacing w:after="0"/>
              <w:rPr>
                <w:sz w:val="20"/>
                <w:szCs w:val="20"/>
                <w:color w:val="auto"/>
              </w:rPr>
            </w:pPr>
            <w:r>
              <w:rPr>
                <w:rFonts w:ascii="Arial" w:cs="Arial" w:eastAsia="Arial" w:hAnsi="Arial"/>
                <w:sz w:val="18"/>
                <w:szCs w:val="18"/>
                <w:b w:val="1"/>
                <w:bCs w:val="1"/>
                <w:color w:val="auto"/>
                <w:w w:val="84"/>
              </w:rPr>
              <w:t>2016</w:t>
            </w: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r>
      <w:tr>
        <w:trPr>
          <w:trHeight w:val="195"/>
        </w:trPr>
        <w:tc>
          <w:tcPr>
            <w:tcW w:w="114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434,000</w:t>
            </w: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299,000</w:t>
            </w:r>
          </w:p>
        </w:tc>
        <w:tc>
          <w:tcPr>
            <w:tcW w:w="20" w:type="dxa"/>
            <w:vAlign w:val="bottom"/>
          </w:tcPr>
          <w:p>
            <w:pPr>
              <w:spacing w:after="0"/>
              <w:rPr>
                <w:sz w:val="16"/>
                <w:szCs w:val="16"/>
                <w:color w:val="auto"/>
              </w:rPr>
            </w:pPr>
          </w:p>
        </w:tc>
      </w:tr>
      <w:tr>
        <w:trPr>
          <w:trHeight w:val="230"/>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5,054,000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212,000</w:t>
            </w:r>
          </w:p>
        </w:tc>
      </w:tr>
      <w:tr>
        <w:trPr>
          <w:trHeight w:val="230"/>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4,000</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4,130,000</w:t>
            </w:r>
          </w:p>
        </w:tc>
      </w:tr>
      <w:tr>
        <w:trPr>
          <w:trHeight w:val="223"/>
        </w:trPr>
        <w:tc>
          <w:tcPr>
            <w:tcW w:w="1140" w:type="dxa"/>
            <w:vAlign w:val="bottom"/>
          </w:tcPr>
          <w:p>
            <w:pPr>
              <w:jc w:val="right"/>
              <w:ind w:right="130"/>
              <w:spacing w:after="0"/>
              <w:rPr>
                <w:sz w:val="20"/>
                <w:szCs w:val="20"/>
                <w:color w:val="auto"/>
              </w:rPr>
            </w:pPr>
            <w:r>
              <w:rPr>
                <w:rFonts w:ascii="Arial" w:cs="Arial" w:eastAsia="Arial" w:hAnsi="Arial"/>
                <w:sz w:val="18"/>
                <w:szCs w:val="18"/>
                <w:color w:val="auto"/>
              </w:rPr>
              <w:t>5,492,000</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4,641,000</w:t>
            </w:r>
          </w:p>
        </w:tc>
      </w:tr>
      <w:tr>
        <w:trPr>
          <w:trHeight w:val="20"/>
        </w:trPr>
        <w:tc>
          <w:tcPr>
            <w:tcW w:w="1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-25400</wp:posOffset>
            </wp:positionV>
            <wp:extent cx="951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-8255</wp:posOffset>
            </wp:positionV>
            <wp:extent cx="951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-179705</wp:posOffset>
            </wp:positionV>
            <wp:extent cx="951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017" w:lineRule="exact"/>
        <w:rPr>
          <w:sz w:val="20"/>
          <w:szCs w:val="20"/>
          <w:color w:val="auto"/>
        </w:rPr>
      </w:pPr>
    </w:p>
    <w:p>
      <w:pPr>
        <w:sectPr>
          <w:pgSz w:w="11900" w:h="16838" w:orient="portrait"/>
          <w:cols w:equalWidth="0" w:num="2">
            <w:col w:w="8240" w:space="460"/>
            <w:col w:w="2720"/>
          </w:cols>
          <w:pgMar w:left="240" w:top="908" w:right="239" w:bottom="1440" w:gutter="0" w:footer="0" w:header="0"/>
          <w:type w:val="continuous"/>
        </w:sectPr>
      </w:pP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ind w:left="50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4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680,181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691,094</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217,622</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191,000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53,428</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Consulting agreements</w:t>
            </w:r>
          </w:p>
        </w:tc>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94,576</w:t>
            </w: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fees</w:t>
            </w:r>
          </w:p>
        </w:tc>
        <w:tc>
          <w:tcPr>
            <w:tcW w:w="3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3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74,133</w:t>
            </w: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70,264</w:t>
            </w: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37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4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jc w:val="right"/>
              <w:ind w:right="2470"/>
              <w:spacing w:after="0"/>
              <w:rPr>
                <w:sz w:val="20"/>
                <w:szCs w:val="20"/>
                <w:color w:val="auto"/>
              </w:rPr>
            </w:pPr>
            <w:r>
              <w:rPr>
                <w:rFonts w:ascii="Arial" w:cs="Arial" w:eastAsia="Arial" w:hAnsi="Arial"/>
                <w:sz w:val="18"/>
                <w:szCs w:val="18"/>
                <w:color w:val="auto"/>
              </w:rPr>
              <w:t>F-14</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94" w:name="page95"/>
    <w:bookmarkEnd w:id="94"/>
    <w:p>
      <w:pPr>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RESEARCH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Crucell Holland B. V. (“Crucell”) – Research License and Option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2003 and further amended in 2008 the Company acquired a research license and option agreement from Crucell for use of an adenoviris technology. The Company has not made use of the technology in its current work and has not asked for nor received any work product from Crucell. Crucell was acquired by Johnson and Johnson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the Company has accrued $492,000 as amounts owed under the amended agreement.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weighted average summary of quantitative information with respect to valuation methodology and significant unobservable inputs used for the Company’s common stock purchase warrants that are categorized within Level 3 of the fair value hierarchy for the years ended 2016 and 2015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Stock Purchase Warrants</w:t>
            </w:r>
          </w:p>
        </w:tc>
        <w:tc>
          <w:tcPr>
            <w:tcW w:w="32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Weighted Average Inputs for the Period</w:t>
            </w:r>
          </w:p>
        </w:tc>
      </w:tr>
      <w:tr>
        <w:trPr>
          <w:trHeight w:val="191"/>
        </w:trPr>
        <w:tc>
          <w:tcPr>
            <w:tcW w:w="6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w w:val="97"/>
              </w:rPr>
              <w:t>For the Year</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7"/>
              </w:rPr>
              <w:t>For the Year</w:t>
            </w:r>
          </w:p>
        </w:tc>
        <w:tc>
          <w:tcPr>
            <w:tcW w:w="180" w:type="dxa"/>
            <w:vAlign w:val="bottom"/>
          </w:tcPr>
          <w:p>
            <w:pPr>
              <w:spacing w:after="0"/>
              <w:rPr>
                <w:sz w:val="16"/>
                <w:szCs w:val="16"/>
                <w:color w:val="auto"/>
              </w:rPr>
            </w:pPr>
          </w:p>
        </w:tc>
      </w:tr>
      <w:tr>
        <w:trPr>
          <w:trHeight w:val="216"/>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Ending December</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Ending December</w:t>
            </w:r>
          </w:p>
        </w:tc>
      </w:tr>
      <w:tr>
        <w:trPr>
          <w:trHeight w:val="234"/>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Date of valuation</w:t>
            </w:r>
          </w:p>
        </w:tc>
        <w:tc>
          <w:tcPr>
            <w:tcW w:w="140" w:type="dxa"/>
            <w:vAlign w:val="bottom"/>
          </w:tcPr>
          <w:p>
            <w:pPr>
              <w:spacing w:after="0"/>
              <w:rPr>
                <w:sz w:val="20"/>
                <w:szCs w:val="20"/>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31, 2016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31, 2015</w:t>
            </w:r>
          </w:p>
        </w:tc>
        <w:tc>
          <w:tcPr>
            <w:tcW w:w="180" w:type="dxa"/>
            <w:vAlign w:val="bottom"/>
          </w:tcPr>
          <w:p>
            <w:pPr>
              <w:spacing w:after="0"/>
              <w:rPr>
                <w:sz w:val="20"/>
                <w:szCs w:val="20"/>
                <w:color w:val="auto"/>
              </w:rPr>
            </w:pPr>
          </w:p>
        </w:tc>
      </w:tr>
      <w:tr>
        <w:trPr>
          <w:trHeight w:val="210"/>
        </w:trPr>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14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 (annual)</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Risk-free rate</w:t>
            </w:r>
          </w:p>
        </w:tc>
        <w:tc>
          <w:tcPr>
            <w:tcW w:w="14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3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 (per share)</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assumptions are recalculated every reporting period and are subject to change based primarily on management’s assessment of the probability of the events described occurring. Accordingly, changes to these assessments could materially affect the valuations.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The following table presents changes in Level 3 warrant liabilities measured at fair value for the year ended December 31, 2016 and 2015,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Warrant</w:t>
            </w:r>
          </w:p>
        </w:tc>
      </w:tr>
      <w:tr>
        <w:trPr>
          <w:trHeight w:val="230"/>
        </w:trPr>
        <w:tc>
          <w:tcPr>
            <w:tcW w:w="7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Liability</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January 1, 2015</w:t>
            </w: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Additions during the period</w:t>
            </w:r>
          </w:p>
        </w:tc>
        <w:tc>
          <w:tcPr>
            <w:tcW w:w="36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15,446,000</w:t>
            </w:r>
          </w:p>
        </w:tc>
      </w:tr>
      <w:tr>
        <w:trPr>
          <w:trHeight w:val="216"/>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debt</w:t>
            </w:r>
          </w:p>
        </w:tc>
        <w:tc>
          <w:tcPr>
            <w:tcW w:w="3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(16,835,000)</w:t>
            </w:r>
          </w:p>
        </w:tc>
      </w:tr>
      <w:tr>
        <w:trPr>
          <w:trHeight w:val="230"/>
        </w:trPr>
        <w:tc>
          <w:tcPr>
            <w:tcW w:w="71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27,873,000</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2015</w:t>
            </w: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Reclassification of derivative liabilities to equity at exercise date</w:t>
            </w:r>
          </w:p>
        </w:tc>
        <w:tc>
          <w:tcPr>
            <w:tcW w:w="3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(5,074,000)</w:t>
            </w:r>
          </w:p>
        </w:tc>
      </w:tr>
      <w:tr>
        <w:trPr>
          <w:trHeight w:val="202"/>
        </w:trPr>
        <w:tc>
          <w:tcPr>
            <w:tcW w:w="71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Reclassification of fair value of derivative liabilities to equity on amendment of warrant</w:t>
            </w:r>
          </w:p>
        </w:tc>
        <w:tc>
          <w:tcPr>
            <w:tcW w:w="3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3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(15,465,000)</w:t>
            </w:r>
          </w:p>
        </w:tc>
      </w:tr>
      <w:tr>
        <w:trPr>
          <w:trHeight w:val="230"/>
        </w:trPr>
        <w:tc>
          <w:tcPr>
            <w:tcW w:w="714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(5,939,500)</w:t>
            </w:r>
          </w:p>
        </w:tc>
      </w:t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2016</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assets and liabilities measured at fair value on a recurring basis are summarized below and disclosed on the balance sheet under Derivative liability – warrants: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measured at December 31, 2016</w:t>
            </w: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340" w:type="dxa"/>
            <w:vAlign w:val="bottom"/>
          </w:tcPr>
          <w:p>
            <w:pPr>
              <w:spacing w:after="0"/>
              <w:rPr>
                <w:sz w:val="16"/>
                <w:szCs w:val="16"/>
                <w:color w:val="auto"/>
              </w:rPr>
            </w:pPr>
          </w:p>
        </w:tc>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0"/>
              </w:rPr>
              <w:t>Quoted prices in active</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3"/>
          </w:tcPr>
          <w:p>
            <w:pPr>
              <w:jc w:val="center"/>
              <w:ind w:right="485"/>
              <w:spacing w:after="0" w:line="195" w:lineRule="exact"/>
              <w:rPr>
                <w:sz w:val="20"/>
                <w:szCs w:val="20"/>
                <w:color w:val="auto"/>
              </w:rPr>
            </w:pPr>
            <w:r>
              <w:rPr>
                <w:rFonts w:ascii="Arial" w:cs="Arial" w:eastAsia="Arial" w:hAnsi="Arial"/>
                <w:sz w:val="18"/>
                <w:szCs w:val="18"/>
                <w:color w:val="auto"/>
                <w:w w:val="94"/>
              </w:rPr>
              <w:t>Significant other</w:t>
            </w:r>
          </w:p>
        </w:tc>
        <w:tc>
          <w:tcPr>
            <w:tcW w:w="18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markets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jc w:val="center"/>
              <w:ind w:right="485"/>
              <w:spacing w:after="0"/>
              <w:rPr>
                <w:sz w:val="20"/>
                <w:szCs w:val="20"/>
                <w:color w:val="auto"/>
              </w:rPr>
            </w:pPr>
            <w:r>
              <w:rPr>
                <w:rFonts w:ascii="Arial" w:cs="Arial" w:eastAsia="Arial" w:hAnsi="Arial"/>
                <w:sz w:val="18"/>
                <w:szCs w:val="18"/>
                <w:color w:val="auto"/>
                <w:w w:val="89"/>
              </w:rPr>
              <w:t>observable inputs</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unobservable inputs</w:t>
            </w:r>
          </w:p>
        </w:tc>
        <w:tc>
          <w:tcPr>
            <w:tcW w:w="1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 at</w:t>
            </w:r>
          </w:p>
        </w:tc>
      </w:tr>
      <w:tr>
        <w:trPr>
          <w:trHeight w:val="230"/>
        </w:trPr>
        <w:tc>
          <w:tcPr>
            <w:tcW w:w="33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(Level 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center"/>
              <w:ind w:right="485"/>
              <w:spacing w:after="0"/>
              <w:rPr>
                <w:sz w:val="20"/>
                <w:szCs w:val="20"/>
                <w:color w:val="auto"/>
              </w:rPr>
            </w:pPr>
            <w:r>
              <w:rPr>
                <w:rFonts w:ascii="Arial" w:cs="Arial" w:eastAsia="Arial" w:hAnsi="Arial"/>
                <w:sz w:val="18"/>
                <w:szCs w:val="18"/>
                <w:color w:val="auto"/>
                <w:w w:val="94"/>
              </w:rPr>
              <w:t>(Level 2)</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2016</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760" w:type="dxa"/>
            <w:vAlign w:val="bottom"/>
            <w:tcBorders>
              <w:top w:val="single" w:sz="8" w:color="auto"/>
            </w:tcBorders>
            <w:shd w:val="clear" w:color="auto" w:fill="CCEEFF"/>
          </w:tcPr>
          <w:p>
            <w:pPr>
              <w:jc w:val="right"/>
              <w:ind w:right="159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Fair value measured at December 31, 2015</w:t>
            </w: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340" w:type="dxa"/>
            <w:vAlign w:val="bottom"/>
          </w:tcPr>
          <w:p>
            <w:pPr>
              <w:spacing w:after="0"/>
              <w:rPr>
                <w:sz w:val="16"/>
                <w:szCs w:val="16"/>
                <w:color w:val="auto"/>
              </w:rPr>
            </w:pPr>
          </w:p>
        </w:tc>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0"/>
              </w:rPr>
              <w:t>Quoted prices in active</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3"/>
          </w:tcPr>
          <w:p>
            <w:pPr>
              <w:jc w:val="center"/>
              <w:ind w:right="485"/>
              <w:spacing w:after="0" w:line="195" w:lineRule="exact"/>
              <w:rPr>
                <w:sz w:val="20"/>
                <w:szCs w:val="20"/>
                <w:color w:val="auto"/>
              </w:rPr>
            </w:pPr>
            <w:r>
              <w:rPr>
                <w:rFonts w:ascii="Arial" w:cs="Arial" w:eastAsia="Arial" w:hAnsi="Arial"/>
                <w:sz w:val="18"/>
                <w:szCs w:val="18"/>
                <w:color w:val="auto"/>
                <w:w w:val="94"/>
              </w:rPr>
              <w:t>Significant other</w:t>
            </w:r>
          </w:p>
        </w:tc>
        <w:tc>
          <w:tcPr>
            <w:tcW w:w="188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6"/>
              </w:rPr>
              <w:t>Significant</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markets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3"/>
          </w:tcPr>
          <w:p>
            <w:pPr>
              <w:jc w:val="center"/>
              <w:ind w:right="485"/>
              <w:spacing w:after="0"/>
              <w:rPr>
                <w:sz w:val="20"/>
                <w:szCs w:val="20"/>
                <w:color w:val="auto"/>
              </w:rPr>
            </w:pPr>
            <w:r>
              <w:rPr>
                <w:rFonts w:ascii="Arial" w:cs="Arial" w:eastAsia="Arial" w:hAnsi="Arial"/>
                <w:sz w:val="18"/>
                <w:szCs w:val="18"/>
                <w:color w:val="auto"/>
                <w:w w:val="89"/>
              </w:rPr>
              <w:t>observable inputs</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unobservable inputs</w:t>
            </w:r>
          </w:p>
        </w:tc>
        <w:tc>
          <w:tcPr>
            <w:tcW w:w="1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Fair value at</w:t>
            </w:r>
          </w:p>
        </w:tc>
      </w:tr>
      <w:tr>
        <w:trPr>
          <w:trHeight w:val="230"/>
        </w:trPr>
        <w:tc>
          <w:tcPr>
            <w:tcW w:w="33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(Level 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3"/>
          </w:tcPr>
          <w:p>
            <w:pPr>
              <w:jc w:val="center"/>
              <w:ind w:right="485"/>
              <w:spacing w:after="0"/>
              <w:rPr>
                <w:sz w:val="20"/>
                <w:szCs w:val="20"/>
                <w:color w:val="auto"/>
              </w:rPr>
            </w:pPr>
            <w:r>
              <w:rPr>
                <w:rFonts w:ascii="Arial" w:cs="Arial" w:eastAsia="Arial" w:hAnsi="Arial"/>
                <w:sz w:val="18"/>
                <w:szCs w:val="18"/>
                <w:color w:val="auto"/>
                <w:w w:val="94"/>
              </w:rPr>
              <w:t>(Level 2)</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(Level 3)</w:t>
            </w: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2015</w:t>
            </w: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liability - warrants</w:t>
            </w:r>
          </w:p>
        </w:tc>
        <w:tc>
          <w:tcPr>
            <w:tcW w:w="1760" w:type="dxa"/>
            <w:vAlign w:val="bottom"/>
            <w:tcBorders>
              <w:top w:val="single" w:sz="8" w:color="auto"/>
            </w:tcBorders>
            <w:shd w:val="clear" w:color="auto" w:fill="CCEEFF"/>
          </w:tcPr>
          <w:p>
            <w:pPr>
              <w:jc w:val="right"/>
              <w:ind w:right="159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26,493,000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2 or 3 during the year ended December 31, 2016 and 2015, respectively.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of warrants is subjective and is affected by changes in inputs to the valuation model including the price per share of common stock, the historical volatility of the stock price, risk-free rates based on U. S. Treasury security yields, the expected term of the warrants and dividend yield. Changes in these assumptions can materially affect the fair value estimate. The Company could ultimately incur amounts to settle the warrant at a cash settlement value that is significantly different than the carrying value of the liability on the financial statements. The Company will continue to classify the fair value of the warrants as a liability until the warrants are exercised, expire, or are amended in a way that would no longer require these warrants to be classified as a liability. Changes in the fair value of the common stock warrants liability are recognized as a component of other income (expense) in the Statements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cash settlement value at the time of any future transactions, where the Company consolidates or merges with another entity, will depend upon the value of the following inputs at that time: the consideration value per share of the Company’s common stock, the volatility of the Company’s common stock, the remaining term of the warrant from announcement date, the risk-free interest rate based on U. S. Treasury security yields, and the Company’s dividend yield. The warrant requires use of a volatility assumption equal to the greater of 100% and the 100-day volatility function determined as of the trading day immediately following announcement of a Fundamental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Amendment Transaction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10, 2016, the Company and holders of an aggregate of 3,096,665 outstanding Series A Warrants, Series A-1 Warrants, Series C Warrants, Series C-1 Warrants, Series D Warrants, Series D-1 Warrants, Series E Warrants and Series E-1 Warrants entered into warrant amendment agreements (the “Amended Warrants”) in which they agreed to amend the terms of the outstanding series warrants to remove provisions that had previously precluded equity classification treatment on the Company’s balance sheets.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jc w:val="both"/>
        <w:spacing w:after="0" w:line="277" w:lineRule="auto"/>
        <w:rPr>
          <w:sz w:val="20"/>
          <w:szCs w:val="20"/>
          <w:color w:val="auto"/>
        </w:rPr>
      </w:pPr>
      <w:r>
        <w:rPr>
          <w:rFonts w:ascii="Arial" w:cs="Arial" w:eastAsia="Arial" w:hAnsi="Arial"/>
          <w:sz w:val="18"/>
          <w:szCs w:val="18"/>
          <w:color w:val="auto"/>
        </w:rPr>
        <w:t>The fair value of the Amended Warrants was re-measured immediately prior to the date of amendment with changes in fair value recorded as a gain of $5.1 million in the statement of operations and $15.5 million was reclassified to equity.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PROMISSORY NOTES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2016, the Company had outstanding promissory notes in the amount of $5,000 as compared to two outstanding promissory notes totaling $30,000 at December 31, 2015. The one promissory note outstanding and due at December 31, 2016 bears 10% annual interest.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PROMISSORY NOTE, RELATED PARTY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December 31, 2015, the Company had an outstanding promissory note in the amount of $23,000 owed to an officer of the Company. The promissory note bore no interest charges and had no fixed repayment terms. During the year ended December 31, 2016, the note was paid in full.</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authorized up to 5,000,000 shares of preferred stock, $0.0001 par value per share, for issuance. The preferred stock will have such rights, privileges and restrictions, including voting rights, dividend conversion rights, redemption privileges and liquidation preferences, as shall be determined by the Company’s board of directors upon its issuance. To date, the Company has not issued any preferred shares.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Series A Preferred Stock - </w:t>
      </w:r>
      <w:r>
        <w:rPr>
          <w:rFonts w:ascii="Arial" w:cs="Arial" w:eastAsia="Arial" w:hAnsi="Arial"/>
          <w:sz w:val="18"/>
          <w:szCs w:val="18"/>
          <w:color w:val="auto"/>
        </w:rPr>
        <w:t>The Company has designated up to 1,250,000 shares of Series A Preferred Stock, $0.0001 par value per share, for issuance.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has not issued any Series A preferred shares.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Series B Preferred Stock - </w:t>
      </w:r>
      <w:r>
        <w:rPr>
          <w:rFonts w:ascii="Arial" w:cs="Arial" w:eastAsia="Arial" w:hAnsi="Arial"/>
          <w:sz w:val="18"/>
          <w:szCs w:val="18"/>
          <w:color w:val="auto"/>
        </w:rPr>
        <w:t>The Company has designated up to 1,500,000 shares of Series B Preferred Stock, $0.0001 par value per share, for issuance. To</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has not issued any Series B preferred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up to 41,666,667 shares of common stock, $0.0001 par value per share, for issuance. Significant 2016 and 2015 common stock transactions were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placements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10, 2016 and August 25, 2016, the Company completed private placements of units with certain accredited investors. The units consisted of (i) one share of the Company’s common stock, par value $0.001 per share and (ii) one five-year warrant to purchase one share of Company common stock for $6.00. The Company issued and sold an aggregate of 653,187 units at a purchase price per unit of $4.80 for an aggregate of approximately $3.1 million. The Company incurred approximately $0.8 million in agency fees and legal costs. The estimated fair value of the warrants was approximately $3.5 million. The fair value was estimated using inputs of : strike price of $6.00, expected term of five years, estimated volatility of 146%, risk-free rate of 1.1% and expected dividend rate of 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Amendment Transaction</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August 10, 2016, the Company and holders of outstanding Series A Warrants, Series A-1 Warrants, Series C Warrants, Series C-1 Warrants, Series D Warrants, Series D-1 Warrants, Series E Warrants and Series E-1 Warrants entered into warrant amendment agreements in which they agreed to amend the terms of the outstanding series warrants to remove provisions that had previously precluded equity classification treatment on the Company’s balance sheets.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such amendment and the exercise of the Series C Warrants and Series C-1 Warrants, the Company issued an aggregate of 750,000 additional shares of common stock to such warrant holders and new five-year warrants to purchase 1,000,000 shares of Company common stock at an exercise price of $7.20 per share.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i w:val="1"/>
          <w:iCs w:val="1"/>
          <w:u w:val="single" w:color="auto"/>
          <w:color w:val="auto"/>
        </w:rPr>
        <w:t>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Exercise of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2016, Dr. John Bonfiglio exercised 10,417 shares of common stock pursuant to stock options at an exercise price equal to $1.74 per share.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Settlement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2016, the Company issued 10,191 common shares as part of debt conversion agreements from 2014. The fair value of the common stock of approximately $70,000 was recognized as loss on debt settlement agreements in other income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Management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2016, the Company entered into an employment agreement with Dr. John Bonfiglio relating to his appointment as the Company’s President and Chief Operating Officer. As part of the agreement, Dr. John Bonfiglio was awarded 20,833 common shares, which will vest upon the earlier of (i) the listing of the Company’s common stock on a national securities exchange in the United States or (ii) the first anniversary of the employment agreement, so long as Dr. John Bonfiglio is employed with the Company. The fair value of the common stock of approximately $103,000 was recognized as stock-based compensation in general and administrative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Consulting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the Company issued 75,000 common shares as part of consulting agreements. The fair value of the common stock of approximately $480,000 was recognized as stock-based compensation in general and administrative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Common Stock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placements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2015, the Company entered into a Securities Purchase Agreement with certain investors for the sale of 610,000 units at a purchase price of $2.40 per unit, for a total purchase price of approximately $1,250,000, net of finders’ fee and offering expenses of approximately $214,000. Each unit consisting of</w:t>
      </w:r>
    </w:p>
    <w:p>
      <w:pPr>
        <w:jc w:val="both"/>
        <w:ind w:firstLine="8"/>
        <w:spacing w:after="0" w:line="252" w:lineRule="auto"/>
        <w:tabs>
          <w:tab w:leader="none" w:pos="223"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are exercisable at $18.00 per share, with a five-year term. Series B warrants are exercisable at $4.80 per share, with a six-month term. Series C warrants are exercisable at $12.00 per share, with a five-year term. Series D warrants are exercisable at $9.00 per share only if and to the extent that the Series B warrants are exercised, with a five-year term from the date that the Series B warrants are exercised. Series E warrants are exercisable at $15.00 per share, only if and to the extent that the Series C warrants are exercised, with a five-year term from the date that the Series C warrants are exercised.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30,500 common shares with substantially the same terms as the January 2015 Warrants and pay a 7% finder’s fee on gross proceeds from the sale of securities.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the Company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“March 2015 Warrants”). The March 2015 Warrants have substantially the same terms as the January 2015 Warrants.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spacing w:after="0" w:line="277" w:lineRule="auto"/>
        <w:rPr>
          <w:sz w:val="20"/>
          <w:szCs w:val="20"/>
          <w:color w:val="auto"/>
        </w:rPr>
      </w:pPr>
      <w:r>
        <w:rPr>
          <w:rFonts w:ascii="Arial" w:cs="Arial" w:eastAsia="Arial" w:hAnsi="Arial"/>
          <w:sz w:val="18"/>
          <w:szCs w:val="18"/>
          <w:color w:val="auto"/>
        </w:rPr>
        <w:t>Pursuant to a placement agent agreement, the Company agreed to issue warrants to purchase 10,417 common shares with substantially the same terms as the March 2015 Warrants and pay a 3.5% finder’s fee on gross proceeds from the sale of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2015 Management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2015, the Company entered into an employment agreement with Dr. Glynn Wilson, the Company’s Chief Executive Officer, President and Chairman of the Company. As part of the agreement, the Company granted Dr. Wilson 26,250 shares of unregistered common stock, fully vested. The Company recorded an obligation to deliver the shares of $191,000 based on the fair value of the common stock at December 31, 2015. The Company issued the shares in March 2016 and reclassified the accrued liability to stockholders’ equity (deficit). In the nine months ended September 30, 2016, to adjust for the withholding tax liability, which was payable in cash, Dr. Wilson returned the 26,250 fully vested common shares and was issued 19,018 fully vested common shares.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share purchase warrants as of December 31, 2016 and 2015, respectively, and changes during the period is presented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Weighted Average</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Remaining 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450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2015</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Issued</w:t>
            </w:r>
          </w:p>
        </w:tc>
        <w:tc>
          <w:tcPr>
            <w:tcW w:w="1440" w:type="dxa"/>
            <w:vAlign w:val="bottom"/>
          </w:tcPr>
          <w:p>
            <w:pPr>
              <w:jc w:val="right"/>
              <w:spacing w:after="0"/>
              <w:rPr>
                <w:sz w:val="20"/>
                <w:szCs w:val="20"/>
                <w:color w:val="auto"/>
              </w:rPr>
            </w:pPr>
            <w:r>
              <w:rPr>
                <w:rFonts w:ascii="Arial" w:cs="Arial" w:eastAsia="Arial" w:hAnsi="Arial"/>
                <w:sz w:val="18"/>
                <w:szCs w:val="18"/>
                <w:color w:val="auto"/>
              </w:rPr>
              <w:t>7,228,000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(3,090,000)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Extinguished or expird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(17,000)</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28.68</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2015</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4,343,000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Issued</w:t>
            </w:r>
          </w:p>
        </w:tc>
        <w:tc>
          <w:tcPr>
            <w:tcW w:w="1440" w:type="dxa"/>
            <w:vAlign w:val="bottom"/>
          </w:tcPr>
          <w:p>
            <w:pPr>
              <w:jc w:val="right"/>
              <w:spacing w:after="0"/>
              <w:rPr>
                <w:sz w:val="20"/>
                <w:szCs w:val="20"/>
                <w:color w:val="auto"/>
              </w:rPr>
            </w:pPr>
            <w:r>
              <w:rPr>
                <w:rFonts w:ascii="Arial" w:cs="Arial" w:eastAsia="Arial" w:hAnsi="Arial"/>
                <w:sz w:val="18"/>
                <w:szCs w:val="18"/>
                <w:color w:val="auto"/>
              </w:rPr>
              <w:t>1,718,000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287.20</w:t>
            </w:r>
          </w:p>
        </w:tc>
        <w:tc>
          <w:tcPr>
            <w:tcW w:w="2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2016</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5,059,000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1,713,000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Exercises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11, 2016, holders of an aggregate of 583,333 outstanding Series C Warrants and 416,667 Series C-1 Warrants, each providing for the purchase of one share of our common stock for $6.00 per share, exercised their warrants for an aggregate exercise price of $6,000,000.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August 2016 Warrant Amendments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discussed in Note 10, Stockholders’ Equity, simultaneous with the exercise of the warrants, the Company and holders of outstanding Series A Warrants, Series A-1 Warrants, Series C Warrants, Series C-1 Warrants, Series D Warrants, Series D-1 Warrants, Series E Warrants and Series E-1 Warrants entered into warrant amendment agreements, in which they agreed to amend the terms of the existing warrant agreements to remove provisions that had previously caused them to be classified as a derivative liability as opposed to equity on our balance sheet. In consideration for such amendment and the exercise of the Series C Warrants and Series C-1 Warrants, we issued an aggregate of 750,000 additional shares of common stock to such warrant holders and new five-year warrants to purchase 1,000,000 shares of our common stock at an exercise price of $7.20 per share (the “Series F and F-1Warrants”). The value of the shares was treated as dividend on the statement of stockholders’ equity of $4.5 million. The estimated fair value of the warrants was approximately $5.4 million. The fair value was estimated using inputs of : strike price of $7.20, expected term of five years, estimated volatility of 146%, risk-free rate of 1.1% and expected dividend rate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both"/>
        <w:spacing w:after="0" w:line="286" w:lineRule="auto"/>
        <w:rPr>
          <w:sz w:val="20"/>
          <w:szCs w:val="20"/>
          <w:color w:val="auto"/>
        </w:rPr>
      </w:pPr>
      <w:r>
        <w:rPr>
          <w:rFonts w:ascii="Arial" w:cs="Arial" w:eastAsia="Arial" w:hAnsi="Arial"/>
          <w:sz w:val="17"/>
          <w:szCs w:val="17"/>
          <w:color w:val="auto"/>
        </w:rPr>
        <w:t>In addition, the Company issued five-year warrants to the placement agent in the offering providing for the purchase of up to 65,317 shares of Company common stock for $4.80 per share. The estimated fair value of the warrants was approximately $0.4 million. The fair value was estimated using inputs of : strike price of $4.80, expected term of five years, estimated volatility of 146%, risk-free rate of 1.1% and expected dividend rate of 0%.</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Warrant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2015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2015, we entered into a Securities Purchase Agreement with certain investors for the sale of 610,000 units at a purchase price of $2.40 per unit, for a total purchase price of approximately $1,250,000, net of finders’ fee and offering expenses of approximately $214,000. Each unit consisting of (i) one share of the Company’s Common Stock, (ii) one Series A warrant to purchase one share of common stock, (iii) one Series B warrant to purchase one share of common stock (iv) one Series C warrant to purchase one share of common stock, (v) one Series D warrant to purchase one share of common stock, and (vi) one Series E warrant to purchase one share of common stock (the Series A, B, C, D and E warrants are hereby collectively referred to as the “January 2015 Warrants”). Series A warrants were exercisable at $18.00 per share, with a five-year term. Series B warrants were exercisable at $4.80 per share, with a six-month term. Series C warrants were exercisable at $12.00 per share, with a five-year term. Series D warrants were exercisable at $9.00 per share only if and to the extent that the Series B warrants are exercised, with a five-year term from the date that the Series B warrants are exercised. Series E warrants were exercisable at $15.00 per share, only if and to the extent that the Series C warrants are exercised, with a five-year term from the date that the Series C warrants are exercised. Pursuant to a placement agent agreement, we agreed to issue warrants to purchase 30,500 common shares with substantially the same terms as the January 2015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2015 Financing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March, 2015, we entered into a Securities Purchase Agreement with certain accredited investors for the sale of 416,667 units at a purchase price of $2.40 per unit, for a total purchase price of approximately $950,000, net of finders’ fee and offering expenses of approximately $50,000. Each unit consisting of (i) one share of the Company’s Common Stock, (ii) one Series A-1 warrant to purchase one share of common stock, (iii) one Series B-1 warrant to purchase one share of common stock (iv) one Series C-1 warrant to purchase one share of common stock, (v) one Series D-1 warrant to purchase one share of common stock, and (vi) one Series E-1 warrant to purchase one share of common stock (the Series A-1, B-1, C-1, D-1 and E-1 warrants are hereby collectively referred to as the “March 2015 Warrants”). The March 2015 Warrants have substantially the same terms as the January 2015 Warrants. Pursuant to a placement agent agreement, we agreed to issue warrants to purchase 10,417 common shares with substantially the same terms as the March 2015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of January and March 2015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May 2015, we entered into a restructuring agreement with the investors of the January 2015 and March 2015 financings, where:</w:t>
      </w:r>
    </w:p>
    <w:p>
      <w:pPr>
        <w:spacing w:after="0" w:line="225" w:lineRule="exact"/>
        <w:rPr>
          <w:sz w:val="20"/>
          <w:szCs w:val="20"/>
          <w:color w:val="auto"/>
        </w:rPr>
      </w:pPr>
    </w:p>
    <w:p>
      <w:pPr>
        <w:ind w:left="460" w:hanging="330"/>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of the Series A and Series A-1 warrants was changed from $18.00 per share to $1.20 per share,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of Series B and Series B-1 warrants was changed from $4.80 per share to $2.40 per share,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warrant of Series B and Series B-1 existing prior to the restructuring agreement was replaced with two warrants of such series,</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exercise price of the Series C and Series C-1 warrants was changed from $12.00 per share to $6.00 per share, and</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warrant of Series C and Series C-1 existing prior to the restructuring agreement was replaced with two warrants of such series.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restructuring agreement, we issued an additional 1,026,667 Series B and B-1 warrants and 1,026,667 Series C and C-1 Warrants.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both"/>
        <w:spacing w:after="0" w:line="277" w:lineRule="auto"/>
        <w:rPr>
          <w:sz w:val="20"/>
          <w:szCs w:val="20"/>
          <w:color w:val="auto"/>
        </w:rPr>
      </w:pPr>
      <w:r>
        <w:rPr>
          <w:rFonts w:ascii="Arial" w:cs="Arial" w:eastAsia="Arial" w:hAnsi="Arial"/>
          <w:sz w:val="18"/>
          <w:szCs w:val="18"/>
          <w:color w:val="auto"/>
        </w:rPr>
        <w:t>The following table reflects the status of the outstanding warrants from the January 2015, March 2015, and August 2016 private placement financings (including placement agent warrants) following the Amendment Agreement and private placement: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Series</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Outstanding Warrants</w:t>
            </w:r>
          </w:p>
        </w:tc>
        <w:tc>
          <w:tcPr>
            <w:tcW w:w="16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9"/>
              </w:rPr>
              <w:t>Exercise Price</w:t>
            </w:r>
          </w:p>
        </w:tc>
        <w:tc>
          <w:tcPr>
            <w:tcW w:w="2900" w:type="dxa"/>
            <w:vAlign w:val="bottom"/>
            <w:gridSpan w:val="2"/>
          </w:tcPr>
          <w:p>
            <w:pPr>
              <w:ind w:left="160"/>
              <w:spacing w:after="0"/>
              <w:rPr>
                <w:sz w:val="20"/>
                <w:szCs w:val="20"/>
                <w:color w:val="auto"/>
              </w:rPr>
            </w:pPr>
            <w:r>
              <w:rPr>
                <w:rFonts w:ascii="Arial" w:cs="Arial" w:eastAsia="Arial" w:hAnsi="Arial"/>
                <w:sz w:val="18"/>
                <w:szCs w:val="18"/>
                <w:b w:val="1"/>
                <w:bCs w:val="1"/>
                <w:color w:val="auto"/>
              </w:rPr>
              <w:t>Expiration</w:t>
            </w:r>
          </w:p>
        </w:tc>
      </w:tr>
      <w:tr>
        <w:trPr>
          <w:trHeight w:val="210"/>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214,433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01/13/2020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424,433</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01/13/2020</w:t>
            </w: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Between 07/16/2020 and 08/13/2020</w:t>
            </w: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72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08/19/2020 and 09/09/2020</w:t>
            </w: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E</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9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2"/>
              </w:rPr>
              <w:t>Between 10/01/2020 and 11/12/2020</w:t>
            </w: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616,100</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and 11/30/2020 and 12/09/2020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418,750</w:t>
            </w:r>
          </w:p>
        </w:tc>
        <w:tc>
          <w:tcPr>
            <w:tcW w:w="72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03/09/2020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01/13/2020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D-1</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72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Between 08/19/2020 and 09/09/2020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E-1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418,750</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06/16/2020</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583,333</w:t>
            </w:r>
          </w:p>
        </w:tc>
        <w:tc>
          <w:tcPr>
            <w:tcW w:w="72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08/11/2021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416,667</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08/11/2021</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PIPE Warrants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653,187</w:t>
            </w:r>
          </w:p>
        </w:tc>
        <w:tc>
          <w:tcPr>
            <w:tcW w:w="72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08/11/2021</w:t>
            </w: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Broker Warrants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65,327</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c>
          <w:tcPr>
            <w:tcW w:w="2900" w:type="dxa"/>
            <w:vAlign w:val="bottom"/>
            <w:gridSpan w:val="2"/>
          </w:tcPr>
          <w:p>
            <w:pPr>
              <w:ind w:left="160"/>
              <w:spacing w:after="0"/>
              <w:rPr>
                <w:sz w:val="20"/>
                <w:szCs w:val="20"/>
                <w:color w:val="auto"/>
              </w:rPr>
            </w:pPr>
            <w:r>
              <w:rPr>
                <w:rFonts w:ascii="Arial" w:cs="Arial" w:eastAsia="Arial" w:hAnsi="Arial"/>
                <w:sz w:val="18"/>
                <w:szCs w:val="18"/>
                <w:color w:val="auto"/>
              </w:rPr>
              <w:t>08/11/2021</w:t>
            </w:r>
          </w:p>
        </w:tc>
      </w:tr>
    </w:tbl>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Purchase Shares of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2009 Stock Omnibus Plan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14, 2009, the Company adopted the 2009 Stock Incentive Plan (the “2009 Plan”). The 2009 Plan allows for the issuance of up to 8,333 common shares. Options granted under the Plan shall be at prices and for terms as determined by our Board of Directors, and may have vesting requirements as determined by our Board of Directors. The foregoing summary of the 2009 Plan is not complete and is qualified in its entirety by reference to the 2009 Stock Incentive Plan, a copy of which has been filed with the SEC. To date, 3,679 options have been issued under the 2009 Plan, of which 2,013 are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2014 Stock Omnibus Plan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19, 2014, the Board adopted the 2014 Omnibus Stock Option Plan (“2014 Plan”). The 2014 Plan allowed for grants of stock options, restricted shares, stock bonuses and other equity based awards to employees and non-employee directors of the Company. Awards under the 2014 Plan may be at prices and for terms as determined by the Board of Directors, and may have vesting requirements as determined by the Board, provided that the exercise price for any stock option must be at least equal to the fair market value (as defined in the 2014 Plan) of a share of the stock on the grant date. Once granted, the exercise price of an option may not be reduced without the approval of the Company’s stockholders, other than under certain limited circumstances such as a stock split, or take any other action with respect to a stock option that would be treated as a repricing under the rules and regulations of the New York Stock Exchange. Under the 2014 as originally approved, stock could be issued under the 2014 Plan as a bonus to any employee, other than executive officers of the Company and 166,667 shares of common stock were reserved for issuance under the 2014 Plan. The 2014 Plan was amended in February 2015 to provide for grants to consultants, and again in November 2015 to (i) increase the number of shares reserved for issuance under the Plan by 416,667 shares to 583,334 shares; (ii) provide the Board and Committee administering the Plan with full discretion on the vesting period for Service-Vesting Awards under the Plan, including the grant of Awards with less than the Minimum Vesting Requirement (as such terms are defined in the Plan), and (iii) provide the Board and Committee administering the Plan with the ability to grant stock bonuses to executive officers. To date, 442,500 options have been issued under the 2014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is as follows for stock options: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Weighted</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 of</w:t>
            </w: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Exercise</w:t>
            </w:r>
          </w:p>
        </w:tc>
        <w:tc>
          <w:tcPr>
            <w:tcW w:w="16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4820" w:type="dxa"/>
            <w:vAlign w:val="bottom"/>
          </w:tcPr>
          <w:p>
            <w:pPr>
              <w:spacing w:after="0"/>
              <w:rPr>
                <w:sz w:val="20"/>
                <w:szCs w:val="20"/>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Price</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215.26</w:t>
            </w:r>
          </w:p>
        </w:tc>
        <w:tc>
          <w:tcPr>
            <w:tcW w:w="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295,000</w:t>
            </w:r>
          </w:p>
        </w:tc>
        <w:tc>
          <w:tcPr>
            <w:tcW w:w="20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6.65</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177,000</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Forfeited/expired</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(1,774)</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Outstanding as of December 31, 2015</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298,679</w:t>
            </w: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3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177,000</w:t>
            </w: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147,500</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5.84</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(10,417)</w:t>
            </w:r>
          </w:p>
        </w:tc>
        <w:tc>
          <w:tcPr>
            <w:tcW w:w="20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1.74</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Forfeited/expired</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(1,667)</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228.00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2016</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434,095</w:t>
            </w:r>
          </w:p>
        </w:tc>
        <w:tc>
          <w:tcPr>
            <w:tcW w:w="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360" w:type="dxa"/>
            <w:vAlign w:val="bottom"/>
            <w:tcBorders>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Borders>
              <w:bottom w:val="single" w:sz="8" w:color="CCEEFF"/>
            </w:tcBorders>
          </w:tcPr>
          <w:p>
            <w:pPr>
              <w:spacing w:after="0"/>
              <w:rPr>
                <w:sz w:val="22"/>
                <w:szCs w:val="22"/>
                <w:color w:val="auto"/>
              </w:rPr>
            </w:pPr>
          </w:p>
        </w:tc>
      </w:tr>
      <w:tr>
        <w:trPr>
          <w:trHeight w:val="197"/>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281,209</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8.03</w:t>
            </w: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Black-Scholes option pricing model is used to estimate the fair value of stock options granted under the Company’s share-based compensation plans. The weighted average average assumptions used in calculating the fair values of stock options that were granted during the years ended December 31, 2016, 2015, respectively,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For the years ended</w:t>
            </w:r>
          </w:p>
        </w:tc>
      </w:tr>
      <w:tr>
        <w:trPr>
          <w:trHeight w:val="234"/>
        </w:trPr>
        <w:tc>
          <w:tcPr>
            <w:tcW w:w="7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1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Expected term (years)</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Risk-free rate of interest</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rate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$1,558,409 and $1,705,067 of stock-based compensation expense for the years ended December 31, 2016 and 2015, respectively.</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stock-based compensation cost related to unvested awards not yet recognized and the weighted average periods over which the awards are expected to be recognized as of December 31,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Unrecognized stock-based compensation cost: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954,000</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Expected weighted average period compensation costs to be recognized (years):</w:t>
            </w:r>
          </w:p>
        </w:tc>
        <w:tc>
          <w:tcPr>
            <w:tcW w:w="1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0.84</w:t>
            </w:r>
          </w:p>
        </w:tc>
      </w:tr>
    </w:tbl>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GRANT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the Company received approximately $231,000 of grant awarded to Mayo Foundation from the U.S. Department of Defense for the Phase II Clinical Trial of TPIV 200. The grant paid for the clinical supplies purchased by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November 12, 2015, the Company entered into an employment agreement with Dr. Glynn Wilson, the Company’s Chief Executive Officer. In connection with Dr. Wilson’s appointment, he entered into an employment agreement with the Company. The employment agreement provides that Dr. Wilson’s base salary will be $280,000 per year and he is eligible for an annual performance bonus of up to 50% of his base salary. The term of the employment agreement is for two years and will be automatically extended for an additional 12 months unless terminated by Dr. Wilson or the Company.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jc w:val="both"/>
        <w:spacing w:after="0" w:line="279" w:lineRule="auto"/>
        <w:rPr>
          <w:sz w:val="20"/>
          <w:szCs w:val="20"/>
          <w:color w:val="auto"/>
        </w:rPr>
      </w:pPr>
      <w:r>
        <w:rPr>
          <w:rFonts w:ascii="Arial" w:cs="Arial" w:eastAsia="Arial" w:hAnsi="Arial"/>
          <w:sz w:val="17"/>
          <w:szCs w:val="17"/>
          <w:color w:val="auto"/>
        </w:rPr>
        <w:t>On July 18, 2016, the Company appointed Dr. John Bonfiglio as the Company’s President and Chief Operating Officer. In connection with Dr. Bonfiglio’s appointment, he entered into an employment agreement with the Company. The employment agreement provides that Dr. Bonfiglio’s base salary will be $260,000 per year and he is eligible for an annual performance bonus of up to 50% of his base salary. The term of the employment agreement is for two years and will be automatically extended for an additional 12 months unless terminated by Dr. Bonfiglio or the Company.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25, 2016, the Company appointed Michael J. Loiacono as the Company’s Chief Financial Officer, Chief Accounting Officer, Secretary and Treasurer. In connection with Mr. Loiacono’s appointment, he entered into an employment agreement with the Company. The employment agreement provides that Mr. Loiacono’s base salary will be $200,000 per year and he is eligible for an annual performance bonus of up to 50% of his base salary. The term of the employment agreement is for two years and will be automatically extended for an additional 12 months unless terminated by Mr. Loiacono or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Leased facilities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multiple month-to-month leases that aggregate approximately $3,000 per month. Our principal business office lease agreement expires in July 2017 and the rent is approximately $3,500 per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minimum rental payments required for 2017 under the operating office leases as of December 31, 2016 was approximately $38,700.</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From time to time, the Company may be party to ordinary, routine litigation incidental to their business. We know of no material, active or pending legal proceedings against the Company, nor are we involved as a plaintiff in any material proceeding or pending litigation. There are no proceedings in which any of our directors, officers or affiliates, or any registered or beneficial shareholder, is an adverse party or has a material interest adverse to our interest.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income tax expense due to operating losses incurred for the years ended December 31, 2016 and 2015. Approximately $380,000 in non-qualified stock options were cancelled during 2016 due to terminations that resulted in a reversal of the deferred tax asset of approximately $140,000. The cancellations did not result in a book income for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temporary differences that give rise to significant portions of the deferred tax assets as of December 31, 2016 and 2015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2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For the years ended</w:t>
            </w:r>
          </w:p>
        </w:tc>
      </w:tr>
      <w:tr>
        <w:trPr>
          <w:trHeight w:val="234"/>
        </w:trPr>
        <w:tc>
          <w:tcPr>
            <w:tcW w:w="6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10,934,000</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8,359,000</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1,897,000</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License agreements</w:t>
            </w: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490,000</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268,000</w:t>
            </w: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117,000</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117,000</w:t>
            </w: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Technology licensing fee</w:t>
            </w:r>
          </w:p>
        </w:tc>
        <w:tc>
          <w:tcPr>
            <w:tcW w:w="3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5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185,000</w:t>
            </w: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(13,792,000)</w:t>
            </w:r>
          </w:p>
        </w:tc>
        <w:tc>
          <w:tcPr>
            <w:tcW w:w="5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(10,826,000)</w:t>
            </w:r>
          </w:p>
        </w:tc>
      </w:tr>
      <w:tr>
        <w:trPr>
          <w:trHeight w:val="210"/>
        </w:trPr>
        <w:tc>
          <w:tcPr>
            <w:tcW w:w="6700" w:type="dxa"/>
            <w:vAlign w:val="bottom"/>
          </w:tcPr>
          <w:p>
            <w:pPr>
              <w:ind w:left="18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likelihood that deferred tax assets will be realized. To the extent that realization is not likely, a valuation allowance is established. Based upon the history of losses, management believes that it is more likely than not that future benefits of deferred tax assets will not be realized and has established a full valuation allowance for the years ended December 31, 2016 and 2015. The valuation allowance increased by $3.0 million as of December 31, 2016. The Company has research and development tax credit carryforwards of $117,000 to offset future federal income taxes. The research and development tax credit carryforwards begin to expire in 2029.</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3" w:name="page104"/>
    <w:bookmarkEnd w:id="103"/>
    <w:p>
      <w:pPr>
        <w:jc w:val="both"/>
        <w:spacing w:after="0" w:line="264" w:lineRule="auto"/>
        <w:rPr>
          <w:sz w:val="20"/>
          <w:szCs w:val="20"/>
          <w:color w:val="auto"/>
        </w:rPr>
      </w:pPr>
      <w:r>
        <w:rPr>
          <w:rFonts w:ascii="Arial" w:cs="Arial" w:eastAsia="Arial" w:hAnsi="Arial"/>
          <w:sz w:val="18"/>
          <w:szCs w:val="18"/>
          <w:color w:val="auto"/>
        </w:rPr>
        <w:t>The Company has approximately $31,000,000 of federal and $11,200,000 of state Net Operating Loss (“NOL”s) that may be available to offset future taxable income, if any. The federal net operating loss carryforwards, if not utilized, will expire between 2029 and 2036. The state net operating loss carryforwards, if not utilized, will expire in 2036.</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Section 382 of the Internal Revenue code, the usage of the Company’s net operating loss carryforwards may be limited in the event of a change in ownership. A full Section 382 analysis has not been prepared and NOLs could be subject to limitation under Section 382.</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years ended December 31, 2016 and 2015, the expected tax expense (benefit) based on the U. S. federal statutory rate is reconciled with the actual tax provision (benefit)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69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(11,582,000)</w:t>
            </w:r>
          </w:p>
        </w:tc>
        <w:tc>
          <w:tcPr>
            <w:tcW w:w="80" w:type="dxa"/>
            <w:vAlign w:val="bottom"/>
            <w:gridSpan w:val="2"/>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(286,000)</w:t>
            </w:r>
          </w:p>
        </w:tc>
        <w:tc>
          <w:tcPr>
            <w:tcW w:w="6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(199,000)</w:t>
            </w:r>
          </w:p>
        </w:tc>
      </w:tr>
      <w:tr>
        <w:trPr>
          <w:trHeight w:val="216"/>
        </w:trPr>
        <w:tc>
          <w:tcPr>
            <w:tcW w:w="6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Permanent differences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Change in fair value of derivative liabilities</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(2,019,000)</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9,477,000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340"/>
              <w:spacing w:after="0"/>
              <w:rPr>
                <w:sz w:val="20"/>
                <w:szCs w:val="20"/>
                <w:color w:val="auto"/>
              </w:rPr>
            </w:pPr>
            <w:r>
              <w:rPr>
                <w:rFonts w:ascii="Arial" w:cs="Arial" w:eastAsia="Arial" w:hAnsi="Arial"/>
                <w:sz w:val="18"/>
                <w:szCs w:val="18"/>
                <w:color w:val="auto"/>
              </w:rPr>
              <w:t>- Write off of net operating loss</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3,591,000</w:t>
            </w:r>
          </w:p>
        </w:tc>
        <w:tc>
          <w:tcPr>
            <w:tcW w:w="60" w:type="dxa"/>
            <w:vAlign w:val="bottom"/>
          </w:tcPr>
          <w:p>
            <w:pPr>
              <w:spacing w:after="0"/>
              <w:rPr>
                <w:sz w:val="18"/>
                <w:szCs w:val="18"/>
                <w:color w:val="auto"/>
              </w:rPr>
            </w:pPr>
          </w:p>
        </w:tc>
      </w:tr>
      <w:tr>
        <w:trPr>
          <w:trHeight w:val="216"/>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permanent differences</w:t>
            </w: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46,000</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2,966,000</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(1,645,000)</w:t>
            </w:r>
          </w:p>
        </w:tc>
      </w:tr>
      <w:tr>
        <w:trPr>
          <w:trHeight w:val="230"/>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128,000</w:t>
            </w:r>
          </w:p>
        </w:tc>
        <w:tc>
          <w:tcPr>
            <w:tcW w:w="6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346,000</w:t>
            </w:r>
          </w:p>
        </w:tc>
        <w:tc>
          <w:tcPr>
            <w:tcW w:w="60" w:type="dxa"/>
            <w:vAlign w:val="bottom"/>
            <w:shd w:val="clear" w:color="auto" w:fill="CCEEFF"/>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As of December 31, 2016 and 2015, there were no unrecognized tax benefits. The Company recognizes accrued interest and penalties as income tax expense. No amounts were accrued for the payment of interest and penalties at December 31, 2016 and 2015. The Company is currently not aware of any issues under review that could result in significant payments, accruals or material deviation from its position in the next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21"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 S. federal statutory rate</w:t>
            </w:r>
          </w:p>
        </w:tc>
        <w:tc>
          <w:tcPr>
            <w:tcW w:w="1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60" w:type="dxa"/>
            <w:vAlign w:val="bottom"/>
          </w:tcPr>
          <w:p>
            <w:pPr>
              <w:spacing w:after="0"/>
              <w:rPr>
                <w:sz w:val="18"/>
                <w:szCs w:val="18"/>
                <w:color w:val="auto"/>
              </w:rPr>
            </w:pPr>
          </w:p>
        </w:tc>
      </w:tr>
      <w:tr>
        <w:trPr>
          <w:trHeight w:val="216"/>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State taxes, net of federal benefit</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color w:val="auto"/>
              </w:rPr>
              <w:t>(11.6%)</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Permanent differences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Change in fair value of derivative liabilities</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60" w:type="dxa"/>
            <w:vAlign w:val="bottom"/>
          </w:tcPr>
          <w:p>
            <w:pPr>
              <w:spacing w:after="0"/>
              <w:rPr>
                <w:sz w:val="18"/>
                <w:szCs w:val="18"/>
                <w:color w:val="auto"/>
              </w:rPr>
            </w:pPr>
          </w:p>
        </w:tc>
      </w:tr>
      <w:tr>
        <w:trPr>
          <w:trHeight w:val="216"/>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 Write off of net operating loss</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r>
      <w:tr>
        <w:trPr>
          <w:trHeight w:val="216"/>
        </w:trPr>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permanent differences</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r>
      <w:tr>
        <w:trPr>
          <w:trHeight w:val="216"/>
        </w:trPr>
        <w:tc>
          <w:tcPr>
            <w:tcW w:w="8140" w:type="dxa"/>
            <w:vAlign w:val="bottom"/>
            <w:gridSpan w:val="2"/>
          </w:tcPr>
          <w:p>
            <w:pPr>
              <w:ind w:left="180"/>
              <w:spacing w:after="0"/>
              <w:rPr>
                <w:sz w:val="20"/>
                <w:szCs w:val="20"/>
                <w:color w:val="auto"/>
              </w:rPr>
            </w:pPr>
            <w:r>
              <w:rPr>
                <w:rFonts w:ascii="Arial" w:cs="Arial" w:eastAsia="Arial" w:hAnsi="Arial"/>
                <w:sz w:val="18"/>
                <w:szCs w:val="18"/>
                <w:color w:val="auto"/>
              </w:rPr>
              <w:t>Change in valuation allowance</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120.8%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r>
      <w:tr>
        <w:trPr>
          <w:trHeight w:val="230"/>
        </w:trPr>
        <w:tc>
          <w:tcPr>
            <w:tcW w:w="8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29"/>
        </w:trPr>
        <w:tc>
          <w:tcPr>
            <w:tcW w:w="8140" w:type="dxa"/>
            <w:vAlign w:val="bottom"/>
            <w:tcBorders>
              <w:bottom w:val="single" w:sz="8" w:color="auto"/>
            </w:tcBorders>
            <w:gridSpan w:val="2"/>
          </w:tcPr>
          <w:p>
            <w:pPr>
              <w:ind w:left="5560"/>
              <w:spacing w:after="0"/>
              <w:rPr>
                <w:sz w:val="20"/>
                <w:szCs w:val="20"/>
                <w:color w:val="auto"/>
              </w:rPr>
            </w:pPr>
            <w:r>
              <w:rPr>
                <w:rFonts w:ascii="Arial" w:cs="Arial" w:eastAsia="Arial" w:hAnsi="Arial"/>
                <w:sz w:val="18"/>
                <w:szCs w:val="18"/>
                <w:color w:val="auto"/>
              </w:rPr>
              <w:t>F-24</w:t>
            </w: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4"/>
          </w:tcPr>
          <w:p>
            <w:pPr>
              <w:ind w:left="3980"/>
              <w:spacing w:after="0"/>
              <w:rPr>
                <w:sz w:val="20"/>
                <w:szCs w:val="20"/>
                <w:color w:val="auto"/>
              </w:rPr>
            </w:pPr>
            <w:r>
              <w:rPr>
                <w:rFonts w:ascii="Arial" w:cs="Arial" w:eastAsia="Arial" w:hAnsi="Arial"/>
                <w:sz w:val="18"/>
                <w:szCs w:val="18"/>
                <w:b w:val="1"/>
                <w:bCs w:val="1"/>
                <w:color w:val="auto"/>
              </w:rPr>
              <w:t>EXHIBIT INDEX</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40" w:type="dxa"/>
            <w:vAlign w:val="bottom"/>
            <w:gridSpan w:val="2"/>
            <w:vMerge w:val="continue"/>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41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File no.</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26"/>
        </w:trPr>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Articles of Incorporation as Amended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001-37939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11/4/16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Certificate of Change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9/15/16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Amended and Restated Bylaws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7/15/16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Securities Purchase Agreement, dated May 17, 2010</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Registration Rights Agreement, dated May 24, 2010</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Security Agreement, dated May 24, 2010</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Senior Secured Convertible Note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Series A Warrants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Series B Warrants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Series C Warrants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5/18/10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1"/>
              </w:rPr>
              <w:t>Securities Purchase Agreement, dated February 24, 2011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Convertible Note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Security Agreement, dated February 24, 2011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3/2/11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Form of Convertible Note in connection with the sale of</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same on April 12, 2011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Security Agreement dated April 12, 2011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7"/>
              </w:rPr>
              <w:t>Form of Securities Purchase Agreement in connection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with the sale of Units on April 14, 2011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Form of Warrant in connection with Securities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4/18/11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Agreement dated April 14, 2011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Common Stock Purchase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8/14/14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8/14/14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Form of Common Stock Purchase Warrants-Series A</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Form of Common Stock Purchase Warrants-Series B</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4.20</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Form of Common Stock Purchase Warrants-Series C</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Form of Common Stock Purchase Warrants-Series 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Form of Common Stock Purchase Warrants-Series 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40" w:type="dxa"/>
            <w:vAlign w:val="bottom"/>
            <w:gridSpan w:val="2"/>
            <w:vMerge w:val="continue"/>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w:t>
            </w:r>
          </w:p>
        </w:tc>
        <w:tc>
          <w:tcPr>
            <w:tcW w:w="120" w:type="dxa"/>
            <w:vAlign w:val="bottom"/>
          </w:tcPr>
          <w:p>
            <w:pPr>
              <w:spacing w:after="0"/>
              <w:rPr>
                <w:sz w:val="20"/>
                <w:szCs w:val="20"/>
                <w:color w:val="auto"/>
              </w:rPr>
            </w:pPr>
          </w:p>
        </w:tc>
        <w:tc>
          <w:tcPr>
            <w:tcW w:w="41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File no.</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11"/>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A</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B</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C</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 Warrants-Series A-1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 Warrants-Series B-1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4.30</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Form of Common Stock Purchase Warrants-Series C-1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Form of Common Stock Purchase Warrants-Series D-1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Form of Common Stock Purchase Warrants-Series E-1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A-1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B-1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C-1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D-1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Placement Agent Common Stock Purchase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Warrants-Series E-1</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PIPE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4.39</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Amended Series A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4.40</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Amended Series C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Amended Series D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Amended Series E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Amended Series A-1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40" w:type="dxa"/>
            <w:vAlign w:val="bottom"/>
            <w:gridSpan w:val="2"/>
            <w:vMerge w:val="continue"/>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41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File no.</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Amended Series D-1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Amended Series E-1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Series F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Series F-1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4.48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Katalyst Warrant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Executive Services Agreement with Denis Corin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10-QSB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11/14/07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Amended Executive Services Agreement with Denis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10-QSB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11/14/07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Corin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License Agreement made March 6, 2000 between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10-KSB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GeneMax Pharmaceuticals, UBC and Dr. Jefferies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Collaborative Research Agreement made September 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10-KSB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2000 between GeneMax Pharmaceuticals, GeneMax</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Pharmaceuticals Inc. and UBC</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7"/>
              </w:rPr>
              <w:t>Production Services Agreement made March 18, 2003</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10-KSB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between the Company and Molecular Medicine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Biological Materials Transfer Agreement made October</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10-KSB</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4/15/05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21, 2003 between the Company and National Institutes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of Health</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Option and Settlement Agreement made January 23,</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2/3/06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9"/>
              </w:rPr>
              <w:t>2006 between GeneMax Pharmaceuticals, GeneMax</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Pharmaceuticals Inc., UBC and Dr. Jefferies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2009 Stock Incentive Plan*</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DEF14-C</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1/29/10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Technology Option Agreement, dated June 1, 2010,</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6/4/10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between TapImmune Inc. and Mayo Foundation for</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Education and Research</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 dated as of</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8/11/14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7"/>
              </w:rPr>
              <w:t>August 11, 2014, by and among the Company and the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Purchasers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Placement Agency Agreement, dated as of July 29,</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8/14/14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2014, by and between the Company and H. C.</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Wainwright &amp; Co., LLC</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 dated as of</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January 12, 2015, by and among the Company and the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Purchasers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2"/>
              </w:rPr>
              <w:t>Placement Agency Agreement, dated as of July 29, 2014</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4"/>
              </w:rPr>
              <w:t>and Amended on January 12, 2015, by and between the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Company and H. C. Wainwright &amp; Co., LLC</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1"/>
              </w:rPr>
              <w:t>Finders Agreement, dated as of January 12, 2015, by and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1/12/15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between the Company and Olympus Securities LLC</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8"/>
              </w:rPr>
              <w:t>Securities Purchase Agreement, dated as of March 9,</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3/9/15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2015, by and among the Company and Eastern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Placement Agency Agreement, dated as of July 29,</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7"/>
              </w:rPr>
              <w:t>2014, Amended on January 12, 2015, by and between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the Company and H. C. Wainwright &amp; Co., LLC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Amended on March 9, 2015, by and between the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Company and H. C. Wainwright &amp; Co., LLC</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10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40" w:type="dxa"/>
            <w:vAlign w:val="bottom"/>
            <w:gridSpan w:val="2"/>
            <w:vMerge w:val="continue"/>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41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File no.</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7"/>
              </w:rPr>
              <w:t>Form of Restructuring Agreement dated May 28, 2015</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6/3/15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3"/>
              </w:rPr>
              <w:t>Amended and Restated Restructuring Agreement, dated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6/5/15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as of June 2, 2015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License and Assignment Agreement, dated July 21,</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8/14/15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2015, with The Mayo Foundation for Medical Education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and Research**</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License and Assignment Agreement with Mayo</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8/15/15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Foundation for Medical Education and Research dated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May 19, 2016**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2014 Omnibus Stock Ownership Plan*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Amendment to 2014 Omnibus Stock Ownership Plan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(February 10, 2015) *</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Amendment to 2014 Omnibus Stock Ownership Plan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(November 6, 2015) *</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Stock Option Award Agreement – Key</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Stock Option Award Agreement – Non-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employee Director*</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7"/>
              </w:rPr>
              <w:t>Form of Stock Option Award Agreement – Consultant*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Form of Restricted Stock Award Agreement –</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Consultant*</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Consulting Agreement, dated February 10, 2015,</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7/30/15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between TapImmune Inc. and Dr. John Bonfiglio*</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Amendment to Consulting Agreement between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2/16/16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TapImmune Inc. and Dr. John Bonfiglio dated as of</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June 12, 2015*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Second Amendment to the Consulting Agreement by</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2/16/16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and between TapImmune Inc. and Dr. John Bonfiglio</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dated as of February 10, 2016*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Employment Agreement between TapImmune, Inc. and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Dr. Glynn Wilson, dated November 12, 2015*</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Amendment to Employment Agreement between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7/19/16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5"/>
              </w:rPr>
              <w:t>TapImmune Inc. and Glynn Wilson, dated as of July 18,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Employment Agreement by and between by and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7/19/16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6"/>
              </w:rPr>
              <w:t>between TapImmune Inc. and Dr. John Bonfiglio dated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as of July 18, 2016*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Employment Agreement by and between by and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8/25/16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3"/>
              </w:rPr>
              <w:t>between TapImmune Inc. and Michael J. Loiacono dated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as of August 25, 2016*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Code of Ethics</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000-27239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11/16/15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Consent of Marcum LLP, an independent public</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Powers of Attorney (included on signature page).</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4"/>
              </w:rPr>
              <w:t>Securities Exchange Act of 1934 Rule 13a-14(a) or 15d-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14(a).</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10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91"/>
        </w:trPr>
        <w:tc>
          <w:tcPr>
            <w:tcW w:w="1040" w:type="dxa"/>
            <w:vAlign w:val="bottom"/>
            <w:gridSpan w:val="2"/>
            <w:vMerge w:val="continue"/>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5"/>
              </w:rPr>
              <w:t>Filing</w:t>
            </w: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number</w:t>
            </w:r>
          </w:p>
        </w:tc>
        <w:tc>
          <w:tcPr>
            <w:tcW w:w="120" w:type="dxa"/>
            <w:vAlign w:val="bottom"/>
          </w:tcPr>
          <w:p>
            <w:pPr>
              <w:spacing w:after="0"/>
              <w:rPr>
                <w:sz w:val="20"/>
                <w:szCs w:val="20"/>
                <w:color w:val="auto"/>
              </w:rPr>
            </w:pPr>
          </w:p>
        </w:tc>
        <w:tc>
          <w:tcPr>
            <w:tcW w:w="41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Exhibit description</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11"/>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and Chief</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Accounting Officer pursuant to Securities Exchange Act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of 1934 Rule 13a-14(a) or 15d-14(a).</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Certification of Chief Executive Officer pursuant to 18</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U. S. C. Section 1350 as adopted pursuant to Section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906 of the Sarbanes-Oxley Act of 2002.</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4"/>
                <w:szCs w:val="24"/>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Certification of Chief Financial Officer and Chief</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Accounting Officer pursuant to 18 U. S. C. Section 1350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as adopted pursuant to Section 906 of the Sarbanes-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Oxley Act of 2002.</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101.INS</w:t>
            </w:r>
          </w:p>
        </w:tc>
        <w:tc>
          <w:tcPr>
            <w:tcW w:w="45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45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4560" w:type="dxa"/>
            <w:vAlign w:val="bottom"/>
            <w:gridSpan w:val="3"/>
          </w:tcPr>
          <w:p>
            <w:pPr>
              <w:spacing w:after="0"/>
              <w:rPr>
                <w:sz w:val="20"/>
                <w:szCs w:val="20"/>
                <w:color w:val="auto"/>
              </w:rPr>
            </w:pPr>
            <w:r>
              <w:rPr>
                <w:rFonts w:ascii="Arial" w:cs="Arial" w:eastAsia="Arial" w:hAnsi="Arial"/>
                <w:sz w:val="18"/>
                <w:szCs w:val="18"/>
                <w:color w:val="auto"/>
                <w:w w:val="94"/>
              </w:rPr>
              <w:t>XBRL Taxonomy Extension Calculation Linkbase Document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4560" w:type="dxa"/>
            <w:vAlign w:val="bottom"/>
            <w:gridSpan w:val="3"/>
          </w:tcPr>
          <w:p>
            <w:pPr>
              <w:spacing w:after="0"/>
              <w:rPr>
                <w:sz w:val="20"/>
                <w:szCs w:val="20"/>
                <w:color w:val="auto"/>
              </w:rPr>
            </w:pPr>
            <w:r>
              <w:rPr>
                <w:rFonts w:ascii="Arial" w:cs="Arial" w:eastAsia="Arial" w:hAnsi="Arial"/>
                <w:sz w:val="18"/>
                <w:szCs w:val="18"/>
                <w:color w:val="auto"/>
                <w:w w:val="97"/>
              </w:rPr>
              <w:t>XBRL Taxonomy Extension Definition Linkbase Document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456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4560" w:type="dxa"/>
            <w:vAlign w:val="bottom"/>
            <w:gridSpan w:val="3"/>
          </w:tcPr>
          <w:p>
            <w:pPr>
              <w:spacing w:after="0"/>
              <w:rPr>
                <w:sz w:val="20"/>
                <w:szCs w:val="20"/>
                <w:color w:val="auto"/>
              </w:rPr>
            </w:pPr>
            <w:r>
              <w:rPr>
                <w:rFonts w:ascii="Arial" w:cs="Arial" w:eastAsia="Arial" w:hAnsi="Arial"/>
                <w:sz w:val="18"/>
                <w:szCs w:val="18"/>
                <w:color w:val="auto"/>
                <w:w w:val="92"/>
              </w:rPr>
              <w:t>XBRL Taxonomy Extension Presentation Linkbase Document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*Executive management contract or compensatory plan or arrangement.</w:t>
      </w:r>
    </w:p>
    <w:p>
      <w:pPr>
        <w:spacing w:after="0" w:line="23" w:lineRule="exact"/>
        <w:rPr>
          <w:sz w:val="20"/>
          <w:szCs w:val="20"/>
          <w:color w:val="auto"/>
        </w:rPr>
      </w:pPr>
    </w:p>
    <w:p>
      <w:pPr>
        <w:ind w:firstLine="9"/>
        <w:spacing w:after="0" w:line="261" w:lineRule="auto"/>
        <w:tabs>
          <w:tab w:leader="none" w:pos="226"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of this exhibit pursuant to Rule 406 of the Securities Act of 1933, as amended, or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of TapImmune Inc. on Form S-3 File No. 333-215258 of our report dated March 14, 2017, which includes an explanatory paragraph as to the Company’s ability to continue as a going concern, with respect to our audits of the consolidated financial statements of TapImmune, Inc. as of December 31, 2016 and 2015 and for the years ended, which report is included in this Annual Report on Form 10-K of TapImmune Inc.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Glynn Wilson, certify that:</w:t>
      </w:r>
    </w:p>
    <w:p>
      <w:pPr>
        <w:spacing w:after="0" w:line="22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TapImmune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7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656"/>
        <w:spacing w:after="0" w:line="264" w:lineRule="auto"/>
        <w:tabs>
          <w:tab w:leader="none" w:pos="12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268"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ind w:right="100" w:firstLine="656"/>
        <w:spacing w:after="0" w:line="264" w:lineRule="auto"/>
        <w:tabs>
          <w:tab w:leader="none" w:pos="12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71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258"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2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Glynn Wilson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080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Glynn Wilson</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108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r>
      <w:tr>
        <w:trPr>
          <w:trHeight w:val="702"/>
        </w:trPr>
        <w:tc>
          <w:tcPr>
            <w:tcW w:w="620" w:type="dxa"/>
            <w:vAlign w:val="bottom"/>
            <w:tcBorders>
              <w:bottom w:val="single" w:sz="8" w:color="auto"/>
            </w:tcBorders>
          </w:tcPr>
          <w:p>
            <w:pPr>
              <w:spacing w:after="0"/>
              <w:rPr>
                <w:sz w:val="24"/>
                <w:szCs w:val="24"/>
                <w:color w:val="auto"/>
              </w:rPr>
            </w:pPr>
          </w:p>
        </w:tc>
        <w:tc>
          <w:tcPr>
            <w:tcW w:w="10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Loiacono,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TapImmune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7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20" w:firstLine="656"/>
        <w:spacing w:after="0" w:line="264" w:lineRule="auto"/>
        <w:tabs>
          <w:tab w:leader="none" w:pos="12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80" w:firstLine="656"/>
        <w:spacing w:after="0" w:line="264" w:lineRule="auto"/>
        <w:tabs>
          <w:tab w:leader="none" w:pos="12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assurances regarding the reliability of financial reporting in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40" w:firstLine="656"/>
        <w:spacing w:after="0" w:line="308" w:lineRule="auto"/>
        <w:tabs>
          <w:tab w:leader="none" w:pos="1268" w:val="left"/>
        </w:tabs>
        <w:numPr>
          <w:ilvl w:val="1"/>
          <w:numId w:val="5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6" w:lineRule="exact"/>
        <w:rPr>
          <w:rFonts w:ascii="Arial" w:cs="Arial" w:eastAsia="Arial" w:hAnsi="Arial"/>
          <w:sz w:val="17"/>
          <w:szCs w:val="17"/>
          <w:color w:val="auto"/>
        </w:rPr>
      </w:pPr>
    </w:p>
    <w:p>
      <w:pPr>
        <w:ind w:right="100" w:firstLine="656"/>
        <w:spacing w:after="0" w:line="264" w:lineRule="auto"/>
        <w:tabs>
          <w:tab w:leader="none" w:pos="127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71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20" w:firstLine="656"/>
        <w:spacing w:after="0" w:line="308" w:lineRule="auto"/>
        <w:tabs>
          <w:tab w:leader="none" w:pos="1258"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40" w:firstLine="656"/>
        <w:spacing w:after="0" w:line="277" w:lineRule="auto"/>
        <w:tabs>
          <w:tab w:leader="none" w:pos="12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14,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By:</w:t>
            </w:r>
          </w:p>
        </w:tc>
        <w:tc>
          <w:tcPr>
            <w:tcW w:w="5080" w:type="dxa"/>
            <w:vAlign w:val="bottom"/>
            <w:tcBorders>
              <w:top w:val="single" w:sz="8" w:color="auto"/>
            </w:tcBorders>
          </w:tcPr>
          <w:p>
            <w:pPr>
              <w:ind w:left="260"/>
              <w:spacing w:after="0" w:line="195" w:lineRule="exact"/>
              <w:rPr>
                <w:sz w:val="20"/>
                <w:szCs w:val="20"/>
                <w:color w:val="auto"/>
              </w:rPr>
            </w:pPr>
            <w:r>
              <w:rPr>
                <w:rFonts w:ascii="Arial" w:cs="Arial" w:eastAsia="Arial" w:hAnsi="Arial"/>
                <w:sz w:val="18"/>
                <w:szCs w:val="18"/>
                <w:b w:val="1"/>
                <w:bCs w:val="1"/>
                <w:color w:val="auto"/>
              </w:rPr>
              <w:t>Michael J. Loiacono</w:t>
            </w:r>
          </w:p>
        </w:tc>
        <w:tc>
          <w:tcPr>
            <w:tcW w:w="5700" w:type="dxa"/>
            <w:vAlign w:val="bottom"/>
          </w:tcPr>
          <w:p>
            <w:pPr>
              <w:spacing w:after="0"/>
              <w:rPr>
                <w:sz w:val="16"/>
                <w:szCs w:val="16"/>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260"/>
              <w:spacing w:after="0"/>
              <w:rPr>
                <w:sz w:val="20"/>
                <w:szCs w:val="20"/>
                <w:color w:val="auto"/>
              </w:rPr>
            </w:pPr>
            <w:r>
              <w:rPr>
                <w:rFonts w:ascii="Arial" w:cs="Arial" w:eastAsia="Arial" w:hAnsi="Arial"/>
                <w:sz w:val="18"/>
                <w:szCs w:val="18"/>
                <w:color w:val="auto"/>
              </w:rPr>
              <w:t>Chief Financial Officer and Chief Accounting Officer</w:t>
            </w:r>
          </w:p>
        </w:tc>
        <w:tc>
          <w:tcPr>
            <w:tcW w:w="5700" w:type="dxa"/>
            <w:vAlign w:val="bottom"/>
          </w:tcPr>
          <w:p>
            <w:pPr>
              <w:spacing w:after="0"/>
              <w:rPr>
                <w:sz w:val="20"/>
                <w:szCs w:val="20"/>
                <w:color w:val="auto"/>
              </w:rPr>
            </w:pPr>
          </w:p>
        </w:tc>
      </w:tr>
      <w:tr>
        <w:trPr>
          <w:trHeight w:val="675"/>
        </w:trPr>
        <w:tc>
          <w:tcPr>
            <w:tcW w:w="6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TapImmune, Inc. (the “Company”) on Form 10-K for the period ended December 31, 2016 as filed with the Securities and Exchange Commission on the date hereof (the “Report”), I, Glynn Wilson, Principal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0" w:firstLine="8"/>
        <w:spacing w:after="0" w:line="501" w:lineRule="auto"/>
        <w:tabs>
          <w:tab w:leader="none" w:pos="3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14, 2017</w:t>
      </w:r>
    </w:p>
    <w:p>
      <w:pPr>
        <w:ind w:left="580"/>
        <w:spacing w:after="0"/>
        <w:rPr>
          <w:sz w:val="20"/>
          <w:szCs w:val="20"/>
          <w:color w:val="auto"/>
        </w:rPr>
      </w:pPr>
      <w:r>
        <w:rPr>
          <w:rFonts w:ascii="Arial" w:cs="Arial" w:eastAsia="Arial" w:hAnsi="Arial"/>
          <w:sz w:val="18"/>
          <w:szCs w:val="18"/>
          <w:i w:val="1"/>
          <w:iCs w:val="1"/>
          <w:color w:val="auto"/>
        </w:rPr>
        <w:t>/s/ Glynn Wilson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Glynn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TapImmune, Inc. (the “Company”) on Form 10-K for the period ended December 31, 2016 as filed with the Securities and Exchange Commission on the date hereof (the “Report”), I, Michael J. Loiacono, Principal Accounting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600" w:firstLine="8"/>
        <w:spacing w:after="0" w:line="501" w:lineRule="auto"/>
        <w:tabs>
          <w:tab w:leader="none" w:pos="3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this Report fairly presents, in all material respects, the financial condition and results of operations of the Company. Date: March 14, 2017</w:t>
      </w:r>
    </w:p>
    <w:p>
      <w:pPr>
        <w:ind w:left="580"/>
        <w:spacing w:after="0"/>
        <w:rPr>
          <w:sz w:val="20"/>
          <w:szCs w:val="20"/>
          <w:color w:val="auto"/>
        </w:rPr>
      </w:pPr>
      <w:r>
        <w:rPr>
          <w:rFonts w:ascii="Arial" w:cs="Arial" w:eastAsia="Arial" w:hAnsi="Arial"/>
          <w:sz w:val="18"/>
          <w:szCs w:val="18"/>
          <w:i w:val="1"/>
          <w:iCs w:val="1"/>
          <w:color w:val="auto"/>
        </w:rPr>
        <w:t>/s/ Michael J. Loiacono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Michael J.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Financial Officer 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lowerRoman"/>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2"/>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lowerRoman"/>
      <w:start w:val="6"/>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lowerRoman"/>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lowerRoman"/>
      <w:start w:val="2"/>
    </w:lvl>
  </w:abstractNum>
  <w:abstractNum w:abstractNumId="40">
    <w:nsid w:val="684A481A"/>
    <w:multiLevelType w:val="hybridMultilevel"/>
    <w:lvl w:ilvl="0">
      <w:lvlJc w:val="left"/>
      <w:lvlText w:val="(%1)"/>
      <w:numFmt w:val="lowerRoman"/>
      <w:start w:val="4"/>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4"/>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lowerLetter"/>
      <w:start w:val="2"/>
    </w:lvl>
  </w:abstractNum>
  <w:abstractNum w:abstractNumId="48">
    <w:nsid w:val="70C6A529"/>
    <w:multiLevelType w:val="hybridMultilevel"/>
    <w:lvl w:ilvl="0">
      <w:lvlJc w:val="left"/>
      <w:lvlText w:val="(%1)"/>
      <w:numFmt w:val="lowerLetter"/>
      <w:start w:val="3"/>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lowerRoman"/>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2020-01-16T16:26:29Z</dcterms:created>
  <dcterms:modified xsi:type="dcterms:W3CDTF">2020-01-16T16:26:29Z</dcterms:modified>
</cp:coreProperties>
</file>