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511d1_8k.htm"/>
      <w:bookmarkStart w:id="1" w:name="kstm261351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D_edei--DocumentType_c20260501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3_edei--DocumentPeriodEndDate_c202"/>
      <w:bookmarkEnd w:id="3"/>
      <w:r>
        <w:rPr>
          <w:rFonts w:ascii="Times New Roman;Times;Serif" w:hAnsi="Times New Roman;Times;Serif"/>
          <w:b/>
          <w:i w:val="false"/>
          <w:caps w:val="false"/>
          <w:smallCaps w:val="false"/>
          <w:sz w:val="20"/>
          <w:u w:val="single"/>
        </w:rPr>
        <w:t>May 1,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E_edei--EntityRegistrantName_c2026"/>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A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3_edei--EntityFileNumber_c20260501"/>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0_edei--EntityTaxIdentificationNum"/>
            <w:bookmarkEnd w:id="7"/>
            <w:r>
              <w:rPr>
                <w:rFonts w:ascii="Times New Roman;Times;Serif" w:hAnsi="Times New Roman;Times;Serif"/>
                <w:b/>
                <w:i w:val="false"/>
                <w:caps w:val="false"/>
                <w:smallCaps w:val="false"/>
                <w:sz w:val="20"/>
                <w:u w:val="single"/>
              </w:rPr>
              <w:t>45-4497941</w:t>
            </w:r>
          </w:p>
        </w:tc>
      </w:tr>
      <w:tr>
        <w:trPr/>
        <w:tc>
          <w:tcPr>
            <w:tcW w:w="24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4205"/>
        <w:gridCol w:w="60"/>
        <w:gridCol w:w="920"/>
      </w:tblGrid>
      <w:tr>
        <w:trPr/>
        <w:tc>
          <w:tcPr>
            <w:tcW w:w="42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2450 Holcombe Blvd, </w:t>
            </w:r>
            <w:bookmarkStart w:id="9" w:name="xdx_900_edei--EntityAddressAddressLine2_"/>
            <w:bookmarkEnd w:id="9"/>
            <w:r>
              <w:rPr>
                <w:rFonts w:ascii="Times New Roman;Times;Serif" w:hAnsi="Times New Roman;Times;Serif"/>
                <w:b/>
                <w:i w:val="false"/>
                <w:caps w:val="false"/>
                <w:smallCaps w:val="false"/>
                <w:sz w:val="20"/>
              </w:rPr>
              <w:t xml:space="preserve">TMC Partners </w:t>
            </w:r>
            <w:bookmarkStart w:id="10" w:name="xdx_901_edei--EntityAddressAddressLine3_"/>
            <w:bookmarkEnd w:id="10"/>
            <w:r>
              <w:rPr>
                <w:rFonts w:ascii="Times New Roman;Times;Serif" w:hAnsi="Times New Roman;Times;Serif"/>
                <w:b/>
                <w:i w:val="false"/>
                <w:caps w:val="false"/>
                <w:smallCaps w:val="false"/>
                <w:sz w:val="20"/>
              </w:rPr>
              <w:t>Office 1.311</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11" w:name="xdx_900_edei--EntityAddressCityOrTown_c2"/>
            <w:bookmarkEnd w:id="11"/>
            <w:r>
              <w:rPr>
                <w:rFonts w:ascii="Times New Roman;Times;Serif" w:hAnsi="Times New Roman;Times;Serif"/>
                <w:b/>
                <w:i w:val="false"/>
                <w:caps w:val="false"/>
                <w:smallCaps w:val="false"/>
                <w:sz w:val="20"/>
                <w:u w:val="single"/>
              </w:rPr>
              <w:t xml:space="preserve">Houston, </w:t>
            </w:r>
            <w:bookmarkStart w:id="12" w:name="xdx_900_edei--EntityAddressStateOrProvin"/>
            <w:bookmarkEnd w:id="12"/>
            <w:r>
              <w:rPr>
                <w:rFonts w:ascii="Times New Roman;Times;Serif" w:hAnsi="Times New Roman;Times;Serif"/>
                <w:b/>
                <w:i w:val="false"/>
                <w:caps w:val="false"/>
                <w:smallCaps w:val="false"/>
                <w:sz w:val="20"/>
                <w:u w:val="single"/>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u w:val="single"/>
              </w:rPr>
            </w:pPr>
            <w:bookmarkStart w:id="13" w:name="xdx_90C_edei--EntityAddressPostalZipCode"/>
            <w:bookmarkEnd w:id="13"/>
            <w:r>
              <w:rPr>
                <w:b/>
                <w:sz w:val="20"/>
                <w:u w:val="single"/>
              </w:rPr>
              <w:t>77021</w:t>
            </w:r>
          </w:p>
        </w:tc>
      </w:tr>
      <w:tr>
        <w:trPr/>
        <w:tc>
          <w:tcPr>
            <w:tcW w:w="420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7_edei--CityAreaCode_c20260501__20"/>
      <w:bookmarkEnd w:id="14"/>
      <w:r>
        <w:rPr>
          <w:rFonts w:ascii="Times New Roman;Times;Serif" w:hAnsi="Times New Roman;Times;Serif"/>
          <w:b/>
          <w:i w:val="false"/>
          <w:caps w:val="false"/>
          <w:smallCaps w:val="false"/>
          <w:sz w:val="20"/>
        </w:rPr>
        <w:t>713) </w:t>
      </w:r>
      <w:bookmarkStart w:id="15" w:name="xdx_90C_edei--LocalPhoneNumber_c20260501"/>
      <w:bookmarkEnd w:id="15"/>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8_edei--WrittenCommunications_c202"/>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7" w:name="xdx_900_edei--SolicitingMaterial_c202605"/>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TenderOffer"/>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9" w:name="xdx_90A_edei--PreCommencementIssuerTende"/>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12bTitle_c20260501"/>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TradingSymbol_c20260501__2"/>
            <w:bookmarkEnd w:id="21"/>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3" w:name="xdx_908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96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5.03</w:t>
            </w:r>
          </w:p>
        </w:tc>
        <w:tc>
          <w:tcPr>
            <w:tcW w:w="7820" w:type="dxa"/>
            <w:tcBorders/>
            <w:vAlign w:val="center"/>
          </w:tcPr>
          <w:p>
            <w:pPr>
              <w:pStyle w:val="TableContents"/>
              <w:bidi w:val="0"/>
              <w:spacing w:before="0" w:after="283"/>
              <w:jc w:val="left"/>
              <w:rPr>
                <w:b/>
              </w:rPr>
            </w:pPr>
            <w:r>
              <w:rPr>
                <w:b/>
              </w:rPr>
              <w:t xml:space="preserve">Amendments to Articles of Incorporation or Bylaws; Change in Fiscal Year.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below under Item 5.07 of this Current Report, on May 1, 2026, Marker Therapeutics,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2026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at which meeting the Company’s stockholders approved an amendment to the Company’s Certificate of Incorporation, as amended, to increase the number of authorized shares of our Common Stock from 30,000,000 shares of Common Stock to 130,000,000 shares of Common Stock (the “</w:t>
      </w:r>
      <w:r>
        <w:rPr>
          <w:rFonts w:ascii="Times New Roman;Times;Serif" w:hAnsi="Times New Roman;Times;Serif"/>
          <w:b/>
          <w:i w:val="false"/>
          <w:caps w:val="false"/>
          <w:smallCaps w:val="false"/>
          <w:sz w:val="20"/>
        </w:rPr>
        <w:t>Charter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Charter Amendment does not purport to be complete and is qualified in its entirety by reference to the complete text of the Charter Amendment, a copy of which is filed as Exhibit 3.1 to this Current Report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96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held its Annual Meeting. The stockholders considered six proposals, each of which is described in more detail in the Company’s definitive proxy statement filed with the Securities and Exchange Commission on March 20, 2026. Of the 16,673,127 shares outstanding as of the record date, 12,377,857 shares, or 74.24%, were present virtually or represented by proxy at the Annual Meeting. Each of the Nominees were re-elected. All of the Proposals except Proposal 4 passed. Set forth below are the results of the matters submitted for a vote of stockholders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Election of five nominees to serve as directors until the 2027 annual meeting of stockholders and until their respective successors are elected and qualified. The votes were cast as follows:</w:t>
      </w:r>
    </w:p>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0" w:type="dxa"/>
        <w:tblLayout w:type="fixed"/>
        <w:tblCellMar>
          <w:top w:w="0" w:type="dxa"/>
          <w:left w:w="0" w:type="dxa"/>
          <w:bottom w:w="28" w:type="dxa"/>
          <w:right w:w="0" w:type="dxa"/>
        </w:tblCellMar>
      </w:tblPr>
      <w:tblGrid>
        <w:gridCol w:w="1865"/>
        <w:gridCol w:w="60"/>
        <w:gridCol w:w="60"/>
        <w:gridCol w:w="845"/>
        <w:gridCol w:w="60"/>
        <w:gridCol w:w="60"/>
        <w:gridCol w:w="63"/>
        <w:gridCol w:w="737"/>
        <w:gridCol w:w="75"/>
      </w:tblGrid>
      <w:tr>
        <w:trPr/>
        <w:tc>
          <w:tcPr>
            <w:tcW w:w="1865" w:type="dxa"/>
            <w:tcBorders>
              <w:bottom w:val="single" w:sz="8" w:space="0" w:color="000000"/>
            </w:tcBorders>
            <w:vAlign w:val="center"/>
          </w:tcPr>
          <w:p>
            <w:pPr>
              <w:pStyle w:val="TableContents"/>
              <w:bidi w:val="0"/>
              <w:spacing w:before="0" w:after="283"/>
              <w:jc w:val="left"/>
              <w:rPr/>
            </w:pPr>
            <w:r>
              <w:rPr/>
              <w:t> </w:t>
            </w: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sz w:val="20"/>
              </w:rPr>
            </w:pPr>
            <w:r>
              <w:rPr>
                <w:b/>
                <w:sz w:val="20"/>
              </w:rPr>
              <w:t>Votes</w:t>
              <w:br/>
              <w:t>Withheld</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David Eansor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9,297,478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sz w:val="20"/>
              </w:rPr>
            </w:pPr>
            <w:r>
              <w:rPr>
                <w:sz w:val="20"/>
              </w:rPr>
              <w:t>275,480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sz w:val="20"/>
              </w:rPr>
            </w:pPr>
            <w:r>
              <w:rPr>
                <w:sz w:val="20"/>
              </w:rPr>
              <w:t>Steven Elms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9,347,549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737" w:type="dxa"/>
            <w:tcBorders/>
            <w:shd w:fill="FFFFFF" w:val="clear"/>
            <w:tcMar>
              <w:bottom w:w="0" w:type="dxa"/>
            </w:tcMar>
            <w:vAlign w:val="center"/>
          </w:tcPr>
          <w:p>
            <w:pPr>
              <w:pStyle w:val="TableContents"/>
              <w:bidi w:val="0"/>
              <w:spacing w:before="0" w:after="283"/>
              <w:jc w:val="right"/>
              <w:rPr>
                <w:sz w:val="20"/>
              </w:rPr>
            </w:pPr>
            <w:r>
              <w:rPr>
                <w:sz w:val="20"/>
              </w:rPr>
              <w:t>225,409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Katharine Knobil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9,314,762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sz w:val="20"/>
              </w:rPr>
            </w:pPr>
            <w:r>
              <w:rPr>
                <w:sz w:val="20"/>
              </w:rPr>
              <w:t>258,196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sz w:val="20"/>
              </w:rPr>
            </w:pPr>
            <w:r>
              <w:rPr>
                <w:sz w:val="20"/>
              </w:rPr>
              <w:t>Juan Vera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9,331,093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737" w:type="dxa"/>
            <w:tcBorders/>
            <w:shd w:fill="FFFFFF" w:val="clear"/>
            <w:tcMar>
              <w:bottom w:w="0" w:type="dxa"/>
            </w:tcMar>
            <w:vAlign w:val="center"/>
          </w:tcPr>
          <w:p>
            <w:pPr>
              <w:pStyle w:val="TableContents"/>
              <w:bidi w:val="0"/>
              <w:spacing w:before="0" w:after="283"/>
              <w:jc w:val="right"/>
              <w:rPr>
                <w:sz w:val="20"/>
              </w:rPr>
            </w:pPr>
            <w:r>
              <w:rPr>
                <w:sz w:val="20"/>
              </w:rPr>
              <w:t>241,865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sz w:val="20"/>
              </w:rPr>
            </w:pPr>
            <w:r>
              <w:rPr>
                <w:sz w:val="20"/>
              </w:rPr>
              <w:t>Kathryn Penkus Corzo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9,377,143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sz w:val="20"/>
              </w:rPr>
            </w:pPr>
            <w:r>
              <w:rPr>
                <w:sz w:val="20"/>
              </w:rPr>
              <w:t>195,815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2,804,902.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nominees were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Approval, on an advisory basis, of the compensation of the Company’s named executive officers. The votes were cast as follows:</w:t>
      </w:r>
    </w:p>
    <w:p>
      <w:pPr>
        <w:pStyle w:val="TextBody"/>
        <w:bidi w:val="0"/>
        <w:spacing w:before="0" w:after="0"/>
        <w:ind w:left="0" w:right="0" w:hanging="0"/>
        <w:jc w:val="left"/>
        <w:rPr>
          <w:caps w:val="false"/>
          <w:smallCaps w:val="false"/>
        </w:rPr>
      </w:pPr>
      <w:r>
        <w:rPr>
          <w:caps w:val="false"/>
          <w:smallCaps w:val="false"/>
        </w:rPr>
        <w:t> </w:t>
      </w:r>
    </w:p>
    <w:tbl>
      <w:tblPr>
        <w:tblW w:w="7835" w:type="dxa"/>
        <w:jc w:val="left"/>
        <w:tblInd w:w="0" w:type="dxa"/>
        <w:tblLayout w:type="fixed"/>
        <w:tblCellMar>
          <w:top w:w="0" w:type="dxa"/>
          <w:left w:w="0" w:type="dxa"/>
          <w:bottom w:w="0" w:type="dxa"/>
          <w:right w:w="0" w:type="dxa"/>
        </w:tblCellMar>
      </w:tblPr>
      <w:tblGrid>
        <w:gridCol w:w="4940"/>
        <w:gridCol w:w="60"/>
        <w:gridCol w:w="60"/>
        <w:gridCol w:w="845"/>
        <w:gridCol w:w="60"/>
        <w:gridCol w:w="60"/>
        <w:gridCol w:w="60"/>
        <w:gridCol w:w="695"/>
        <w:gridCol w:w="60"/>
        <w:gridCol w:w="60"/>
        <w:gridCol w:w="68"/>
        <w:gridCol w:w="792"/>
        <w:gridCol w:w="75"/>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w:t>
              <w:b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Abstained</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sz w:val="20"/>
              </w:rPr>
            </w:pPr>
            <w:r>
              <w:rPr>
                <w:sz w:val="20"/>
              </w:rPr>
              <w:t>Advisory approval of named executive officer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8,548,905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471,261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552,789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2,804,902.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Approval of the adoption of an amendment to our Certificate of Incorporation, as amended, to increase the number of authorized shares of our Common Stock from 30,000,000 shares of Common Stock to 130,000,000 shares of Common Stock. The votes were cast as follows:</w:t>
      </w:r>
    </w:p>
    <w:p>
      <w:pPr>
        <w:pStyle w:val="TextBody"/>
        <w:bidi w:val="0"/>
        <w:spacing w:before="0" w:after="0"/>
        <w:ind w:left="0" w:right="0" w:hanging="0"/>
        <w:jc w:val="left"/>
        <w:rPr>
          <w:caps w:val="false"/>
          <w:smallCaps w:val="false"/>
        </w:rPr>
      </w:pPr>
      <w:r>
        <w:rPr>
          <w:caps w:val="false"/>
          <w:smallCaps w:val="false"/>
        </w:rPr>
        <w:t> </w:t>
      </w:r>
    </w:p>
    <w:tbl>
      <w:tblPr>
        <w:tblW w:w="9065" w:type="dxa"/>
        <w:jc w:val="left"/>
        <w:tblInd w:w="0" w:type="dxa"/>
        <w:tblLayout w:type="fixed"/>
        <w:tblCellMar>
          <w:top w:w="0" w:type="dxa"/>
          <w:left w:w="0" w:type="dxa"/>
          <w:bottom w:w="0" w:type="dxa"/>
          <w:right w:w="0" w:type="dxa"/>
        </w:tblCellMar>
      </w:tblPr>
      <w:tblGrid>
        <w:gridCol w:w="5915"/>
        <w:gridCol w:w="60"/>
        <w:gridCol w:w="60"/>
        <w:gridCol w:w="950"/>
        <w:gridCol w:w="60"/>
        <w:gridCol w:w="60"/>
        <w:gridCol w:w="60"/>
        <w:gridCol w:w="845"/>
        <w:gridCol w:w="60"/>
        <w:gridCol w:w="60"/>
        <w:gridCol w:w="68"/>
        <w:gridCol w:w="792"/>
        <w:gridCol w:w="75"/>
      </w:tblGrid>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w:t>
              <w:b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Abstained</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sz w:val="20"/>
              </w:rPr>
            </w:pPr>
            <w:r>
              <w:rPr>
                <w:sz w:val="20"/>
              </w:rPr>
              <w:t>Approval of Charter Amendment to Increase Authorized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10,851,228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1,412,017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114,611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Approval of the adoption of an amendment to our Certificate of Incorporation, as amended, to revise the voting threshold required for an increase or decrease of Common Stock. The votes were cast as follows:</w:t>
      </w:r>
    </w:p>
    <w:p>
      <w:pPr>
        <w:pStyle w:val="TextBody"/>
        <w:bidi w:val="0"/>
        <w:spacing w:before="0" w:after="0"/>
        <w:ind w:left="0" w:right="0" w:hanging="0"/>
        <w:jc w:val="left"/>
        <w:rPr>
          <w:caps w:val="false"/>
          <w:smallCaps w:val="false"/>
        </w:rPr>
      </w:pPr>
      <w:r>
        <w:rPr>
          <w:caps w:val="false"/>
          <w:smallCaps w:val="false"/>
        </w:rPr>
        <w:t> </w:t>
      </w:r>
    </w:p>
    <w:tbl>
      <w:tblPr>
        <w:tblW w:w="8030" w:type="dxa"/>
        <w:jc w:val="left"/>
        <w:tblInd w:w="0" w:type="dxa"/>
        <w:tblLayout w:type="fixed"/>
        <w:tblCellMar>
          <w:top w:w="0" w:type="dxa"/>
          <w:left w:w="0" w:type="dxa"/>
          <w:bottom w:w="0" w:type="dxa"/>
          <w:right w:w="0" w:type="dxa"/>
        </w:tblCellMar>
      </w:tblPr>
      <w:tblGrid>
        <w:gridCol w:w="4985"/>
        <w:gridCol w:w="60"/>
        <w:gridCol w:w="60"/>
        <w:gridCol w:w="845"/>
        <w:gridCol w:w="60"/>
        <w:gridCol w:w="60"/>
        <w:gridCol w:w="60"/>
        <w:gridCol w:w="845"/>
        <w:gridCol w:w="60"/>
        <w:gridCol w:w="60"/>
        <w:gridCol w:w="79"/>
        <w:gridCol w:w="781"/>
        <w:gridCol w:w="7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w:t>
              <w:b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Abstained</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sz w:val="20"/>
              </w:rPr>
            </w:pPr>
            <w:r>
              <w:rPr>
                <w:sz w:val="20"/>
              </w:rPr>
              <w:t>Approval of Charter Amendment to Revise Voting Threshold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8,279,190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1,222,558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sz w:val="20"/>
              </w:rPr>
            </w:pPr>
            <w:r>
              <w:rPr>
                <w:sz w:val="20"/>
              </w:rPr>
              <w:t>71,209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2,804,902.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 Ratification of the selection by the Audit Committee of the Board of Directors of CBIZ CPAs P.C. (“CBIZ”) as the independent registered public accounting firm of the Company for its fiscal year ending December 31, 2026. The votes were cast as follows: </w:t>
      </w:r>
    </w:p>
    <w:p>
      <w:pPr>
        <w:pStyle w:val="TextBody"/>
        <w:bidi w:val="0"/>
        <w:spacing w:before="0" w:after="0"/>
        <w:ind w:left="0" w:right="0" w:hanging="0"/>
        <w:jc w:val="left"/>
        <w:rPr>
          <w:caps w:val="false"/>
          <w:smallCaps w:val="false"/>
        </w:rPr>
      </w:pPr>
      <w:r>
        <w:rPr>
          <w:caps w:val="false"/>
          <w:smallCaps w:val="false"/>
        </w:rPr>
        <w:t> </w:t>
      </w:r>
    </w:p>
    <w:tbl>
      <w:tblPr>
        <w:tblW w:w="6155" w:type="dxa"/>
        <w:jc w:val="left"/>
        <w:tblInd w:w="0" w:type="dxa"/>
        <w:tblLayout w:type="fixed"/>
        <w:tblCellMar>
          <w:top w:w="0" w:type="dxa"/>
          <w:left w:w="0" w:type="dxa"/>
          <w:bottom w:w="0" w:type="dxa"/>
          <w:right w:w="0" w:type="dxa"/>
        </w:tblCellMar>
      </w:tblPr>
      <w:tblGrid>
        <w:gridCol w:w="3005"/>
        <w:gridCol w:w="60"/>
        <w:gridCol w:w="60"/>
        <w:gridCol w:w="950"/>
        <w:gridCol w:w="60"/>
        <w:gridCol w:w="60"/>
        <w:gridCol w:w="60"/>
        <w:gridCol w:w="845"/>
        <w:gridCol w:w="60"/>
        <w:gridCol w:w="60"/>
        <w:gridCol w:w="68"/>
        <w:gridCol w:w="792"/>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w:t>
              <w:b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Abstained</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Ratification of appointment of CBIZ</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11,626,068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1,003,337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109,974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6</w:t>
      </w:r>
      <w:r>
        <w:rPr>
          <w:rFonts w:ascii="Times New Roman;Times;Serif" w:hAnsi="Times New Roman;Times;Serif"/>
          <w:b w:val="false"/>
          <w:i w:val="false"/>
          <w:caps w:val="false"/>
          <w:smallCaps w:val="false"/>
          <w:sz w:val="20"/>
        </w:rPr>
        <w:t>: Approval of the adjournment of the Annual Meeting in the event that the number of shares of Common Stock present or represented by proxy at the Annual Meeting and voting “FOR” the adoption of Proposal 3 is insufficient. The votes were cast as follows: </w:t>
      </w:r>
    </w:p>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1115"/>
        <w:gridCol w:w="60"/>
        <w:gridCol w:w="60"/>
        <w:gridCol w:w="950"/>
        <w:gridCol w:w="60"/>
        <w:gridCol w:w="60"/>
        <w:gridCol w:w="60"/>
        <w:gridCol w:w="845"/>
        <w:gridCol w:w="60"/>
        <w:gridCol w:w="60"/>
        <w:gridCol w:w="68"/>
        <w:gridCol w:w="792"/>
        <w:gridCol w:w="7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w:t>
              <w:b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Abstained</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sz w:val="20"/>
              </w:rPr>
            </w:pPr>
            <w:r>
              <w:rPr>
                <w:sz w:val="20"/>
              </w:rPr>
              <w:t>Adjournment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11,264,545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1,003,337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109,974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0.</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995"/>
        <w:gridCol w:w="6530"/>
      </w:tblGrid>
      <w:tr>
        <w:trPr/>
        <w:tc>
          <w:tcPr>
            <w:tcW w:w="995" w:type="dxa"/>
            <w:tcBorders/>
            <w:vAlign w:val="center"/>
          </w:tcPr>
          <w:p>
            <w:pPr>
              <w:pStyle w:val="TableContents"/>
              <w:bidi w:val="0"/>
              <w:spacing w:before="0" w:after="283"/>
              <w:jc w:val="left"/>
              <w:rPr>
                <w:b/>
                <w:sz w:val="20"/>
                <w:u w:val="single"/>
              </w:rPr>
            </w:pPr>
            <w:r>
              <w:rPr>
                <w:b/>
                <w:sz w:val="20"/>
                <w:u w:val="single"/>
              </w:rPr>
              <w:t>Exhibit No.</w:t>
            </w:r>
          </w:p>
        </w:tc>
        <w:tc>
          <w:tcPr>
            <w:tcW w:w="6530" w:type="dxa"/>
            <w:tcBorders/>
            <w:vAlign w:val="center"/>
          </w:tcPr>
          <w:p>
            <w:pPr>
              <w:pStyle w:val="TableContents"/>
              <w:bidi w:val="0"/>
              <w:spacing w:before="0" w:after="283"/>
              <w:jc w:val="left"/>
              <w:rPr>
                <w:b/>
                <w:sz w:val="20"/>
                <w:u w:val="single"/>
              </w:rPr>
            </w:pPr>
            <w:r>
              <w:rPr>
                <w:b/>
                <w:sz w:val="20"/>
                <w:u w:val="single"/>
              </w:rPr>
              <w:t>Description </w:t>
            </w:r>
          </w:p>
        </w:tc>
      </w:tr>
      <w:tr>
        <w:trPr/>
        <w:tc>
          <w:tcPr>
            <w:tcW w:w="995"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3511d1_ex3-1.htm">
              <w:r>
                <w:rPr>
                  <w:rStyle w:val="InternetLink"/>
                  <w:sz w:val="20"/>
                </w:rPr>
                <w:t>3.1</w:t>
              </w:r>
            </w:hyperlink>
          </w:p>
        </w:tc>
        <w:tc>
          <w:tcPr>
            <w:tcW w:w="6530" w:type="dxa"/>
            <w:tcBorders/>
            <w:vAlign w:val="center"/>
          </w:tcPr>
          <w:p>
            <w:pPr>
              <w:pStyle w:val="TableContents"/>
              <w:bidi w:val="0"/>
              <w:spacing w:before="0" w:after="283"/>
              <w:jc w:val="left"/>
              <w:rPr/>
            </w:pPr>
            <w:hyperlink w:anchor="tm2613511d1_ex3-1.htm">
              <w:r>
                <w:rPr>
                  <w:rStyle w:val="InternetLink"/>
                  <w:sz w:val="20"/>
                </w:rPr>
                <w:t xml:space="preserve">Amendment to Certificate of Incorporation. </w:t>
              </w:r>
            </w:hyperlink>
          </w:p>
        </w:tc>
      </w:tr>
      <w:tr>
        <w:trPr/>
        <w:tc>
          <w:tcPr>
            <w:tcW w:w="995" w:type="dxa"/>
            <w:tcBorders/>
            <w:vAlign w:val="center"/>
          </w:tcPr>
          <w:p>
            <w:pPr>
              <w:pStyle w:val="TableContents"/>
              <w:bidi w:val="0"/>
              <w:spacing w:before="0" w:after="283"/>
              <w:jc w:val="left"/>
              <w:rPr>
                <w:sz w:val="20"/>
              </w:rPr>
            </w:pPr>
            <w:r>
              <w:rPr>
                <w:sz w:val="20"/>
              </w:rPr>
              <w:t>104</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1655"/>
        <w:gridCol w:w="320"/>
        <w:gridCol w:w="3125"/>
      </w:tblGrid>
      <w:tr>
        <w:trPr/>
        <w:tc>
          <w:tcPr>
            <w:tcW w:w="1655"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Marker Therapeutics, Inc.</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May 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Juan Vera</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Juan Vera</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3511d1_ex3-1.htm"/>
      <w:bookmarkStart w:id="25" w:name="kstm2613511d1_ex31"/>
      <w:bookmarkEnd w:id="24"/>
      <w:bookmarkEnd w:id="25"/>
      <w:r>
        <w:rPr/>
        <w:t> </w:t>
      </w:r>
      <w:r>
        <w:br w:type="page"/>
      </w:r>
    </w:p>
    <w:p>
      <w:pPr>
        <w:pStyle w:val="TextBody"/>
        <w:bidi w:val="0"/>
        <w:jc w:val="right"/>
        <w:rPr>
          <w:b/>
        </w:rPr>
      </w:pPr>
      <w:r>
        <w:rPr>
          <w:b/>
        </w:rPr>
        <w:t>Exhibit 3.1</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br/>
        <w:t>TO</w:t>
        <w:br/>
        <w:t>CERTIFICATE OF INCORPORATION</w:t>
        <w:br/>
        <w:t>OF</w:t>
        <w:br/>
        <w:t>MARKER THERAPEUTICS, INC.</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 corporation organized and existing under and by virtue of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does hereby certify that:</w:t>
      </w:r>
    </w:p>
    <w:p>
      <w:pPr>
        <w:pStyle w:val="TextBody"/>
        <w:bidi w:val="0"/>
        <w:spacing w:before="0" w:after="0"/>
        <w:ind w:left="0" w:right="0" w:firstLine="400"/>
        <w:jc w:val="both"/>
        <w:rPr>
          <w:caps/>
        </w:rPr>
      </w:pPr>
      <w:r>
        <w:rPr>
          <w:caps/>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First:</w:t>
      </w:r>
      <w:r>
        <w:rPr>
          <w:rFonts w:ascii="Times New Roman;Times;Serif" w:hAnsi="Times New Roman;Times;Serif"/>
          <w:b w:val="false"/>
          <w:i w:val="false"/>
          <w:caps w:val="false"/>
          <w:smallCaps w:val="false"/>
          <w:sz w:val="20"/>
        </w:rPr>
        <w:t>   The name of this corporation is Marker Therapeutics, Inc., and the date on which the Certificate of Incorporation of this corporation was originally filed with the Secretary of State of the State of Delaware was October 17, 2018, under the original name Marker Therapeutics, Inc.</w:t>
      </w:r>
    </w:p>
    <w:p>
      <w:pPr>
        <w:pStyle w:val="TextBody"/>
        <w:bidi w:val="0"/>
        <w:spacing w:before="0" w:after="0"/>
        <w:ind w:left="0" w:right="0" w:firstLine="400"/>
        <w:jc w:val="both"/>
        <w:rPr>
          <w:caps/>
        </w:rPr>
      </w:pPr>
      <w:r>
        <w:rPr>
          <w:caps/>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Second:</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acting in accordance with the provisions of Sections 141 and 242 of the DGCL, adopted resolutions amending its Certificate of Incorporation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to provide that Section A of Article IV of the Certificate of Incorporation is amended and restated to read in its entirety as follows: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The Corporation is authorized to issue two classes of stock to be designated, respectively, “Common Stock” and “Preferred Stock.” The total number of shares which the Corporation is authorized to issue is 135,000,000 shares, consisting of (i) 130,000,000 shares of Common Stock, $0.001 par value per share, and (ii) 5,000,000 shares of Preferred Stock, $0.001 par value per share.”</w:t>
      </w:r>
    </w:p>
    <w:p>
      <w:pPr>
        <w:pStyle w:val="TextBody"/>
        <w:bidi w:val="0"/>
        <w:spacing w:before="0" w:after="0"/>
        <w:ind w:left="0" w:right="0" w:firstLine="400"/>
        <w:jc w:val="both"/>
        <w:rPr>
          <w:caps/>
        </w:rPr>
      </w:pPr>
      <w:r>
        <w:rPr>
          <w:caps/>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Third:</w:t>
      </w:r>
      <w:r>
        <w:rPr>
          <w:rFonts w:ascii="Times New Roman;Times;Serif" w:hAnsi="Times New Roman;Times;Serif"/>
          <w:b w:val="false"/>
          <w:i w:val="false"/>
          <w:caps w:val="false"/>
          <w:smallCaps w:val="false"/>
          <w:sz w:val="20"/>
        </w:rPr>
        <w:t>   The foregoing amendment to the Certificate of Incorporation was duly approved by the Board.</w:t>
      </w:r>
    </w:p>
    <w:p>
      <w:pPr>
        <w:pStyle w:val="TextBody"/>
        <w:bidi w:val="0"/>
        <w:spacing w:before="0" w:after="0"/>
        <w:ind w:left="0" w:right="0" w:firstLine="400"/>
        <w:jc w:val="both"/>
        <w:rPr>
          <w:caps/>
        </w:rPr>
      </w:pPr>
      <w:r>
        <w:rPr>
          <w:caps/>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Fourth</w:t>
      </w:r>
      <w:r>
        <w:rPr>
          <w:rFonts w:ascii="Times New Roman;Times;Serif" w:hAnsi="Times New Roman;Times;Serif"/>
          <w:b w:val="false"/>
          <w:i w:val="false"/>
          <w:caps w:val="false"/>
          <w:smallCaps w:val="false"/>
          <w:sz w:val="20"/>
        </w:rPr>
        <w:t>:   Thereafter, pursuant to a resolution of the Board, this Certificate of Amendment was submitted to the stockholders of the Company for their approval, and was duly adopted in accordance with the provisions of Section 242 of the DGCL.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 Witness Whereof,</w:t>
      </w:r>
      <w:r>
        <w:rPr>
          <w:rFonts w:ascii="Times New Roman;Times;Serif" w:hAnsi="Times New Roman;Times;Serif"/>
          <w:b w:val="false"/>
          <w:i w:val="false"/>
          <w:caps w:val="false"/>
          <w:smallCaps w:val="false"/>
          <w:sz w:val="20"/>
        </w:rPr>
        <w:t> Marker Therapeutics, Inc. has caused this Certificate of Amendment to be executed by its President and Chief Executive Officer as of May 1, 2026.</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tbl>
      <w:tblPr>
        <w:tblW w:w="3604" w:type="dxa"/>
        <w:jc w:val="left"/>
        <w:tblInd w:w="0" w:type="dxa"/>
        <w:tblLayout w:type="fixed"/>
        <w:tblCellMar>
          <w:top w:w="0" w:type="dxa"/>
          <w:left w:w="0" w:type="dxa"/>
          <w:bottom w:w="28" w:type="dxa"/>
          <w:right w:w="0" w:type="dxa"/>
        </w:tblCellMar>
      </w:tblPr>
      <w:tblGrid>
        <w:gridCol w:w="3388"/>
        <w:gridCol w:w="216"/>
      </w:tblGrid>
      <w:tr>
        <w:trPr/>
        <w:tc>
          <w:tcPr>
            <w:tcW w:w="3388"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Juan Vera</w:t>
            </w:r>
          </w:p>
        </w:tc>
        <w:tc>
          <w:tcPr>
            <w:tcW w:w="216" w:type="dxa"/>
            <w:tcBorders/>
            <w:tcMar>
              <w:bottom w:w="0" w:type="dxa"/>
            </w:tcMar>
            <w:vAlign w:val="center"/>
          </w:tcPr>
          <w:p>
            <w:pPr>
              <w:pStyle w:val="TableContents"/>
              <w:bidi w:val="0"/>
              <w:spacing w:before="0" w:after="283"/>
              <w:jc w:val="both"/>
              <w:rPr/>
            </w:pPr>
            <w:r>
              <w:rPr/>
              <w:t> </w:t>
            </w:r>
          </w:p>
        </w:tc>
      </w:tr>
      <w:tr>
        <w:trPr/>
        <w:tc>
          <w:tcPr>
            <w:tcW w:w="338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Juan Vera</w:t>
            </w:r>
          </w:p>
        </w:tc>
        <w:tc>
          <w:tcPr>
            <w:tcW w:w="216" w:type="dxa"/>
            <w:tcBorders/>
            <w:tcMar>
              <w:bottom w:w="0" w:type="dxa"/>
            </w:tcMar>
            <w:vAlign w:val="center"/>
          </w:tcPr>
          <w:p>
            <w:pPr>
              <w:pStyle w:val="TableContents"/>
              <w:bidi w:val="0"/>
              <w:spacing w:before="0" w:after="283"/>
              <w:jc w:val="both"/>
              <w:rPr/>
            </w:pPr>
            <w:r>
              <w:rPr/>
              <w:t> </w:t>
            </w:r>
          </w:p>
        </w:tc>
      </w:tr>
      <w:tr>
        <w:trPr/>
        <w:tc>
          <w:tcPr>
            <w:tcW w:w="3604" w:type="dxa"/>
            <w:gridSpan w:val="2"/>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1279</Words>
  <Characters>6983</Characters>
  <CharactersWithSpaces>8344</CharactersWithSpaces>
  <Paragraphs>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