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mrkr-20240630x10q.htm"/>
        <w:bookmarkStart w:id="1" w:name="ksmrkr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bookmarkStart w:id="2" w:name="_59fcb8fa_6452_4c2e_af6b_46198d4772af"/>
      <w:bookmarkEnd w:id="2"/>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 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Quarterly Report Under Section 13 or 15(d) of the Securities Exchange Act of 1934 for the quarterly period ended June 30, 2024</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Transition Report Under Section 13 or 15(d) of the Securities Exchange Act of 1934 for the transition period from _____ to _____.</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001-37939</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266636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6365" cy="762000"/>
                    </a:xfrm>
                    <a:prstGeom prst="rect">
                      <a:avLst/>
                    </a:prstGeom>
                  </pic:spPr>
                </pic:pic>
              </a:graphicData>
            </a:graphic>
          </wp:inline>
        </w:drawing>
      </w:r>
    </w:p>
    <w:p>
      <w:pPr>
        <w:pStyle w:val="TextBody"/>
        <w:bidi w:val="0"/>
        <w:spacing w:before="0" w:after="240"/>
        <w:ind w:left="0" w:right="0" w:hanging="0"/>
        <w:jc w:val="center"/>
        <w:rPr/>
      </w:pPr>
      <w:r>
        <w:rPr/>
        <w:t>​</w:t>
      </w:r>
    </w:p>
    <w:p>
      <w:pPr>
        <w:pStyle w:val="TextBody"/>
        <w:pBdr>
          <w:bottom w:val="single" w:sz="2" w:space="1" w:color="000000"/>
        </w:pBdr>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MARKER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dXrWPRbMIU2n1I4gu__2kg_2_2"/>
      <w:bookmarkStart w:id="4" w:name="Tc_wLK-UZhZKEOM44NQMSdlEw_2_0"/>
      <w:bookmarkStart w:id="5" w:name="_9af6c5aa_2964_4dcd_963c_1242e1a24825"/>
      <w:bookmarkStart w:id="6" w:name="Tc_dXrWPRbMIU2n1I4gu__2kg_2_2"/>
      <w:bookmarkStart w:id="7" w:name="Tc_wLK-UZhZKEOM44NQMSdlEw_2_0"/>
      <w:bookmarkStart w:id="8" w:name="_9af6c5aa_2964_4dcd_963c_1242e1a24825"/>
      <w:bookmarkEnd w:id="6"/>
      <w:bookmarkEnd w:id="7"/>
      <w:bookmarkEnd w:id="8"/>
    </w:p>
    <w:tbl>
      <w:tblPr>
        <w:tblW w:w="7363" w:type="dxa"/>
        <w:jc w:val="left"/>
        <w:tblInd w:w="0" w:type="dxa"/>
        <w:tblLayout w:type="fixed"/>
        <w:tblCellMar>
          <w:top w:w="0" w:type="dxa"/>
          <w:left w:w="0" w:type="dxa"/>
          <w:bottom w:w="0" w:type="dxa"/>
          <w:right w:w="0" w:type="dxa"/>
        </w:tblCellMar>
      </w:tblPr>
      <w:tblGrid>
        <w:gridCol w:w="4321"/>
        <w:gridCol w:w="326"/>
        <w:gridCol w:w="2716"/>
      </w:tblGrid>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716" w:type="dxa"/>
            <w:tcBorders/>
            <w:vAlign w:val="center"/>
          </w:tcPr>
          <w:p>
            <w:pPr>
              <w:pStyle w:val="TableContents"/>
              <w:bidi w:val="0"/>
              <w:spacing w:before="0" w:after="0"/>
              <w:ind w:left="0" w:right="0" w:hanging="0"/>
              <w:jc w:val="both"/>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326" w:type="dxa"/>
            <w:tcBorders/>
            <w:vAlign w:val="center"/>
          </w:tcPr>
          <w:p>
            <w:pPr>
              <w:pStyle w:val="TableContents"/>
              <w:bidi w:val="0"/>
              <w:spacing w:before="0" w:after="0"/>
              <w:ind w:left="0" w:right="0" w:hanging="0"/>
              <w:jc w:val="both"/>
              <w:rPr/>
            </w:pPr>
            <w:r>
              <w:rPr/>
              <w:t>    </w:t>
            </w:r>
          </w:p>
        </w:tc>
        <w:tc>
          <w:tcPr>
            <w:tcW w:w="2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45-4497941</w:t>
            </w:r>
          </w:p>
        </w:tc>
      </w:tr>
      <w:tr>
        <w:trPr/>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 w:name="Tc_UqoFP1Rj-EunnNrTZWh7XQ_3_2"/>
      <w:bookmarkStart w:id="10" w:name="Tc_7wuLfnMBEUy2O_B6ZGMk3A_3_0"/>
      <w:bookmarkStart w:id="11" w:name="Tc_O_i12eTI7k2JE_4T0XTnyw_2_0"/>
      <w:bookmarkStart w:id="12" w:name="_b494b851_bca4_40ad_954f_bf49924fdd67"/>
      <w:bookmarkStart w:id="13" w:name="Tc_UqoFP1Rj-EunnNrTZWh7XQ_3_2"/>
      <w:bookmarkStart w:id="14" w:name="Tc_7wuLfnMBEUy2O_B6ZGMk3A_3_0"/>
      <w:bookmarkStart w:id="15" w:name="Tc_O_i12eTI7k2JE_4T0XTnyw_2_0"/>
      <w:bookmarkStart w:id="16" w:name="_b494b851_bca4_40ad_954f_bf49924fdd67"/>
      <w:bookmarkEnd w:id="13"/>
      <w:bookmarkEnd w:id="14"/>
      <w:bookmarkEnd w:id="15"/>
      <w:bookmarkEnd w:id="16"/>
    </w:p>
    <w:tbl>
      <w:tblPr>
        <w:tblW w:w="5248" w:type="dxa"/>
        <w:jc w:val="left"/>
        <w:tblInd w:w="0" w:type="dxa"/>
        <w:tblLayout w:type="fixed"/>
        <w:tblCellMar>
          <w:top w:w="0" w:type="dxa"/>
          <w:left w:w="0" w:type="dxa"/>
          <w:bottom w:w="0" w:type="dxa"/>
          <w:right w:w="0" w:type="dxa"/>
        </w:tblCellMar>
      </w:tblPr>
      <w:tblGrid>
        <w:gridCol w:w="3991"/>
        <w:gridCol w:w="326"/>
        <w:gridCol w:w="93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2450 Holcombe Blvd, Suite BCM-A, MS: BCM251</w:t>
            </w:r>
            <w:r>
              <w:rPr>
                <w:rFonts w:ascii="Times New Roman;Times;serif" w:hAnsi="Times New Roman;Times;serif"/>
                <w:sz w:val="18"/>
              </w:rPr>
              <w:br/>
            </w:r>
            <w:r>
              <w:rPr>
                <w:rFonts w:ascii="Times New Roman;Times;serif" w:hAnsi="Times New Roman;Times;serif"/>
                <w:b/>
                <w:sz w:val="18"/>
              </w:rPr>
              <w:t>Houston, Texas</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77021</w:t>
            </w:r>
          </w:p>
        </w:tc>
      </w:tr>
      <w:tr>
        <w:trPr/>
        <w:tc>
          <w:tcPr>
            <w:tcW w:w="39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tbl>
      <w:tblPr>
        <w:tblW w:w="2596" w:type="dxa"/>
        <w:jc w:val="left"/>
        <w:tblInd w:w="0" w:type="dxa"/>
        <w:tblLayout w:type="fixed"/>
        <w:tblCellMar>
          <w:top w:w="0" w:type="dxa"/>
          <w:left w:w="0" w:type="dxa"/>
          <w:bottom w:w="28" w:type="dxa"/>
          <w:right w:w="0" w:type="dxa"/>
        </w:tblCellMar>
      </w:tblPr>
      <w:tblGrid>
        <w:gridCol w:w="2116"/>
        <w:gridCol w:w="326"/>
        <w:gridCol w:w="154"/>
      </w:tblGrid>
      <w:tr>
        <w:trPr/>
        <w:tc>
          <w:tcPr>
            <w:tcW w:w="21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(713) 400-6400</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(Issuer’s telephone number)</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7" w:name="Tc_L9h9_U17YECtg0LNk0dyKA_1_0"/>
      <w:bookmarkStart w:id="18" w:name="_00ef329c_6308_41d1_b8be_3ecc9fb2756b"/>
      <w:bookmarkStart w:id="19" w:name="Tc_L9h9_U17YECtg0LNk0dyKA_1_0"/>
      <w:bookmarkStart w:id="20" w:name="_00ef329c_6308_41d1_b8be_3ecc9fb2756b"/>
      <w:bookmarkEnd w:id="19"/>
      <w:bookmarkEnd w:id="20"/>
    </w:p>
    <w:tbl>
      <w:tblPr>
        <w:tblW w:w="6316" w:type="dxa"/>
        <w:jc w:val="left"/>
        <w:tblInd w:w="0" w:type="dxa"/>
        <w:tblLayout w:type="fixed"/>
        <w:tblCellMar>
          <w:top w:w="0" w:type="dxa"/>
          <w:left w:w="0" w:type="dxa"/>
          <w:bottom w:w="28" w:type="dxa"/>
          <w:right w:w="0" w:type="dxa"/>
        </w:tblCellMar>
      </w:tblPr>
      <w:tblGrid>
        <w:gridCol w:w="6316"/>
      </w:tblGrid>
      <w:tr>
        <w:trPr/>
        <w:tc>
          <w:tcPr>
            <w:tcW w:w="6316" w:type="dxa"/>
            <w:tcBorders>
              <w:bottom w:val="single" w:sz="2" w:space="0" w:color="000000"/>
            </w:tcBorders>
            <w:vAlign w:val="center"/>
          </w:tcPr>
          <w:p>
            <w:pPr>
              <w:pStyle w:val="TableContents"/>
              <w:bidi w:val="0"/>
              <w:spacing w:before="0" w:after="0"/>
              <w:ind w:left="0" w:right="0" w:hanging="0"/>
              <w:jc w:val="both"/>
              <w:rPr/>
            </w:pPr>
            <w:r>
              <w:rPr/>
              <w:t>​</w:t>
            </w:r>
          </w:p>
        </w:tc>
      </w:tr>
      <w:tr>
        <w:trPr/>
        <w:tc>
          <w:tcPr>
            <w:tcW w:w="6316" w:type="dxa"/>
            <w:tcBorders>
              <w:top w:val="single" w:sz="2" w:space="0" w:color="000000"/>
            </w:tcBorders>
            <w:tcMar>
              <w:top w:w="28" w:type="dxa"/>
              <w:bottom w:w="0" w:type="dxa"/>
            </w:tcMar>
            <w:vAlign w:val="center"/>
          </w:tcPr>
          <w:p>
            <w:pPr>
              <w:pStyle w:val="TableContents"/>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 w:name="Tc_B3s5QUEtgUCyJi9NJofSYQ_2_4"/>
      <w:bookmarkStart w:id="22" w:name="Tc_HEcLRTo85EeTimL5ZGT4gg_1_4"/>
      <w:bookmarkStart w:id="23" w:name="Tc_V58543EpWk2bAS5BOUCIqg_1_2"/>
      <w:bookmarkStart w:id="24" w:name="Tc_ASEZmtM8oEOWVFIc0wl1ig_1_0"/>
      <w:bookmarkStart w:id="25" w:name="_48eb8589_7c2b_4e5e_aafa_5d79a6048cfb"/>
      <w:bookmarkStart w:id="26" w:name="Tc_B3s5QUEtgUCyJi9NJofSYQ_2_4"/>
      <w:bookmarkStart w:id="27" w:name="Tc_HEcLRTo85EeTimL5ZGT4gg_1_4"/>
      <w:bookmarkStart w:id="28" w:name="Tc_V58543EpWk2bAS5BOUCIqg_1_2"/>
      <w:bookmarkStart w:id="29" w:name="Tc_ASEZmtM8oEOWVFIc0wl1ig_1_0"/>
      <w:bookmarkStart w:id="30" w:name="_48eb8589_7c2b_4e5e_aafa_5d79a6048cfb"/>
      <w:bookmarkEnd w:id="26"/>
      <w:bookmarkEnd w:id="27"/>
      <w:bookmarkEnd w:id="28"/>
      <w:bookmarkEnd w:id="29"/>
      <w:bookmarkEnd w:id="30"/>
    </w:p>
    <w:tbl>
      <w:tblPr>
        <w:tblW w:w="9295" w:type="dxa"/>
        <w:jc w:val="left"/>
        <w:tblInd w:w="0" w:type="dxa"/>
        <w:tblLayout w:type="fixed"/>
        <w:tblCellMar>
          <w:top w:w="0" w:type="dxa"/>
          <w:left w:w="0" w:type="dxa"/>
          <w:bottom w:w="0" w:type="dxa"/>
          <w:right w:w="0" w:type="dxa"/>
        </w:tblCellMar>
      </w:tblPr>
      <w:tblGrid>
        <w:gridCol w:w="3601"/>
        <w:gridCol w:w="326"/>
        <w:gridCol w:w="1561"/>
        <w:gridCol w:w="326"/>
        <w:gridCol w:w="348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MRKR</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1" w:name="Tc_Al8z6Zllk0C-rlpyfpc8Fw_3_3"/>
      <w:bookmarkStart w:id="32" w:name="Tc_fztAu53Ovk25mJ-GAWESog_2_3"/>
      <w:bookmarkStart w:id="33" w:name="Tc_139bnAlWs0mL8SR-y86aDg_2_2"/>
      <w:bookmarkStart w:id="34" w:name="Tc_O9GlrfAZyECXX5yi3WEedg_2_1"/>
      <w:bookmarkStart w:id="35" w:name="Tc_X3qlM1JxJ0eoRWmjeOmJrA_1_4"/>
      <w:bookmarkStart w:id="36" w:name="Tc_rbFKARq7kEugd1Nt285a7g_1_3"/>
      <w:bookmarkStart w:id="37" w:name="Tc_yKwufY78dkSd0ON9LlWeQw_1_2"/>
      <w:bookmarkStart w:id="38" w:name="Tc_GpompzAibU2rgv3_jI1nfQ_1_1"/>
      <w:bookmarkStart w:id="39" w:name="_3975667d_23b5_4fb5_9a7d_66c55553b849"/>
      <w:bookmarkStart w:id="40" w:name="Tc_Al8z6Zllk0C-rlpyfpc8Fw_3_3"/>
      <w:bookmarkStart w:id="41" w:name="Tc_fztAu53Ovk25mJ-GAWESog_2_3"/>
      <w:bookmarkStart w:id="42" w:name="Tc_139bnAlWs0mL8SR-y86aDg_2_2"/>
      <w:bookmarkStart w:id="43" w:name="Tc_O9GlrfAZyECXX5yi3WEedg_2_1"/>
      <w:bookmarkStart w:id="44" w:name="Tc_X3qlM1JxJ0eoRWmjeOmJrA_1_4"/>
      <w:bookmarkStart w:id="45" w:name="Tc_rbFKARq7kEugd1Nt285a7g_1_3"/>
      <w:bookmarkStart w:id="46" w:name="Tc_yKwufY78dkSd0ON9LlWeQw_1_2"/>
      <w:bookmarkStart w:id="47" w:name="Tc_GpompzAibU2rgv3_jI1nfQ_1_1"/>
      <w:bookmarkStart w:id="48" w:name="_3975667d_23b5_4fb5_9a7d_66c55553b849"/>
      <w:bookmarkEnd w:id="40"/>
      <w:bookmarkEnd w:id="41"/>
      <w:bookmarkEnd w:id="42"/>
      <w:bookmarkEnd w:id="43"/>
      <w:bookmarkEnd w:id="44"/>
      <w:bookmarkEnd w:id="45"/>
      <w:bookmarkEnd w:id="46"/>
      <w:bookmarkEnd w:id="47"/>
      <w:bookmarkEnd w:id="48"/>
    </w:p>
    <w:tbl>
      <w:tblPr>
        <w:tblW w:w="4493" w:type="dxa"/>
        <w:jc w:val="left"/>
        <w:tblInd w:w="0" w:type="dxa"/>
        <w:tblLayout w:type="fixed"/>
        <w:tblCellMar>
          <w:top w:w="0" w:type="dxa"/>
          <w:left w:w="0" w:type="dxa"/>
          <w:bottom w:w="0" w:type="dxa"/>
          <w:right w:w="0" w:type="dxa"/>
        </w:tblCellMar>
      </w:tblPr>
      <w:tblGrid>
        <w:gridCol w:w="124"/>
        <w:gridCol w:w="1651"/>
        <w:gridCol w:w="316"/>
        <w:gridCol w:w="204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775" w:type="dxa"/>
            <w:gridSpan w:val="2"/>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The registrant had 8,922,695 shares of common stock outstanding as of August 08, 2024.</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pPr>
      <w:bookmarkStart w:id="49" w:name="_56845ba4_aebc_45df_a51f_05f6c7dfd87e"/>
      <w:bookmarkStart w:id="50" w:name="TOC"/>
      <w:bookmarkEnd w:id="49"/>
      <w:bookmarkEnd w:id="50"/>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602605" cy="175260"/>
                      <wp:effectExtent l="0" t="0" r="0" b="0"/>
                      <wp:wrapNone/>
                      <wp:docPr id="3" name="Frame2"/>
                      <a:graphic xmlns:a="http://schemas.openxmlformats.org/drawingml/2006/main">
                        <a:graphicData uri="http://schemas.microsoft.com/office/word/2010/wordprocessingShape">
                          <wps:wsp>
                            <wps:cNvSpPr txBox="1"/>
                            <wps:spPr>
                              <a:xfrm>
                                <a:off x="0" y="0"/>
                                <a:ext cx="5602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585" cy="175260"/>
                      <wp:effectExtent l="0" t="0" r="0" b="0"/>
                      <wp:wrapNone/>
                      <wp:docPr id="4"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PARTIFINANCIALINFORMATION_341259">
              <w:r>
                <w:rPr>
                  <w:rStyle w:val="InternetLink"/>
                  <w:rFonts w:ascii="Times New Roman;Times;serif" w:hAnsi="Times New Roman;Times;serif"/>
                  <w:b/>
                  <w:i w:val="false"/>
                  <w:caps w:val="false"/>
                  <w:smallCaps w:val="false"/>
                  <w:sz w:val="20"/>
                </w:rPr>
                <w:t>PART I – FINANCIAL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BALANCESHEETS_74901">
              <w:r>
                <w:rPr>
                  <w:rStyle w:val="InternetLink"/>
                  <w:rFonts w:ascii="Times New Roman;Times;serif" w:hAnsi="Times New Roman;Times;serif"/>
                  <w:b w:val="false"/>
                  <w:i w:val="false"/>
                  <w:caps w:val="false"/>
                  <w:smallCaps w:val="false"/>
                  <w:sz w:val="20"/>
                </w:rPr>
                <w:t>Condensed Consolidated Balance Sheets As of June 30, 2024 and December 31, 2023</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and six months ended June 30, 2024 and 2023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2024 and 2023</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2024 and 2023</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PARTIIOTHERINFORMATION_786639">
              <w:r>
                <w:rPr>
                  <w:rStyle w:val="InternetLink"/>
                  <w:rFonts w:ascii="Times New Roman;Times;serif" w:hAnsi="Times New Roman;Times;serif"/>
                  <w:b/>
                  <w:i w:val="false"/>
                  <w:caps w:val="false"/>
                  <w:smallCaps w:val="false"/>
                  <w:sz w:val="20"/>
                </w:rPr>
                <w:t xml:space="preserve">PART II – OTHER INFORMATION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SIGNATURES_772915">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idi w:val="0"/>
        <w:spacing w:before="0" w:after="240"/>
        <w:ind w:left="0" w:right="0" w:hanging="979"/>
        <w:jc w:val="both"/>
        <w:rPr>
          <w:rFonts w:ascii="Times New Roman;Times;serif" w:hAnsi="Times New Roman;Times;serif"/>
          <w:b/>
          <w:sz w:val="20"/>
        </w:rPr>
      </w:pPr>
      <w:bookmarkStart w:id="51" w:name="PARTIFINANCIALINFORMATION_341259"/>
      <w:bookmarkStart w:id="52" w:name="_29565ff5_10b6_4d41_93cf_9369172b3cba"/>
      <w:bookmarkEnd w:id="51"/>
      <w:bookmarkEnd w:id="52"/>
      <w:r>
        <w:rPr>
          <w:rFonts w:ascii="Times New Roman;Times;serif" w:hAnsi="Times New Roman;Times;serif"/>
          <w:b/>
          <w:sz w:val="20"/>
        </w:rPr>
        <w:t>PART I.      FINANCIAL INFORMATION</w:t>
      </w:r>
    </w:p>
    <w:p>
      <w:pPr>
        <w:pStyle w:val="TextBody"/>
        <w:pBdr/>
        <w:bidi w:val="0"/>
        <w:spacing w:before="0" w:after="240"/>
        <w:ind w:left="0" w:right="0" w:hanging="979"/>
        <w:jc w:val="both"/>
        <w:rPr>
          <w:rFonts w:ascii="Times New Roman;Times;serif" w:hAnsi="Times New Roman;Times;serif"/>
          <w:b/>
          <w:sz w:val="20"/>
        </w:rPr>
      </w:pPr>
      <w:bookmarkStart w:id="53" w:name="Item1FinancialStatements_6919"/>
      <w:bookmarkEnd w:id="53"/>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4" w:name="CONDENSEDCONSOLIDATEDBALANCESHEETS_74901"/>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 w:name="Tc_TDGXH9K4c0OqLB_imwy81w_24_5"/>
      <w:bookmarkStart w:id="56" w:name="Tc_JY_3ByT0-EuGw8rm9GAcSg_24_2"/>
      <w:bookmarkStart w:id="57" w:name="Tc_99NoKYHszEmwe69secOonA_24_0"/>
      <w:bookmarkStart w:id="58" w:name="Tc_6X2Zo5O-00CVOhl5LxWT6w_23_0"/>
      <w:bookmarkStart w:id="59" w:name="Tc_E5MaNd752k6n5Ry0CYIKwA_22_0"/>
      <w:bookmarkStart w:id="60" w:name="Tc_pv8nG_s4Eki0UkEB-mNdSA_21_0"/>
      <w:bookmarkStart w:id="61" w:name="Tc_LEpo6WP2ekaFmkoBAQlJTA_20_0"/>
      <w:bookmarkStart w:id="62" w:name="Tc_YiH1l6Tfrkqf9HDKICfAiA_19_0"/>
      <w:bookmarkStart w:id="63" w:name="Tc_6d6_V9wDZEehpq5KXr_lIw_18_0"/>
      <w:bookmarkStart w:id="64" w:name="Tc_hBJkE5cxMU-sMkUPyHCi8Q_16_0"/>
      <w:bookmarkStart w:id="65" w:name="Tc_iPmYYXyO_064qHEzxOwIgw_15_0"/>
      <w:bookmarkStart w:id="66" w:name="Tc_DI4OTEvLk0Keyp0p-Ft7kg_13_5"/>
      <w:bookmarkStart w:id="67" w:name="Tc_P83b30yVqU-bMb1YKBzerw_13_2"/>
      <w:bookmarkStart w:id="68" w:name="Tc_ajrzQfBqu0SuPiVLLCmk8g_13_0"/>
      <w:bookmarkStart w:id="69" w:name="Tc__vEQPtY_bkCGhoJnQsQOFQ_12_0"/>
      <w:bookmarkStart w:id="70" w:name="Tc_zRcNYwK4tUWRzCgt3lfx3A_11_0"/>
      <w:bookmarkStart w:id="71" w:name="Tc_AF4RLGs5t0WlIDin40cG5g_9_5"/>
      <w:bookmarkStart w:id="72" w:name="Tc_stQANM3R0kGrTcPivTgSHQ_9_2"/>
      <w:bookmarkStart w:id="73" w:name="Tc_hR_Fsq9Y30iv_JlENiamOA_9_0"/>
      <w:bookmarkStart w:id="74" w:name="Tc_w9a5k0QaA0iyitlhcv0CVQ_8_0"/>
      <w:bookmarkStart w:id="75" w:name="Tc_OQ-ZIfP0pU6juO5leTwKHA_7_0"/>
      <w:bookmarkStart w:id="76" w:name="Tc_bH4ugKb7HEiqhqUpNd9NmA_6_0"/>
      <w:bookmarkStart w:id="77" w:name="Tc_k6cR4d1zl0qeL-nKFsqEaA_5_5"/>
      <w:bookmarkStart w:id="78" w:name="Tc_50Bqn08ziU6MsQq4EIHT6Q_5_2"/>
      <w:bookmarkStart w:id="79" w:name="Tc_uhoxD0EudEGiCkHVBM-gZQ_5_0"/>
      <w:bookmarkStart w:id="80" w:name="Tc_WWKkISVHQkGXfmhSyn7Ttg_4_0"/>
      <w:bookmarkStart w:id="81" w:name="Tc_0tCNFcPabUq--0207ow-qg_3_0"/>
      <w:bookmarkStart w:id="82" w:name="Tc_LW-yWrZ0s0-7jhwf62SL1Q_2_5"/>
      <w:bookmarkStart w:id="83" w:name="Tc_VPL82HOK606g4oJQhvh5Pg_2_2"/>
      <w:bookmarkStart w:id="84" w:name="Tc_FvuiGVL3zUyUMbuvHT7IHw_1_5"/>
      <w:bookmarkStart w:id="85" w:name="Tc__VF5M8UE50iShOBtmB40mQ_1_2"/>
      <w:bookmarkStart w:id="86" w:name="_26afe0e9_21d1_4a66_8191_7bdba9228693"/>
      <w:bookmarkStart w:id="87" w:name="Tc_TDGXH9K4c0OqLB_imwy81w_24_5"/>
      <w:bookmarkStart w:id="88" w:name="Tc_JY_3ByT0-EuGw8rm9GAcSg_24_2"/>
      <w:bookmarkStart w:id="89" w:name="Tc_99NoKYHszEmwe69secOonA_24_0"/>
      <w:bookmarkStart w:id="90" w:name="Tc_6X2Zo5O-00CVOhl5LxWT6w_23_0"/>
      <w:bookmarkStart w:id="91" w:name="Tc_E5MaNd752k6n5Ry0CYIKwA_22_0"/>
      <w:bookmarkStart w:id="92" w:name="Tc_pv8nG_s4Eki0UkEB-mNdSA_21_0"/>
      <w:bookmarkStart w:id="93" w:name="Tc_LEpo6WP2ekaFmkoBAQlJTA_20_0"/>
      <w:bookmarkStart w:id="94" w:name="Tc_YiH1l6Tfrkqf9HDKICfAiA_19_0"/>
      <w:bookmarkStart w:id="95" w:name="Tc_6d6_V9wDZEehpq5KXr_lIw_18_0"/>
      <w:bookmarkStart w:id="96" w:name="Tc_hBJkE5cxMU-sMkUPyHCi8Q_16_0"/>
      <w:bookmarkStart w:id="97" w:name="Tc_iPmYYXyO_064qHEzxOwIgw_15_0"/>
      <w:bookmarkStart w:id="98" w:name="Tc_DI4OTEvLk0Keyp0p-Ft7kg_13_5"/>
      <w:bookmarkStart w:id="99" w:name="Tc_P83b30yVqU-bMb1YKBzerw_13_2"/>
      <w:bookmarkStart w:id="100" w:name="Tc_ajrzQfBqu0SuPiVLLCmk8g_13_0"/>
      <w:bookmarkStart w:id="101" w:name="Tc__vEQPtY_bkCGhoJnQsQOFQ_12_0"/>
      <w:bookmarkStart w:id="102" w:name="Tc_zRcNYwK4tUWRzCgt3lfx3A_11_0"/>
      <w:bookmarkStart w:id="103" w:name="Tc_AF4RLGs5t0WlIDin40cG5g_9_5"/>
      <w:bookmarkStart w:id="104" w:name="Tc_stQANM3R0kGrTcPivTgSHQ_9_2"/>
      <w:bookmarkStart w:id="105" w:name="Tc_hR_Fsq9Y30iv_JlENiamOA_9_0"/>
      <w:bookmarkStart w:id="106" w:name="Tc_w9a5k0QaA0iyitlhcv0CVQ_8_0"/>
      <w:bookmarkStart w:id="107" w:name="Tc_OQ-ZIfP0pU6juO5leTwKHA_7_0"/>
      <w:bookmarkStart w:id="108" w:name="Tc_bH4ugKb7HEiqhqUpNd9NmA_6_0"/>
      <w:bookmarkStart w:id="109" w:name="Tc_k6cR4d1zl0qeL-nKFsqEaA_5_5"/>
      <w:bookmarkStart w:id="110" w:name="Tc_50Bqn08ziU6MsQq4EIHT6Q_5_2"/>
      <w:bookmarkStart w:id="111" w:name="Tc_uhoxD0EudEGiCkHVBM-gZQ_5_0"/>
      <w:bookmarkStart w:id="112" w:name="Tc_WWKkISVHQkGXfmhSyn7Ttg_4_0"/>
      <w:bookmarkStart w:id="113" w:name="Tc_0tCNFcPabUq--0207ow-qg_3_0"/>
      <w:bookmarkStart w:id="114" w:name="Tc_LW-yWrZ0s0-7jhwf62SL1Q_2_5"/>
      <w:bookmarkStart w:id="115" w:name="Tc_VPL82HOK606g4oJQhvh5Pg_2_2"/>
      <w:bookmarkStart w:id="116" w:name="Tc_FvuiGVL3zUyUMbuvHT7IHw_1_5"/>
      <w:bookmarkStart w:id="117" w:name="Tc__VF5M8UE50iShOBtmB40mQ_1_2"/>
      <w:bookmarkStart w:id="118" w:name="_26afe0e9_21d1_4a66_8191_7bdba9228693"/>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tbl>
      <w:tblPr>
        <w:tblW w:w="10205" w:type="dxa"/>
        <w:jc w:val="left"/>
        <w:tblInd w:w="0" w:type="dxa"/>
        <w:tblLayout w:type="fixed"/>
        <w:tblCellMar>
          <w:top w:w="0" w:type="dxa"/>
          <w:left w:w="0" w:type="dxa"/>
          <w:bottom w:w="0" w:type="dxa"/>
          <w:right w:w="0" w:type="dxa"/>
        </w:tblCellMar>
      </w:tblPr>
      <w:tblGrid>
        <w:gridCol w:w="6633"/>
        <w:gridCol w:w="326"/>
        <w:gridCol w:w="211"/>
        <w:gridCol w:w="1226"/>
        <w:gridCol w:w="326"/>
        <w:gridCol w:w="211"/>
        <w:gridCol w:w="1272"/>
      </w:tblGrid>
      <w:tr>
        <w:trPr/>
        <w:tc>
          <w:tcPr>
            <w:tcW w:w="6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11955" cy="175260"/>
                      <wp:effectExtent l="0" t="0" r="0" b="0"/>
                      <wp:wrapNone/>
                      <wp:docPr id="5" name="Frame4"/>
                      <a:graphic xmlns:a="http://schemas.openxmlformats.org/drawingml/2006/main">
                        <a:graphicData uri="http://schemas.microsoft.com/office/word/2010/wordprocessingShape">
                          <wps:wsp>
                            <wps:cNvSpPr txBox="1"/>
                            <wps:spPr>
                              <a:xfrm>
                                <a:off x="0" y="0"/>
                                <a:ext cx="42119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78510" cy="175260"/>
                      <wp:effectExtent l="0" t="0" r="0" b="0"/>
                      <wp:wrapNone/>
                      <wp:docPr id="8" name="Frame7"/>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07720" cy="175260"/>
                      <wp:effectExtent l="0" t="0" r="0" b="0"/>
                      <wp:wrapNone/>
                      <wp:docPr id="11" name="Frame10"/>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63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14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3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w:t>
            </w:r>
          </w:p>
        </w:tc>
        <w:tc>
          <w:tcPr>
            <w:tcW w:w="14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2" w:type="dxa"/>
            <w:tcBorders/>
            <w:shd w:fill="CCEEFF" w:val="clear"/>
            <w:vAlign w:val="center"/>
          </w:tcPr>
          <w:p>
            <w:pPr>
              <w:pStyle w:val="TableContents"/>
              <w:bidi w:val="0"/>
              <w:spacing w:before="0" w:after="1"/>
              <w:ind w:left="0" w:right="0" w:hanging="0"/>
              <w:jc w:val="both"/>
              <w:rPr/>
            </w:pPr>
            <w:r>
              <w:rPr/>
              <w:t>​</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2" w:type="dxa"/>
            <w:tcBorders/>
            <w:vAlign w:val="center"/>
          </w:tcPr>
          <w:p>
            <w:pPr>
              <w:pStyle w:val="TableContents"/>
              <w:bidi w:val="0"/>
              <w:spacing w:before="0" w:after="1"/>
              <w:ind w:left="0" w:right="0" w:hanging="0"/>
              <w:jc w:val="both"/>
              <w:rPr/>
            </w:pPr>
            <w:r>
              <w:rPr/>
              <w:t>​</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7,800,464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15,111,450</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1,384,394</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988,126</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2,490,147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1,027,815</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11,675,005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17,127,391</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11,675,005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17,127,391</w:t>
            </w:r>
          </w:p>
        </w:tc>
      </w:tr>
      <w:tr>
        <w:trPr/>
        <w:tc>
          <w:tcPr>
            <w:tcW w:w="663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2" w:type="dxa"/>
            <w:tcBorders/>
            <w:vAlign w:val="center"/>
          </w:tcPr>
          <w:p>
            <w:pPr>
              <w:pStyle w:val="TableContents"/>
              <w:bidi w:val="0"/>
              <w:spacing w:before="0" w:after="1"/>
              <w:ind w:left="0" w:right="0" w:hanging="0"/>
              <w:jc w:val="right"/>
              <w:rPr/>
            </w:pPr>
            <w:r>
              <w:rPr/>
              <w:t>​</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2" w:type="dxa"/>
            <w:tcBorders/>
            <w:shd w:fill="CCEEFF" w:val="clear"/>
            <w:vAlign w:val="center"/>
          </w:tcPr>
          <w:p>
            <w:pPr>
              <w:pStyle w:val="TableContents"/>
              <w:bidi w:val="0"/>
              <w:spacing w:before="0" w:after="1"/>
              <w:ind w:left="0" w:right="0" w:hanging="0"/>
              <w:jc w:val="right"/>
              <w:rPr/>
            </w:pPr>
            <w:r>
              <w:rPr/>
              <w:t>  </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2" w:type="dxa"/>
            <w:tcBorders/>
            <w:vAlign w:val="center"/>
          </w:tcPr>
          <w:p>
            <w:pPr>
              <w:pStyle w:val="TableContents"/>
              <w:bidi w:val="0"/>
              <w:spacing w:before="0" w:after="1"/>
              <w:ind w:left="0" w:right="0" w:hanging="0"/>
              <w:jc w:val="right"/>
              <w:rPr/>
            </w:pPr>
            <w:r>
              <w:rPr/>
              <w:t>  </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1,679,672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1,745,193</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292,569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1,329,655</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1,972,241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3,074,848</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1,972,241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3,074,848</w:t>
            </w:r>
          </w:p>
        </w:tc>
      </w:tr>
      <w:tr>
        <w:trPr/>
        <w:tc>
          <w:tcPr>
            <w:tcW w:w="663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2" w:type="dxa"/>
            <w:tcBorders/>
            <w:shd w:fill="CCEEFF" w:val="clear"/>
            <w:vAlign w:val="center"/>
          </w:tcPr>
          <w:p>
            <w:pPr>
              <w:pStyle w:val="TableContents"/>
              <w:bidi w:val="0"/>
              <w:spacing w:before="0" w:after="1"/>
              <w:ind w:left="0" w:right="0" w:hanging="0"/>
              <w:jc w:val="right"/>
              <w:rPr/>
            </w:pPr>
            <w:r>
              <w:rPr/>
              <w:t>​</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2" w:type="dxa"/>
            <w:tcBorders/>
            <w:vAlign w:val="center"/>
          </w:tcPr>
          <w:p>
            <w:pPr>
              <w:pStyle w:val="TableContents"/>
              <w:bidi w:val="0"/>
              <w:spacing w:before="0" w:after="1"/>
              <w:ind w:left="0" w:right="0" w:hanging="0"/>
              <w:jc w:val="right"/>
              <w:rPr/>
            </w:pPr>
            <w:r>
              <w:rPr/>
              <w:t>​</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Preferred stock, $0.001 par value, 5 million shares authorized, 0 shares issued and outstanding at June 30, 2024 and December 31, 2023, respectively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2"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$0.001 par value, 30 million shares authorized, 8.9 million shares issued and outstanding as of June 30, 2024 and December 31, 2023 (see Note 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8,891</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450,565,204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450,329,515</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(440,871,362)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(436,285,863)</w:t>
            </w:r>
          </w:p>
        </w:tc>
      </w:tr>
      <w:tr>
        <w:trPr/>
        <w:tc>
          <w:tcPr>
            <w:tcW w:w="663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9,702,764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14,052,543</w:t>
            </w:r>
          </w:p>
        </w:tc>
      </w:tr>
      <w:tr>
        <w:trPr/>
        <w:tc>
          <w:tcPr>
            <w:tcW w:w="6633"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11,675,005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7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17,127,391</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119" w:name="_38e1d993_4d9f_4aed_83cb_08b3c2eb2454"/>
      <w:bookmarkEnd w:id="119"/>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20" w:name="CONDENSEDCONSOLIDATEDSTATEMENTSOFOPERATI"/>
      <w:bookmarkEnd w:id="120"/>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21" w:name="Tc_-8uzzXwkQkynIWeiV1us7w_28_0"/>
      <w:bookmarkStart w:id="122" w:name="Tc_o45IctZN202LJABz8ttIuQ_27_0"/>
      <w:bookmarkStart w:id="123" w:name="Tc_PX5_XCG3QkyG35DjnyG-Ww_26_0"/>
      <w:bookmarkStart w:id="124" w:name="Tc_TlVkoX3uaU-OP23LRFEvGg_24_11"/>
      <w:bookmarkStart w:id="125" w:name="Tc_TCXs4x3F-ESEn6gRYVzFYA_24_8"/>
      <w:bookmarkStart w:id="126" w:name="Tc_TCXL1kyC5U6eMbFmqOvEgg_24_5"/>
      <w:bookmarkStart w:id="127" w:name="Tc_f4VsykVFiU2PKCKbp3uh6w_24_2"/>
      <w:bookmarkStart w:id="128" w:name="Tc_Xr6mi2OVsUes4GTuzn8UaA_24_0"/>
      <w:bookmarkStart w:id="129" w:name="Tc_Er9bRNTxTEWMbTGR6IVTaQ_23_11"/>
      <w:bookmarkStart w:id="130" w:name="Tc__H8JVD288UKpMNR2pXzfqw_23_9"/>
      <w:bookmarkStart w:id="131" w:name="Tc_Y-e3Gv9XvkqTJXx19MYEBA_23_8"/>
      <w:bookmarkStart w:id="132" w:name="Tc_lAzM5Ugov0CliGq6UgeCbw_23_5"/>
      <w:bookmarkStart w:id="133" w:name="Tc_VqhNBK5alUOKnbX2xlgoPw_23_3"/>
      <w:bookmarkStart w:id="134" w:name="Tc_MGHJ5Ba96USScrgV6ckCoQ_23_2"/>
      <w:bookmarkStart w:id="135" w:name="Tc_HR1slj7-5Uqflsco7oKH_Q_23_0"/>
      <w:bookmarkStart w:id="136" w:name="Tc_r_Udmb7WO0-55tTv7XZAvg_22_11"/>
      <w:bookmarkStart w:id="137" w:name="Tc_1EqtzTE1pUeMlVCELUpLdw_22_8"/>
      <w:bookmarkStart w:id="138" w:name="Tc_KTIbM00OA0mC89GqLE2afw_22_5"/>
      <w:bookmarkStart w:id="139" w:name="Tc_K9T8MZBspUmj-_RgaBnFbQ_22_2"/>
      <w:bookmarkStart w:id="140" w:name="Tc_tBNUUsCNB0W2t1bVl3ukjg_22_0"/>
      <w:bookmarkStart w:id="141" w:name="Tc_Y9l_iiBTBUWk6AxEl2qaew_21_0"/>
      <w:bookmarkStart w:id="142" w:name="Tc_x24vZ_DwaUyLStfM1bK5Rg_19_11"/>
      <w:bookmarkStart w:id="143" w:name="Tc_U8IBhbXkb0GjiCiqUyEYZQ_19_8"/>
      <w:bookmarkStart w:id="144" w:name="Tc_EHejlSlVYEG9l6Y0oElNmA_19_5"/>
      <w:bookmarkStart w:id="145" w:name="Tc_sLkBItg9XUapRjIJkGhAAA_19_2"/>
      <w:bookmarkStart w:id="146" w:name="Tc_wS2DotWbhUOGXSNxbdXEQg_19_0"/>
      <w:bookmarkStart w:id="147" w:name="Tc_7y4N5nHKtUmnb-peY2N07w_18_9"/>
      <w:bookmarkStart w:id="148" w:name="Tc_97dBTDSgY0StVj2X3pGz9A_18_3"/>
      <w:bookmarkStart w:id="149" w:name="Tc_DlESM1f5-kSglCRTAKz9pA_18_0"/>
      <w:bookmarkStart w:id="150" w:name="Tc_dwo1bmgZQU-MfMJVQ5MsIQ_17_9"/>
      <w:bookmarkStart w:id="151" w:name="Tc_XHBZDfTt_0KiHQIUq49Rqg_17_3"/>
      <w:bookmarkStart w:id="152" w:name="Tc_yeI4gPyQrUe6kLcXC-zVLQ_17_0"/>
      <w:bookmarkStart w:id="153" w:name="Tc_RjtpDmHZlEW9SfwYq0YBcA_16_9"/>
      <w:bookmarkStart w:id="154" w:name="Tc_KsOUtCZ0qkG1gXVJ0gt50Q_16_3"/>
      <w:bookmarkStart w:id="155" w:name="Tc__Gt47VtBLkWgY2Es3c1zsg_16_0"/>
      <w:bookmarkStart w:id="156" w:name="Tc_7i3LYceTfUO2PGsdqB7N1g_15_0"/>
      <w:bookmarkStart w:id="157" w:name="Tc_rRjh9f8nmUGSQAcJv_NrJw_14_0"/>
      <w:bookmarkStart w:id="158" w:name="Tc_RljzU-ugs0ile3MsNVk-4A_13_0"/>
      <w:bookmarkStart w:id="159" w:name="Tc_8PCA02EN-keN6zox7b0f_w_12_0"/>
      <w:bookmarkStart w:id="160" w:name="Tc_Ku6-QaaYX0elv2ThxtJwFA_11_0"/>
      <w:bookmarkStart w:id="161" w:name="Tc_EyBt8N1l6kSaInflIhXOMw_10_0"/>
      <w:bookmarkStart w:id="162" w:name="Tc_ONedqrfnbkGL-5ba4LwaFg_9_0"/>
      <w:bookmarkStart w:id="163" w:name="Tc_3N0UN1-vj0OqijoMK-C8QA_8_0"/>
      <w:bookmarkStart w:id="164" w:name="Tc_Kf4Lg6E760OPhHPgNg4lYQ_7_0"/>
      <w:bookmarkStart w:id="165" w:name="Tc_WCXvQzdAcUaWD5Nq5NWBLw_6_0"/>
      <w:bookmarkStart w:id="166" w:name="Tc_yBBjXy8J6kmXKQkdftkiew_5_11"/>
      <w:bookmarkStart w:id="167" w:name="Tc_I1FTbAXtDEGuF-QXjNbjEA_5_8"/>
      <w:bookmarkStart w:id="168" w:name="Tc_UjF3bPITSkCQ70QeGJhJVQ_5_5"/>
      <w:bookmarkStart w:id="169" w:name="Tc_IMo351y6gkChpowk5REnHQ_5_2"/>
      <w:bookmarkStart w:id="170" w:name="Tc_1dVu1Q_R6kSecqhX7jyO8w_5_0"/>
      <w:bookmarkStart w:id="171" w:name="Tc_SiDS5LjKmUO9-KfIPBarJw_4_0"/>
      <w:bookmarkStart w:id="172" w:name="Tc_HPYtsuG3jEuZTMBQzWfp3g_3_11"/>
      <w:bookmarkStart w:id="173" w:name="Tc_tU6lARfzWUy10nmm6IkUsg_3_8"/>
      <w:bookmarkStart w:id="174" w:name="Tc_88QJjABx7kKMdElaBVphVw_3_5"/>
      <w:bookmarkStart w:id="175" w:name="Tc_aBDNU_XagUCmZOAI4z1eFw_3_2"/>
      <w:bookmarkStart w:id="176" w:name="Tc_HwGn7a3p1kGRCJHrafU-lQ_2_8"/>
      <w:bookmarkStart w:id="177" w:name="Tc_gvOcgQBpHkuFK-EnN0sSJQ_2_2"/>
      <w:bookmarkStart w:id="178" w:name="Tc_bqMe-aTBsECWrsc2n1geAg_1_8"/>
      <w:bookmarkStart w:id="179" w:name="Tc_6FhIbWXa4ka_SygNKSryDA_1_2"/>
      <w:bookmarkStart w:id="180" w:name="_27f4abe9_6cf8_486a_b066_c8b756ce667b"/>
      <w:bookmarkStart w:id="181" w:name="_2588ab24_cc7a_4032_b34b_4756242da2f0"/>
      <w:bookmarkStart w:id="182" w:name="Tc_-8uzzXwkQkynIWeiV1us7w_28_0"/>
      <w:bookmarkStart w:id="183" w:name="Tc_o45IctZN202LJABz8ttIuQ_27_0"/>
      <w:bookmarkStart w:id="184" w:name="Tc_PX5_XCG3QkyG35DjnyG-Ww_26_0"/>
      <w:bookmarkStart w:id="185" w:name="Tc_TlVkoX3uaU-OP23LRFEvGg_24_11"/>
      <w:bookmarkStart w:id="186" w:name="Tc_TCXs4x3F-ESEn6gRYVzFYA_24_8"/>
      <w:bookmarkStart w:id="187" w:name="Tc_TCXL1kyC5U6eMbFmqOvEgg_24_5"/>
      <w:bookmarkStart w:id="188" w:name="Tc_f4VsykVFiU2PKCKbp3uh6w_24_2"/>
      <w:bookmarkStart w:id="189" w:name="Tc_Xr6mi2OVsUes4GTuzn8UaA_24_0"/>
      <w:bookmarkStart w:id="190" w:name="Tc_Er9bRNTxTEWMbTGR6IVTaQ_23_11"/>
      <w:bookmarkStart w:id="191" w:name="Tc__H8JVD288UKpMNR2pXzfqw_23_9"/>
      <w:bookmarkStart w:id="192" w:name="Tc_Y-e3Gv9XvkqTJXx19MYEBA_23_8"/>
      <w:bookmarkStart w:id="193" w:name="Tc_lAzM5Ugov0CliGq6UgeCbw_23_5"/>
      <w:bookmarkStart w:id="194" w:name="Tc_VqhNBK5alUOKnbX2xlgoPw_23_3"/>
      <w:bookmarkStart w:id="195" w:name="Tc_MGHJ5Ba96USScrgV6ckCoQ_23_2"/>
      <w:bookmarkStart w:id="196" w:name="Tc_HR1slj7-5Uqflsco7oKH_Q_23_0"/>
      <w:bookmarkStart w:id="197" w:name="Tc_r_Udmb7WO0-55tTv7XZAvg_22_11"/>
      <w:bookmarkStart w:id="198" w:name="Tc_1EqtzTE1pUeMlVCELUpLdw_22_8"/>
      <w:bookmarkStart w:id="199" w:name="Tc_KTIbM00OA0mC89GqLE2afw_22_5"/>
      <w:bookmarkStart w:id="200" w:name="Tc_K9T8MZBspUmj-_RgaBnFbQ_22_2"/>
      <w:bookmarkStart w:id="201" w:name="Tc_tBNUUsCNB0W2t1bVl3ukjg_22_0"/>
      <w:bookmarkStart w:id="202" w:name="Tc_Y9l_iiBTBUWk6AxEl2qaew_21_0"/>
      <w:bookmarkStart w:id="203" w:name="Tc_x24vZ_DwaUyLStfM1bK5Rg_19_11"/>
      <w:bookmarkStart w:id="204" w:name="Tc_U8IBhbXkb0GjiCiqUyEYZQ_19_8"/>
      <w:bookmarkStart w:id="205" w:name="Tc_EHejlSlVYEG9l6Y0oElNmA_19_5"/>
      <w:bookmarkStart w:id="206" w:name="Tc_sLkBItg9XUapRjIJkGhAAA_19_2"/>
      <w:bookmarkStart w:id="207" w:name="Tc_wS2DotWbhUOGXSNxbdXEQg_19_0"/>
      <w:bookmarkStart w:id="208" w:name="Tc_7y4N5nHKtUmnb-peY2N07w_18_9"/>
      <w:bookmarkStart w:id="209" w:name="Tc_97dBTDSgY0StVj2X3pGz9A_18_3"/>
      <w:bookmarkStart w:id="210" w:name="Tc_DlESM1f5-kSglCRTAKz9pA_18_0"/>
      <w:bookmarkStart w:id="211" w:name="Tc_dwo1bmgZQU-MfMJVQ5MsIQ_17_9"/>
      <w:bookmarkStart w:id="212" w:name="Tc_XHBZDfTt_0KiHQIUq49Rqg_17_3"/>
      <w:bookmarkStart w:id="213" w:name="Tc_yeI4gPyQrUe6kLcXC-zVLQ_17_0"/>
      <w:bookmarkStart w:id="214" w:name="Tc_RjtpDmHZlEW9SfwYq0YBcA_16_9"/>
      <w:bookmarkStart w:id="215" w:name="Tc_KsOUtCZ0qkG1gXVJ0gt50Q_16_3"/>
      <w:bookmarkStart w:id="216" w:name="Tc__Gt47VtBLkWgY2Es3c1zsg_16_0"/>
      <w:bookmarkStart w:id="217" w:name="Tc_7i3LYceTfUO2PGsdqB7N1g_15_0"/>
      <w:bookmarkStart w:id="218" w:name="Tc_rRjh9f8nmUGSQAcJv_NrJw_14_0"/>
      <w:bookmarkStart w:id="219" w:name="Tc_RljzU-ugs0ile3MsNVk-4A_13_0"/>
      <w:bookmarkStart w:id="220" w:name="Tc_8PCA02EN-keN6zox7b0f_w_12_0"/>
      <w:bookmarkStart w:id="221" w:name="Tc_Ku6-QaaYX0elv2ThxtJwFA_11_0"/>
      <w:bookmarkStart w:id="222" w:name="Tc_EyBt8N1l6kSaInflIhXOMw_10_0"/>
      <w:bookmarkStart w:id="223" w:name="Tc_ONedqrfnbkGL-5ba4LwaFg_9_0"/>
      <w:bookmarkStart w:id="224" w:name="Tc_3N0UN1-vj0OqijoMK-C8QA_8_0"/>
      <w:bookmarkStart w:id="225" w:name="Tc_Kf4Lg6E760OPhHPgNg4lYQ_7_0"/>
      <w:bookmarkStart w:id="226" w:name="Tc_WCXvQzdAcUaWD5Nq5NWBLw_6_0"/>
      <w:bookmarkStart w:id="227" w:name="Tc_yBBjXy8J6kmXKQkdftkiew_5_11"/>
      <w:bookmarkStart w:id="228" w:name="Tc_I1FTbAXtDEGuF-QXjNbjEA_5_8"/>
      <w:bookmarkStart w:id="229" w:name="Tc_UjF3bPITSkCQ70QeGJhJVQ_5_5"/>
      <w:bookmarkStart w:id="230" w:name="Tc_IMo351y6gkChpowk5REnHQ_5_2"/>
      <w:bookmarkStart w:id="231" w:name="Tc_1dVu1Q_R6kSecqhX7jyO8w_5_0"/>
      <w:bookmarkStart w:id="232" w:name="Tc_SiDS5LjKmUO9-KfIPBarJw_4_0"/>
      <w:bookmarkStart w:id="233" w:name="Tc_HPYtsuG3jEuZTMBQzWfp3g_3_11"/>
      <w:bookmarkStart w:id="234" w:name="Tc_tU6lARfzWUy10nmm6IkUsg_3_8"/>
      <w:bookmarkStart w:id="235" w:name="Tc_88QJjABx7kKMdElaBVphVw_3_5"/>
      <w:bookmarkStart w:id="236" w:name="Tc_aBDNU_XagUCmZOAI4z1eFw_3_2"/>
      <w:bookmarkStart w:id="237" w:name="Tc_HwGn7a3p1kGRCJHrafU-lQ_2_8"/>
      <w:bookmarkStart w:id="238" w:name="Tc_gvOcgQBpHkuFK-EnN0sSJQ_2_2"/>
      <w:bookmarkStart w:id="239" w:name="Tc_bqMe-aTBsECWrsc2n1geAg_1_8"/>
      <w:bookmarkStart w:id="240" w:name="Tc_6FhIbWXa4ka_SygNKSryDA_1_2"/>
      <w:bookmarkStart w:id="241" w:name="_27f4abe9_6cf8_486a_b066_c8b756ce667b"/>
      <w:bookmarkStart w:id="242" w:name="_2588ab24_cc7a_4032_b34b_4756242da2f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tbl>
      <w:tblPr>
        <w:tblW w:w="10205" w:type="dxa"/>
        <w:jc w:val="left"/>
        <w:tblInd w:w="0" w:type="dxa"/>
        <w:tblLayout w:type="fixed"/>
        <w:tblCellMar>
          <w:top w:w="0" w:type="dxa"/>
          <w:left w:w="0" w:type="dxa"/>
          <w:bottom w:w="0" w:type="dxa"/>
          <w:right w:w="0" w:type="dxa"/>
        </w:tblCellMar>
      </w:tblPr>
      <w:tblGrid>
        <w:gridCol w:w="3879"/>
        <w:gridCol w:w="326"/>
        <w:gridCol w:w="211"/>
        <w:gridCol w:w="1029"/>
        <w:gridCol w:w="326"/>
        <w:gridCol w:w="211"/>
        <w:gridCol w:w="1029"/>
        <w:gridCol w:w="326"/>
        <w:gridCol w:w="211"/>
        <w:gridCol w:w="1029"/>
        <w:gridCol w:w="326"/>
        <w:gridCol w:w="211"/>
        <w:gridCol w:w="1091"/>
      </w:tblGrid>
      <w:tr>
        <w:trPr/>
        <w:tc>
          <w:tcPr>
            <w:tcW w:w="3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63165" cy="175260"/>
                      <wp:effectExtent l="0" t="0" r="0" b="0"/>
                      <wp:wrapNone/>
                      <wp:docPr id="12" name="Frame11"/>
                      <a:graphic xmlns:a="http://schemas.openxmlformats.org/drawingml/2006/main">
                        <a:graphicData uri="http://schemas.microsoft.com/office/word/2010/wordprocessingShape">
                          <wps:wsp>
                            <wps:cNvSpPr txBox="1"/>
                            <wps:spPr>
                              <a:xfrm>
                                <a:off x="0" y="0"/>
                                <a:ext cx="24631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3415" cy="175260"/>
                      <wp:effectExtent l="0" t="0" r="0" b="0"/>
                      <wp:wrapNone/>
                      <wp:docPr id="15" name="Frame14"/>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3415" cy="175260"/>
                      <wp:effectExtent l="0" t="0" r="0" b="0"/>
                      <wp:wrapNone/>
                      <wp:docPr id="18" name="Frame17"/>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3415" cy="175260"/>
                      <wp:effectExtent l="0" t="0" r="0" b="0"/>
                      <wp:wrapNone/>
                      <wp:docPr id="21" name="Frame20"/>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785" cy="175260"/>
                      <wp:effectExtent l="0" t="0" r="0" b="0"/>
                      <wp:wrapNone/>
                      <wp:docPr id="24" name="Frame23"/>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87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0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both"/>
              <w:rPr/>
            </w:pPr>
            <w:r>
              <w:rPr/>
              <w:t> </w:t>
            </w:r>
          </w:p>
        </w:tc>
        <w:tc>
          <w:tcPr>
            <w:tcW w:w="286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87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0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28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7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3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1" w:type="dxa"/>
            <w:tcBorders/>
            <w:shd w:fill="CCEEFF" w:val="clear"/>
            <w:vAlign w:val="center"/>
          </w:tcPr>
          <w:p>
            <w:pPr>
              <w:pStyle w:val="TableContents"/>
              <w:bidi w:val="0"/>
              <w:spacing w:before="0" w:after="1"/>
              <w:ind w:left="0" w:right="0" w:hanging="0"/>
              <w:jc w:val="both"/>
              <w:rPr/>
            </w:pPr>
            <w:r>
              <w:rPr/>
              <w:t>​</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1,169,236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762,658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2,413,297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1,996,995</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1,169,236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762,658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2,413,297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1,996,995</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1" w:type="dxa"/>
            <w:tcBorders/>
            <w:vAlign w:val="center"/>
          </w:tcPr>
          <w:p>
            <w:pPr>
              <w:pStyle w:val="TableContents"/>
              <w:bidi w:val="0"/>
              <w:spacing w:before="0" w:after="1"/>
              <w:ind w:left="0" w:right="0" w:hanging="0"/>
              <w:jc w:val="both"/>
              <w:rPr/>
            </w:pPr>
            <w:r>
              <w:rPr/>
              <w:t>​</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2,335,430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2,377,993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4,910,446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5,754,492</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1,141,871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2,518,725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2,359,934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4,686,044</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3,477,301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4,896,718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7,270,380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10,440,536</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(2,308,065)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(4,134,060)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(4,857,083)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(8,443,541)</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1" w:type="dxa"/>
            <w:tcBorders/>
            <w:shd w:fill="CCEEFF" w:val="clear"/>
            <w:vAlign w:val="center"/>
          </w:tcPr>
          <w:p>
            <w:pPr>
              <w:pStyle w:val="TableContents"/>
              <w:bidi w:val="0"/>
              <w:spacing w:before="0" w:after="1"/>
              <w:ind w:left="0" w:right="0" w:hanging="0"/>
              <w:jc w:val="right"/>
              <w:rPr/>
            </w:pPr>
            <w:r>
              <w:rPr/>
              <w:t>​</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115,388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271,584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119,734</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(2,192,677)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(4,098,980)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(4,585,499)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(8,323,807)</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1" w:type="dxa"/>
            <w:tcBorders/>
            <w:vAlign w:val="center"/>
          </w:tcPr>
          <w:p>
            <w:pPr>
              <w:pStyle w:val="TableContents"/>
              <w:bidi w:val="0"/>
              <w:spacing w:before="0" w:after="1"/>
              <w:ind w:left="0" w:right="0" w:hanging="0"/>
              <w:jc w:val="both"/>
              <w:rPr/>
            </w:pPr>
            <w:r>
              <w:rPr/>
              <w:t>​</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 net of tax</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(2,179,657)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(2,922,406)</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Gain on disposal of discontinued operations before income taxes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8,794,426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8,794,426</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from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6,614,769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5,872,020</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(2,192,677)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2,515,789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(4,585,499)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(2,451,787)</w:t>
            </w:r>
          </w:p>
        </w:tc>
      </w:tr>
      <w:tr>
        <w:trPr/>
        <w:tc>
          <w:tcPr>
            <w:tcW w:w="3879"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1" w:type="dxa"/>
            <w:tcBorders/>
            <w:shd w:fill="CCEEFF" w:val="clear"/>
            <w:vAlign w:val="center"/>
          </w:tcPr>
          <w:p>
            <w:pPr>
              <w:pStyle w:val="TableContents"/>
              <w:bidi w:val="0"/>
              <w:spacing w:before="0" w:after="1"/>
              <w:ind w:left="0" w:right="0" w:hanging="0"/>
              <w:jc w:val="right"/>
              <w:rPr/>
            </w:pPr>
            <w:r>
              <w:rPr/>
              <w:t>​</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earnings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1" w:type="dxa"/>
            <w:tcBorders/>
            <w:vAlign w:val="center"/>
          </w:tcPr>
          <w:p>
            <w:pPr>
              <w:pStyle w:val="TableContents"/>
              <w:bidi w:val="0"/>
              <w:spacing w:before="0" w:after="1"/>
              <w:ind w:left="0" w:right="0" w:hanging="0"/>
              <w:jc w:val="right"/>
              <w:rPr/>
            </w:pPr>
            <w:r>
              <w:rPr/>
              <w:t>​</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(0.95)</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from discontinued operations, basic and 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earnings per share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r>
      <w:tr>
        <w:trPr/>
        <w:tc>
          <w:tcPr>
            <w:tcW w:w="387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1" w:type="dxa"/>
            <w:tcBorders/>
            <w:vAlign w:val="center"/>
          </w:tcPr>
          <w:p>
            <w:pPr>
              <w:pStyle w:val="TableContents"/>
              <w:bidi w:val="0"/>
              <w:spacing w:before="0" w:after="1"/>
              <w:ind w:left="0" w:right="0" w:hanging="0"/>
              <w:jc w:val="right"/>
              <w:rPr/>
            </w:pPr>
            <w:r>
              <w:rPr/>
              <w:t>​</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1" w:type="dxa"/>
            <w:tcBorders/>
            <w:shd w:fill="CCEEFF" w:val="clear"/>
            <w:vAlign w:val="center"/>
          </w:tcPr>
          <w:p>
            <w:pPr>
              <w:pStyle w:val="TableContents"/>
              <w:bidi w:val="0"/>
              <w:spacing w:before="0" w:after="1"/>
              <w:ind w:left="0" w:right="0" w:hanging="0"/>
              <w:jc w:val="right"/>
              <w:rPr/>
            </w:pPr>
            <w:r>
              <w:rPr/>
              <w:t>​</w:t>
            </w:r>
          </w:p>
        </w:tc>
      </w:tr>
      <w:tr>
        <w:trPr/>
        <w:tc>
          <w:tcPr>
            <w:tcW w:w="38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8,918,233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8,798,956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8,910,097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8,760,209</w:t>
            </w:r>
          </w:p>
        </w:tc>
      </w:tr>
      <w:tr>
        <w:trPr/>
        <w:tc>
          <w:tcPr>
            <w:tcW w:w="38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8,918,233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8,798,956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8,910,097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8,760,209</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243" w:name="_4dd4eb8b_69c7_4208_9a41_edc3c704bc34"/>
      <w:bookmarkEnd w:id="24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44" w:name="CONDENSEDCONSOLIDATEDSTATEMENTSOFSTOCKHO"/>
      <w:bookmarkEnd w:id="244"/>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45" w:name="Tc_kIY-stRnCkC9w9mLujd-JA_10_13"/>
      <w:bookmarkStart w:id="246" w:name="Tc_gGZXx4U50ES6KQDkugjKxg_10_10"/>
      <w:bookmarkStart w:id="247" w:name="Tc_ndsr1H8nlU2_b18m740p2g_10_7"/>
      <w:bookmarkStart w:id="248" w:name="Tc_C4Nao2OCOEa6K8gS0eU03Q_10_4"/>
      <w:bookmarkStart w:id="249" w:name="Tc_SilWS-PaZUyGuwq1vAMluw_10_0"/>
      <w:bookmarkStart w:id="250" w:name="Tc_z4QKic1LvkG51tYOgZ0Qig_9_8"/>
      <w:bookmarkStart w:id="251" w:name="Tc_yspj5ZSn8ky0rM9Hst6Q_g_9_5"/>
      <w:bookmarkStart w:id="252" w:name="Tc_1r45ZiqaGkaR3Cm4JlnGAw_9_2"/>
      <w:bookmarkStart w:id="253" w:name="Tc_V1gL6bRPhEWyXWLx0fnxIA_9_0"/>
      <w:bookmarkStart w:id="254" w:name="Tc_Ddp6LC4ehUqptUTMkcNSyw_8_11"/>
      <w:bookmarkStart w:id="255" w:name="Tc_RvyaJ0SSv0WCfukcBDFr4g_8_5"/>
      <w:bookmarkStart w:id="256" w:name="Tc_oFDNp1ZjfUS_OqWdqw-1aA_8_2"/>
      <w:bookmarkStart w:id="257" w:name="Tc_0FLpH6UA1k63ZiZx4CTcKw_8_0"/>
      <w:bookmarkStart w:id="258" w:name="Tc_ZMM0Q8H-Pki2JfQKzzwtRA_7_11"/>
      <w:bookmarkStart w:id="259" w:name="Tc_ynlERvmQy0Szb0fwG-Hh6Q_7_0"/>
      <w:bookmarkStart w:id="260" w:name="Tc_IrZJpFm4fUK61jpNPJQZbw_6_11"/>
      <w:bookmarkStart w:id="261" w:name="Tc_xPtcAMgU_0uciDsnUalXUw_6_0"/>
      <w:bookmarkStart w:id="262" w:name="Tc_FqU6lSrbPEKmZ9c-2HVgew_5_13"/>
      <w:bookmarkStart w:id="263" w:name="Tc_9iBAeeXk-kqvUF8nj8lOUw_5_10"/>
      <w:bookmarkStart w:id="264" w:name="Tc_dawaPvEGdEiTfxu-scxhPg_5_7"/>
      <w:bookmarkStart w:id="265" w:name="Tc_G0nu3ghWu0Gy9xNXOLrtLQ_5_4"/>
      <w:bookmarkStart w:id="266" w:name="Tc_z5zTKa2Wg0-zQuFTAt4JZQ_5_0"/>
      <w:bookmarkStart w:id="267" w:name="Tc_h7UDYq3N8UyNNa-d3ehxBg_4_13"/>
      <w:bookmarkStart w:id="268" w:name="Tc_2nCqMiSPykCQ1lPMoH9q4Q_4_10"/>
      <w:bookmarkStart w:id="269" w:name="Tc_Xic5fOu57keKgs3sLS_ULA_4_7"/>
      <w:bookmarkStart w:id="270" w:name="Tc_QadEDgj5qEmk8QhySn6NOQ_4_4"/>
      <w:bookmarkStart w:id="271" w:name="Tc_mXSdMZGi30azZuia3xjYeQ_4_2"/>
      <w:bookmarkStart w:id="272" w:name="Tc_SZtyuWCdakGMBGs2eLotYw_3_13"/>
      <w:bookmarkStart w:id="273" w:name="Tc_rrEeXUO2606oel8Uzbda8A_3_10"/>
      <w:bookmarkStart w:id="274" w:name="Tc__bHyVuAdxE-E1zCV7OugKw_3_7"/>
      <w:bookmarkStart w:id="275" w:name="Tc_TJc6RnnK30Ov9XUnOoPptA_3_2"/>
      <w:bookmarkStart w:id="276" w:name="Tc_85DwtidJLUKRkl43O7VQ8Q_2_13"/>
      <w:bookmarkStart w:id="277" w:name="Tc_3jlZ3vMwc0q_BBB0d1vBDQ_1_2"/>
      <w:bookmarkStart w:id="278" w:name="_54c1946e_d944_416e_89a0_b6e5afed3a82"/>
      <w:bookmarkStart w:id="279" w:name="Tc_kIY-stRnCkC9w9mLujd-JA_10_13"/>
      <w:bookmarkStart w:id="280" w:name="Tc_gGZXx4U50ES6KQDkugjKxg_10_10"/>
      <w:bookmarkStart w:id="281" w:name="Tc_ndsr1H8nlU2_b18m740p2g_10_7"/>
      <w:bookmarkStart w:id="282" w:name="Tc_C4Nao2OCOEa6K8gS0eU03Q_10_4"/>
      <w:bookmarkStart w:id="283" w:name="Tc_SilWS-PaZUyGuwq1vAMluw_10_0"/>
      <w:bookmarkStart w:id="284" w:name="Tc_z4QKic1LvkG51tYOgZ0Qig_9_8"/>
      <w:bookmarkStart w:id="285" w:name="Tc_yspj5ZSn8ky0rM9Hst6Q_g_9_5"/>
      <w:bookmarkStart w:id="286" w:name="Tc_1r45ZiqaGkaR3Cm4JlnGAw_9_2"/>
      <w:bookmarkStart w:id="287" w:name="Tc_V1gL6bRPhEWyXWLx0fnxIA_9_0"/>
      <w:bookmarkStart w:id="288" w:name="Tc_Ddp6LC4ehUqptUTMkcNSyw_8_11"/>
      <w:bookmarkStart w:id="289" w:name="Tc_RvyaJ0SSv0WCfukcBDFr4g_8_5"/>
      <w:bookmarkStart w:id="290" w:name="Tc_oFDNp1ZjfUS_OqWdqw-1aA_8_2"/>
      <w:bookmarkStart w:id="291" w:name="Tc_0FLpH6UA1k63ZiZx4CTcKw_8_0"/>
      <w:bookmarkStart w:id="292" w:name="Tc_ZMM0Q8H-Pki2JfQKzzwtRA_7_11"/>
      <w:bookmarkStart w:id="293" w:name="Tc_ynlERvmQy0Szb0fwG-Hh6Q_7_0"/>
      <w:bookmarkStart w:id="294" w:name="Tc_IrZJpFm4fUK61jpNPJQZbw_6_11"/>
      <w:bookmarkStart w:id="295" w:name="Tc_xPtcAMgU_0uciDsnUalXUw_6_0"/>
      <w:bookmarkStart w:id="296" w:name="Tc_FqU6lSrbPEKmZ9c-2HVgew_5_13"/>
      <w:bookmarkStart w:id="297" w:name="Tc_9iBAeeXk-kqvUF8nj8lOUw_5_10"/>
      <w:bookmarkStart w:id="298" w:name="Tc_dawaPvEGdEiTfxu-scxhPg_5_7"/>
      <w:bookmarkStart w:id="299" w:name="Tc_G0nu3ghWu0Gy9xNXOLrtLQ_5_4"/>
      <w:bookmarkStart w:id="300" w:name="Tc_z5zTKa2Wg0-zQuFTAt4JZQ_5_0"/>
      <w:bookmarkStart w:id="301" w:name="Tc_h7UDYq3N8UyNNa-d3ehxBg_4_13"/>
      <w:bookmarkStart w:id="302" w:name="Tc_2nCqMiSPykCQ1lPMoH9q4Q_4_10"/>
      <w:bookmarkStart w:id="303" w:name="Tc_Xic5fOu57keKgs3sLS_ULA_4_7"/>
      <w:bookmarkStart w:id="304" w:name="Tc_QadEDgj5qEmk8QhySn6NOQ_4_4"/>
      <w:bookmarkStart w:id="305" w:name="Tc_mXSdMZGi30azZuia3xjYeQ_4_2"/>
      <w:bookmarkStart w:id="306" w:name="Tc_SZtyuWCdakGMBGs2eLotYw_3_13"/>
      <w:bookmarkStart w:id="307" w:name="Tc_rrEeXUO2606oel8Uzbda8A_3_10"/>
      <w:bookmarkStart w:id="308" w:name="Tc__bHyVuAdxE-E1zCV7OugKw_3_7"/>
      <w:bookmarkStart w:id="309" w:name="Tc_TJc6RnnK30Ov9XUnOoPptA_3_2"/>
      <w:bookmarkStart w:id="310" w:name="Tc_85DwtidJLUKRkl43O7VQ8Q_2_13"/>
      <w:bookmarkStart w:id="311" w:name="Tc_3jlZ3vMwc0q_BBB0d1vBDQ_1_2"/>
      <w:bookmarkStart w:id="312" w:name="_54c1946e_d944_416e_89a0_b6e5afed3a82"/>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tbl>
      <w:tblPr>
        <w:tblW w:w="10205" w:type="dxa"/>
        <w:jc w:val="left"/>
        <w:tblInd w:w="0" w:type="dxa"/>
        <w:tblLayout w:type="fixed"/>
        <w:tblCellMar>
          <w:top w:w="0" w:type="dxa"/>
          <w:left w:w="0" w:type="dxa"/>
          <w:bottom w:w="0" w:type="dxa"/>
          <w:right w:w="0" w:type="dxa"/>
        </w:tblCellMar>
      </w:tblPr>
      <w:tblGrid>
        <w:gridCol w:w="2745"/>
        <w:gridCol w:w="326"/>
        <w:gridCol w:w="931"/>
        <w:gridCol w:w="326"/>
        <w:gridCol w:w="218"/>
        <w:gridCol w:w="593"/>
        <w:gridCol w:w="326"/>
        <w:gridCol w:w="211"/>
        <w:gridCol w:w="1141"/>
        <w:gridCol w:w="326"/>
        <w:gridCol w:w="211"/>
        <w:gridCol w:w="1226"/>
        <w:gridCol w:w="326"/>
        <w:gridCol w:w="211"/>
        <w:gridCol w:w="1088"/>
      </w:tblGrid>
      <w:tr>
        <w:trPr/>
        <w:tc>
          <w:tcPr>
            <w:tcW w:w="2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743075" cy="175260"/>
                      <wp:effectExtent l="0" t="0" r="0" b="0"/>
                      <wp:wrapNone/>
                      <wp:docPr id="25" name="Frame24"/>
                      <a:graphic xmlns:a="http://schemas.openxmlformats.org/drawingml/2006/main">
                        <a:graphicData uri="http://schemas.microsoft.com/office/word/2010/wordprocessingShape">
                          <wps:wsp>
                            <wps:cNvSpPr txBox="1"/>
                            <wps:spPr>
                              <a:xfrm>
                                <a:off x="0" y="0"/>
                                <a:ext cx="17430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91185" cy="175260"/>
                      <wp:effectExtent l="0" t="0" r="0" b="0"/>
                      <wp:wrapNone/>
                      <wp:docPr id="27" name="Frame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8430" cy="175260"/>
                      <wp:effectExtent l="0" t="0" r="0" b="0"/>
                      <wp:wrapNone/>
                      <wp:docPr id="29" name="Frame2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76555" cy="175260"/>
                      <wp:effectExtent l="0" t="0" r="0" b="0"/>
                      <wp:wrapNone/>
                      <wp:docPr id="30" name="Frame29"/>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24535" cy="175260"/>
                      <wp:effectExtent l="0" t="0" r="0" b="0"/>
                      <wp:wrapNone/>
                      <wp:docPr id="33" name="Frame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5"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78510" cy="175260"/>
                      <wp:effectExtent l="0" t="0" r="0" b="0"/>
                      <wp:wrapNone/>
                      <wp:docPr id="36" name="Frame35"/>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0880" cy="175260"/>
                      <wp:effectExtent l="0" t="0" r="0" b="0"/>
                      <wp:wrapNone/>
                      <wp:docPr id="39" name="Frame38"/>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74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13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2024</w:t>
            </w:r>
          </w:p>
        </w:tc>
      </w:tr>
      <w:tr>
        <w:trPr/>
        <w:tc>
          <w:tcPr>
            <w:tcW w:w="274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2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12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4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2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74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w:t>
            </w:r>
          </w:p>
        </w:tc>
        <w:tc>
          <w:tcPr>
            <w:tcW w:w="14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w:t>
            </w:r>
          </w:p>
        </w:tc>
        <w:tc>
          <w:tcPr>
            <w:tcW w:w="12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745"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April 1, 2024</w:t>
            </w:r>
          </w:p>
        </w:tc>
        <w:tc>
          <w:tcPr>
            <w:tcW w:w="326"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8,910,917</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8,910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450,458,009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(438,678,685)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11,788,234</w:t>
            </w:r>
          </w:p>
        </w:tc>
      </w:tr>
      <w:tr>
        <w:trPr/>
        <w:tc>
          <w:tcPr>
            <w:tcW w:w="2745"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Shares purchased pursuant to ATM agreement</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8,178</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36,902</w:t>
            </w:r>
          </w:p>
        </w:tc>
      </w:tr>
      <w:tr>
        <w:trPr/>
        <w:tc>
          <w:tcPr>
            <w:tcW w:w="2745"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from exercise of stock options </w:t>
            </w:r>
          </w:p>
        </w:tc>
        <w:tc>
          <w:tcPr>
            <w:tcW w:w="326"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2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7,704</w:t>
            </w:r>
          </w:p>
        </w:tc>
      </w:tr>
      <w:tr>
        <w:trPr/>
        <w:tc>
          <w:tcPr>
            <w:tcW w:w="2745"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 </w:t>
            </w:r>
          </w:p>
        </w:tc>
        <w:tc>
          <w:tcPr>
            <w:tcW w:w="5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62,601</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2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62,601</w:t>
            </w:r>
          </w:p>
        </w:tc>
      </w:tr>
      <w:tr>
        <w:trPr/>
        <w:tc>
          <w:tcPr>
            <w:tcW w:w="2745"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(2,192,677)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(2,192,677)</w:t>
            </w:r>
          </w:p>
        </w:tc>
      </w:tr>
      <w:tr>
        <w:trPr/>
        <w:tc>
          <w:tcPr>
            <w:tcW w:w="2745"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June 30, 2024</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8,922,695</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8,922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450,565,204</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(440,871,362)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8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9,702,764</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13" w:name="Tc_bVp1dTT-7kyq7bzWngB0CQ_10_13"/>
      <w:bookmarkStart w:id="314" w:name="Tc_auyyw_fDAUaG1ujbvAj6eA_10_10"/>
      <w:bookmarkStart w:id="315" w:name="Tc_1lwROytN40Cn7SephLCVGg_10_7"/>
      <w:bookmarkStart w:id="316" w:name="Tc_75EDJktIuU66sZj7DqltlA_10_4"/>
      <w:bookmarkStart w:id="317" w:name="Tc_LMBLLBpXuUqBzFIMcU8RjQ_10_0"/>
      <w:bookmarkStart w:id="318" w:name="Tc_SJm8soHpFUSy41-8JAfBOg_9_8"/>
      <w:bookmarkStart w:id="319" w:name="Tc_NBFqYwFZh0uUwV0x2fGiDw_9_5"/>
      <w:bookmarkStart w:id="320" w:name="Tc_mjR3ZFbfuUiBnPB-np3MVQ_9_2"/>
      <w:bookmarkStart w:id="321" w:name="Tc_1qRl7ao1n0WszpXqzlkKsA_9_0"/>
      <w:bookmarkStart w:id="322" w:name="Tc_9Uwc2jAezkedhPdpo5aWCg_8_11"/>
      <w:bookmarkStart w:id="323" w:name="Tc_bhJyyvDTeUmLQGogZlVtcA_8_5"/>
      <w:bookmarkStart w:id="324" w:name="Tc_0pZqFonWXEST0JX1XMsKeg_8_2"/>
      <w:bookmarkStart w:id="325" w:name="Tc_zhhBM38koUirakUAriPnOg_8_0"/>
      <w:bookmarkStart w:id="326" w:name="Tc_wpvRjujk3U-6jDmhfdVkaA_7_11"/>
      <w:bookmarkStart w:id="327" w:name="Tc_XIeQSlviP02khD7N0d1YOQ_7_0"/>
      <w:bookmarkStart w:id="328" w:name="Tc_aNb1l_t5n0yOrlLkG6qB0A_6_11"/>
      <w:bookmarkStart w:id="329" w:name="Tc_p3PYhKy43UyFcT00W6UATg_6_0"/>
      <w:bookmarkStart w:id="330" w:name="Tc_btck9DLZP0K5en37ON1uLQ_5_13"/>
      <w:bookmarkStart w:id="331" w:name="Tc_G3COzNF27EGFmsqujobnZg_5_10"/>
      <w:bookmarkStart w:id="332" w:name="Tc_pYSIyZPulUy-EAk3bCbjHQ_5_7"/>
      <w:bookmarkStart w:id="333" w:name="Tc_HdyYwWQZpkOrttVSdQ5kJA_5_4"/>
      <w:bookmarkStart w:id="334" w:name="Tc_xRtSemb9Gk60MpMoa_mXAQ_5_0"/>
      <w:bookmarkStart w:id="335" w:name="Tc_08XzXmYSqU-M4Lxsgkf8mA_4_13"/>
      <w:bookmarkStart w:id="336" w:name="Tc_mk4eOv6XvkObnQ6zmzq3gg_4_10"/>
      <w:bookmarkStart w:id="337" w:name="Tc_S-XglCWlMkeBhYENREc_vA_4_7"/>
      <w:bookmarkStart w:id="338" w:name="Tc_I_v7ZUXVbUqPT9qubAqYwA_4_4"/>
      <w:bookmarkStart w:id="339" w:name="Tc_8oBORVfQ8kqoQkLVt3IGug_4_2"/>
      <w:bookmarkStart w:id="340" w:name="Tc_cpF-BNEAAkmw-7qnMY1KRA_3_13"/>
      <w:bookmarkStart w:id="341" w:name="Tc_vyJ5XUIjsUaMGtQme_RdeA_3_10"/>
      <w:bookmarkStart w:id="342" w:name="Tc_GDrwNtJmRUqQGfVpIqIVKA_3_7"/>
      <w:bookmarkStart w:id="343" w:name="Tc_yVhBmHabWEmzkQleB-TmyQ_3_2"/>
      <w:bookmarkStart w:id="344" w:name="Tc_r8lr9XRYfkuRnKHT2FC0nQ_2_13"/>
      <w:bookmarkStart w:id="345" w:name="Tc_vbDqLIsjlUW7J6FLaZ--gg_1_2"/>
      <w:bookmarkStart w:id="346" w:name="_f0610867_0129_4544_9250_38ab7df2697f"/>
      <w:bookmarkStart w:id="347" w:name="Tc_bVp1dTT-7kyq7bzWngB0CQ_10_13"/>
      <w:bookmarkStart w:id="348" w:name="Tc_auyyw_fDAUaG1ujbvAj6eA_10_10"/>
      <w:bookmarkStart w:id="349" w:name="Tc_1lwROytN40Cn7SephLCVGg_10_7"/>
      <w:bookmarkStart w:id="350" w:name="Tc_75EDJktIuU66sZj7DqltlA_10_4"/>
      <w:bookmarkStart w:id="351" w:name="Tc_LMBLLBpXuUqBzFIMcU8RjQ_10_0"/>
      <w:bookmarkStart w:id="352" w:name="Tc_SJm8soHpFUSy41-8JAfBOg_9_8"/>
      <w:bookmarkStart w:id="353" w:name="Tc_NBFqYwFZh0uUwV0x2fGiDw_9_5"/>
      <w:bookmarkStart w:id="354" w:name="Tc_mjR3ZFbfuUiBnPB-np3MVQ_9_2"/>
      <w:bookmarkStart w:id="355" w:name="Tc_1qRl7ao1n0WszpXqzlkKsA_9_0"/>
      <w:bookmarkStart w:id="356" w:name="Tc_9Uwc2jAezkedhPdpo5aWCg_8_11"/>
      <w:bookmarkStart w:id="357" w:name="Tc_bhJyyvDTeUmLQGogZlVtcA_8_5"/>
      <w:bookmarkStart w:id="358" w:name="Tc_0pZqFonWXEST0JX1XMsKeg_8_2"/>
      <w:bookmarkStart w:id="359" w:name="Tc_zhhBM38koUirakUAriPnOg_8_0"/>
      <w:bookmarkStart w:id="360" w:name="Tc_wpvRjujk3U-6jDmhfdVkaA_7_11"/>
      <w:bookmarkStart w:id="361" w:name="Tc_XIeQSlviP02khD7N0d1YOQ_7_0"/>
      <w:bookmarkStart w:id="362" w:name="Tc_aNb1l_t5n0yOrlLkG6qB0A_6_11"/>
      <w:bookmarkStart w:id="363" w:name="Tc_p3PYhKy43UyFcT00W6UATg_6_0"/>
      <w:bookmarkStart w:id="364" w:name="Tc_btck9DLZP0K5en37ON1uLQ_5_13"/>
      <w:bookmarkStart w:id="365" w:name="Tc_G3COzNF27EGFmsqujobnZg_5_10"/>
      <w:bookmarkStart w:id="366" w:name="Tc_pYSIyZPulUy-EAk3bCbjHQ_5_7"/>
      <w:bookmarkStart w:id="367" w:name="Tc_HdyYwWQZpkOrttVSdQ5kJA_5_4"/>
      <w:bookmarkStart w:id="368" w:name="Tc_xRtSemb9Gk60MpMoa_mXAQ_5_0"/>
      <w:bookmarkStart w:id="369" w:name="Tc_08XzXmYSqU-M4Lxsgkf8mA_4_13"/>
      <w:bookmarkStart w:id="370" w:name="Tc_mk4eOv6XvkObnQ6zmzq3gg_4_10"/>
      <w:bookmarkStart w:id="371" w:name="Tc_S-XglCWlMkeBhYENREc_vA_4_7"/>
      <w:bookmarkStart w:id="372" w:name="Tc_I_v7ZUXVbUqPT9qubAqYwA_4_4"/>
      <w:bookmarkStart w:id="373" w:name="Tc_8oBORVfQ8kqoQkLVt3IGug_4_2"/>
      <w:bookmarkStart w:id="374" w:name="Tc_cpF-BNEAAkmw-7qnMY1KRA_3_13"/>
      <w:bookmarkStart w:id="375" w:name="Tc_vyJ5XUIjsUaMGtQme_RdeA_3_10"/>
      <w:bookmarkStart w:id="376" w:name="Tc_GDrwNtJmRUqQGfVpIqIVKA_3_7"/>
      <w:bookmarkStart w:id="377" w:name="Tc_yVhBmHabWEmzkQleB-TmyQ_3_2"/>
      <w:bookmarkStart w:id="378" w:name="Tc_r8lr9XRYfkuRnKHT2FC0nQ_2_13"/>
      <w:bookmarkStart w:id="379" w:name="Tc_vbDqLIsjlUW7J6FLaZ--gg_1_2"/>
      <w:bookmarkStart w:id="380" w:name="_f0610867_0129_4544_9250_38ab7df2697f"/>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tbl>
      <w:tblPr>
        <w:tblW w:w="10205" w:type="dxa"/>
        <w:jc w:val="left"/>
        <w:tblInd w:w="0" w:type="dxa"/>
        <w:tblLayout w:type="fixed"/>
        <w:tblCellMar>
          <w:top w:w="0" w:type="dxa"/>
          <w:left w:w="0" w:type="dxa"/>
          <w:bottom w:w="0" w:type="dxa"/>
          <w:right w:w="0" w:type="dxa"/>
        </w:tblCellMar>
      </w:tblPr>
      <w:tblGrid>
        <w:gridCol w:w="2744"/>
        <w:gridCol w:w="326"/>
        <w:gridCol w:w="931"/>
        <w:gridCol w:w="326"/>
        <w:gridCol w:w="218"/>
        <w:gridCol w:w="593"/>
        <w:gridCol w:w="326"/>
        <w:gridCol w:w="211"/>
        <w:gridCol w:w="1141"/>
        <w:gridCol w:w="326"/>
        <w:gridCol w:w="211"/>
        <w:gridCol w:w="1226"/>
        <w:gridCol w:w="326"/>
        <w:gridCol w:w="211"/>
        <w:gridCol w:w="1089"/>
      </w:tblGrid>
      <w:tr>
        <w:trPr/>
        <w:tc>
          <w:tcPr>
            <w:tcW w:w="2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42440" cy="175260"/>
                      <wp:effectExtent l="0" t="0" r="0" b="0"/>
                      <wp:wrapNone/>
                      <wp:docPr id="40" name="Frame39"/>
                      <a:graphic xmlns:a="http://schemas.openxmlformats.org/drawingml/2006/main">
                        <a:graphicData uri="http://schemas.microsoft.com/office/word/2010/wordprocessingShape">
                          <wps:wsp>
                            <wps:cNvSpPr txBox="1"/>
                            <wps:spPr>
                              <a:xfrm>
                                <a:off x="0" y="0"/>
                                <a:ext cx="17424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1185" cy="175260"/>
                      <wp:effectExtent l="0" t="0" r="0" b="0"/>
                      <wp:wrapNone/>
                      <wp:docPr id="42" name="Frame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8430" cy="175260"/>
                      <wp:effectExtent l="0" t="0" r="0" b="0"/>
                      <wp:wrapNone/>
                      <wp:docPr id="44" name="Frame4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76555" cy="175260"/>
                      <wp:effectExtent l="0" t="0" r="0" b="0"/>
                      <wp:wrapNone/>
                      <wp:docPr id="45" name="Frame44"/>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4535" cy="175260"/>
                      <wp:effectExtent l="0" t="0" r="0" b="0"/>
                      <wp:wrapNone/>
                      <wp:docPr id="48" name="Frame4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0"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78510" cy="175260"/>
                      <wp:effectExtent l="0" t="0" r="0" b="0"/>
                      <wp:wrapNone/>
                      <wp:docPr id="51" name="Frame50"/>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3"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1515" cy="175260"/>
                      <wp:effectExtent l="0" t="0" r="0" b="0"/>
                      <wp:wrapNone/>
                      <wp:docPr id="54" name="Frame53"/>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7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13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2024</w:t>
            </w:r>
          </w:p>
        </w:tc>
      </w:tr>
      <w:tr>
        <w:trPr/>
        <w:tc>
          <w:tcPr>
            <w:tcW w:w="27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3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4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3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744"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    </w:t>
            </w:r>
          </w:p>
        </w:tc>
        <w:tc>
          <w:tcPr>
            <w:tcW w:w="14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744"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January 1, 2024</w:t>
            </w:r>
          </w:p>
        </w:tc>
        <w:tc>
          <w:tcPr>
            <w:tcW w:w="326"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8,891,420</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8,891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450,329,515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(436,285,863)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14,052,543</w:t>
            </w:r>
          </w:p>
        </w:tc>
      </w:tr>
      <w:tr>
        <w:trPr/>
        <w:tc>
          <w:tcPr>
            <w:tcW w:w="274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Shares purchased pursuant to ATM agreement</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8,178</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36,894</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36,902</w:t>
            </w:r>
          </w:p>
        </w:tc>
      </w:tr>
      <w:tr>
        <w:trPr/>
        <w:tc>
          <w:tcPr>
            <w:tcW w:w="2744"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from exercise of stock options</w:t>
            </w:r>
          </w:p>
        </w:tc>
        <w:tc>
          <w:tcPr>
            <w:tcW w:w="326"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23,097</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56,777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2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56,800</w:t>
            </w:r>
          </w:p>
        </w:tc>
      </w:tr>
      <w:tr>
        <w:trPr/>
        <w:tc>
          <w:tcPr>
            <w:tcW w:w="2744"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142,018</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142,018</w:t>
            </w:r>
          </w:p>
        </w:tc>
      </w:tr>
      <w:tr>
        <w:trPr/>
        <w:tc>
          <w:tcPr>
            <w:tcW w:w="2744"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loss </w:t>
            </w:r>
          </w:p>
        </w:tc>
        <w:tc>
          <w:tcPr>
            <w:tcW w:w="326" w:type="dxa"/>
            <w:tcBorders/>
            <w:shd w:fill="CCEEFF" w:val="clear"/>
            <w:vAlign w:val="center"/>
          </w:tcPr>
          <w:p>
            <w:pPr>
              <w:pStyle w:val="TableContents"/>
              <w:bidi w:val="0"/>
              <w:spacing w:before="0" w:after="0"/>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(4,585,499)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(4,585,499)</w:t>
            </w:r>
          </w:p>
        </w:tc>
      </w:tr>
      <w:tr>
        <w:trPr/>
        <w:tc>
          <w:tcPr>
            <w:tcW w:w="2744"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June 30, 2024</w:t>
            </w:r>
          </w:p>
        </w:tc>
        <w:tc>
          <w:tcPr>
            <w:tcW w:w="326" w:type="dxa"/>
            <w:tcBorders/>
            <w:vAlign w:val="center"/>
          </w:tcPr>
          <w:p>
            <w:pPr>
              <w:pStyle w:val="TableContents"/>
              <w:bidi w:val="0"/>
              <w:spacing w:before="0" w:after="0"/>
              <w:ind w:left="0" w:right="0" w:hanging="0"/>
              <w:jc w:val="both"/>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8,922,695</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8,922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450,565,204</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(440,871,362)</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8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9,702,764</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81" w:name="Tc_xq8VDGNY5EW60CQ2_wcGng_9_13"/>
      <w:bookmarkStart w:id="382" w:name="Tc_DL-6sYfhPk6NXlAxszoyOA_9_10"/>
      <w:bookmarkStart w:id="383" w:name="Tc_7yKVdN6fZESkaA5JJDyLbQ_9_7"/>
      <w:bookmarkStart w:id="384" w:name="Tc_nBk2RE84o0aP3FYK_ui61Q_9_4"/>
      <w:bookmarkStart w:id="385" w:name="Tc_s_G4yZEm-ku7n5Y4pfQSXA_9_0"/>
      <w:bookmarkStart w:id="386" w:name="Tc_o3Y_gORjb0mAgu1D4XRypw_8_8"/>
      <w:bookmarkStart w:id="387" w:name="Tc_oTuGkZ_z_U2eN9euEWTbpw_8_5"/>
      <w:bookmarkStart w:id="388" w:name="Tc_6ntlBRdo-kWRziDzhWgC9w_8_2"/>
      <w:bookmarkStart w:id="389" w:name="Tc_fqzHJBEfIEeFdEydP9eBzw_8_0"/>
      <w:bookmarkStart w:id="390" w:name="Tc_RSIln6bo3EqQQb1SaD8bBw_7_11"/>
      <w:bookmarkStart w:id="391" w:name="Tc_azxaaD1fqUyU3OgqZpqLWA_7_5"/>
      <w:bookmarkStart w:id="392" w:name="Tc_Fgt3WAO1T0-Z8f0pEoPEzQ_7_2"/>
      <w:bookmarkStart w:id="393" w:name="Tc_8ZXEuJgarUKY1WvwqM_Mmw_7_0"/>
      <w:bookmarkStart w:id="394" w:name="Tc_gwCc1vmDHUCMlNe3n9uTKQ_6_11"/>
      <w:bookmarkStart w:id="395" w:name="Tc_v6_Yvtz6i0KbxuJJXzy-fA_6_5"/>
      <w:bookmarkStart w:id="396" w:name="Tc_nElioK-ONEC4-igeq9QY5g_6_0"/>
      <w:bookmarkStart w:id="397" w:name="Tc_kDg_94LpLkauXxK1lFMbcQ_5_13"/>
      <w:bookmarkStart w:id="398" w:name="Tc_fehW2YafyE61Op7agh5ADg_5_10"/>
      <w:bookmarkStart w:id="399" w:name="Tc_iejMLRffIkagahD8Gh-IOA_5_7"/>
      <w:bookmarkStart w:id="400" w:name="Tc_Gr4sGDWA-kSgzdTHY2xm5g_5_4"/>
      <w:bookmarkStart w:id="401" w:name="Tc_BgIX3U7JcUOcBZAtoxHH0A_5_0"/>
      <w:bookmarkStart w:id="402" w:name="Tc_erWlNj9R-0WncojwJ1TuTQ_4_13"/>
      <w:bookmarkStart w:id="403" w:name="Tc_XP22XeVljE-7CUuqg7BkJw_4_10"/>
      <w:bookmarkStart w:id="404" w:name="Tc_UuwjYntP_UmWH5NIxp6aeA_4_7"/>
      <w:bookmarkStart w:id="405" w:name="Tc_hKAjIvvgxkuBCLtW1jr4eA_4_4"/>
      <w:bookmarkStart w:id="406" w:name="Tc_VKiGz6Djgk6d708PsDLtEA_4_2"/>
      <w:bookmarkStart w:id="407" w:name="Tc_1qy5DYSkl0Sviel2gsf8Uw_3_13"/>
      <w:bookmarkStart w:id="408" w:name="Tc_d1-duN4bdUqavjjdhhB_sw_3_10"/>
      <w:bookmarkStart w:id="409" w:name="Tc_5I3WN0WC8U6s7Mp0mFfoZA_3_7"/>
      <w:bookmarkStart w:id="410" w:name="Tc_N2x5vfTSyUG2f1SkYPAyRg_3_2"/>
      <w:bookmarkStart w:id="411" w:name="Tc_dKgLYxDviEejb3jkzhB_qQ_2_13"/>
      <w:bookmarkStart w:id="412" w:name="Tc_UU4ifUFSUUKmjhtX1BqM9Q_1_2"/>
      <w:bookmarkStart w:id="413" w:name="_25d22a06_dbaa_4860_b23d_1ffc625d8f6e"/>
      <w:bookmarkStart w:id="414" w:name="Tc_xq8VDGNY5EW60CQ2_wcGng_9_13"/>
      <w:bookmarkStart w:id="415" w:name="Tc_DL-6sYfhPk6NXlAxszoyOA_9_10"/>
      <w:bookmarkStart w:id="416" w:name="Tc_7yKVdN6fZESkaA5JJDyLbQ_9_7"/>
      <w:bookmarkStart w:id="417" w:name="Tc_nBk2RE84o0aP3FYK_ui61Q_9_4"/>
      <w:bookmarkStart w:id="418" w:name="Tc_s_G4yZEm-ku7n5Y4pfQSXA_9_0"/>
      <w:bookmarkStart w:id="419" w:name="Tc_o3Y_gORjb0mAgu1D4XRypw_8_8"/>
      <w:bookmarkStart w:id="420" w:name="Tc_oTuGkZ_z_U2eN9euEWTbpw_8_5"/>
      <w:bookmarkStart w:id="421" w:name="Tc_6ntlBRdo-kWRziDzhWgC9w_8_2"/>
      <w:bookmarkStart w:id="422" w:name="Tc_fqzHJBEfIEeFdEydP9eBzw_8_0"/>
      <w:bookmarkStart w:id="423" w:name="Tc_RSIln6bo3EqQQb1SaD8bBw_7_11"/>
      <w:bookmarkStart w:id="424" w:name="Tc_azxaaD1fqUyU3OgqZpqLWA_7_5"/>
      <w:bookmarkStart w:id="425" w:name="Tc_Fgt3WAO1T0-Z8f0pEoPEzQ_7_2"/>
      <w:bookmarkStart w:id="426" w:name="Tc_8ZXEuJgarUKY1WvwqM_Mmw_7_0"/>
      <w:bookmarkStart w:id="427" w:name="Tc_gwCc1vmDHUCMlNe3n9uTKQ_6_11"/>
      <w:bookmarkStart w:id="428" w:name="Tc_v6_Yvtz6i0KbxuJJXzy-fA_6_5"/>
      <w:bookmarkStart w:id="429" w:name="Tc_nElioK-ONEC4-igeq9QY5g_6_0"/>
      <w:bookmarkStart w:id="430" w:name="Tc_kDg_94LpLkauXxK1lFMbcQ_5_13"/>
      <w:bookmarkStart w:id="431" w:name="Tc_fehW2YafyE61Op7agh5ADg_5_10"/>
      <w:bookmarkStart w:id="432" w:name="Tc_iejMLRffIkagahD8Gh-IOA_5_7"/>
      <w:bookmarkStart w:id="433" w:name="Tc_Gr4sGDWA-kSgzdTHY2xm5g_5_4"/>
      <w:bookmarkStart w:id="434" w:name="Tc_BgIX3U7JcUOcBZAtoxHH0A_5_0"/>
      <w:bookmarkStart w:id="435" w:name="Tc_erWlNj9R-0WncojwJ1TuTQ_4_13"/>
      <w:bookmarkStart w:id="436" w:name="Tc_XP22XeVljE-7CUuqg7BkJw_4_10"/>
      <w:bookmarkStart w:id="437" w:name="Tc_UuwjYntP_UmWH5NIxp6aeA_4_7"/>
      <w:bookmarkStart w:id="438" w:name="Tc_hKAjIvvgxkuBCLtW1jr4eA_4_4"/>
      <w:bookmarkStart w:id="439" w:name="Tc_VKiGz6Djgk6d708PsDLtEA_4_2"/>
      <w:bookmarkStart w:id="440" w:name="Tc_1qy5DYSkl0Sviel2gsf8Uw_3_13"/>
      <w:bookmarkStart w:id="441" w:name="Tc_d1-duN4bdUqavjjdhhB_sw_3_10"/>
      <w:bookmarkStart w:id="442" w:name="Tc_5I3WN0WC8U6s7Mp0mFfoZA_3_7"/>
      <w:bookmarkStart w:id="443" w:name="Tc_N2x5vfTSyUG2f1SkYPAyRg_3_2"/>
      <w:bookmarkStart w:id="444" w:name="Tc_dKgLYxDviEejb3jkzhB_qQ_2_13"/>
      <w:bookmarkStart w:id="445" w:name="Tc_UU4ifUFSUUKmjhtX1BqM9Q_1_2"/>
      <w:bookmarkStart w:id="446" w:name="_25d22a06_dbaa_4860_b23d_1ffc625d8f6e"/>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tbl>
      <w:tblPr>
        <w:tblW w:w="10205" w:type="dxa"/>
        <w:jc w:val="left"/>
        <w:tblInd w:w="0" w:type="dxa"/>
        <w:tblLayout w:type="fixed"/>
        <w:tblCellMar>
          <w:top w:w="0" w:type="dxa"/>
          <w:left w:w="0" w:type="dxa"/>
          <w:bottom w:w="0" w:type="dxa"/>
          <w:right w:w="0" w:type="dxa"/>
        </w:tblCellMar>
      </w:tblPr>
      <w:tblGrid>
        <w:gridCol w:w="2692"/>
        <w:gridCol w:w="326"/>
        <w:gridCol w:w="931"/>
        <w:gridCol w:w="326"/>
        <w:gridCol w:w="218"/>
        <w:gridCol w:w="593"/>
        <w:gridCol w:w="326"/>
        <w:gridCol w:w="211"/>
        <w:gridCol w:w="1141"/>
        <w:gridCol w:w="326"/>
        <w:gridCol w:w="211"/>
        <w:gridCol w:w="1225"/>
        <w:gridCol w:w="326"/>
        <w:gridCol w:w="211"/>
        <w:gridCol w:w="1142"/>
      </w:tblGrid>
      <w:tr>
        <w:trPr/>
        <w:tc>
          <w:tcPr>
            <w:tcW w:w="2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709420" cy="175260"/>
                      <wp:effectExtent l="0" t="0" r="0" b="0"/>
                      <wp:wrapNone/>
                      <wp:docPr id="55" name="Frame54"/>
                      <a:graphic xmlns:a="http://schemas.openxmlformats.org/drawingml/2006/main">
                        <a:graphicData uri="http://schemas.microsoft.com/office/word/2010/wordprocessingShape">
                          <wps:wsp>
                            <wps:cNvSpPr txBox="1"/>
                            <wps:spPr>
                              <a:xfrm>
                                <a:off x="0" y="0"/>
                                <a:ext cx="17094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7" name="Frame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8430" cy="175260"/>
                      <wp:effectExtent l="0" t="0" r="0" b="0"/>
                      <wp:wrapNone/>
                      <wp:docPr id="59" name="Frame5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76555" cy="175260"/>
                      <wp:effectExtent l="0" t="0" r="0" b="0"/>
                      <wp:wrapNone/>
                      <wp:docPr id="60" name="Frame59"/>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2"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24535" cy="175260"/>
                      <wp:effectExtent l="0" t="0" r="0" b="0"/>
                      <wp:wrapNone/>
                      <wp:docPr id="63" name="Frame6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5"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77875" cy="175260"/>
                      <wp:effectExtent l="0" t="0" r="0" b="0"/>
                      <wp:wrapNone/>
                      <wp:docPr id="66" name="Frame65"/>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8"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25170" cy="175260"/>
                      <wp:effectExtent l="0" t="0" r="0" b="0"/>
                      <wp:wrapNone/>
                      <wp:docPr id="69" name="Frame68"/>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187"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2023</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4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    </w:t>
            </w:r>
          </w:p>
        </w:tc>
        <w:tc>
          <w:tcPr>
            <w:tcW w:w="14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    </w:t>
            </w:r>
          </w:p>
        </w:tc>
        <w:tc>
          <w:tcPr>
            <w:tcW w:w="13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April 1, 2023</w:t>
            </w:r>
          </w:p>
        </w:tc>
        <w:tc>
          <w:tcPr>
            <w:tcW w:w="326"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8,798,829</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448,921,174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(433,016,625)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15,913,348</w:t>
            </w:r>
          </w:p>
        </w:tc>
      </w:tr>
      <w:tr>
        <w:trPr/>
        <w:tc>
          <w:tcPr>
            <w:tcW w:w="269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from exercise of stock options</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both"/>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w:t>
            </w:r>
          </w:p>
        </w:tc>
        <w:tc>
          <w:tcPr>
            <w:tcW w:w="5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604,879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2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604,879</w:t>
            </w:r>
          </w:p>
        </w:tc>
      </w:tr>
      <w:tr>
        <w:trPr/>
        <w:tc>
          <w:tcPr>
            <w:tcW w:w="269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2,515,789</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2,515,789</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shd w:fill="CCEEFF" w:val="clear"/>
            <w:vAlign w:val="center"/>
          </w:tcPr>
          <w:p>
            <w:pPr>
              <w:pStyle w:val="TableContents"/>
              <w:bidi w:val="0"/>
              <w:spacing w:before="0" w:after="0"/>
              <w:ind w:left="0" w:right="0" w:hanging="0"/>
              <w:jc w:val="both"/>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8,799,173</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449,526,789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(430,500,836)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19,034,752</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47" w:name="Tc_TRwB30i4bkOiv2BMi-bAew_12_13"/>
      <w:bookmarkStart w:id="448" w:name="Tc_uOXSo3xhXUOhdiIsxfWo9A_12_10"/>
      <w:bookmarkStart w:id="449" w:name="Tc_SHitXbb6REqO3jyXPABf7g_12_7"/>
      <w:bookmarkStart w:id="450" w:name="Tc_l1LjQZ-SGEqPD_AXoKo0kA_12_4"/>
      <w:bookmarkStart w:id="451" w:name="Tc_2SmX60tvv0SqX0hERZvpeQ_12_0"/>
      <w:bookmarkStart w:id="452" w:name="Tc_k-mxeK6yh0Go0YIzy5UOWQ_11_14"/>
      <w:bookmarkStart w:id="453" w:name="Tc_GyiONOPNT0OBAxRCxNySJA_11_11"/>
      <w:bookmarkStart w:id="454" w:name="Tc_Vxx9KaB7OUmHdHgBFZiFbQ_11_8"/>
      <w:bookmarkStart w:id="455" w:name="Tc_vAUiPQ_eZkKo7dqKUZi2sQ_11_5"/>
      <w:bookmarkStart w:id="456" w:name="Tc_bDnzwsSsKU-UbXpeha7MOg_11_0"/>
      <w:bookmarkStart w:id="457" w:name="Tc_zALRwzpxWEqiQj1RCnndug_10_8"/>
      <w:bookmarkStart w:id="458" w:name="Tc_NPkmjbUt2k2rTW3PUBvebw_10_5"/>
      <w:bookmarkStart w:id="459" w:name="Tc_ltwC_pbGw0GH1Zu-ahX9cg_10_2"/>
      <w:bookmarkStart w:id="460" w:name="Tc_XWZPN8OU5kaFKTv8tpvUmQ_10_0"/>
      <w:bookmarkStart w:id="461" w:name="Tc_5IAd4-6MaU664YkzXphzrA_9_11"/>
      <w:bookmarkStart w:id="462" w:name="Tc_c1ZVfpj2eUWGtYMk7Ua3pQ_9_5"/>
      <w:bookmarkStart w:id="463" w:name="Tc_fk8T-WOXvUqkja3a97sVQw_9_2"/>
      <w:bookmarkStart w:id="464" w:name="Tc_FYmF4jT7rE-FpY_L0Yiqlw_9_0"/>
      <w:bookmarkStart w:id="465" w:name="Tc_Uj32SPQxAEWd5Mv2-wuDNg_8_11"/>
      <w:bookmarkStart w:id="466" w:name="Tc_a_m1_QeHuUqVzLhHpMhQfw_8_5"/>
      <w:bookmarkStart w:id="467" w:name="Tc_YwzzdAJiDUCefV1tLgdCCA_8_0"/>
      <w:bookmarkStart w:id="468" w:name="Tc_NnFE7cPTdUe3FqNLQfe7vA_7_14"/>
      <w:bookmarkStart w:id="469" w:name="Tc_A5DaCPCMukusz5xZYsGRXQ_7_11"/>
      <w:bookmarkStart w:id="470" w:name="Tc_P8bHZ4I0sUudq0TqHhKX9g_7_0"/>
      <w:bookmarkStart w:id="471" w:name="Tc_28ISdhdFYE6KMc803wAm_A_6_11"/>
      <w:bookmarkStart w:id="472" w:name="Tc_-WC5j1x9mk2Trjvp0j30Vw_6_0"/>
      <w:bookmarkStart w:id="473" w:name="Tc_cEb7fMX-2UGvoXs9Nhk_9w_5_13"/>
      <w:bookmarkStart w:id="474" w:name="Tc_EW9eev24VEO-gVY9CBLyjw_5_10"/>
      <w:bookmarkStart w:id="475" w:name="Tc_MsrPdNEDUUSlwLsY6VcBkQ_5_7"/>
      <w:bookmarkStart w:id="476" w:name="Tc_7t58-gJFrU2Xy2mdOYV7Cg_5_4"/>
      <w:bookmarkStart w:id="477" w:name="Tc_ckwfNKqpo06tscsu4dHtFg_5_0"/>
      <w:bookmarkStart w:id="478" w:name="Tc_zGgkpasjwEyYyAl2FsNbeA_4_13"/>
      <w:bookmarkStart w:id="479" w:name="Tc_FwvLmTGpBU-EpLZtaMCaZQ_4_10"/>
      <w:bookmarkStart w:id="480" w:name="Tc_Pl9ISCkrMkKRaa8xCKunZw_4_7"/>
      <w:bookmarkStart w:id="481" w:name="Tc_HwTEYfX25EO2d5us-Ro-XA_4_4"/>
      <w:bookmarkStart w:id="482" w:name="Tc_M1LziWfiOUi4B9mfXXpQ_g_4_2"/>
      <w:bookmarkStart w:id="483" w:name="Tc_luBiEY7fo0Cd9ZfmU4rCaQ_3_13"/>
      <w:bookmarkStart w:id="484" w:name="Tc_xrHLCW6G4kO00MBX0r0R4w_3_10"/>
      <w:bookmarkStart w:id="485" w:name="Tc_vdl3E9-gf0msmR5qvmfYWQ_3_7"/>
      <w:bookmarkStart w:id="486" w:name="Tc_XlSss9YYb0uP21zK3I61oA_3_2"/>
      <w:bookmarkStart w:id="487" w:name="Tc_COK8irmYoUWrBJ8BQ364DA_2_13"/>
      <w:bookmarkStart w:id="488" w:name="Tc_sdM8_-ZuWEuB6YMHXaawKA_1_2"/>
      <w:bookmarkStart w:id="489" w:name="_1b3ec23e_d425_4652_ba59_9304c2a44292"/>
      <w:bookmarkStart w:id="490" w:name="Tc_TRwB30i4bkOiv2BMi-bAew_12_13"/>
      <w:bookmarkStart w:id="491" w:name="Tc_uOXSo3xhXUOhdiIsxfWo9A_12_10"/>
      <w:bookmarkStart w:id="492" w:name="Tc_SHitXbb6REqO3jyXPABf7g_12_7"/>
      <w:bookmarkStart w:id="493" w:name="Tc_l1LjQZ-SGEqPD_AXoKo0kA_12_4"/>
      <w:bookmarkStart w:id="494" w:name="Tc_2SmX60tvv0SqX0hERZvpeQ_12_0"/>
      <w:bookmarkStart w:id="495" w:name="Tc_k-mxeK6yh0Go0YIzy5UOWQ_11_14"/>
      <w:bookmarkStart w:id="496" w:name="Tc_GyiONOPNT0OBAxRCxNySJA_11_11"/>
      <w:bookmarkStart w:id="497" w:name="Tc_Vxx9KaB7OUmHdHgBFZiFbQ_11_8"/>
      <w:bookmarkStart w:id="498" w:name="Tc_vAUiPQ_eZkKo7dqKUZi2sQ_11_5"/>
      <w:bookmarkStart w:id="499" w:name="Tc_bDnzwsSsKU-UbXpeha7MOg_11_0"/>
      <w:bookmarkStart w:id="500" w:name="Tc_zALRwzpxWEqiQj1RCnndug_10_8"/>
      <w:bookmarkStart w:id="501" w:name="Tc_NPkmjbUt2k2rTW3PUBvebw_10_5"/>
      <w:bookmarkStart w:id="502" w:name="Tc_ltwC_pbGw0GH1Zu-ahX9cg_10_2"/>
      <w:bookmarkStart w:id="503" w:name="Tc_XWZPN8OU5kaFKTv8tpvUmQ_10_0"/>
      <w:bookmarkStart w:id="504" w:name="Tc_5IAd4-6MaU664YkzXphzrA_9_11"/>
      <w:bookmarkStart w:id="505" w:name="Tc_c1ZVfpj2eUWGtYMk7Ua3pQ_9_5"/>
      <w:bookmarkStart w:id="506" w:name="Tc_fk8T-WOXvUqkja3a97sVQw_9_2"/>
      <w:bookmarkStart w:id="507" w:name="Tc_FYmF4jT7rE-FpY_L0Yiqlw_9_0"/>
      <w:bookmarkStart w:id="508" w:name="Tc_Uj32SPQxAEWd5Mv2-wuDNg_8_11"/>
      <w:bookmarkStart w:id="509" w:name="Tc_a_m1_QeHuUqVzLhHpMhQfw_8_5"/>
      <w:bookmarkStart w:id="510" w:name="Tc_YwzzdAJiDUCefV1tLgdCCA_8_0"/>
      <w:bookmarkStart w:id="511" w:name="Tc_NnFE7cPTdUe3FqNLQfe7vA_7_14"/>
      <w:bookmarkStart w:id="512" w:name="Tc_A5DaCPCMukusz5xZYsGRXQ_7_11"/>
      <w:bookmarkStart w:id="513" w:name="Tc_P8bHZ4I0sUudq0TqHhKX9g_7_0"/>
      <w:bookmarkStart w:id="514" w:name="Tc_28ISdhdFYE6KMc803wAm_A_6_11"/>
      <w:bookmarkStart w:id="515" w:name="Tc_-WC5j1x9mk2Trjvp0j30Vw_6_0"/>
      <w:bookmarkStart w:id="516" w:name="Tc_cEb7fMX-2UGvoXs9Nhk_9w_5_13"/>
      <w:bookmarkStart w:id="517" w:name="Tc_EW9eev24VEO-gVY9CBLyjw_5_10"/>
      <w:bookmarkStart w:id="518" w:name="Tc_MsrPdNEDUUSlwLsY6VcBkQ_5_7"/>
      <w:bookmarkStart w:id="519" w:name="Tc_7t58-gJFrU2Xy2mdOYV7Cg_5_4"/>
      <w:bookmarkStart w:id="520" w:name="Tc_ckwfNKqpo06tscsu4dHtFg_5_0"/>
      <w:bookmarkStart w:id="521" w:name="Tc_zGgkpasjwEyYyAl2FsNbeA_4_13"/>
      <w:bookmarkStart w:id="522" w:name="Tc_FwvLmTGpBU-EpLZtaMCaZQ_4_10"/>
      <w:bookmarkStart w:id="523" w:name="Tc_Pl9ISCkrMkKRaa8xCKunZw_4_7"/>
      <w:bookmarkStart w:id="524" w:name="Tc_HwTEYfX25EO2d5us-Ro-XA_4_4"/>
      <w:bookmarkStart w:id="525" w:name="Tc_M1LziWfiOUi4B9mfXXpQ_g_4_2"/>
      <w:bookmarkStart w:id="526" w:name="Tc_luBiEY7fo0Cd9ZfmU4rCaQ_3_13"/>
      <w:bookmarkStart w:id="527" w:name="Tc_xrHLCW6G4kO00MBX0r0R4w_3_10"/>
      <w:bookmarkStart w:id="528" w:name="Tc_vdl3E9-gf0msmR5qvmfYWQ_3_7"/>
      <w:bookmarkStart w:id="529" w:name="Tc_XlSss9YYb0uP21zK3I61oA_3_2"/>
      <w:bookmarkStart w:id="530" w:name="Tc_COK8irmYoUWrBJ8BQ364DA_2_13"/>
      <w:bookmarkStart w:id="531" w:name="Tc_sdM8_-ZuWEuB6YMHXaawKA_1_2"/>
      <w:bookmarkStart w:id="532" w:name="_1b3ec23e_d425_4652_ba59_9304c2a44292"/>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tbl>
      <w:tblPr>
        <w:tblW w:w="10205" w:type="dxa"/>
        <w:jc w:val="left"/>
        <w:tblInd w:w="0" w:type="dxa"/>
        <w:tblLayout w:type="fixed"/>
        <w:tblCellMar>
          <w:top w:w="0" w:type="dxa"/>
          <w:left w:w="0" w:type="dxa"/>
          <w:bottom w:w="0" w:type="dxa"/>
          <w:right w:w="0" w:type="dxa"/>
        </w:tblCellMar>
      </w:tblPr>
      <w:tblGrid>
        <w:gridCol w:w="2696"/>
        <w:gridCol w:w="326"/>
        <w:gridCol w:w="931"/>
        <w:gridCol w:w="326"/>
        <w:gridCol w:w="218"/>
        <w:gridCol w:w="593"/>
        <w:gridCol w:w="326"/>
        <w:gridCol w:w="211"/>
        <w:gridCol w:w="1141"/>
        <w:gridCol w:w="326"/>
        <w:gridCol w:w="211"/>
        <w:gridCol w:w="1221"/>
        <w:gridCol w:w="326"/>
        <w:gridCol w:w="211"/>
        <w:gridCol w:w="1142"/>
      </w:tblGrid>
      <w:tr>
        <w:trPr/>
        <w:tc>
          <w:tcPr>
            <w:tcW w:w="2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11960" cy="175260"/>
                      <wp:effectExtent l="0" t="0" r="0" b="0"/>
                      <wp:wrapNone/>
                      <wp:docPr id="70" name="Frame69"/>
                      <a:graphic xmlns:a="http://schemas.openxmlformats.org/drawingml/2006/main">
                        <a:graphicData uri="http://schemas.microsoft.com/office/word/2010/wordprocessingShape">
                          <wps:wsp>
                            <wps:cNvSpPr txBox="1"/>
                            <wps:spPr>
                              <a:xfrm>
                                <a:off x="0" y="0"/>
                                <a:ext cx="1711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1185" cy="175260"/>
                      <wp:effectExtent l="0" t="0" r="0" b="0"/>
                      <wp:wrapNone/>
                      <wp:docPr id="72" name="Frame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8430" cy="175260"/>
                      <wp:effectExtent l="0" t="0" r="0" b="0"/>
                      <wp:wrapNone/>
                      <wp:docPr id="74" name="Frame7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76555" cy="175260"/>
                      <wp:effectExtent l="0" t="0" r="0" b="0"/>
                      <wp:wrapNone/>
                      <wp:docPr id="75" name="Frame74"/>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7"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24535" cy="175260"/>
                      <wp:effectExtent l="0" t="0" r="0" b="0"/>
                      <wp:wrapNone/>
                      <wp:docPr id="78" name="Frame7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75335" cy="175260"/>
                      <wp:effectExtent l="0" t="0" r="0" b="0"/>
                      <wp:wrapNone/>
                      <wp:docPr id="81" name="Frame80"/>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25170" cy="175260"/>
                      <wp:effectExtent l="0" t="0" r="0" b="0"/>
                      <wp:wrapNone/>
                      <wp:docPr id="84" name="Frame83"/>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718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2023</w:t>
            </w:r>
          </w:p>
        </w:tc>
      </w:tr>
      <w:tr>
        <w:trPr/>
        <w:tc>
          <w:tcPr>
            <w:tcW w:w="26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4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96"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January 1, 2023</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8,405,771</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447,641,680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(428,049,049)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19,601,037</w:t>
            </w:r>
          </w:p>
        </w:tc>
      </w:tr>
      <w:tr>
        <w:trPr/>
        <w:tc>
          <w:tcPr>
            <w:tcW w:w="269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for cash </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212,761</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619,761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r>
      <w:tr>
        <w:trPr/>
        <w:tc>
          <w:tcPr>
            <w:tcW w:w="269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as commitment fee for future financing </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180,410</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269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from exercise of stock options </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269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 </w:t>
            </w:r>
          </w:p>
        </w:tc>
        <w:tc>
          <w:tcPr>
            <w:tcW w:w="5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1,264,792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1,264,792</w:t>
            </w:r>
          </w:p>
        </w:tc>
      </w:tr>
      <w:tr>
        <w:trPr/>
        <w:tc>
          <w:tcPr>
            <w:tcW w:w="269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 </w:t>
            </w:r>
          </w:p>
        </w:tc>
        <w:tc>
          <w:tcPr>
            <w:tcW w:w="5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(2,451,787)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(2,451,787)</w:t>
            </w:r>
          </w:p>
        </w:tc>
      </w:tr>
      <w:tr>
        <w:trPr/>
        <w:tc>
          <w:tcPr>
            <w:tcW w:w="269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Fractional shares adjustment due to reverse split </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96"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8,799,173</w:t>
            </w:r>
          </w:p>
        </w:tc>
        <w:tc>
          <w:tcPr>
            <w:tcW w:w="326" w:type="dxa"/>
            <w:tcBorders/>
            <w:vAlign w:val="center"/>
          </w:tcPr>
          <w:p>
            <w:pPr>
              <w:pStyle w:val="TableContents"/>
              <w:bidi w:val="0"/>
              <w:spacing w:before="0" w:after="1"/>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449,526,789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(430,500,836)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19,034,752</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533" w:name="_a61fffe5_bd66_4cbf_8b11_26008d36c7ed"/>
      <w:bookmarkEnd w:id="53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34" w:name="CONDENSEDCONSOLIDATEDSTATEMENTSOFCASHFLO"/>
      <w:bookmarkEnd w:id="53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35" w:name="Tc_qBJ5aavFW06LahFaWwjqtQ_27_5"/>
      <w:bookmarkStart w:id="536" w:name="Tc_4NckVYI7u0qzuE0JwH_U3w_27_2"/>
      <w:bookmarkStart w:id="537" w:name="Tc_qN0h1NIJF06MU2lglZkJvw_27_0"/>
      <w:bookmarkStart w:id="538" w:name="Tc_8FswD-cT2U6SCwETf68ldg_26_0"/>
      <w:bookmarkStart w:id="539" w:name="Tc_9aBYQY-m2kaEalko64kx3w_25_0"/>
      <w:bookmarkStart w:id="540" w:name="Tc_NCuoGmnU1EWti_FFwyk89Q_24_0"/>
      <w:bookmarkStart w:id="541" w:name="Tc_U0Bn5yRevkuWJkcgZANiGg_23_0"/>
      <w:bookmarkStart w:id="542" w:name="Tc_N40CwXnJfkeRU_SKIWIANQ_22_0"/>
      <w:bookmarkStart w:id="543" w:name="Tc_bPS-cy57lkylxawU3K9k7g_21_0"/>
      <w:bookmarkStart w:id="544" w:name="Tc_jUa6kriZpEinftFyNT0-tA_20_3"/>
      <w:bookmarkStart w:id="545" w:name="Tc_ZEkNHB2MPUmzGe22tHm09g_20_0"/>
      <w:bookmarkStart w:id="546" w:name="Tc_nGTmdtcwTEO4A-ynGgayTA_19_3"/>
      <w:bookmarkStart w:id="547" w:name="Tc_JYFDeE7QukmuuNuA_XFxig_19_0"/>
      <w:bookmarkStart w:id="548" w:name="Tc_o1WJQ3CW8UWEn5BDvvfJvw_18_0"/>
      <w:bookmarkStart w:id="549" w:name="Tc_nE5Nr_eF3E-PRAD5QsrMEA_17_0"/>
      <w:bookmarkStart w:id="550" w:name="Tc_xEUf-eyy8U6HVYvz5FttwA_16_3"/>
      <w:bookmarkStart w:id="551" w:name="Tc_iKHHPYspWUeTBu0EhgGvFQ_16_0"/>
      <w:bookmarkStart w:id="552" w:name="Tc_ZE4PmI98nESnVKv-aI7njA_15_0"/>
      <w:bookmarkStart w:id="553" w:name="Tc_jDRnxUJHX0mRxoILcZ-gig_14_0"/>
      <w:bookmarkStart w:id="554" w:name="Tc_dLTFUgyMSUG-wfdZsmdbew_13_6"/>
      <w:bookmarkStart w:id="555" w:name="Tc_1HSyQjPjFE2oeEsWzHbkVw_13_0"/>
      <w:bookmarkStart w:id="556" w:name="Tc_KR3FsGSoukuOCdMCYXdncg_12_0"/>
      <w:bookmarkStart w:id="557" w:name="Tc_Ss6L3JiLQUWUyt2KCQhuTQ_11_0"/>
      <w:bookmarkStart w:id="558" w:name="Tc_j4LsnVRSTES8aXXpxA6y2Q_10_0"/>
      <w:bookmarkStart w:id="559" w:name="Tc__DwoItMHo0WaABpW-99ptw_9_0"/>
      <w:bookmarkStart w:id="560" w:name="Tc_xyqIgtBs60OYUd-PgIQp3Q_8_0"/>
      <w:bookmarkStart w:id="561" w:name="Tc_E_zmJZhOmkCVTjLxrX5aFA_7_0"/>
      <w:bookmarkStart w:id="562" w:name="Tc_YBbX-WwhykKaOKryPP5DqA_6_3"/>
      <w:bookmarkStart w:id="563" w:name="Tc_EUEw4yOZnUqaHp7a2uodOA_6_0"/>
      <w:bookmarkStart w:id="564" w:name="Tc_s83voYNKkUOhhX2qC-QGaQ_5_5"/>
      <w:bookmarkStart w:id="565" w:name="Tc_q2IxHdnbh0y8Fn6vetRq-w_5_2"/>
      <w:bookmarkStart w:id="566" w:name="Tc_N19hn0gOGEqAqienB4QfqA_5_0"/>
      <w:bookmarkStart w:id="567" w:name="Tc_HoAqaJm-fUqESUoygJQ87w_4_0"/>
      <w:bookmarkStart w:id="568" w:name="Tc_wPhUa6-mrkOGh7yevBu6Fw_3_5"/>
      <w:bookmarkStart w:id="569" w:name="Tc_AeJJvG_VNUuEGbkp-tbQBA_3_2"/>
      <w:bookmarkStart w:id="570" w:name="Tc_5kpQAn4RdkOgyX8SXQ5bDw_2_2"/>
      <w:bookmarkStart w:id="571" w:name="Tc_Px1PrE5zzE6oYegAoWzafg_1_2"/>
      <w:bookmarkStart w:id="572" w:name="_2754bc31_9829_47cf_b327_8a54e3fb6fa6"/>
      <w:bookmarkStart w:id="573" w:name="Tc_qBJ5aavFW06LahFaWwjqtQ_27_5"/>
      <w:bookmarkStart w:id="574" w:name="Tc_4NckVYI7u0qzuE0JwH_U3w_27_2"/>
      <w:bookmarkStart w:id="575" w:name="Tc_qN0h1NIJF06MU2lglZkJvw_27_0"/>
      <w:bookmarkStart w:id="576" w:name="Tc_8FswD-cT2U6SCwETf68ldg_26_0"/>
      <w:bookmarkStart w:id="577" w:name="Tc_9aBYQY-m2kaEalko64kx3w_25_0"/>
      <w:bookmarkStart w:id="578" w:name="Tc_NCuoGmnU1EWti_FFwyk89Q_24_0"/>
      <w:bookmarkStart w:id="579" w:name="Tc_U0Bn5yRevkuWJkcgZANiGg_23_0"/>
      <w:bookmarkStart w:id="580" w:name="Tc_N40CwXnJfkeRU_SKIWIANQ_22_0"/>
      <w:bookmarkStart w:id="581" w:name="Tc_bPS-cy57lkylxawU3K9k7g_21_0"/>
      <w:bookmarkStart w:id="582" w:name="Tc_jUa6kriZpEinftFyNT0-tA_20_3"/>
      <w:bookmarkStart w:id="583" w:name="Tc_ZEkNHB2MPUmzGe22tHm09g_20_0"/>
      <w:bookmarkStart w:id="584" w:name="Tc_nGTmdtcwTEO4A-ynGgayTA_19_3"/>
      <w:bookmarkStart w:id="585" w:name="Tc_JYFDeE7QukmuuNuA_XFxig_19_0"/>
      <w:bookmarkStart w:id="586" w:name="Tc_o1WJQ3CW8UWEn5BDvvfJvw_18_0"/>
      <w:bookmarkStart w:id="587" w:name="Tc_nE5Nr_eF3E-PRAD5QsrMEA_17_0"/>
      <w:bookmarkStart w:id="588" w:name="Tc_xEUf-eyy8U6HVYvz5FttwA_16_3"/>
      <w:bookmarkStart w:id="589" w:name="Tc_iKHHPYspWUeTBu0EhgGvFQ_16_0"/>
      <w:bookmarkStart w:id="590" w:name="Tc_ZE4PmI98nESnVKv-aI7njA_15_0"/>
      <w:bookmarkStart w:id="591" w:name="Tc_jDRnxUJHX0mRxoILcZ-gig_14_0"/>
      <w:bookmarkStart w:id="592" w:name="Tc_dLTFUgyMSUG-wfdZsmdbew_13_6"/>
      <w:bookmarkStart w:id="593" w:name="Tc_1HSyQjPjFE2oeEsWzHbkVw_13_0"/>
      <w:bookmarkStart w:id="594" w:name="Tc_KR3FsGSoukuOCdMCYXdncg_12_0"/>
      <w:bookmarkStart w:id="595" w:name="Tc_Ss6L3JiLQUWUyt2KCQhuTQ_11_0"/>
      <w:bookmarkStart w:id="596" w:name="Tc_j4LsnVRSTES8aXXpxA6y2Q_10_0"/>
      <w:bookmarkStart w:id="597" w:name="Tc__DwoItMHo0WaABpW-99ptw_9_0"/>
      <w:bookmarkStart w:id="598" w:name="Tc_xyqIgtBs60OYUd-PgIQp3Q_8_0"/>
      <w:bookmarkStart w:id="599" w:name="Tc_E_zmJZhOmkCVTjLxrX5aFA_7_0"/>
      <w:bookmarkStart w:id="600" w:name="Tc_YBbX-WwhykKaOKryPP5DqA_6_3"/>
      <w:bookmarkStart w:id="601" w:name="Tc_EUEw4yOZnUqaHp7a2uodOA_6_0"/>
      <w:bookmarkStart w:id="602" w:name="Tc_s83voYNKkUOhhX2qC-QGaQ_5_5"/>
      <w:bookmarkStart w:id="603" w:name="Tc_q2IxHdnbh0y8Fn6vetRq-w_5_2"/>
      <w:bookmarkStart w:id="604" w:name="Tc_N19hn0gOGEqAqienB4QfqA_5_0"/>
      <w:bookmarkStart w:id="605" w:name="Tc_HoAqaJm-fUqESUoygJQ87w_4_0"/>
      <w:bookmarkStart w:id="606" w:name="Tc_wPhUa6-mrkOGh7yevBu6Fw_3_5"/>
      <w:bookmarkStart w:id="607" w:name="Tc_AeJJvG_VNUuEGbkp-tbQBA_3_2"/>
      <w:bookmarkStart w:id="608" w:name="Tc_5kpQAn4RdkOgyX8SXQ5bDw_2_2"/>
      <w:bookmarkStart w:id="609" w:name="Tc_Px1PrE5zzE6oYegAoWzafg_1_2"/>
      <w:bookmarkStart w:id="610" w:name="_2754bc31_9829_47cf_b327_8a54e3fb6fa6"/>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tbl>
      <w:tblPr>
        <w:tblW w:w="8892" w:type="dxa"/>
        <w:jc w:val="left"/>
        <w:tblInd w:w="0" w:type="dxa"/>
        <w:tblLayout w:type="fixed"/>
        <w:tblCellMar>
          <w:top w:w="0" w:type="dxa"/>
          <w:left w:w="0" w:type="dxa"/>
          <w:bottom w:w="0" w:type="dxa"/>
          <w:right w:w="0" w:type="dxa"/>
        </w:tblCellMar>
      </w:tblPr>
      <w:tblGrid>
        <w:gridCol w:w="5566"/>
        <w:gridCol w:w="326"/>
        <w:gridCol w:w="211"/>
        <w:gridCol w:w="1051"/>
        <w:gridCol w:w="326"/>
        <w:gridCol w:w="211"/>
        <w:gridCol w:w="1201"/>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534410" cy="175260"/>
                      <wp:effectExtent l="0" t="0" r="0" b="0"/>
                      <wp:wrapNone/>
                      <wp:docPr id="85" name="Frame84"/>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7385" cy="175260"/>
                      <wp:effectExtent l="0" t="0" r="0" b="0"/>
                      <wp:wrapNone/>
                      <wp:docPr id="88" name="Frame8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62635" cy="175260"/>
                      <wp:effectExtent l="0" t="0" r="0" b="0"/>
                      <wp:wrapNone/>
                      <wp:docPr id="91" name="Frame9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5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0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5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5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01" w:type="dxa"/>
            <w:tcBorders/>
            <w:shd w:fill="CCEEFF" w:val="clear"/>
            <w:vAlign w:val="center"/>
          </w:tcPr>
          <w:p>
            <w:pPr>
              <w:pStyle w:val="TableContents"/>
              <w:bidi w:val="0"/>
              <w:spacing w:before="0" w:after="1"/>
              <w:ind w:left="0" w:right="0" w:hanging="0"/>
              <w:jc w:val="both"/>
              <w:rPr/>
            </w:pPr>
            <w:r>
              <w:rPr/>
              <w:t>​</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(4,585,499)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(2,451,787)</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gain from discontinued operations, net of tax</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5,872,020</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(4,585,499)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(8,323,807)</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142,018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539,858</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(396,268)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(238,223)</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(1,462,332)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655,904</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(1,037,086)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(65,521)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197,030</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 -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(7,404,688)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(7,169,238)</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 -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(5,775,680)</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(7,404,688)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(12,944,918)</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18,664,122</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18,664,122</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net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36,902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stock options exercise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93,702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620,710</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(7,310,986)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6,339,914</w:t>
            </w:r>
          </w:p>
        </w:tc>
      </w:tr>
      <w:tr>
        <w:trPr/>
        <w:tc>
          <w:tcPr>
            <w:tcW w:w="55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 at beginning of the period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15,111,450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11,782,172</w:t>
            </w:r>
          </w:p>
        </w:tc>
      </w:tr>
      <w:tr>
        <w:trPr/>
        <w:tc>
          <w:tcPr>
            <w:tcW w:w="556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and cash equivalents at end of the period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7,800,464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18,122,086</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611" w:name="Tc_HGmnCMg_fU2CQ_C8rpjw0Q_6_3"/>
      <w:bookmarkStart w:id="612" w:name="Tc_7qxtA-780EOy6ToD3bRy7A_6_2"/>
      <w:bookmarkStart w:id="613" w:name="Tc_nm7fCzSgrkWOZkYefJ0Tyw_6_0"/>
      <w:bookmarkStart w:id="614" w:name="Tc_k7LlgUeZ60mmYMXGeyspmw_5_5"/>
      <w:bookmarkStart w:id="615" w:name="Tc_x-cRobFuRk6hH-mxBVVhaw_5_3"/>
      <w:bookmarkStart w:id="616" w:name="Tc_-LmERSsCvE6K2-L8CwjliA_5_2"/>
      <w:bookmarkStart w:id="617" w:name="Tc_WHRFdSGrYkyL92Ti5rUDog_5_0"/>
      <w:bookmarkStart w:id="618" w:name="Tc_GuGGbeljqU-XnKTEYXyVdA_4_0"/>
      <w:bookmarkStart w:id="619" w:name="Tc_UupzufdlRkGyTAVcH2ZEag_3_5"/>
      <w:bookmarkStart w:id="620" w:name="Tc__lTpOwfQ2UuMBjCjgzas7w_3_2"/>
      <w:bookmarkStart w:id="621" w:name="Tc_e56hkUrXw0yme6Ro9qTLtw_2_2"/>
      <w:bookmarkStart w:id="622" w:name="Tc_c5YwEue5E0uLWXSok__r6w_1_2"/>
      <w:bookmarkStart w:id="623" w:name="_7d70fd17_a130_4b2b_8a61_7da5bd163d87"/>
      <w:bookmarkStart w:id="624" w:name="Tc_HGmnCMg_fU2CQ_C8rpjw0Q_6_3"/>
      <w:bookmarkStart w:id="625" w:name="Tc_7qxtA-780EOy6ToD3bRy7A_6_2"/>
      <w:bookmarkStart w:id="626" w:name="Tc_nm7fCzSgrkWOZkYefJ0Tyw_6_0"/>
      <w:bookmarkStart w:id="627" w:name="Tc_k7LlgUeZ60mmYMXGeyspmw_5_5"/>
      <w:bookmarkStart w:id="628" w:name="Tc_x-cRobFuRk6hH-mxBVVhaw_5_3"/>
      <w:bookmarkStart w:id="629" w:name="Tc_-LmERSsCvE6K2-L8CwjliA_5_2"/>
      <w:bookmarkStart w:id="630" w:name="Tc_WHRFdSGrYkyL92Ti5rUDog_5_0"/>
      <w:bookmarkStart w:id="631" w:name="Tc_GuGGbeljqU-XnKTEYXyVdA_4_0"/>
      <w:bookmarkStart w:id="632" w:name="Tc_UupzufdlRkGyTAVcH2ZEag_3_5"/>
      <w:bookmarkStart w:id="633" w:name="Tc__lTpOwfQ2UuMBjCjgzas7w_3_2"/>
      <w:bookmarkStart w:id="634" w:name="Tc_e56hkUrXw0yme6Ro9qTLtw_2_2"/>
      <w:bookmarkStart w:id="635" w:name="Tc_c5YwEue5E0uLWXSok__r6w_1_2"/>
      <w:bookmarkStart w:id="636" w:name="_7d70fd17_a130_4b2b_8a61_7da5bd163d87"/>
      <w:bookmarkEnd w:id="624"/>
      <w:bookmarkEnd w:id="625"/>
      <w:bookmarkEnd w:id="626"/>
      <w:bookmarkEnd w:id="627"/>
      <w:bookmarkEnd w:id="628"/>
      <w:bookmarkEnd w:id="629"/>
      <w:bookmarkEnd w:id="630"/>
      <w:bookmarkEnd w:id="631"/>
      <w:bookmarkEnd w:id="632"/>
      <w:bookmarkEnd w:id="633"/>
      <w:bookmarkEnd w:id="634"/>
      <w:bookmarkEnd w:id="635"/>
      <w:bookmarkEnd w:id="636"/>
    </w:p>
    <w:tbl>
      <w:tblPr>
        <w:tblW w:w="8336" w:type="dxa"/>
        <w:jc w:val="left"/>
        <w:tblInd w:w="0" w:type="dxa"/>
        <w:tblLayout w:type="fixed"/>
        <w:tblCellMar>
          <w:top w:w="0" w:type="dxa"/>
          <w:left w:w="0" w:type="dxa"/>
          <w:bottom w:w="0" w:type="dxa"/>
          <w:right w:w="0" w:type="dxa"/>
        </w:tblCellMar>
      </w:tblPr>
      <w:tblGrid>
        <w:gridCol w:w="5926"/>
        <w:gridCol w:w="326"/>
        <w:gridCol w:w="229"/>
        <w:gridCol w:w="375"/>
        <w:gridCol w:w="354"/>
        <w:gridCol w:w="229"/>
        <w:gridCol w:w="897"/>
      </w:tblGrid>
      <w:tr>
        <w:trPr/>
        <w:tc>
          <w:tcPr>
            <w:tcW w:w="5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763010" cy="175260"/>
                      <wp:effectExtent l="0" t="0" r="0" b="0"/>
                      <wp:wrapNone/>
                      <wp:docPr id="92" name="Frame91"/>
                      <a:graphic xmlns:a="http://schemas.openxmlformats.org/drawingml/2006/main">
                        <a:graphicData uri="http://schemas.microsoft.com/office/word/2010/wordprocessingShape">
                          <wps:wsp>
                            <wps:cNvSpPr txBox="1"/>
                            <wps:spPr>
                              <a:xfrm>
                                <a:off x="0" y="0"/>
                                <a:ext cx="3763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5415" cy="175260"/>
                      <wp:effectExtent l="0" t="0" r="0" b="0"/>
                      <wp:wrapNone/>
                      <wp:docPr id="94" name="Frame9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38125" cy="175260"/>
                      <wp:effectExtent l="0" t="0" r="0" b="0"/>
                      <wp:wrapNone/>
                      <wp:docPr id="95" name="Frame9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24790" cy="175260"/>
                      <wp:effectExtent l="0" t="0" r="0" b="0"/>
                      <wp:wrapNone/>
                      <wp:docPr id="96" name="Frame9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5415" cy="175260"/>
                      <wp:effectExtent l="0" t="0" r="0" b="0"/>
                      <wp:wrapNone/>
                      <wp:docPr id="97" name="Frame9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69595" cy="175260"/>
                      <wp:effectExtent l="0" t="0" r="0" b="0"/>
                      <wp:wrapNone/>
                      <wp:docPr id="98" name="Frame97"/>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9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20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6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4" w:type="dxa"/>
            <w:tcBorders/>
            <w:vAlign w:val="center"/>
          </w:tcPr>
          <w:p>
            <w:pPr>
              <w:pStyle w:val="TableContents"/>
              <w:bidi w:val="0"/>
              <w:spacing w:before="0" w:after="1"/>
              <w:ind w:left="0" w:right="0" w:hanging="0"/>
              <w:jc w:val="both"/>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Supplemental schedule of non-cash financing and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29" w:type="dxa"/>
            <w:tcBorders/>
            <w:shd w:fill="CCEEFF" w:val="clear"/>
            <w:vAlign w:val="center"/>
          </w:tcPr>
          <w:p>
            <w:pPr>
              <w:pStyle w:val="TableContents"/>
              <w:bidi w:val="0"/>
              <w:spacing w:before="0" w:after="1"/>
              <w:ind w:left="0" w:right="0" w:hanging="0"/>
              <w:jc w:val="both"/>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354" w:type="dxa"/>
            <w:tcBorders/>
            <w:shd w:fill="CCEEFF" w:val="clear"/>
            <w:vAlign w:val="center"/>
          </w:tcPr>
          <w:p>
            <w:pPr>
              <w:pStyle w:val="TableContents"/>
              <w:bidi w:val="0"/>
              <w:spacing w:before="0" w:after="1"/>
              <w:ind w:left="0" w:right="0" w:hanging="0"/>
              <w:jc w:val="both"/>
              <w:rPr/>
            </w:pPr>
            <w:r>
              <w:rPr/>
              <w:t>​</w:t>
            </w:r>
          </w:p>
        </w:tc>
        <w:tc>
          <w:tcPr>
            <w:tcW w:w="229" w:type="dxa"/>
            <w:tcBorders/>
            <w:shd w:fill="CCEEFF" w:val="clear"/>
            <w:vAlign w:val="center"/>
          </w:tcPr>
          <w:p>
            <w:pPr>
              <w:pStyle w:val="TableContents"/>
              <w:bidi w:val="0"/>
              <w:spacing w:before="0" w:after="1"/>
              <w:ind w:left="0" w:right="0" w:hanging="0"/>
              <w:jc w:val="both"/>
              <w:rPr/>
            </w:pPr>
            <w:r>
              <w:rPr/>
              <w:t>​</w:t>
            </w:r>
          </w:p>
        </w:tc>
        <w:tc>
          <w:tcPr>
            <w:tcW w:w="897" w:type="dxa"/>
            <w:tcBorders/>
            <w:shd w:fill="CCEEFF" w:val="clear"/>
            <w:vAlign w:val="center"/>
          </w:tcPr>
          <w:p>
            <w:pPr>
              <w:pStyle w:val="TableContents"/>
              <w:bidi w:val="0"/>
              <w:spacing w:before="0" w:after="1"/>
              <w:ind w:left="0" w:right="0" w:hanging="0"/>
              <w:jc w:val="center"/>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Changes between assets and liabilities in discontinued operations</w:t>
            </w:r>
          </w:p>
        </w:tc>
        <w:tc>
          <w:tcPr>
            <w:tcW w:w="326" w:type="dxa"/>
            <w:tcBorders/>
            <w:vAlign w:val="center"/>
          </w:tcPr>
          <w:p>
            <w:pPr>
              <w:pStyle w:val="TableContents"/>
              <w:bidi w:val="0"/>
              <w:spacing w:before="0" w:after="1"/>
              <w:ind w:left="0" w:right="0" w:hanging="0"/>
              <w:jc w:val="both"/>
              <w:rPr/>
            </w:pPr>
            <w:r>
              <w:rPr/>
              <w:t>​</w:t>
            </w:r>
          </w:p>
        </w:tc>
        <w:tc>
          <w:tcPr>
            <w:tcW w:w="22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375"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both"/>
              <w:rPr/>
            </w:pPr>
            <w:r>
              <w:rPr/>
              <w:t>​</w:t>
            </w:r>
          </w:p>
        </w:tc>
        <w:tc>
          <w:tcPr>
            <w:tcW w:w="22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141,979</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as commitment fee for future financing</w:t>
            </w:r>
          </w:p>
        </w:tc>
        <w:tc>
          <w:tcPr>
            <w:tcW w:w="326" w:type="dxa"/>
            <w:tcBorders/>
            <w:shd w:fill="CCEEFF" w:val="clear"/>
            <w:vAlign w:val="center"/>
          </w:tcPr>
          <w:p>
            <w:pPr>
              <w:pStyle w:val="TableContents"/>
              <w:bidi w:val="0"/>
              <w:spacing w:before="0" w:after="1"/>
              <w:ind w:left="0" w:right="0" w:hanging="0"/>
              <w:jc w:val="both"/>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both"/>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180</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637" w:name="_b2f6c64e_b06e_4739_ae2c_42782501a85a"/>
      <w:bookmarkEnd w:id="637"/>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638" w:name="NOTESTOCONDENSEDCONSOLIDATEDFINANCIALSTA"/>
      <w:bookmarkEnd w:id="638"/>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tumor associated antigen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Agreement with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26, 2023, the Company completed the previously announced transaction with Cell Ready, LLC (“Cell Ready”) pursuant to a Purchase Agreement (the “Cell Ready Purchase Agreement), dated May 1, 2023, by and between the Company and Cell Ready. Mr. John Wilson is a member of the Company’s board of directors and is serving as the CEO of Cell Ready, therefore Cell Ready is a related party. Pursuant to the Cell Ready Purchase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Purchased Assets constituted a significant disposition.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(“ASC”) 205-20 – Discontinued Operations, and prior comparative periods have been retroactively adjusted to reflect the current presentation. See additional discussion at Note 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to provide outsourced services previously performed by the Company prior to its asset sale to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Organizational Changes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June 30, 2023, the board of directors appointed Eliot M. Lurier as the Company’s Interim Chief Financial Officer, whereby Mr. Lurier provided consulting services to the Company pursuant to a consulting agreement between the Company and Danforth Advisors, LLC (“Danforth”) and received no compensation directly from the Company. On November 17, 2023, the Company terminated the consulting agreement between the Company and Danforth, effective January 16,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2023, Mr. Lurier ceased serving as the Company’s Interim Chief Financial Officer and Dr. Vera was appointed as the Company’s Principal Financial and Accounting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 (see Note 7 for information on discontinued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unaudited condensed consolidated statement of operations are not necessarily indicative of results to be expected for the year ending December 31, 2024, or for any future interim period. The condensed consolidated balance sheet at December 31, 2023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2023 and notes thereto included in the Company’s annual report on Form 10-K filed on March 26, 2024.</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3: LIQUIDITY AND FINANCIAL CONDITION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As of June 30, 2024, the Company had cash and cash equivalents of approximately $7.8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debt financings and grants. In August 2021, the Company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are entitled to compensation under the Sales Agreement at a commission rate equal to 3.0% of the gross sales price per share sold under the ATM Agreement, and we have provided each of the Sales Agents with indemnification and contribution rights. During the three and six months ended June 30, 2024, the Company sold 8,178 shares of its common stock under the ATM Agreement for proceeds of $0.04 million. On June 10, 2024, the Company provided notice of its termination of the ATM Agreement with Cantor Fitzgerald &amp; Co. and RBC Capital Markets, LLC. The Company is not subject to any termination penalties related to the termination of the ATM Agreement. The Company is currently considering more effective ways to improve market access to its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Cancer Prevention and Research Institute of Texas (“CPRIT”) to support the Company’s clinical investigation of MT-401. Through the date of this filing, the Company has received $9.7 million of funds from the CPRIT grant. The Company recorded $0.7 million and $1.5 million of grant income related to the CPRIT grant as revenue for the three and six months ended June 30, 2024, respectively. As of June 30, 2024, the Company recorded $1.9 million of grant income receivable, which represented grant income earned in advance of funds to be received from 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the Company received notice from the U.S. Food and Drug Administration (the “FDA”) that it had awarded the Company a $2.0 million grant from the FDA’s Orphan Products Grant program to support the Company’s clinical investigation of MT-401 for the treatment of post-transplant AML Through the date of this filing, the Company has received $1.0 million from the FDA grant. The Company recorded $0.2 million and $0.5 million of grant income related to the FDA grant as revenue for the three and six months ended June 30, 2024, respectively. As of June 30, 2024, the Company recorded $0.2 million of grant income receivable, which represented grant income earned in advance of funds to be received from the FDA. In July 2024, the Company received $0.2 million of funds from the FDA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received notice of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$0.6 million from SBIR. The Company recorded $0.2 million and $0.4 million of grant income related to the SBIR grant as revenue for the three and six months ended June 30, 2024. As of June 30, 2024, the Company recorded $0.2 million as other receivable, which represented grant income earned in advance of funds to be received from the SBIR. In July 2024, the Company received $0.2 million of funds from the SBIR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2 - year period from the National Institutes of Health - National Cancer Institute to support control over tumor immune escape in pancreatic cancer using a dual T cell product strategy. Through the date of this filing, the Company has not received any funds from this grant.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described in Note 1, on June 26, 2023, the Company completed the transaction with Cell Ready pursuant to the Cell Ready Purchase Agreement for total consideration of $19.0 million. On February 22, 2024, the Company entered into a Master Services Agreement for Product Supply (the “MSA”) with Cell Ready, a contract development and manufacturing organization (CDMO). Under the MSA, it is anticipated Cell Ready will perform a wide variety of services for us, including research and development, and manufacturing in support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our clinical trials. Pursuant to the MSA, the Company may contract with Cell Ready for the provision of various products and services from time to time by entering into work orders with Cell Ready (See Note 13).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continue to incur substantial losses over the next several years during its development phase.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clinical and research and development plans and its timing expectations related to the progress of its programs, the Company expects that its cash and cash equivalents as of June 30, 2024, including drawdowns of available grant funds, will enable the Company to fund its operating expenses and capital expenditure requirements into the fourth quarter of 2025. Prior to the Cell Ready transaction, there was substantial doubt regarding the Company’s ability to continue as a going concern, which was alleviated by the proceeds from the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 </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or continues clinical trials of its product candidates;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enters into contract manufacturing arrangements with Cell Ready or other contract manufacturing organizations for clinical manufacturing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scale-up manufacturing capabilities to commercialize any product candidates that may receive regulatory approval;</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sufficient cash available to meet its operating requirements for at least the next twelve months from the issuance of these financial statements. However, the Company does not have sufficient sources of revenue to provide incoming cash flows to sustain its future operations beyond the third quarter of 2025. As outlined above, its ability to pursue its long-term planned business activities is dependent upon its successful efforts to raise additional capital and 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macro-economic environment of decades-high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and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highly liquid investments with a maturity of three months or less when purchased to be cash equivalents. Cash and cash equivalents at June 30, 2024 consisted of cash and certificates of deposit in institutions in the United States. Balances at certain institutions have exceeded Federal Deposit Insurance Corporation insured limits and U.S. government agency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cash in accounts which are in excess of the Federal Deposit Insurance Corporation (“FDIC”) insured limits of $250,000. As of June 30, 2024, the Company had approximately $1.6 million in cash at financial institutions and approximately $6.2 million in U.S. government agency securities, for aggregate cash and cash equivalents of $7.8 million. As of December 31, 2023, the Company had approximately $1.4 million in cash at financial institutions and approximately $13.7 million in U.S. government agency securities, for aggregate cash and cash equivalents of $15.1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cash is received from grants in advance of incurring qualifying costs, it is recorded as restricted cash until it is earned and recorded to grant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7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 Not Yet Adopted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Improvements to Reportable Segment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The ASU is effective for fiscal year periods beginning after December15, 2023, and interim periods within fiscal years beginning after December 15, 2024. Early adoption is permitted, and the ASU requires retrospective application to all prior periods presented in the financial statements. The Company is currently evaluating the standard to determine the impact of adoption to its consolidated financial statements and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Improvements to Income Tax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guidance to have a material impact on the Company's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Company’s significant accounting policies to those previously disclosed in the Annual Report on Form 10-K for the year ended December 31, 2023 filed on March 26,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39" w:name="Tc_YlCp4kpK7kSwB3ZBu4G_zA_6_0"/>
      <w:bookmarkStart w:id="640" w:name="Tc_RwK01vPPiE6k0sSmArz_IQ_5_2"/>
      <w:bookmarkStart w:id="641" w:name="Tc_2BpZvLvT4k-ZnFAjv8R23g_5_0"/>
      <w:bookmarkStart w:id="642" w:name="Tc_OGnfQVP4g02wGjpG-Vwvqg_4_0"/>
      <w:bookmarkStart w:id="643" w:name="Tc__6T0s9Ci3k6lCm9XAxuY1g_3_4"/>
      <w:bookmarkStart w:id="644" w:name="Tc_-2i6l-WFPUyvMCz1iPkedw_3_2"/>
      <w:bookmarkStart w:id="645" w:name="Tc_SAGeYyHhBEaTk8qzhEhJlA_2_2"/>
      <w:bookmarkStart w:id="646" w:name="Tc_GscbAj3cfU6pR61V16JB5g_1_2"/>
      <w:bookmarkStart w:id="647" w:name="_a5b1bf5a_1a84_47d8_9fe7_666187e4feb9"/>
      <w:bookmarkStart w:id="648" w:name="Tc_WBAb8f1bdE696J49zZzvKQ_16_11"/>
      <w:bookmarkStart w:id="649" w:name="Tc_FIX2hNk4WEaAoyjogFlpUg_16_8"/>
      <w:bookmarkStart w:id="650" w:name="Tc_e3ew9NC-40mlEC7JStOzGA_16_5"/>
      <w:bookmarkStart w:id="651" w:name="Tc_kEK909vgTUe4F4Tv4SEWtA_16_2"/>
      <w:bookmarkStart w:id="652" w:name="Tc_Bi45fD3NSEOZGK1NX7dwSA_16_0"/>
      <w:bookmarkStart w:id="653" w:name="Tc_sdXgzNRRbUa8dtNRxjeOUA_15_11"/>
      <w:bookmarkStart w:id="654" w:name="Tc_9k-ZSa5LCUau-3RmTFhtnA_15_9"/>
      <w:bookmarkStart w:id="655" w:name="Tc_bajTfEf6zEyvlDHnebS7Ag_15_8"/>
      <w:bookmarkStart w:id="656" w:name="Tc_a2r5Skce7Ey5h5_XwFpM9A_15_5"/>
      <w:bookmarkStart w:id="657" w:name="Tc_zYxC-zCp7kGPv1juWhdElA_15_3"/>
      <w:bookmarkStart w:id="658" w:name="Tc_1lxfM4uTZk6aco34FOLH-w_15_2"/>
      <w:bookmarkStart w:id="659" w:name="Tc_OXhgyp_reEyJ9KXvbJREsg_15_0"/>
      <w:bookmarkStart w:id="660" w:name="Tc_cD20gs84h0a0dZsshmBofw_14_11"/>
      <w:bookmarkStart w:id="661" w:name="Tc_HfKmxpj8NkSPHdyd18CcWw_14_8"/>
      <w:bookmarkStart w:id="662" w:name="Tc_YiT1nxPlnEG4PNYQBiAVMQ_14_5"/>
      <w:bookmarkStart w:id="663" w:name="Tc_Nw8U-3zylEiCoU4KACZZSA_14_2"/>
      <w:bookmarkStart w:id="664" w:name="Tc_KhJWT_7JFU2cgAOqRcOkFA_14_0"/>
      <w:bookmarkStart w:id="665" w:name="Tc_gFZ4aTt8dkSnStmnRc-4HA_13_0"/>
      <w:bookmarkStart w:id="666" w:name="Tc_JmEdDStV90q8HApe2U4zSg_11_0"/>
      <w:bookmarkStart w:id="667" w:name="Tc_rgAiFhpfuUeInimYsjIqPA_10_0"/>
      <w:bookmarkStart w:id="668" w:name="Tc_X3bcyHR9a0a2Y2SQTplNWA_9_0"/>
      <w:bookmarkStart w:id="669" w:name="Tc_KL7XaztsPEWGf7B_rZzkWA_7_11"/>
      <w:bookmarkStart w:id="670" w:name="Tc_pmnLZkwTvU6XdKaU2uSSiw_7_8"/>
      <w:bookmarkStart w:id="671" w:name="Tc_VI1tle0mekio3yMcy-ulRQ_7_5"/>
      <w:bookmarkStart w:id="672" w:name="Tc_KhJgsJjemka1h5dknJx8Fg_7_2"/>
      <w:bookmarkStart w:id="673" w:name="Tc_S89YifPa4UCe9gHBErHkvw_7_0"/>
      <w:bookmarkStart w:id="674" w:name="Tc_0Cn6EDsKtEqTdgMSyWrhLg_6_11"/>
      <w:bookmarkStart w:id="675" w:name="Tc_FB_qClEaEkqVNss1bkHyww_6_9"/>
      <w:bookmarkStart w:id="676" w:name="Tc_JU_nFQA6Mk-yqAKlB2YctA_6_8"/>
      <w:bookmarkStart w:id="677" w:name="Tc_cxQOUpcR9UGKPe-H5iX34w_6_5"/>
      <w:bookmarkStart w:id="678" w:name="Tc_Ok2F4ydZ3kCU5_OEBCZNtQ_6_3"/>
      <w:bookmarkStart w:id="679" w:name="Tc_h9FQpJ3KdU6ztYt4OZtUWw_6_2"/>
      <w:bookmarkStart w:id="680" w:name="Tc_G1LgOQYn9EKK7kZDttjz1w_6_0"/>
      <w:bookmarkStart w:id="681" w:name="Tc_RXRekdGE2Ue28lqzFyYsLQ_5_11"/>
      <w:bookmarkStart w:id="682" w:name="Tc_iTcNUjwEjUGPRcYqz4QWqw_5_8"/>
      <w:bookmarkStart w:id="683" w:name="Tc_EXi6l9EGrk6YjBL6_731Xw_5_5"/>
      <w:bookmarkStart w:id="684" w:name="Tc_hnyZXZtePEeVn4gxbP7-3A_5_2"/>
      <w:bookmarkStart w:id="685" w:name="Tc_0GbhAeNWX0mVKYTlHOIeuw_5_0"/>
      <w:bookmarkStart w:id="686" w:name="Tc_aRb7KNNJW0G8aYF1BKNpOQ_4_0"/>
      <w:bookmarkStart w:id="687" w:name="Tc_jhOM1buszEWyvK9lPzHs7w_3_11"/>
      <w:bookmarkStart w:id="688" w:name="Tc_VvvEgjDkO0-6Nx-nilDkyA_3_8"/>
      <w:bookmarkStart w:id="689" w:name="Tc_CDsuP_WLnEWh32CnO4hAhg_3_5"/>
      <w:bookmarkStart w:id="690" w:name="Tc_-U2bLTAXO0aMTa2Usl7RKw_3_2"/>
      <w:bookmarkStart w:id="691" w:name="Tc_dqkAIUbaQk6zOv9nY7NqGg_2_8"/>
      <w:bookmarkStart w:id="692" w:name="Tc_8exmipLuQUW0dNmCR4twqQ_2_2"/>
      <w:bookmarkStart w:id="693" w:name="Tc_O2n_m2O_y0mwO4KrsaNzuA_1_8"/>
      <w:bookmarkStart w:id="694" w:name="Tc_e7VjITZcN0ic0krYfemsbw_1_2"/>
      <w:bookmarkStart w:id="695" w:name="_9e821362_7bc3_404f_9fa2_722fca92a23e"/>
      <w:bookmarkStart w:id="696" w:name="_dcd17db5_eaa8_4484_a536_453fc66b03e3"/>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rPr>
          <w:rFonts w:ascii="Times New Roman;Times;serif" w:hAnsi="Times New Roman;Times;serif"/>
          <w:b/>
          <w:sz w:val="20"/>
        </w:rPr>
        <w:t>NOTE 5: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three and six months ended June 30, 2024 and 2023, respectively:</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6"/>
        <w:gridCol w:w="326"/>
        <w:gridCol w:w="211"/>
        <w:gridCol w:w="1036"/>
        <w:gridCol w:w="326"/>
        <w:gridCol w:w="211"/>
        <w:gridCol w:w="1036"/>
        <w:gridCol w:w="386"/>
        <w:gridCol w:w="211"/>
        <w:gridCol w:w="1036"/>
        <w:gridCol w:w="326"/>
        <w:gridCol w:w="211"/>
        <w:gridCol w:w="1083"/>
      </w:tblGrid>
      <w:tr>
        <w:trPr/>
        <w:tc>
          <w:tcPr>
            <w:tcW w:w="3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16810" cy="175260"/>
                      <wp:effectExtent l="0" t="0" r="0" b="0"/>
                      <wp:wrapNone/>
                      <wp:docPr id="99" name="Frame98"/>
                      <a:graphic xmlns:a="http://schemas.openxmlformats.org/drawingml/2006/main">
                        <a:graphicData uri="http://schemas.microsoft.com/office/word/2010/wordprocessingShape">
                          <wps:wsp>
                            <wps:cNvSpPr txBox="1"/>
                            <wps:spPr>
                              <a:xfrm>
                                <a:off x="0" y="0"/>
                                <a:ext cx="24168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1"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57860" cy="175260"/>
                      <wp:effectExtent l="0" t="0" r="0" b="0"/>
                      <wp:wrapNone/>
                      <wp:docPr id="102" name="Frame10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57860" cy="175260"/>
                      <wp:effectExtent l="0" t="0" r="0" b="0"/>
                      <wp:wrapNone/>
                      <wp:docPr id="105" name="Frame10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45110" cy="175260"/>
                      <wp:effectExtent l="0" t="0" r="0" b="0"/>
                      <wp:wrapNone/>
                      <wp:docPr id="106" name="Frame10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57860" cy="175260"/>
                      <wp:effectExtent l="0" t="0" r="0" b="0"/>
                      <wp:wrapNone/>
                      <wp:docPr id="108" name="Frame1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0"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87705" cy="175260"/>
                      <wp:effectExtent l="0" t="0" r="0" b="0"/>
                      <wp:wrapNone/>
                      <wp:docPr id="111" name="Frame110"/>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80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86" w:type="dxa"/>
            <w:tcBorders/>
            <w:vAlign w:val="center"/>
          </w:tcPr>
          <w:p>
            <w:pPr>
              <w:pStyle w:val="TableContents"/>
              <w:bidi w:val="0"/>
              <w:spacing w:before="0" w:after="1"/>
              <w:ind w:left="0" w:right="0" w:hanging="0"/>
              <w:jc w:val="both"/>
              <w:rPr/>
            </w:pPr>
            <w:r>
              <w:rPr/>
              <w:t> </w:t>
            </w:r>
          </w:p>
        </w:tc>
        <w:tc>
          <w:tcPr>
            <w:tcW w:w="286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80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86" w:type="dxa"/>
            <w:tcBorders/>
            <w:vAlign w:val="center"/>
          </w:tcPr>
          <w:p>
            <w:pPr>
              <w:pStyle w:val="TableContents"/>
              <w:bidi w:val="0"/>
              <w:spacing w:before="0" w:after="1"/>
              <w:ind w:left="0" w:right="0" w:hanging="0"/>
              <w:jc w:val="both"/>
              <w:rPr/>
            </w:pPr>
            <w:r>
              <w:rPr/>
              <w:t> </w:t>
            </w:r>
          </w:p>
        </w:tc>
        <w:tc>
          <w:tcPr>
            <w:tcW w:w="28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0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06"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3" w:type="dxa"/>
            <w:tcBorders/>
            <w:shd w:fill="CCEEFF" w:val="clear"/>
            <w:vAlign w:val="center"/>
          </w:tcPr>
          <w:p>
            <w:pPr>
              <w:pStyle w:val="TableContents"/>
              <w:bidi w:val="0"/>
              <w:spacing w:before="0" w:after="1"/>
              <w:ind w:left="0" w:right="0" w:hanging="0"/>
              <w:jc w:val="both"/>
              <w:rPr/>
            </w:pPr>
            <w:r>
              <w:rPr/>
              <w:t>​</w:t>
            </w:r>
          </w:p>
        </w:tc>
      </w:tr>
      <w:tr>
        <w:trPr/>
        <w:tc>
          <w:tcPr>
            <w:tcW w:w="380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(2,192,677)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(4,098,980)</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(4,585,499)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(8,323,807)</w:t>
            </w:r>
          </w:p>
        </w:tc>
      </w:tr>
      <w:tr>
        <w:trPr/>
        <w:tc>
          <w:tcPr>
            <w:tcW w:w="380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from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6,614,769</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5,872,020</w:t>
            </w:r>
          </w:p>
        </w:tc>
      </w:tr>
      <w:tr>
        <w:trPr/>
        <w:tc>
          <w:tcPr>
            <w:tcW w:w="380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(2,192,677)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2,515,789</w:t>
            </w:r>
          </w:p>
        </w:tc>
        <w:tc>
          <w:tcPr>
            <w:tcW w:w="38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(4,585,499)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(2,451,787)</w:t>
            </w:r>
          </w:p>
        </w:tc>
      </w:tr>
      <w:tr>
        <w:trPr/>
        <w:tc>
          <w:tcPr>
            <w:tcW w:w="380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3" w:type="dxa"/>
            <w:tcBorders/>
            <w:shd w:fill="CCEEFF" w:val="clear"/>
            <w:vAlign w:val="center"/>
          </w:tcPr>
          <w:p>
            <w:pPr>
              <w:pStyle w:val="TableContents"/>
              <w:bidi w:val="0"/>
              <w:spacing w:before="0" w:after="1"/>
              <w:ind w:left="0" w:right="0" w:hanging="0"/>
              <w:jc w:val="both"/>
              <w:rPr/>
            </w:pPr>
            <w:r>
              <w:rPr/>
              <w:t>​</w:t>
            </w:r>
          </w:p>
        </w:tc>
      </w:tr>
      <w:tr>
        <w:trPr/>
        <w:tc>
          <w:tcPr>
            <w:tcW w:w="3806"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3" w:type="dxa"/>
            <w:tcBorders/>
            <w:vAlign w:val="center"/>
          </w:tcPr>
          <w:p>
            <w:pPr>
              <w:pStyle w:val="TableContents"/>
              <w:bidi w:val="0"/>
              <w:spacing w:before="0" w:after="1"/>
              <w:ind w:left="0" w:right="0" w:hanging="0"/>
              <w:jc w:val="right"/>
              <w:rPr/>
            </w:pPr>
            <w:r>
              <w:rPr/>
              <w:t>​</w:t>
            </w:r>
          </w:p>
        </w:tc>
      </w:tr>
      <w:tr>
        <w:trPr/>
        <w:tc>
          <w:tcPr>
            <w:tcW w:w="380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basic</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8,918,233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8,798,956</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8,910,097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8,760,209</w:t>
            </w:r>
          </w:p>
        </w:tc>
      </w:tr>
      <w:tr>
        <w:trPr/>
        <w:tc>
          <w:tcPr>
            <w:tcW w:w="380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diluted</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8,918,233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8,798,956</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8,910,097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8,760,209</w:t>
            </w:r>
          </w:p>
        </w:tc>
      </w:tr>
      <w:tr>
        <w:trPr/>
        <w:tc>
          <w:tcPr>
            <w:tcW w:w="380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3" w:type="dxa"/>
            <w:tcBorders/>
            <w:shd w:fill="CCEEFF" w:val="clear"/>
            <w:vAlign w:val="center"/>
          </w:tcPr>
          <w:p>
            <w:pPr>
              <w:pStyle w:val="TableContents"/>
              <w:bidi w:val="0"/>
              <w:spacing w:before="0" w:after="1"/>
              <w:ind w:left="0" w:right="0" w:hanging="0"/>
              <w:jc w:val="both"/>
              <w:rPr/>
            </w:pPr>
            <w:r>
              <w:rPr/>
              <w:t>​</w:t>
            </w:r>
          </w:p>
        </w:tc>
      </w:tr>
      <w:tr>
        <w:trPr/>
        <w:tc>
          <w:tcPr>
            <w:tcW w:w="3806"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earnings (loss)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3" w:type="dxa"/>
            <w:tcBorders/>
            <w:vAlign w:val="center"/>
          </w:tcPr>
          <w:p>
            <w:pPr>
              <w:pStyle w:val="TableContents"/>
              <w:bidi w:val="0"/>
              <w:spacing w:before="0" w:after="1"/>
              <w:ind w:left="0" w:right="0" w:hanging="0"/>
              <w:jc w:val="right"/>
              <w:rPr/>
            </w:pPr>
            <w:r>
              <w:rPr/>
              <w:t>​</w:t>
            </w:r>
          </w:p>
        </w:tc>
      </w:tr>
      <w:tr>
        <w:trPr/>
        <w:tc>
          <w:tcPr>
            <w:tcW w:w="380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(0.95)</w:t>
            </w:r>
          </w:p>
        </w:tc>
      </w:tr>
      <w:tr>
        <w:trPr/>
        <w:tc>
          <w:tcPr>
            <w:tcW w:w="380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from discontinued operations, basic and 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8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r>
      <w:tr>
        <w:trPr/>
        <w:tc>
          <w:tcPr>
            <w:tcW w:w="380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income per share,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securities, rounded to the nearest thousand, were not included in the diluted net loss per share calculation because their effect was anti-dilutive for the periods presented:</w:t>
      </w:r>
    </w:p>
    <w:p>
      <w:pPr>
        <w:pStyle w:val="TextBody"/>
        <w:bidi w:val="0"/>
        <w:spacing w:before="0" w:after="24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2836"/>
        <w:gridCol w:w="326"/>
        <w:gridCol w:w="781"/>
        <w:gridCol w:w="326"/>
        <w:gridCol w:w="103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00860" cy="175260"/>
                      <wp:effectExtent l="0" t="0" r="0" b="0"/>
                      <wp:wrapNone/>
                      <wp:docPr id="112" name="Frame111"/>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4"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6" name="Frame1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4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options</w:t>
            </w:r>
          </w:p>
        </w:tc>
        <w:tc>
          <w:tcPr>
            <w:tcW w:w="326"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601,000</w:t>
            </w:r>
          </w:p>
        </w:tc>
        <w:tc>
          <w:tcPr>
            <w:tcW w:w="326"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1,143,000</w:t>
            </w:r>
          </w:p>
        </w:tc>
      </w:tr>
      <w:tr>
        <w:trPr/>
        <w:tc>
          <w:tcPr>
            <w:tcW w:w="283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purchase warrants</w:t>
            </w:r>
          </w:p>
        </w:tc>
        <w:tc>
          <w:tcPr>
            <w:tcW w:w="326" w:type="dxa"/>
            <w:tcBorders/>
            <w:vAlign w:val="center"/>
          </w:tcPr>
          <w:p>
            <w:pPr>
              <w:pStyle w:val="TableContents"/>
              <w:bidi w:val="0"/>
              <w:spacing w:before="0" w:after="1"/>
              <w:ind w:left="0" w:right="0" w:hanging="0"/>
              <w:jc w:val="both"/>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Potentially dilutive securities</w:t>
            </w:r>
          </w:p>
        </w:tc>
        <w:tc>
          <w:tcPr>
            <w:tcW w:w="326" w:type="dxa"/>
            <w:tcBorders/>
            <w:shd w:fill="CCEEFF" w:val="clear"/>
            <w:vAlign w:val="center"/>
          </w:tcPr>
          <w:p>
            <w:pPr>
              <w:pStyle w:val="TableContents"/>
              <w:bidi w:val="0"/>
              <w:spacing w:before="0" w:after="1"/>
              <w:ind w:left="0" w:right="0" w:hanging="0"/>
              <w:jc w:val="both"/>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601,000</w:t>
            </w:r>
          </w:p>
        </w:tc>
        <w:tc>
          <w:tcPr>
            <w:tcW w:w="326" w:type="dxa"/>
            <w:tcBorders/>
            <w:shd w:fill="CCEEFF" w:val="clear"/>
            <w:vAlign w:val="center"/>
          </w:tcPr>
          <w:p>
            <w:pPr>
              <w:pStyle w:val="TableContents"/>
              <w:bidi w:val="0"/>
              <w:spacing w:before="0" w:after="1"/>
              <w:ind w:left="0" w:right="0" w:hanging="0"/>
              <w:jc w:val="both"/>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2,991,000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6: OTHER RECEIVABLE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Qualifying grant income earned in advance of cash received from grants is recognized as revenue and recorded as other receivable. The Company recorded $0.7 million and $1.5 million of grant income related to the CPRIT grant for the three and six months ended June 30, 2024, respectively. At June 30, 2024, the Company recorded $1.9 million of grant income receivable related to the CPRIT grant.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Additionally, the Company recorded $0.2 million and $0.2 million of grant income related to the FDA and SBIR grants, respectively, for the three months ended June 30, 2024. The Company recorded $0.5 million and $0.4 million of grant income related to the FDA and SBIR grants, respectively, for the six months ended June 30, 2024. At June 30, 2024, the Company recorded $0.2 million and $0.2 million of grant income receivable related to the FDA and SBIR grants,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2024, the Company received payments of  $0.2 million and $0.2 million from the FDA and SBIR grants, respectively.</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97" w:name="Tc_bLW3qWop4kWn_gPeafiEuw_7_2"/>
      <w:bookmarkStart w:id="698" w:name="Tc_o8_rN6oCwEKnSde6AlEIyg_7_0"/>
      <w:bookmarkStart w:id="699" w:name="Tc_XQlky-jXCUWL7Pbb9aSFHA_6_0"/>
      <w:bookmarkStart w:id="700" w:name="Tc_USKiIIsPlUKVXK1oTi909w_5_0"/>
      <w:bookmarkStart w:id="701" w:name="Tc__i8NF5NIwEmFheuL16uaEg_4_0"/>
      <w:bookmarkStart w:id="702" w:name="Tc_JKmEzkHv7UWvtrDpDaV7WQ_3_2"/>
      <w:bookmarkStart w:id="703" w:name="Tc_icl03ZgXrUiAIr8aAC8Zlw_2_2"/>
      <w:bookmarkStart w:id="704" w:name="Tc_d7r_bLs6I0exSgASg8CjBw_1_2"/>
      <w:bookmarkStart w:id="705" w:name="Tc_7QxA_c8EHE6-5Pp3bNL0Aw_13_5"/>
      <w:bookmarkStart w:id="706" w:name="Tc_t26f8oHH0EqeepBqjPlJZw_13_2"/>
      <w:bookmarkStart w:id="707" w:name="Tc_V6XtZk1lB06dPrOsv5iM5g_13_0"/>
      <w:bookmarkStart w:id="708" w:name="Tc_FUPiQhki10qrWxP6nz90MA_12_0"/>
      <w:bookmarkStart w:id="709" w:name="Tc_o_v5Je-Xh02iuLQtWdeohw_11_0"/>
      <w:bookmarkStart w:id="710" w:name="Tc_LhrUAfIJxkKBXwMS4CIWOQ_10_0"/>
      <w:bookmarkStart w:id="711" w:name="Tc_r1Ohqc53A02syqDUUXkOOw_9_0"/>
      <w:bookmarkStart w:id="712" w:name="Tc_KjyRUAobS0uBIGCk619Wtg_8_0"/>
      <w:bookmarkStart w:id="713" w:name="Tc_3ucX9iyljEeWIrLz8J4s4A_7_3"/>
      <w:bookmarkStart w:id="714" w:name="Tc_vywO5-KrM0qWM6bX9NUFfQ_7_0"/>
      <w:bookmarkStart w:id="715" w:name="Tc_8I8eUVppPkW3vxHNTMgdag_6_5"/>
      <w:bookmarkStart w:id="716" w:name="Tc_WBhagEgp-0GTdLIN35elJw_6_2"/>
      <w:bookmarkStart w:id="717" w:name="Tc_4M5v0DTyykSKN7Gned5ang_6_0"/>
      <w:bookmarkStart w:id="718" w:name="Tc_VAGIRUjZ90aM8abTDyynHA_5_0"/>
      <w:bookmarkStart w:id="719" w:name="Tc_oZWQSyg8U0evphIoj0X48Q_4_5"/>
      <w:bookmarkStart w:id="720" w:name="Tc_SVlO7-Sb5Em_ng8wqi0cyQ_4_2"/>
      <w:bookmarkStart w:id="721" w:name="Tc_vG3eX8Pnyk2rJHn1OIeUFQ_3_5"/>
      <w:bookmarkStart w:id="722" w:name="Tc_8JN3OkgeJUaGydMk6HyGpg_3_2"/>
      <w:bookmarkStart w:id="723" w:name="Tc_RiDiGt1OfEq6HP81Avum2w_2_5"/>
      <w:bookmarkStart w:id="724" w:name="Tc_4s3NT8em5EWLa9Qf43uBjw_2_2"/>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r>
        <w:rPr>
          <w:rFonts w:ascii="Times New Roman;Times;serif" w:hAnsi="Times New Roman;Times;serif"/>
          <w:b/>
          <w:sz w:val="20"/>
        </w:rPr>
        <w:t>NOTE 7: DISCONTINUED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discussed in Note 1, on June 26, 2023, the Company completed the previously announced transaction with Cell Ready for cash consideration of $19.0 million, resulting in derecognition of the Purchased Assets and a gain on sale of approximately $8.7 million, net of $63,000 in tax. There were no remaining assets and liabilities classified in discontinued operations as of June 30, 2024 or December 31, 2023.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had no activity related to discontinued operations for the three and six months ended June 30, 2024. Net loss from discontinued operations for the three and six months ended June 30, 2023, was as follows:</w:t>
      </w:r>
    </w:p>
    <w:p>
      <w:pPr>
        <w:pStyle w:val="TextBody"/>
        <w:bidi w:val="0"/>
        <w:spacing w:before="0" w:after="0"/>
        <w:ind w:left="0" w:right="0" w:hanging="0"/>
        <w:jc w:val="both"/>
        <w:rPr/>
      </w:pPr>
      <w:r>
        <w:rPr/>
        <w:t>​</w:t>
      </w:r>
    </w:p>
    <w:tbl>
      <w:tblPr>
        <w:tblW w:w="6819" w:type="dxa"/>
        <w:jc w:val="left"/>
        <w:tblInd w:w="0" w:type="dxa"/>
        <w:tblLayout w:type="fixed"/>
        <w:tblCellMar>
          <w:top w:w="0" w:type="dxa"/>
          <w:left w:w="0" w:type="dxa"/>
          <w:bottom w:w="0" w:type="dxa"/>
          <w:right w:w="0" w:type="dxa"/>
        </w:tblCellMar>
      </w:tblPr>
      <w:tblGrid>
        <w:gridCol w:w="2926"/>
        <w:gridCol w:w="326"/>
        <w:gridCol w:w="283"/>
        <w:gridCol w:w="1412"/>
        <w:gridCol w:w="326"/>
        <w:gridCol w:w="261"/>
        <w:gridCol w:w="1285"/>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858010" cy="175260"/>
                      <wp:effectExtent l="0" t="0" r="0" b="0"/>
                      <wp:wrapNone/>
                      <wp:docPr id="117" name="Frame116"/>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9705" cy="175260"/>
                      <wp:effectExtent l="0" t="0" r="0" b="0"/>
                      <wp:wrapNone/>
                      <wp:docPr id="119" name="Frame11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96620" cy="175260"/>
                      <wp:effectExtent l="0" t="0" r="0" b="0"/>
                      <wp:wrapNone/>
                      <wp:docPr id="120" name="Frame119"/>
                      <a:graphic xmlns:a="http://schemas.openxmlformats.org/drawingml/2006/main">
                        <a:graphicData uri="http://schemas.microsoft.com/office/word/2010/wordprocessingShape">
                          <wps:wsp>
                            <wps:cNvSpPr txBox="1"/>
                            <wps:spPr>
                              <a:xfrm>
                                <a:off x="0" y="0"/>
                                <a:ext cx="8966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5735" cy="175260"/>
                      <wp:effectExtent l="0" t="0" r="0" b="0"/>
                      <wp:wrapNone/>
                      <wp:docPr id="122" name="Frame12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15975" cy="175260"/>
                      <wp:effectExtent l="0" t="0" r="0" b="0"/>
                      <wp:wrapNone/>
                      <wp:docPr id="123" name="Frame122"/>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58010" cy="175260"/>
                      <wp:effectExtent l="0" t="0" r="0" b="0"/>
                      <wp:wrapNone/>
                      <wp:docPr id="124" name="Frame12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79705" cy="175260"/>
                      <wp:effectExtent l="0" t="0" r="0" b="0"/>
                      <wp:wrapNone/>
                      <wp:docPr id="126" name="Frame12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896620" cy="175260"/>
                      <wp:effectExtent l="0" t="0" r="0" b="0"/>
                      <wp:wrapNone/>
                      <wp:docPr id="127" name="Frame126"/>
                      <a:graphic xmlns:a="http://schemas.openxmlformats.org/drawingml/2006/main">
                        <a:graphicData uri="http://schemas.microsoft.com/office/word/2010/wordprocessingShape">
                          <wps:wsp>
                            <wps:cNvSpPr txBox="1"/>
                            <wps:spPr>
                              <a:xfrm>
                                <a:off x="0" y="0"/>
                                <a:ext cx="8966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5735" cy="175260"/>
                      <wp:effectExtent l="0" t="0" r="0" b="0"/>
                      <wp:wrapNone/>
                      <wp:docPr id="129" name="Frame12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815975" cy="175260"/>
                      <wp:effectExtent l="0" t="0" r="0" b="0"/>
                      <wp:wrapNone/>
                      <wp:docPr id="130" name="Frame129"/>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    </w:t>
            </w:r>
          </w:p>
        </w:tc>
        <w:tc>
          <w:tcPr>
            <w:tcW w:w="16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16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w: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16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83" w:type="dxa"/>
            <w:tcBorders/>
            <w:shd w:fill="CCEEFF" w:val="clear"/>
            <w:vAlign w:val="center"/>
          </w:tcPr>
          <w:p>
            <w:pPr>
              <w:pStyle w:val="TableContents"/>
              <w:bidi w:val="0"/>
              <w:spacing w:before="0" w:after="1"/>
              <w:ind w:left="0" w:right="0" w:hanging="0"/>
              <w:jc w:val="both"/>
              <w:rPr/>
            </w:pPr>
            <w:r>
              <w:rPr/>
              <w:t>​</w:t>
            </w:r>
          </w:p>
        </w:tc>
        <w:tc>
          <w:tcPr>
            <w:tcW w:w="14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61" w:type="dxa"/>
            <w:tcBorders/>
            <w:shd w:fill="CCEEFF" w:val="clear"/>
            <w:vAlign w:val="center"/>
          </w:tcPr>
          <w:p>
            <w:pPr>
              <w:pStyle w:val="TableContents"/>
              <w:bidi w:val="0"/>
              <w:spacing w:before="0" w:after="1"/>
              <w:ind w:left="0" w:right="0" w:hanging="0"/>
              <w:jc w:val="both"/>
              <w:rPr/>
            </w:pPr>
            <w:r>
              <w:rPr/>
              <w:t>​</w:t>
            </w:r>
          </w:p>
        </w:tc>
        <w:tc>
          <w:tcPr>
            <w:tcW w:w="1285" w:type="dxa"/>
            <w:tcBorders/>
            <w:shd w:fill="CCEEFF" w:val="clear"/>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Service Revenue</w:t>
            </w:r>
          </w:p>
        </w:tc>
        <w:tc>
          <w:tcPr>
            <w:tcW w:w="326" w:type="dxa"/>
            <w:tcBorders/>
            <w:vAlign w:val="center"/>
          </w:tcPr>
          <w:p>
            <w:pPr>
              <w:pStyle w:val="TableContents"/>
              <w:bidi w:val="0"/>
              <w:spacing w:before="0" w:after="1"/>
              <w:ind w:left="0" w:right="0" w:hanging="0"/>
              <w:jc w:val="both"/>
              <w:rPr/>
            </w:pPr>
            <w:r>
              <w:rPr/>
              <w:t>​</w:t>
            </w:r>
          </w:p>
        </w:tc>
        <w:tc>
          <w:tcPr>
            <w:tcW w:w="283"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4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816,641</w:t>
            </w:r>
          </w:p>
        </w:tc>
        <w:tc>
          <w:tcPr>
            <w:tcW w:w="326" w:type="dxa"/>
            <w:tcBorders/>
            <w:vAlign w:val="center"/>
          </w:tcPr>
          <w:p>
            <w:pPr>
              <w:pStyle w:val="TableContents"/>
              <w:bidi w:val="0"/>
              <w:spacing w:before="0" w:after="1"/>
              <w:ind w:left="0" w:right="0" w:hanging="0"/>
              <w:jc w:val="both"/>
              <w:rPr/>
            </w:pPr>
            <w:r>
              <w:rPr/>
              <w:t>​</w:t>
            </w:r>
          </w:p>
        </w:tc>
        <w:tc>
          <w:tcPr>
            <w:tcW w:w="26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816,641</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service revenue</w:t>
            </w:r>
          </w:p>
        </w:tc>
        <w:tc>
          <w:tcPr>
            <w:tcW w:w="326" w:type="dxa"/>
            <w:tcBorders/>
            <w:shd w:fill="CCEEFF" w:val="clear"/>
            <w:vAlign w:val="center"/>
          </w:tcPr>
          <w:p>
            <w:pPr>
              <w:pStyle w:val="TableContents"/>
              <w:bidi w:val="0"/>
              <w:spacing w:before="0" w:after="1"/>
              <w:ind w:left="0" w:right="0" w:hanging="0"/>
              <w:jc w:val="both"/>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4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3,500,000</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both"/>
              <w:rPr/>
            </w:pPr>
            <w:r>
              <w:rPr/>
              <w:t>​</w:t>
            </w:r>
          </w:p>
        </w:tc>
        <w:tc>
          <w:tcPr>
            <w:tcW w:w="283" w:type="dxa"/>
            <w:tcBorders/>
            <w:vAlign w:val="center"/>
          </w:tcPr>
          <w:p>
            <w:pPr>
              <w:pStyle w:val="TableContents"/>
              <w:bidi w:val="0"/>
              <w:spacing w:before="0" w:after="1"/>
              <w:ind w:left="0" w:right="0" w:hanging="0"/>
              <w:jc w:val="both"/>
              <w:rPr/>
            </w:pPr>
            <w:r>
              <w:rPr/>
              <w:t> </w:t>
            </w:r>
          </w:p>
        </w:tc>
        <w:tc>
          <w:tcPr>
            <w:tcW w:w="14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816,641</w:t>
            </w:r>
          </w:p>
        </w:tc>
        <w:tc>
          <w:tcPr>
            <w:tcW w:w="326" w:type="dxa"/>
            <w:tcBorders/>
            <w:vAlign w:val="center"/>
          </w:tcPr>
          <w:p>
            <w:pPr>
              <w:pStyle w:val="TableContents"/>
              <w:bidi w:val="0"/>
              <w:spacing w:before="0" w:after="1"/>
              <w:ind w:left="0" w:right="0" w:hanging="0"/>
              <w:jc w:val="both"/>
              <w:rPr/>
            </w:pPr>
            <w:r>
              <w:rPr/>
              <w:t>​</w:t>
            </w:r>
          </w:p>
        </w:tc>
        <w:tc>
          <w:tcPr>
            <w:tcW w:w="261" w:type="dxa"/>
            <w:tcBorders/>
            <w:vAlign w:val="center"/>
          </w:tcPr>
          <w:p>
            <w:pPr>
              <w:pStyle w:val="TableContents"/>
              <w:bidi w:val="0"/>
              <w:spacing w:before="0" w:after="1"/>
              <w:ind w:left="0" w:right="0" w:hanging="0"/>
              <w:jc w:val="both"/>
              <w:rPr/>
            </w:pPr>
            <w:r>
              <w:rPr/>
              <w:t> </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4,316,641</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83" w:type="dxa"/>
            <w:tcBorders/>
            <w:shd w:fill="CCEEFF" w:val="clear"/>
            <w:vAlign w:val="center"/>
          </w:tcPr>
          <w:p>
            <w:pPr>
              <w:pStyle w:val="TableContents"/>
              <w:bidi w:val="0"/>
              <w:spacing w:before="0" w:after="1"/>
              <w:ind w:left="0" w:right="0" w:hanging="0"/>
              <w:jc w:val="both"/>
              <w:rPr/>
            </w:pPr>
            <w:r>
              <w:rPr/>
              <w:t> </w:t>
            </w:r>
          </w:p>
        </w:tc>
        <w:tc>
          <w:tcPr>
            <w:tcW w:w="14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61" w:type="dxa"/>
            <w:tcBorders/>
            <w:shd w:fill="CCEEFF" w:val="clear"/>
            <w:vAlign w:val="center"/>
          </w:tcPr>
          <w:p>
            <w:pPr>
              <w:pStyle w:val="TableContents"/>
              <w:bidi w:val="0"/>
              <w:spacing w:before="0" w:after="1"/>
              <w:ind w:left="0" w:right="0" w:hanging="0"/>
              <w:jc w:val="both"/>
              <w:rPr/>
            </w:pPr>
            <w:r>
              <w:rPr/>
              <w:t> </w:t>
            </w:r>
          </w:p>
        </w:tc>
        <w:tc>
          <w:tcPr>
            <w:tcW w:w="1285" w:type="dxa"/>
            <w:tcBorders/>
            <w:shd w:fill="CCEEFF" w:val="clear"/>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83" w:type="dxa"/>
            <w:tcBorders/>
            <w:vAlign w:val="center"/>
          </w:tcPr>
          <w:p>
            <w:pPr>
              <w:pStyle w:val="TableContents"/>
              <w:bidi w:val="0"/>
              <w:spacing w:before="0" w:after="1"/>
              <w:ind w:left="0" w:right="0" w:hanging="0"/>
              <w:jc w:val="both"/>
              <w:rPr/>
            </w:pPr>
            <w:r>
              <w:rPr/>
              <w:t> </w:t>
            </w:r>
          </w:p>
        </w:tc>
        <w:tc>
          <w:tcPr>
            <w:tcW w:w="14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2,667,712</w:t>
            </w:r>
          </w:p>
        </w:tc>
        <w:tc>
          <w:tcPr>
            <w:tcW w:w="326" w:type="dxa"/>
            <w:tcBorders/>
            <w:vAlign w:val="center"/>
          </w:tcPr>
          <w:p>
            <w:pPr>
              <w:pStyle w:val="TableContents"/>
              <w:bidi w:val="0"/>
              <w:spacing w:before="0" w:after="1"/>
              <w:ind w:left="0" w:right="0" w:hanging="0"/>
              <w:jc w:val="both"/>
              <w:rPr/>
            </w:pPr>
            <w:r>
              <w:rPr/>
              <w:t>​</w:t>
            </w:r>
          </w:p>
        </w:tc>
        <w:tc>
          <w:tcPr>
            <w:tcW w:w="261" w:type="dxa"/>
            <w:tcBorders/>
            <w:vAlign w:val="center"/>
          </w:tcPr>
          <w:p>
            <w:pPr>
              <w:pStyle w:val="TableContents"/>
              <w:bidi w:val="0"/>
              <w:spacing w:before="0" w:after="1"/>
              <w:ind w:left="0" w:right="0" w:hanging="0"/>
              <w:jc w:val="both"/>
              <w:rPr/>
            </w:pPr>
            <w:r>
              <w:rPr/>
              <w:t> </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6,561,957</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4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328,585</w:t>
            </w:r>
          </w:p>
        </w:tc>
        <w:tc>
          <w:tcPr>
            <w:tcW w:w="326" w:type="dxa"/>
            <w:tcBorders/>
            <w:shd w:fill="CCEEFF" w:val="clear"/>
            <w:vAlign w:val="center"/>
          </w:tcPr>
          <w:p>
            <w:pPr>
              <w:pStyle w:val="TableContents"/>
              <w:bidi w:val="0"/>
              <w:spacing w:before="0" w:after="1"/>
              <w:ind w:left="0" w:right="0" w:hanging="0"/>
              <w:jc w:val="both"/>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677,090</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both"/>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4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2,996,297</w:t>
            </w:r>
          </w:p>
        </w:tc>
        <w:tc>
          <w:tcPr>
            <w:tcW w:w="326" w:type="dxa"/>
            <w:tcBorders/>
            <w:vAlign w:val="center"/>
          </w:tcPr>
          <w:p>
            <w:pPr>
              <w:pStyle w:val="TableContents"/>
              <w:bidi w:val="0"/>
              <w:spacing w:before="0" w:after="1"/>
              <w:ind w:left="0" w:right="0" w:hanging="0"/>
              <w:jc w:val="both"/>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7,239,048</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(2,179,657)</w:t>
            </w:r>
          </w:p>
        </w:tc>
        <w:tc>
          <w:tcPr>
            <w:tcW w:w="326" w:type="dxa"/>
            <w:tcBorders/>
            <w:shd w:fill="CCEEFF" w:val="clear"/>
            <w:vAlign w:val="center"/>
          </w:tcPr>
          <w:p>
            <w:pPr>
              <w:pStyle w:val="TableContents"/>
              <w:bidi w:val="0"/>
              <w:spacing w:before="0" w:after="1"/>
              <w:ind w:left="0" w:right="0" w:hanging="0"/>
              <w:jc w:val="both"/>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(2,922,406)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related to discontinued operations for the six months ended June 30, 2023:</w:t>
      </w:r>
    </w:p>
    <w:p>
      <w:pPr>
        <w:pStyle w:val="TextBody"/>
        <w:bidi w:val="0"/>
        <w:spacing w:before="0" w:after="240"/>
        <w:ind w:left="0" w:right="0" w:hanging="0"/>
        <w:jc w:val="left"/>
        <w:rPr/>
      </w:pPr>
      <w:r>
        <w:rPr/>
        <w:t>​</w:t>
      </w:r>
    </w:p>
    <w:tbl>
      <w:tblPr>
        <w:tblW w:w="6193" w:type="dxa"/>
        <w:jc w:val="left"/>
        <w:tblInd w:w="0" w:type="dxa"/>
        <w:tblLayout w:type="fixed"/>
        <w:tblCellMar>
          <w:top w:w="0" w:type="dxa"/>
          <w:left w:w="0" w:type="dxa"/>
          <w:bottom w:w="0" w:type="dxa"/>
          <w:right w:w="0" w:type="dxa"/>
        </w:tblCellMar>
      </w:tblPr>
      <w:tblGrid>
        <w:gridCol w:w="4321"/>
        <w:gridCol w:w="326"/>
        <w:gridCol w:w="241"/>
        <w:gridCol w:w="1305"/>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743835" cy="175260"/>
                      <wp:effectExtent l="0" t="0" r="0" b="0"/>
                      <wp:wrapNone/>
                      <wp:docPr id="131" name="Frame130"/>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3035" cy="175260"/>
                      <wp:effectExtent l="0" t="0" r="0" b="0"/>
                      <wp:wrapNone/>
                      <wp:docPr id="133" name="Frame13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28675" cy="175260"/>
                      <wp:effectExtent l="0" t="0" r="0" b="0"/>
                      <wp:wrapNone/>
                      <wp:docPr id="134" name="Frame133"/>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43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w:t>
            </w:r>
          </w:p>
        </w:tc>
      </w:tr>
      <w:tr>
        <w:trPr/>
        <w:tc>
          <w:tcPr>
            <w:tcW w:w="43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2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shd w:fill="CCEEFF" w:val="clear"/>
            <w:vAlign w:val="center"/>
          </w:tcPr>
          <w:p>
            <w:pPr>
              <w:pStyle w:val="TableContents"/>
              <w:bidi w:val="0"/>
              <w:spacing w:before="0" w:after="1"/>
              <w:ind w:left="0" w:right="0" w:hanging="0"/>
              <w:jc w:val="both"/>
              <w:rPr/>
            </w:pPr>
            <w:r>
              <w:rPr/>
              <w:t> </w:t>
            </w:r>
          </w:p>
        </w:tc>
        <w:tc>
          <w:tcPr>
            <w:tcW w:w="1305"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both"/>
              <w:rPr/>
            </w:pPr>
            <w:r>
              <w:rPr/>
              <w:t>​</w:t>
            </w:r>
          </w:p>
        </w:tc>
        <w:tc>
          <w:tcPr>
            <w:tcW w:w="241" w:type="dxa"/>
            <w:tcBorders/>
            <w:vAlign w:val="center"/>
          </w:tcPr>
          <w:p>
            <w:pPr>
              <w:pStyle w:val="TableContents"/>
              <w:bidi w:val="0"/>
              <w:spacing w:before="0" w:after="1"/>
              <w:ind w:left="0" w:right="0" w:hanging="0"/>
              <w:jc w:val="both"/>
              <w:rPr/>
            </w:pPr>
            <w:r>
              <w:rPr/>
              <w:t> </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(5,776,000)</w:t>
            </w:r>
          </w:p>
        </w:tc>
      </w:tr>
      <w:tr>
        <w:trPr/>
        <w:tc>
          <w:tcPr>
            <w:tcW w:w="43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18,664,000</w:t>
            </w:r>
          </w:p>
        </w:tc>
      </w:tr>
      <w:tr>
        <w:trPr/>
        <w:tc>
          <w:tcPr>
            <w:tcW w:w="43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vAlign w:val="center"/>
          </w:tcPr>
          <w:p>
            <w:pPr>
              <w:pStyle w:val="TableContents"/>
              <w:bidi w:val="0"/>
              <w:spacing w:before="0" w:after="1"/>
              <w:ind w:left="0" w:right="0" w:hanging="0"/>
              <w:jc w:val="both"/>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12,888,000</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Related Party Service Revenue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April 2022, the Company entered into a binding services agreement (“Wilson Wolf Agreement”) with Wilson Wolf Manufacturing Corporation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Wilson Wolf Agreement, Wilson Wolf made a cash payment to the Company in the amount of $8.0 million, as consideration for certain training and research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March 2023, the Company recognized the final $2.5 million of revenue pursuant to this $8.0 million agreement and an additional $1.0 million because certain agreed milestones were met. Payment of the additional $1.0 million was received in May 2023.</w:t>
      </w:r>
    </w:p>
    <w:p>
      <w:pPr>
        <w:pStyle w:val="TextBody"/>
        <w:bidi w:val="0"/>
        <w:spacing w:before="0" w:after="240"/>
        <w:ind w:left="0" w:right="0" w:hanging="0"/>
        <w:jc w:val="left"/>
        <w:rPr>
          <w:rFonts w:ascii="Times New Roman;Times;serif" w:hAnsi="Times New Roman;Times;serif"/>
          <w:b/>
          <w:sz w:val="20"/>
        </w:rPr>
      </w:pPr>
      <w:bookmarkStart w:id="725" w:name="Tc_i5qsmf_EKE6aeqfrpaUjtw_9_5"/>
      <w:bookmarkStart w:id="726" w:name="Tc_rStTFC4BJk2_nUPX9DaGiA_9_2"/>
      <w:bookmarkStart w:id="727" w:name="Tc_pp-k3t-7O02-PT_ZRnLJiQ_9_0"/>
      <w:bookmarkStart w:id="728" w:name="Tc_0yc7Lhb3REK_q-M5rTA-vQ_8_0"/>
      <w:bookmarkStart w:id="729" w:name="Tc_xakc2ySaR0afjDM5h9tK6g_7_0"/>
      <w:bookmarkStart w:id="730" w:name="Tc_qmT9LBY8iU-Gv3r60-0J8Q_6_0"/>
      <w:bookmarkStart w:id="731" w:name="Tc_FQBBcrpYR02eV11yifCDVA_5_0"/>
      <w:bookmarkStart w:id="732" w:name="Tc_S7pOvEE5bEGAMBySBS_1qQ_4_0"/>
      <w:bookmarkStart w:id="733" w:name="Tc_JyVGVZdkzUmnY6Ub8JPe1g_3_5"/>
      <w:bookmarkStart w:id="734" w:name="Tc_OYxkVYyRYEqmVW3XrmFVqw_3_2"/>
      <w:bookmarkStart w:id="735" w:name="Tc_EfRpiYs7kU6YU_z6l3X3OA_3_0"/>
      <w:bookmarkStart w:id="736" w:name="Tc_PlSBpoi79kiiCT51bCCy9w_2_5"/>
      <w:bookmarkStart w:id="737" w:name="Tc_s40KsnKgsUixHgWNIwPsKw_2_2"/>
      <w:bookmarkStart w:id="738" w:name="Tc_QNv0O2JwSkWegYGWQgcAYA_1_5"/>
      <w:bookmarkStart w:id="739" w:name="Tc_PmQs7bcKG0aY__nncwiFGQ_1_2"/>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Pr>
          <w:rFonts w:ascii="Times New Roman;Times;serif" w:hAnsi="Times New Roman;Times;serif"/>
          <w:b/>
          <w:sz w:val="20"/>
        </w:rPr>
        <w:t>NOTE 8: ACCOUNTS PAYABLE, ACCRUED LIABILITIES AND RELATED PARTY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accrued liabilities, and related party payable consist of the following as of June 30, 2024 and December 31, 2023, respectively:</w:t>
      </w:r>
    </w:p>
    <w:p>
      <w:pPr>
        <w:pStyle w:val="TextBody"/>
        <w:bidi w:val="0"/>
        <w:spacing w:before="0" w:after="240"/>
        <w:ind w:left="0" w:right="0" w:hanging="0"/>
        <w:jc w:val="left"/>
        <w:rPr/>
      </w:pPr>
      <w:r>
        <w:rPr/>
        <w:t>​</w:t>
      </w:r>
    </w:p>
    <w:tbl>
      <w:tblPr>
        <w:tblW w:w="8697" w:type="dxa"/>
        <w:jc w:val="left"/>
        <w:tblInd w:w="0" w:type="dxa"/>
        <w:tblLayout w:type="fixed"/>
        <w:tblCellMar>
          <w:top w:w="0" w:type="dxa"/>
          <w:left w:w="0" w:type="dxa"/>
          <w:bottom w:w="0" w:type="dxa"/>
          <w:right w:w="0" w:type="dxa"/>
        </w:tblCellMar>
      </w:tblPr>
      <w:tblGrid>
        <w:gridCol w:w="5656"/>
        <w:gridCol w:w="326"/>
        <w:gridCol w:w="211"/>
        <w:gridCol w:w="931"/>
        <w:gridCol w:w="326"/>
        <w:gridCol w:w="211"/>
        <w:gridCol w:w="1036"/>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591560" cy="175260"/>
                      <wp:effectExtent l="0" t="0" r="0" b="0"/>
                      <wp:wrapNone/>
                      <wp:docPr id="135" name="Frame134"/>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7"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91185" cy="175260"/>
                      <wp:effectExtent l="0" t="0" r="0" b="0"/>
                      <wp:wrapNone/>
                      <wp:docPr id="138" name="Frame1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0"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57860" cy="175260"/>
                      <wp:effectExtent l="0" t="0" r="0" b="0"/>
                      <wp:wrapNone/>
                      <wp:docPr id="141" name="Frame1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Compensation and benefits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Tax fees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accounts payable, accrued liabilities and related party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3,075,000</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$0.3 million and $1.3 million related-party payable as of June 30, 2024 and December 31, 2023, respectively, primarily reflects amounts payable to Cell Ready for outsourced product development and manufacturing services. See Note 13: Related Party Transactions.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Issuance of Stock Pursuant to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2024, the Company sold 8,178 shares of its common stock under the ATM Agreement for gross proceeds of $37,000. During the six months ended June 30, 2023, the Company sold 200,261 shares of its common stock under the ATM Agreement for gross proceeds of $0.6 million. On June 10, 2024, the Company provided notice of its termination of the ATM Agreement with Cantor Fitzgerald &amp; Co. and RBC Capital Markets, LLC. The Company is currently considering more effective ways to improve market access to its equity.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2022, the Company entered into a purchase agreement (the “Purchase Agreement”) with Lincoln Park which provides that, upon the terms and subject to the conditions of the agreement, the Company had the right, but not the obligation, to sell to Lincoln Park up to $25,000,000 of shares of its common stock (the “Purchase Shares”) from time to time over a 24-month term, at a variable price with certain market-based terms as defined in the Purchase Agreement. The Purchase Agreement did not exhibit any of the characteristics for liability classification under ASC Topic 480, Distinguishing Liabilities from Equity. Instead, the purchase agreement was indexed to the Company’s own stock under ASC Subtopic 815-40, </w:t>
      </w:r>
      <w:r>
        <w:rPr>
          <w:rFonts w:ascii="Times New Roman;Times;serif" w:hAnsi="Times New Roman;Times;serif"/>
          <w:i/>
          <w:sz w:val="20"/>
        </w:rPr>
        <w:t>Contracts in Entity’s Own Equity</w:t>
      </w:r>
      <w:r>
        <w:rPr>
          <w:rFonts w:ascii="Times New Roman;Times;serif" w:hAnsi="Times New Roman;Times;serif"/>
          <w:sz w:val="20"/>
        </w:rPr>
        <w:t>, and classified as equity. In January 2023, Lincoln Park was issued 180,410 shares of stock as a commitment fee at a value of $0.5 million. During the six months ended June 30, 2023, the Company sold 12,500 shares of its common stock under the Purchase Agreement for gross proceeds of approximately $33,000. The Company terminated the Purchase Agreement with Lincoln Park on February 29, 2024, effective March 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Exercise of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2024, certain outstanding options were exercised for 23,097 shares of common stock, providing aggregate proceeds to the Company of approximately $57,000.</w:t>
      </w:r>
    </w:p>
    <w:p>
      <w:pPr>
        <w:pStyle w:val="TextBody"/>
        <w:bidi w:val="0"/>
        <w:spacing w:before="0" w:after="240"/>
        <w:ind w:left="0" w:right="0" w:hanging="0"/>
        <w:jc w:val="left"/>
        <w:rPr>
          <w:rFonts w:ascii="Times New Roman;Times;serif" w:hAnsi="Times New Roman;Times;serif"/>
          <w:b/>
          <w:sz w:val="20"/>
        </w:rPr>
      </w:pPr>
      <w:bookmarkStart w:id="740" w:name="Tc_OI3eII4seEKixkgQ_KMTcQ_9_11"/>
      <w:bookmarkStart w:id="741" w:name="Tc_J8fHUZ9LGkyKImBF02X3Zg_9_8"/>
      <w:bookmarkStart w:id="742" w:name="Tc_5pu4wdOUdkKquIwy7ZpOfQ_9_5"/>
      <w:bookmarkStart w:id="743" w:name="Tc_1OtFLnUMkkiU_STkjCLlfg_9_2"/>
      <w:bookmarkStart w:id="744" w:name="Tc_vpUmpdHpHke4icOthbRJTg_9_0"/>
      <w:bookmarkStart w:id="745" w:name="Tc_ClOpe_PD5kyL6Zc-kXAykw_8_9"/>
      <w:bookmarkStart w:id="746" w:name="Tc_hYKTsvvh2kqBQjmQXJTn1Q_8_3"/>
      <w:bookmarkStart w:id="747" w:name="Tc__WyfZmhroEOHzv5F5vJ89w_8_0"/>
      <w:bookmarkStart w:id="748" w:name="Tc_idFo7XeJsUiYwrIjV7-_vQ_7_0"/>
      <w:bookmarkStart w:id="749" w:name="Tc_OYAbrboBXEiRhDaO2RAF3Q_6_0"/>
      <w:bookmarkStart w:id="750" w:name="Tc_FMGEREYYwESEwtspNmq9-g_5_11"/>
      <w:bookmarkStart w:id="751" w:name="Tc_egYzFzVqHEyWbuVqiqOEZA_5_8"/>
      <w:bookmarkStart w:id="752" w:name="Tc_M_UxRd6ISES1NwmRROFHnA_5_5"/>
      <w:bookmarkStart w:id="753" w:name="Tc_8tgsNiZ8XUKGZ7DCHmvISA_5_2"/>
      <w:bookmarkStart w:id="754" w:name="Tc_huZuOvIyz0CDdNW7A6H88A_5_0"/>
      <w:bookmarkStart w:id="755" w:name="Tc_y7AteKg8xEehNJP8CHU1Lg_4_0"/>
      <w:bookmarkStart w:id="756" w:name="Tc_qq5Q4e4Hq0OLuonEJvIbPg_3_11"/>
      <w:bookmarkStart w:id="757" w:name="Tc_cXWtdWQKAEaYwNdBxWPXUg_3_8"/>
      <w:bookmarkStart w:id="758" w:name="Tc_rH8qcWHfdEiWY_JRaPy_vQ_3_5"/>
      <w:bookmarkStart w:id="759" w:name="Tc_o5-o-OyrJUi196YA4mvabA_3_2"/>
      <w:bookmarkStart w:id="760" w:name="Tc_NAmRevkW2UGXE7E_uTyhOQ_2_8"/>
      <w:bookmarkStart w:id="761" w:name="Tc_DN_IZeWwGEyqXgb5kI9fRQ_2_2"/>
      <w:bookmarkStart w:id="762" w:name="Tc_6ljxAvw2DU-D6ixRyK2kjg_1_8"/>
      <w:bookmarkStart w:id="763" w:name="Tc_RNnnUT0mMUu8vdx4_sO6nQ_1_2"/>
      <w:bookmarkStart w:id="764" w:name="Tc_tSNUDbhXBkSdfNYnd21o0A_9_7"/>
      <w:bookmarkStart w:id="765" w:name="Tc_vInTZIIGaUSIlsFByo6SkA_9_4"/>
      <w:bookmarkStart w:id="766" w:name="Tc_DM-Mfdm0WU-RKtm3zFL-MA_9_0"/>
      <w:bookmarkStart w:id="767" w:name="Tc_-aurg8K6u0WIlm2XZDEwhg_8_7"/>
      <w:bookmarkStart w:id="768" w:name="Tc_N6ud6Lg5V0CpsDa8QHWCaQ_8_4"/>
      <w:bookmarkStart w:id="769" w:name="Tc_Rj3l1J-LPEejg1lGE1azQA_8_0"/>
      <w:bookmarkStart w:id="770" w:name="Tc_Z1bM_04fJUWJ8H3c5cPjtQ_7_10"/>
      <w:bookmarkStart w:id="771" w:name="Tc_nraSWhI9zEGgYn8XUGREkw_7_8"/>
      <w:bookmarkStart w:id="772" w:name="Tc_Xi_145CUnke7t1QUeml5QA_7_0"/>
      <w:bookmarkStart w:id="773" w:name="Tc_Mh8dlz5GR0iVkWElJvECHA_6_10"/>
      <w:bookmarkStart w:id="774" w:name="Tc_swuzbiU6R0uyLvA6oE69UQ_6_8"/>
      <w:bookmarkStart w:id="775" w:name="Tc_NMlNJIA4nE2T20lXtfuT-g_6_0"/>
      <w:bookmarkStart w:id="776" w:name="Tc_LVijA_V87UqIJgFXYmVN1A_5_7"/>
      <w:bookmarkStart w:id="777" w:name="Tc_b5kbu85K0EiquEARHG7AwQ_5_4"/>
      <w:bookmarkStart w:id="778" w:name="Tc_6YHyf4ZHxUyVQvsNFIuK0Q_5_0"/>
      <w:bookmarkStart w:id="779" w:name="Tc_DzcYWH9PK0KoU1kNuWSmRA_4_10"/>
      <w:bookmarkStart w:id="780" w:name="Tc_qjQ027o7vkSntBG1wLfqyw_4_7"/>
      <w:bookmarkStart w:id="781" w:name="Tc_Y8EyqtYG1kmAQfycqbh41A_4_4"/>
      <w:bookmarkStart w:id="782" w:name="Tc_XJL6swJgrUCkDDU-yl_j-g_4_2"/>
      <w:bookmarkStart w:id="783" w:name="Tc_Lodh4jYlIU2SFjGwuwLz1g_3_10"/>
      <w:bookmarkStart w:id="784" w:name="Tc_JqShmB_vpkmCamE0HgiYIg_3_4"/>
      <w:bookmarkStart w:id="785" w:name="Tc_IwnNGijy80-uIZUDLWAdCg_2_10"/>
      <w:bookmarkStart w:id="786" w:name="Tc_KtxsRFr1ZEaEUgYwNQjHMQ_1_10"/>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Times New Roman;Times;serif" w:hAnsi="Times New Roman;Times;serif"/>
          <w:b/>
          <w:sz w:val="20"/>
        </w:rPr>
        <w:t>NOTE 10: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2024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were no equity incentive awards issued during the three and six months ended June 30,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the Company’s stock option activity for the six months ended June 30, 2024 is as follows:</w:t>
      </w:r>
    </w:p>
    <w:p>
      <w:pPr>
        <w:pStyle w:val="TextBody"/>
        <w:bidi w:val="0"/>
        <w:spacing w:before="0" w:after="0"/>
        <w:ind w:left="0" w:right="0" w:hanging="0"/>
        <w:jc w:val="both"/>
        <w:rPr/>
      </w:pPr>
      <w:r>
        <w:rPr/>
        <w:t>​</w:t>
      </w:r>
    </w:p>
    <w:tbl>
      <w:tblPr>
        <w:tblW w:w="10203" w:type="dxa"/>
        <w:jc w:val="left"/>
        <w:tblInd w:w="0" w:type="dxa"/>
        <w:tblLayout w:type="fixed"/>
        <w:tblCellMar>
          <w:top w:w="0" w:type="dxa"/>
          <w:left w:w="0" w:type="dxa"/>
          <w:bottom w:w="0" w:type="dxa"/>
          <w:right w:w="0" w:type="dxa"/>
        </w:tblCellMar>
      </w:tblPr>
      <w:tblGrid>
        <w:gridCol w:w="2881"/>
        <w:gridCol w:w="326"/>
        <w:gridCol w:w="1411"/>
        <w:gridCol w:w="326"/>
        <w:gridCol w:w="405"/>
        <w:gridCol w:w="1096"/>
        <w:gridCol w:w="326"/>
        <w:gridCol w:w="296"/>
        <w:gridCol w:w="1309"/>
        <w:gridCol w:w="326"/>
        <w:gridCol w:w="150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29435" cy="175260"/>
                      <wp:effectExtent l="0" t="0" r="0" b="0"/>
                      <wp:wrapNone/>
                      <wp:docPr id="142" name="Frame141"/>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95985" cy="175260"/>
                      <wp:effectExtent l="0" t="0" r="0" b="0"/>
                      <wp:wrapNone/>
                      <wp:docPr id="144" name="Frame14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57175" cy="175260"/>
                      <wp:effectExtent l="0" t="0" r="0" b="0"/>
                      <wp:wrapNone/>
                      <wp:docPr id="146" name="Frame14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5960" cy="175260"/>
                      <wp:effectExtent l="0" t="0" r="0" b="0"/>
                      <wp:wrapNone/>
                      <wp:docPr id="147" name="Frame14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87960" cy="175260"/>
                      <wp:effectExtent l="0" t="0" r="0" b="0"/>
                      <wp:wrapNone/>
                      <wp:docPr id="149" name="Frame14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31215" cy="175260"/>
                      <wp:effectExtent l="0" t="0" r="0" b="0"/>
                      <wp:wrapNone/>
                      <wp:docPr id="150" name="Frame149"/>
                      <a:graphic xmlns:a="http://schemas.openxmlformats.org/drawingml/2006/main">
                        <a:graphicData uri="http://schemas.microsoft.com/office/word/2010/wordprocessingShape">
                          <wps:wsp>
                            <wps:cNvSpPr txBox="1"/>
                            <wps:spPr>
                              <a:xfrm>
                                <a:off x="0" y="0"/>
                                <a:ext cx="8312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53135" cy="175260"/>
                      <wp:effectExtent l="0" t="0" r="0" b="0"/>
                      <wp:wrapNone/>
                      <wp:docPr id="152" name="Frame15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both"/>
              <w:rPr/>
            </w:pPr>
            <w:r>
              <w:rPr/>
              <w:t>​</w:t>
            </w:r>
          </w:p>
        </w:tc>
        <w:tc>
          <w:tcPr>
            <w:tcW w:w="13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both"/>
              <w:rPr/>
            </w:pPr>
            <w:r>
              <w:rPr/>
              <w:t>​</w:t>
            </w:r>
          </w:p>
        </w:tc>
        <w:tc>
          <w:tcPr>
            <w:tcW w:w="13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both"/>
              <w:rPr/>
            </w:pPr>
            <w:r>
              <w:rPr/>
              <w:t>​</w:t>
            </w:r>
          </w:p>
        </w:tc>
        <w:tc>
          <w:tcPr>
            <w:tcW w:w="130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both"/>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both"/>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26" w:type="dxa"/>
            <w:tcBorders/>
            <w:vAlign w:val="center"/>
          </w:tcPr>
          <w:p>
            <w:pPr>
              <w:pStyle w:val="TableContents"/>
              <w:bidi w:val="0"/>
              <w:spacing w:before="0" w:after="1"/>
              <w:ind w:left="0" w:right="0" w:hanging="0"/>
              <w:jc w:val="both"/>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January 1, 2024</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737,895</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w:t>
            </w:r>
          </w:p>
        </w:tc>
        <w:tc>
          <w:tcPr>
            <w:tcW w:w="32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1,317,000</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8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(23,097)</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both"/>
              <w:rPr/>
            </w:pPr>
            <w:r>
              <w:rPr/>
              <w:t>​</w:t>
            </w:r>
          </w:p>
        </w:tc>
        <w:tc>
          <w:tcPr>
            <w:tcW w:w="13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Canceled/Expired</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(113,429)</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44.71</w:t>
            </w:r>
          </w:p>
        </w:tc>
        <w:tc>
          <w:tcPr>
            <w:tcW w:w="326" w:type="dxa"/>
            <w:tcBorders/>
            <w:shd w:fill="CCEEFF" w:val="clear"/>
            <w:vAlign w:val="center"/>
          </w:tcPr>
          <w:p>
            <w:pPr>
              <w:pStyle w:val="TableContents"/>
              <w:bidi w:val="0"/>
              <w:spacing w:before="0" w:after="1"/>
              <w:ind w:left="0" w:right="0" w:hanging="0"/>
              <w:jc w:val="righ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3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June 30, 2024</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601,369</w:t>
            </w:r>
          </w:p>
        </w:tc>
        <w:tc>
          <w:tcPr>
            <w:tcW w:w="326" w:type="dxa"/>
            <w:tcBorders/>
            <w:vAlign w:val="center"/>
          </w:tcPr>
          <w:p>
            <w:pPr>
              <w:pStyle w:val="TableContents"/>
              <w:bidi w:val="0"/>
              <w:spacing w:before="0" w:after="1"/>
              <w:ind w:left="0" w:right="0" w:hanging="0"/>
              <w:jc w:val="both"/>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w:t>
            </w:r>
          </w:p>
        </w:tc>
        <w:tc>
          <w:tcPr>
            <w:tcW w:w="326" w:type="dxa"/>
            <w:tcBorders/>
            <w:vAlign w:val="center"/>
          </w:tcPr>
          <w:p>
            <w:pPr>
              <w:pStyle w:val="TableContents"/>
              <w:bidi w:val="0"/>
              <w:spacing w:before="0" w:after="1"/>
              <w:ind w:left="0" w:right="0" w:hanging="0"/>
              <w:jc w:val="righ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1,194,000</w:t>
            </w:r>
          </w:p>
        </w:tc>
        <w:tc>
          <w:tcPr>
            <w:tcW w:w="326" w:type="dxa"/>
            <w:tcBorders/>
            <w:vAlign w:val="center"/>
          </w:tcPr>
          <w:p>
            <w:pPr>
              <w:pStyle w:val="TableContents"/>
              <w:bidi w:val="0"/>
              <w:spacing w:before="0" w:after="1"/>
              <w:ind w:left="0" w:right="0" w:hanging="0"/>
              <w:jc w:val="both"/>
              <w:rPr/>
            </w:pPr>
            <w:r>
              <w:rPr/>
              <w:t>​</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Options vested and exercisable</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371,324</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34.83</w:t>
            </w:r>
          </w:p>
        </w:tc>
        <w:tc>
          <w:tcPr>
            <w:tcW w:w="326"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457,000</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bidi w:val="0"/>
        <w:spacing w:before="0" w:after="0"/>
        <w:ind w:left="0" w:right="0" w:hanging="0"/>
        <w:jc w:val="both"/>
        <w:rPr/>
      </w:pPr>
      <w:r>
        <w:rPr/>
        <w:t>​</w:t>
      </w:r>
    </w:p>
    <w:tbl>
      <w:tblPr>
        <w:tblW w:w="9440" w:type="dxa"/>
        <w:jc w:val="left"/>
        <w:tblInd w:w="0" w:type="dxa"/>
        <w:tblLayout w:type="fixed"/>
        <w:tblCellMar>
          <w:top w:w="0" w:type="dxa"/>
          <w:left w:w="0" w:type="dxa"/>
          <w:bottom w:w="0" w:type="dxa"/>
          <w:right w:w="0" w:type="dxa"/>
        </w:tblCellMar>
      </w:tblPr>
      <w:tblGrid>
        <w:gridCol w:w="3991"/>
        <w:gridCol w:w="326"/>
        <w:gridCol w:w="213"/>
        <w:gridCol w:w="685"/>
        <w:gridCol w:w="330"/>
        <w:gridCol w:w="213"/>
        <w:gridCol w:w="791"/>
        <w:gridCol w:w="326"/>
        <w:gridCol w:w="211"/>
        <w:gridCol w:w="781"/>
        <w:gridCol w:w="326"/>
        <w:gridCol w:w="211"/>
        <w:gridCol w:w="103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534285" cy="175260"/>
                      <wp:effectExtent l="0" t="0" r="0" b="0"/>
                      <wp:wrapNone/>
                      <wp:docPr id="153" name="Frame152"/>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5255" cy="175260"/>
                      <wp:effectExtent l="0" t="0" r="0" b="0"/>
                      <wp:wrapNone/>
                      <wp:docPr id="155" name="Frame15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4975" cy="175260"/>
                      <wp:effectExtent l="0" t="0" r="0" b="0"/>
                      <wp:wrapNone/>
                      <wp:docPr id="156" name="Frame155"/>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9550" cy="175260"/>
                      <wp:effectExtent l="0" t="0" r="0" b="0"/>
                      <wp:wrapNone/>
                      <wp:docPr id="157" name="Frame156"/>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5255" cy="175260"/>
                      <wp:effectExtent l="0" t="0" r="0" b="0"/>
                      <wp:wrapNone/>
                      <wp:docPr id="158" name="Frame15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02285" cy="175260"/>
                      <wp:effectExtent l="0" t="0" r="0" b="0"/>
                      <wp:wrapNone/>
                      <wp:docPr id="159" name="Frame15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5935" cy="175260"/>
                      <wp:effectExtent l="0" t="0" r="0" b="0"/>
                      <wp:wrapNone/>
                      <wp:docPr id="162"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57860" cy="175260"/>
                      <wp:effectExtent l="0" t="0" r="0" b="0"/>
                      <wp:wrapNone/>
                      <wp:docPr id="165" name="Frame1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23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5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25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0" w:type="dxa"/>
            <w:tcBorders/>
            <w:vAlign w:val="center"/>
          </w:tcPr>
          <w:p>
            <w:pPr>
              <w:pStyle w:val="TableContents"/>
              <w:bidi w:val="0"/>
              <w:spacing w:before="0" w:after="1"/>
              <w:ind w:left="0" w:right="0" w:hanging="0"/>
              <w:jc w:val="both"/>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expenses:</w:t>
            </w:r>
          </w:p>
        </w:tc>
        <w:tc>
          <w:tcPr>
            <w:tcW w:w="326" w:type="dxa"/>
            <w:tcBorders/>
            <w:shd w:fill="CCEEFF" w:val="clear"/>
            <w:vAlign w:val="center"/>
          </w:tcPr>
          <w:p>
            <w:pPr>
              <w:pStyle w:val="TableContents"/>
              <w:bidi w:val="0"/>
              <w:spacing w:before="0" w:after="1"/>
              <w:ind w:left="0" w:right="0" w:hanging="0"/>
              <w:jc w:val="both"/>
              <w:rPr/>
            </w:pPr>
            <w:r>
              <w:rPr/>
              <w:t> </w:t>
            </w:r>
          </w:p>
        </w:tc>
        <w:tc>
          <w:tcPr>
            <w:tcW w:w="213" w:type="dxa"/>
            <w:tcBorders/>
            <w:shd w:fill="CCEEFF" w:val="clear"/>
            <w:vAlign w:val="center"/>
          </w:tcPr>
          <w:p>
            <w:pPr>
              <w:pStyle w:val="TableContents"/>
              <w:bidi w:val="0"/>
              <w:spacing w:before="0" w:after="1"/>
              <w:ind w:left="0" w:right="0" w:hanging="0"/>
              <w:jc w:val="both"/>
              <w:rPr/>
            </w:pPr>
            <w:r>
              <w:rPr/>
              <w:t>​</w:t>
            </w:r>
          </w:p>
        </w:tc>
        <w:tc>
          <w:tcPr>
            <w:tcW w:w="685" w:type="dxa"/>
            <w:tcBorders/>
            <w:shd w:fill="CCEEFF" w:val="clear"/>
            <w:vAlign w:val="center"/>
          </w:tcPr>
          <w:p>
            <w:pPr>
              <w:pStyle w:val="TableContents"/>
              <w:bidi w:val="0"/>
              <w:spacing w:before="0" w:after="1"/>
              <w:ind w:left="0" w:right="0" w:hanging="0"/>
              <w:jc w:val="right"/>
              <w:rPr/>
            </w:pPr>
            <w:r>
              <w:rPr/>
              <w:t>  </w:t>
            </w:r>
          </w:p>
        </w:tc>
        <w:tc>
          <w:tcPr>
            <w:tcW w:w="330" w:type="dxa"/>
            <w:tcBorders/>
            <w:shd w:fill="CCEEFF" w:val="clear"/>
            <w:vAlign w:val="center"/>
          </w:tcPr>
          <w:p>
            <w:pPr>
              <w:pStyle w:val="TableContents"/>
              <w:bidi w:val="0"/>
              <w:spacing w:before="0" w:after="1"/>
              <w:ind w:left="0" w:right="0" w:hanging="0"/>
              <w:jc w:val="both"/>
              <w:rPr/>
            </w:pPr>
            <w:r>
              <w:rPr/>
              <w:t> </w:t>
            </w:r>
          </w:p>
        </w:tc>
        <w:tc>
          <w:tcPr>
            <w:tcW w:w="213" w:type="dxa"/>
            <w:tcBorders/>
            <w:shd w:fill="CCEEFF" w:val="clear"/>
            <w:vAlign w:val="center"/>
          </w:tcPr>
          <w:p>
            <w:pPr>
              <w:pStyle w:val="TableContents"/>
              <w:bidi w:val="0"/>
              <w:spacing w:before="0" w:after="1"/>
              <w:ind w:left="0" w:right="0" w:hanging="0"/>
              <w:jc w:val="both"/>
              <w:rPr/>
            </w:pPr>
            <w:r>
              <w:rPr/>
              <w:t>​</w:t>
            </w:r>
          </w:p>
        </w:tc>
        <w:tc>
          <w:tcPr>
            <w:tcW w:w="7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30"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193,000</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59,000</w:t>
            </w:r>
          </w:p>
        </w:tc>
        <w:tc>
          <w:tcPr>
            <w:tcW w:w="330" w:type="dxa"/>
            <w:tcBorders/>
            <w:shd w:fill="CCEEFF" w:val="clear"/>
            <w:vAlign w:val="center"/>
          </w:tcPr>
          <w:p>
            <w:pPr>
              <w:pStyle w:val="TableContents"/>
              <w:bidi w:val="0"/>
              <w:spacing w:before="0" w:after="1"/>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347,000</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in continuing operations</w:t>
            </w:r>
          </w:p>
        </w:tc>
        <w:tc>
          <w:tcPr>
            <w:tcW w:w="326"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63,000</w:t>
            </w:r>
          </w:p>
        </w:tc>
        <w:tc>
          <w:tcPr>
            <w:tcW w:w="330"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540,000</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in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725,000</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 compensation expenses</w:t>
            </w:r>
          </w:p>
        </w:tc>
        <w:tc>
          <w:tcPr>
            <w:tcW w:w="326" w:type="dxa"/>
            <w:tcBorders/>
            <w:vAlign w:val="center"/>
          </w:tcPr>
          <w:p>
            <w:pPr>
              <w:pStyle w:val="TableContents"/>
              <w:bidi w:val="0"/>
              <w:spacing w:before="0" w:after="1"/>
              <w:ind w:left="0" w:right="0" w:hanging="0"/>
              <w:jc w:val="both"/>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63,000</w:t>
            </w:r>
          </w:p>
        </w:tc>
        <w:tc>
          <w:tcPr>
            <w:tcW w:w="330" w:type="dxa"/>
            <w:tcBorders/>
            <w:vAlign w:val="center"/>
          </w:tcPr>
          <w:p>
            <w:pPr>
              <w:pStyle w:val="TableContents"/>
              <w:bidi w:val="0"/>
              <w:spacing w:before="0" w:after="1"/>
              <w:ind w:left="0" w:right="0" w:hanging="0"/>
              <w:jc w:val="both"/>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1,265,000</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2024, the total stock-based compensation cost related to unvested awards not yet recognized was $0.3 million. The expected weighted average period compensation costs to be recognized was approximately 1.8 years. Future option grants will impact the compensation expense recognized.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GRANT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Company’s clinical investigation of MT-401.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restricted cash received from grants in advance of incurring qualifying costs, it is recorded as deferred revenue and recognized as revenue when qualifying costs are incurred. There was no restricted cash recorded as of June 30, 2024, and December 31, 2023. If qualifying grant income is earned in advance of cash received from grants, it is recognized as revenue and recorded as other receivable.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recorded $0.7 million and $1.5 million of grant income related to the CPRIT grant as revenue for the three and six months ended June 30, 2024, respectively. As of June 30, 2024, the Company recorded $1.9 million as other receivable, which represented grant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787" w:name="_4b89080b_7a0f_4209_85d5_11c6bcdefd07"/>
      <w:bookmarkEnd w:id="787"/>
      <w:r>
        <w:rPr>
          <w:rFonts w:ascii="Times New Roman;Times;serif" w:hAnsi="Times New Roman;Times;serif"/>
          <w:sz w:val="20"/>
        </w:rPr>
        <w:t>income earned in advance of funds to be received from CPRIT. In July 2024, the Company received $2.8 million of funds from the CPRIT grant.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FDA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FDA that it had awarded the Company a $2.0 million grant from the FDA’s Orphan Products Grant program to support the Company’s clinical investigation of MT-401 for the treatment of post-transplant AML. The Company recorded $0.2 million and $0.5 million of grant income related to the FDA grant as revenue for the three and six months ended June 30, 2024, respectively. As of June 30, 2024, the Company recorded $0.2 million as other receivable, which represented grant income earned in advance of funds to be received from the FDA. In July 2024, the Company received $0.2 million of funds from the FDA grant.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SBIR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the Company announced it had received a $2.0 million grant from the National Institutes of Health Small Business Innovation Research program to support the development and investigation of MT-401 for the treatment of AML patients following standard-of-care therapy with hypomethylating agents. The Company recorded $0.2 million and $0.4 million of grant income related to this grant as revenue for the three and six months ended June 30, 2024, respectively. As of June 30, 2024, the Company recorded $0.2 million as other receivable, which represented grant income earned in advance of funds to be received from the SBIR. In July 2024, the Company received $0.2 million of funds from the SBIR grant.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88" w:name="Tc_cibDui32lkCb-gI7UgINRw_7_11"/>
      <w:bookmarkStart w:id="789" w:name="Tc_kuYcAssUlECpV4Q6zQiwGQ_7_8"/>
      <w:bookmarkStart w:id="790" w:name="Tc_Za9PBI_9QEi6oPiMRhhmvg_7_5"/>
      <w:bookmarkStart w:id="791" w:name="Tc_vmbp2_-Cmkisbv2_89OKsw_7_2"/>
      <w:bookmarkStart w:id="792" w:name="Tc_Usr8C18c7kCyM5_SUUZf4w_7_0"/>
      <w:bookmarkStart w:id="793" w:name="Tc_S_J0Yq2TLEev9MEsU9uhSQ_6_9"/>
      <w:bookmarkStart w:id="794" w:name="Tc_SxsHPSuV1kCkv-DOUP46HQ_6_3"/>
      <w:bookmarkStart w:id="795" w:name="Tc_cldkQjWrT0u7-oEk6jhPDw_6_0"/>
      <w:bookmarkStart w:id="796" w:name="Tc_spUQvPCd50KRjS-ZiGrgcw_5_12"/>
      <w:bookmarkStart w:id="797" w:name="Tc_BrVykipf-ESdC2zyBfXGfQ_5_6"/>
      <w:bookmarkStart w:id="798" w:name="Tc_jQX4etH_XkKDSxXmhBEfwQ_5_0"/>
      <w:bookmarkStart w:id="799" w:name="Tc_NtWIdmumskSoBPlqtaBilw_4_11"/>
      <w:bookmarkStart w:id="800" w:name="Tc_EIjVvQ_2tEKrQ2IHFpHr5A_4_8"/>
      <w:bookmarkStart w:id="801" w:name="Tc_xmyVp6AeAECKwGwtIPzGBQ_4_5"/>
      <w:bookmarkStart w:id="802" w:name="Tc_f6JeMpu6DEavm2Lon8J0-Q_4_2"/>
      <w:bookmarkStart w:id="803" w:name="Tc__iWv-YyUjEev2qAGKL5-MQ_4_0"/>
      <w:bookmarkStart w:id="804" w:name="Tc_3d1iOi7wyUS4eQc8rGv5Aw_3_11"/>
      <w:bookmarkStart w:id="805" w:name="Tc_T-Jmah_DFUS8yXokL615BQ_3_8"/>
      <w:bookmarkStart w:id="806" w:name="Tc_CuDNp66xZUSRH3BPXkAzOQ_3_5"/>
      <w:bookmarkStart w:id="807" w:name="Tc_op6vaCMAxUSnBncUCPK-rA_3_2"/>
      <w:bookmarkStart w:id="808" w:name="Tc_YDHtK1GBm0GTIGu_4Y_m1Q_2_8"/>
      <w:bookmarkStart w:id="809" w:name="Tc_Rto325-270a1a8_VXjwPaw_2_2"/>
      <w:bookmarkStart w:id="810" w:name="Tc_7nHxdCND0EOay6HbFsO6rw_1_8"/>
      <w:bookmarkStart w:id="811" w:name="Tc_gOS1M_wxLUW28c5eVxl5gA_1_2"/>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r>
        <w:rPr>
          <w:rFonts w:ascii="Times New Roman;Times;serif" w:hAnsi="Times New Roman;Times;serif"/>
          <w:b/>
          <w:sz w:val="20"/>
        </w:rPr>
        <w:t>NOTE 13: RELATED PARTY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three and six months ended June 30, 2024 and 2023, respectively.</w:t>
      </w:r>
    </w:p>
    <w:p>
      <w:pPr>
        <w:pStyle w:val="TextBody"/>
        <w:bidi w:val="0"/>
        <w:spacing w:before="0" w:after="0"/>
        <w:ind w:left="0" w:right="0" w:hanging="0"/>
        <w:jc w:val="both"/>
        <w:rPr/>
      </w:pPr>
      <w:r>
        <w:rPr/>
        <w:t>​</w:t>
      </w:r>
    </w:p>
    <w:tbl>
      <w:tblPr>
        <w:tblW w:w="8900" w:type="dxa"/>
        <w:jc w:val="left"/>
        <w:tblInd w:w="0" w:type="dxa"/>
        <w:tblLayout w:type="fixed"/>
        <w:tblCellMar>
          <w:top w:w="0" w:type="dxa"/>
          <w:left w:w="0" w:type="dxa"/>
          <w:bottom w:w="0" w:type="dxa"/>
          <w:right w:w="0" w:type="dxa"/>
        </w:tblCellMar>
      </w:tblPr>
      <w:tblGrid>
        <w:gridCol w:w="3451"/>
        <w:gridCol w:w="326"/>
        <w:gridCol w:w="213"/>
        <w:gridCol w:w="791"/>
        <w:gridCol w:w="330"/>
        <w:gridCol w:w="213"/>
        <w:gridCol w:w="685"/>
        <w:gridCol w:w="326"/>
        <w:gridCol w:w="211"/>
        <w:gridCol w:w="931"/>
        <w:gridCol w:w="326"/>
        <w:gridCol w:w="211"/>
        <w:gridCol w:w="88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1385" cy="175260"/>
                      <wp:effectExtent l="0" t="0" r="0" b="0"/>
                      <wp:wrapNone/>
                      <wp:docPr id="166" name="Frame165"/>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5255" cy="175260"/>
                      <wp:effectExtent l="0" t="0" r="0" b="0"/>
                      <wp:wrapNone/>
                      <wp:docPr id="168" name="Frame16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02285" cy="175260"/>
                      <wp:effectExtent l="0" t="0" r="0" b="0"/>
                      <wp:wrapNone/>
                      <wp:docPr id="169" name="Frame16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9550" cy="175260"/>
                      <wp:effectExtent l="0" t="0" r="0" b="0"/>
                      <wp:wrapNone/>
                      <wp:docPr id="170" name="Frame16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5255" cy="175260"/>
                      <wp:effectExtent l="0" t="0" r="0" b="0"/>
                      <wp:wrapNone/>
                      <wp:docPr id="171" name="Frame17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34975" cy="175260"/>
                      <wp:effectExtent l="0" t="0" r="0" b="0"/>
                      <wp:wrapNone/>
                      <wp:docPr id="172" name="Frame171"/>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91185" cy="175260"/>
                      <wp:effectExtent l="0" t="0" r="0" b="0"/>
                      <wp:wrapNone/>
                      <wp:docPr id="175" name="Frame1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62610" cy="175260"/>
                      <wp:effectExtent l="0" t="0" r="0" b="0"/>
                      <wp:wrapNone/>
                      <wp:docPr id="178" name="Frame17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5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25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0" w:type="dxa"/>
            <w:tcBorders/>
            <w:vAlign w:val="center"/>
          </w:tcPr>
          <w:p>
            <w:pPr>
              <w:pStyle w:val="TableContents"/>
              <w:bidi w:val="0"/>
              <w:spacing w:before="0" w:after="1"/>
              <w:ind w:left="0" w:right="0" w:hanging="0"/>
              <w:jc w:val="both"/>
              <w:rPr/>
            </w:pPr>
            <w:r>
              <w:rPr/>
              <w:t>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5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Baylor College of Medicine</w:t>
            </w:r>
          </w:p>
        </w:tc>
        <w:tc>
          <w:tcPr>
            <w:tcW w:w="326" w:type="dxa"/>
            <w:tcBorders/>
            <w:shd w:fill="CCEEFF" w:val="clear"/>
            <w:vAlign w:val="center"/>
          </w:tcPr>
          <w:p>
            <w:pPr>
              <w:pStyle w:val="TableContents"/>
              <w:bidi w:val="0"/>
              <w:spacing w:before="0" w:after="1"/>
              <w:ind w:left="0" w:right="0" w:hanging="0"/>
              <w:jc w:val="both"/>
              <w:rPr/>
            </w:pPr>
            <w:r>
              <w:rPr/>
              <w:t>​</w:t>
            </w:r>
          </w:p>
        </w:tc>
        <w:tc>
          <w:tcPr>
            <w:tcW w:w="21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330" w:type="dxa"/>
            <w:tcBorders/>
            <w:shd w:fill="CCEEFF" w:val="clear"/>
            <w:vAlign w:val="center"/>
          </w:tcPr>
          <w:p>
            <w:pPr>
              <w:pStyle w:val="TableContents"/>
              <w:bidi w:val="0"/>
              <w:spacing w:before="0" w:after="1"/>
              <w:ind w:left="0" w:right="0" w:hanging="0"/>
              <w:jc w:val="both"/>
              <w:rPr/>
            </w:pPr>
            <w:r>
              <w:rPr/>
              <w:t>​</w:t>
            </w:r>
          </w:p>
        </w:tc>
        <w:tc>
          <w:tcPr>
            <w:tcW w:w="21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r>
      <w:tr>
        <w:trPr/>
        <w:tc>
          <w:tcPr>
            <w:tcW w:w="345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Cell Ready</w:t>
            </w:r>
          </w:p>
        </w:tc>
        <w:tc>
          <w:tcPr>
            <w:tcW w:w="326"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c>
          <w:tcPr>
            <w:tcW w:w="330"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45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Wilson Wolf Manufacturing Corporation</w:t>
            </w:r>
          </w:p>
        </w:tc>
        <w:tc>
          <w:tcPr>
            <w:tcW w:w="326" w:type="dxa"/>
            <w:tcBorders/>
            <w:shd w:fill="CCEEFF" w:val="clear"/>
            <w:vAlign w:val="center"/>
          </w:tcPr>
          <w:p>
            <w:pPr>
              <w:pStyle w:val="TableContents"/>
              <w:bidi w:val="0"/>
              <w:spacing w:before="0" w:after="1"/>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0" w:type="dxa"/>
            <w:tcBorders/>
            <w:shd w:fill="CCEEFF" w:val="clear"/>
            <w:vAlign w:val="center"/>
          </w:tcPr>
          <w:p>
            <w:pPr>
              <w:pStyle w:val="TableContents"/>
              <w:bidi w:val="0"/>
              <w:spacing w:before="0" w:after="1"/>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277,000</w:t>
            </w:r>
          </w:p>
        </w:tc>
      </w:tr>
      <w:tr>
        <w:trPr/>
        <w:tc>
          <w:tcPr>
            <w:tcW w:w="345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vAlign w:val="center"/>
          </w:tcPr>
          <w:p>
            <w:pPr>
              <w:pStyle w:val="TableContents"/>
              <w:bidi w:val="0"/>
              <w:spacing w:before="0" w:after="1"/>
              <w:ind w:left="0" w:right="0" w:hanging="0"/>
              <w:jc w:val="both"/>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656,000</w:t>
            </w:r>
          </w:p>
        </w:tc>
        <w:tc>
          <w:tcPr>
            <w:tcW w:w="330" w:type="dxa"/>
            <w:tcBorders/>
            <w:vAlign w:val="center"/>
          </w:tcPr>
          <w:p>
            <w:pPr>
              <w:pStyle w:val="TableContents"/>
              <w:bidi w:val="0"/>
              <w:spacing w:before="0" w:after="1"/>
              <w:ind w:left="0" w:right="0" w:hanging="0"/>
              <w:jc w:val="both"/>
              <w:rPr/>
            </w:pPr>
            <w:r>
              <w:rPr/>
              <w:t> </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1,842,000</w:t>
            </w:r>
          </w:p>
        </w:tc>
        <w:tc>
          <w:tcPr>
            <w:tcW w:w="32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290,000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$0.3 million of related party transactions are included in accounts payable and accrued liabilities as of June 30, 2024. See Note 8 for additional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2018, January 2020 and February 2020, the Company entered in Sponsored Research Agreements with BCM, which provided for the conduct of research for the Company by credentialed personnel at BCM’s Center for Cell and Gene Therapy.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May 2020 and July 2021, the Company entered into Clinical Supply Agreements with BCM, which provided for BCM to provide to the Company multi tumor antigen specific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2019, the Company entered in a Workforce Grant Agreement with BCM, which provided for BCM to provide to the Company manpower costs of projects for manufacturing, quality control testing and validation run activities.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into a Clinical Trial Agreement with BCM, which provided for BCM to provide to the Company investigator-initiated research studies.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with BCM, which provided for BCM to conduct clinical trials for the Company and is a part of continuing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owns shares of the Company’s common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from Wilson Wolf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2023, the Company utilized Wilson Wolf for the purchases of cell culture devices called G-Rexes. Mr. John Wilson is a member of the Company’s board of directors and is serving as the CEO of Wilson Wolf Manufacturing Corporation.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from Cell Ready,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currently utilizing Cell Ready, LLC for its clinical manufacturing supply and product development. Mr. John Wilson is a member of the Company’s board of directors and is serving as the CEO of Cell Ready, LLC. On February 22, 2024, we entered into a Master Services Agreement for Product Supply (the “MSA”) with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2024, the Company entered into Work Order #1 under the MSA, pursuant to which Cell Ready agreed to provide the Company with GMP drug product for Marker MT-401 and/or MT-601. The services include the delivery of final drug product and quality control testing. The Company also requested Cell Ready to provide general support services in connection therewith. During the three and six months ended June 30, 2024, the Company incurred $0.7 million and $1.8 million, respectively, in expenses related to the services and manufacturing costs and paid $0.7 million  and $2.9 million, respectively, for invoices received. Additional Work Orders are expected to be generated for the remainder of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12, 2024, the Company issued a press release announcing it was awarded a $2.0 million grant from the National Institutes of Health (NIH) Small Business Innovation Research (SBIR) program to support the clinical investigation of MT-601 in patients with non-Hodgkin’s lymphoma (NHL) who have relapsed following anti-CD19 chimeric antigen receptor (CAR) T cell therapy.</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812" w:name="Item2ManagementsDiscussionandAnalysisofF"/>
      <w:bookmarkStart w:id="813" w:name="_311189f5_27f2_4720_83aa_d14eb6b122a4"/>
      <w:bookmarkEnd w:id="812"/>
      <w:bookmarkEnd w:id="81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should be read in conjunction with our unaudited condensed consolidated interim financial statements and related notes included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tumor associated antigen (“multiTAA”)-specific 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multiTAA-specific 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multiTAA-specific T cells are designed to kill cancer cells expressing the TAA and potentially recruit the patient’s immune system to participate in the cancer killing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two product candidates for 3 clinical indications as part of our multiTAA-specific T cell program for:</w:t>
      </w:r>
    </w:p>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multiTAA product for the treatment of lymphoma and pancreatic cancer (MT-601)</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in various indications (e.g., MT-401-OTS)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multiTAA-specific T cell therapies and we believe that our product candidates are superior to T cells engineered with chimeric antigen receptors, or CAR-T, for several reasons including:</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targets → enhanced tumoricidal effect→ minimized tumor immune escape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cytokine release syndrome (CRS) or other severe adverse effects (SAEs), were attributed to the use of multiTAA-specific T cell therapies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products → selective expansion of tumor-specific T cells from a patient’s or donor’s blood capable of recognizing a broad range of tumor antigens → no risk of mutagenesis and reduced manufacturing complexity → lower cost</w:t>
            </w:r>
          </w:p>
        </w:tc>
      </w:tr>
    </w:tbl>
    <w:p>
      <w:pPr>
        <w:pStyle w:val="TextBody"/>
        <w:bidi w:val="0"/>
        <w:spacing w:before="0" w:after="240"/>
        <w:ind w:left="0" w:right="0" w:hanging="0"/>
        <w:jc w:val="center"/>
        <w:rPr/>
      </w:pPr>
      <w:r>
        <w:rPr/>
        <w:drawing>
          <wp:inline distT="0" distB="0" distL="0" distR="0">
            <wp:extent cx="6514465" cy="1590675"/>
            <wp:effectExtent l="0" t="0" r="0" b="0"/>
            <wp:docPr id="17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2" descr=""/>
                    <pic:cNvPicPr>
                      <a:picLocks noChangeAspect="1" noChangeArrowheads="1"/>
                    </pic:cNvPicPr>
                  </pic:nvPicPr>
                  <pic:blipFill>
                    <a:blip r:embed="rId3"/>
                    <a:stretch>
                      <a:fillRect/>
                    </a:stretch>
                  </pic:blipFill>
                  <pic:spPr bwMode="auto">
                    <a:xfrm>
                      <a:off x="0" y="0"/>
                      <a:ext cx="6514465" cy="159067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these reasons, we believe our endogenous T cell receptor-based therapies may provide meaningful clinical benefit and safety to patients with both hematological and solid tumors.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multiTAA-specific T cell recognition of cancer targets. For example, we are assessing the potential of combining multiTAA-specific T cell products with other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8, 2024, we issued a press release announcing that Geoffrey Shouse, D.O., Ph.D., the Principal Investigator at City of Hope National Medical Center in Duarte, CA, was invited to present his clinical experience from the APOLLO study at the 11th Global Summit on Hematologic Malignancies in Whistler, BC, Canada (April 2-7, 2024). Dr. Shouse provided an overview on the clinical observations obtained at City of Hope on Saturday, April 6, 2024, and reported that study participants tolerated initial dose level well and demonstrated durable objective responses after MT-601 treatment.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is set forth below:</w:t>
      </w:r>
    </w:p>
    <w:p>
      <w:pPr>
        <w:pStyle w:val="TextBody"/>
        <w:bidi w:val="0"/>
        <w:spacing w:before="0" w:after="0"/>
        <w:ind w:left="0" w:right="0" w:hanging="0"/>
        <w:jc w:val="both"/>
        <w:rPr/>
      </w:pPr>
      <w:r>
        <w:rPr/>
        <w:t>​</w:t>
      </w:r>
    </w:p>
    <w:p>
      <w:pPr>
        <w:pStyle w:val="TextBody"/>
        <w:bidi w:val="0"/>
        <w:spacing w:before="0" w:after="240"/>
        <w:ind w:left="0" w:right="0" w:hanging="0"/>
        <w:jc w:val="center"/>
        <w:rPr/>
      </w:pPr>
      <w:r>
        <w:rPr/>
        <w:drawing>
          <wp:inline distT="0" distB="0" distL="0" distR="0">
            <wp:extent cx="5581015" cy="2799715"/>
            <wp:effectExtent l="0" t="0" r="0" b="0"/>
            <wp:docPr id="1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3" descr=""/>
                    <pic:cNvPicPr>
                      <a:picLocks noChangeAspect="1" noChangeArrowheads="1"/>
                    </pic:cNvPicPr>
                  </pic:nvPicPr>
                  <pic:blipFill>
                    <a:blip r:embed="rId4"/>
                    <a:stretch>
                      <a:fillRect/>
                    </a:stretch>
                  </pic:blipFill>
                  <pic:spPr bwMode="auto">
                    <a:xfrm>
                      <a:off x="0" y="0"/>
                      <a:ext cx="5581015" cy="2799715"/>
                    </a:xfrm>
                    <a:prstGeom prst="rect">
                      <a:avLst/>
                    </a:prstGeom>
                  </pic:spPr>
                </pic:pic>
              </a:graphicData>
            </a:graphic>
          </wp:inline>
        </w:drawing>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LLC (“Cell Ready”) to provide services previously performed by the company until the disposition of its contract development and manufacturing operations. Cell Ready, which is owned by one of our directors and shareholders, Mr. John Wilson, is a contract development and manufacturing organization (CDMO).</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The MSA contains customary representations, warranties and indemnification provision. The initial term of the MSA is three years and may be extended upon the mutual written agreement of the parties. Either party may terminate the MSA (a) for material breach by the other party if such breach has not been cured within 30 days following notice of termination or (b) if the other party is the subject of an insolvency event.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With regard to intellectual property, the MSA provides that each party will solely and exclusively own all right, title and interest in and to their Background IP and all inventions derived from such background IP (such invention being referred to as Foreground IP). Background IP means all intellectual property either (a) owned or controlled by a party prior to the effective date of the MSA or (b) developed or acquired by a party independently from performance under the MSA without the use of, reliance on, or access to the other parties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fully paid-up, non-transferable, non-sublicensable limited license under and to the Company’s Background IP made available to Cell Ready pursuant to a Work Order solely to the extent required for Cell Ready to provide the services under such Work Order.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2024, the Company incurred $0.7 million and $1.8 million in expenses related to the services and manufacturing costs, and paid $0.7 million and $2.9 million related to invoices received, respectively. Additional Work Orders are expected to be generated for the remainder of 2024.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above description of the MSA does not purport to be complete and is qualified in their entirety by reference to the full text of the MSA and Work Oder #1, copies of which are attached hereto as Exhibits 10.8 and 10.9 and are incorporated herein by reference. The MSA has been filed as an exhibit to the Company’s Annual Report on Form 10-K filed with the SEC on March 26, 2024, to provide investors with information regarding the terms of the MSA and is not intended to modify or supplement any factual disclosures about the Company in its public reports filed with the SEC. In particular, the MSA is not intended to be, and should not be relied upon as, disclosure regarding any facts and circumstances relating to the Company. The representations, warranties, and covenants contained in the MSA have been made solely for the purposes of the MSA and as of specific dates; were solely for the benefit of the parties to the MSA; are not intended as statements of fact to be relied upon by the parties’ shareholders; may no longer be true as of a given date; and may apply standards of materiality in a way that is different from what may be viewed as material by shareholders. Security holders are not third-party beneficiaries under the MSA and should not rely on the representations, warranties, and covenants or any descriptions thereof as characterizations of any actual state of facts or of the condition of the Company.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Organizational Changes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2023, Mr. Lurier ceased serving as the Company’s Interim Chief Financial Officer and Dr. Vera was appointed as the Company’s Principal Financial and Accounting Officer.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discussion of our results of operations and financial condition, amounts in financial tables, other than per-share amounts, have been rounded to the nearest thousand.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2024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three months ended June 30, 2024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tbl>
      <w:tblPr>
        <w:tblW w:w="8738" w:type="dxa"/>
        <w:jc w:val="left"/>
        <w:tblInd w:w="0" w:type="dxa"/>
        <w:tblLayout w:type="fixed"/>
        <w:tblCellMar>
          <w:top w:w="0" w:type="dxa"/>
          <w:left w:w="0" w:type="dxa"/>
          <w:bottom w:w="0" w:type="dxa"/>
          <w:right w:w="0" w:type="dxa"/>
        </w:tblCellMar>
      </w:tblPr>
      <w:tblGrid>
        <w:gridCol w:w="2866"/>
        <w:gridCol w:w="326"/>
        <w:gridCol w:w="211"/>
        <w:gridCol w:w="1051"/>
        <w:gridCol w:w="326"/>
        <w:gridCol w:w="211"/>
        <w:gridCol w:w="1051"/>
        <w:gridCol w:w="326"/>
        <w:gridCol w:w="211"/>
        <w:gridCol w:w="1051"/>
        <w:gridCol w:w="326"/>
        <w:gridCol w:w="436"/>
        <w:gridCol w:w="34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19910" cy="175260"/>
                      <wp:effectExtent l="0" t="0" r="0" b="0"/>
                      <wp:wrapNone/>
                      <wp:docPr id="181" name="Frame178"/>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67385" cy="175260"/>
                      <wp:effectExtent l="0" t="0" r="0" b="0"/>
                      <wp:wrapNone/>
                      <wp:docPr id="184" name="Frame18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67385" cy="175260"/>
                      <wp:effectExtent l="0" t="0" r="0" b="0"/>
                      <wp:wrapNone/>
                      <wp:docPr id="187" name="Frame18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67385" cy="175260"/>
                      <wp:effectExtent l="0" t="0" r="0" b="0"/>
                      <wp:wrapNone/>
                      <wp:docPr id="190" name="Frame18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76860" cy="175260"/>
                      <wp:effectExtent l="0" t="0" r="0" b="0"/>
                      <wp:wrapNone/>
                      <wp:docPr id="192" name="Frame18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both"/>
              <w:rPr/>
            </w:pPr>
            <w:r>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1,826,000</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from continuing operations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(4,099,000)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1,906,000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Revenue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three months ended June 30, 2024 and 2023, respectively, from the sales or licensing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we received notice of a Product Development Research award totaling approximately $13.1 million from the Cancer Prevention and Research Institute of Texas (“CPRIT”) to support the clinical investigation of MT-401. During the three months ended June 30, 2024 and 2023, we recognized $0.7 million and $0.7 million of revenue, respectively, associated with the CPRIT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FDA that it had awarded us a $2.0 million grant from the FDA’s Orphan Products Grant program to support the clinical investigation of MT-401 for the treatment of post-transplant AML. During the three months ended June 30, 2024 and 2023, we recognized $0.2 million and $0.1 million of revenue, respectively associated with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During the three months ended June 30, 2024, we recognized $0.2 million of revenue associated with the SBIR grant. During the three months ended June 30, 2023, no revenue was recognized associated with the SBIR grant.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All funding agencies have agreed to continue their financial support and to shift funds to the MT-401-OTS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 incurred during the three months ended June 30, 2024 were $3.5 million compared to $4.9 million during the same period ended June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2% to $2.3 million for the three months ended June 30, 2024, compared to $2.4 million for the three months ended June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$0.1 million in 2024 was primarily attributable to the following:</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process development expenses,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headcount-related expenses,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$0.7 million in other expenses, offset by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$0.5 million in clinical trial expenses,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$0.7 million in Cell Ready (outsourced) clinical manufacturing costs and process development expenses.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55% to $1.1 million for the three months ended June 30, 2024, compared to $2.5 million during the same period ended June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$1.4 million in 2024 was primarily attributable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$1.1 million in headcount-related expenses, including stock-based compensation expense and net of severance expense,</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of $0.1 million in legal and professional fees, </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of $0.1 million in insurance expense, </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$0.2 million in other expenses, offset by</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consulting expenses.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$0.1 million and $35,000 for the three months ended June 30, 2024 and 2023, respectively, and was attributable to interest income relating to funds that are held in U.S. Treasury notes and U.S. government agency-backed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Net Loss from continuing operations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our net loss from continuing operations during the three months ended June 30, 2024 compared to the three months ended June 30, 2023 was primarily due to cost reductions in our general and administrative expenses, as well as higher grant income. We anticipate that we will continue to incur net losses in the future as we continue to invest in research and development activities, including clinical development of our multiTAA T cell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Six months Ended June 30, 2024 and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six months ended June 30, 2024 and 2023:</w:t>
      </w:r>
    </w:p>
    <w:p>
      <w:pPr>
        <w:pStyle w:val="TextBody"/>
        <w:bidi w:val="0"/>
        <w:spacing w:before="0" w:after="0"/>
        <w:ind w:left="0" w:right="0" w:hanging="0"/>
        <w:jc w:val="both"/>
        <w:rPr/>
      </w:pPr>
      <w:r>
        <w:rPr/>
        <w:t>​</w:t>
      </w:r>
    </w:p>
    <w:tbl>
      <w:tblPr>
        <w:tblW w:w="8748" w:type="dxa"/>
        <w:jc w:val="left"/>
        <w:tblInd w:w="0" w:type="dxa"/>
        <w:tblLayout w:type="fixed"/>
        <w:tblCellMar>
          <w:top w:w="0" w:type="dxa"/>
          <w:left w:w="0" w:type="dxa"/>
          <w:bottom w:w="0" w:type="dxa"/>
          <w:right w:w="0" w:type="dxa"/>
        </w:tblCellMar>
      </w:tblPr>
      <w:tblGrid>
        <w:gridCol w:w="2761"/>
        <w:gridCol w:w="326"/>
        <w:gridCol w:w="211"/>
        <w:gridCol w:w="1051"/>
        <w:gridCol w:w="326"/>
        <w:gridCol w:w="211"/>
        <w:gridCol w:w="1051"/>
        <w:gridCol w:w="326"/>
        <w:gridCol w:w="326"/>
        <w:gridCol w:w="1051"/>
        <w:gridCol w:w="326"/>
        <w:gridCol w:w="436"/>
        <w:gridCol w:w="34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53235" cy="175260"/>
                      <wp:effectExtent l="0" t="0" r="0" b="0"/>
                      <wp:wrapNone/>
                      <wp:docPr id="194" name="Frame19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67385" cy="175260"/>
                      <wp:effectExtent l="0" t="0" r="0" b="0"/>
                      <wp:wrapNone/>
                      <wp:docPr id="197" name="Frame1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67385" cy="175260"/>
                      <wp:effectExtent l="0" t="0" r="0" b="0"/>
                      <wp:wrapNone/>
                      <wp:docPr id="200" name="Frame19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67385" cy="175260"/>
                      <wp:effectExtent l="0" t="0" r="0" b="0"/>
                      <wp:wrapNone/>
                      <wp:docPr id="203" name="Frame20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76860" cy="175260"/>
                      <wp:effectExtent l="0" t="0" r="0" b="0"/>
                      <wp:wrapNone/>
                      <wp:docPr id="205" name="Frame20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center"/>
              <w:rPr/>
            </w:pPr>
            <w:r>
              <w:rPr/>
              <w:t>​</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center"/>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1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1,997,000</w:t>
            </w:r>
          </w:p>
        </w:tc>
        <w:tc>
          <w:tcPr>
            <w:tcW w:w="326" w:type="dxa"/>
            <w:tcBorders/>
            <w:vAlign w:val="center"/>
          </w:tcPr>
          <w:p>
            <w:pPr>
              <w:pStyle w:val="TableContents"/>
              <w:bidi w:val="0"/>
              <w:spacing w:before="0" w:after="0"/>
              <w:ind w:left="0" w:right="0" w:hanging="0"/>
              <w:jc w:val="both"/>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1,997,000</w:t>
            </w:r>
          </w:p>
        </w:tc>
        <w:tc>
          <w:tcPr>
            <w:tcW w:w="326" w:type="dxa"/>
            <w:tcBorders/>
            <w:shd w:fill="CCEEFF" w:val="clear"/>
            <w:vAlign w:val="center"/>
          </w:tcPr>
          <w:p>
            <w:pPr>
              <w:pStyle w:val="TableContents"/>
              <w:bidi w:val="0"/>
              <w:spacing w:before="0" w:after="0"/>
              <w:ind w:left="0" w:right="0" w:hanging="0"/>
              <w:jc w:val="both"/>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both"/>
              <w:rPr/>
            </w:pPr>
            <w:r>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5,754,000</w:t>
            </w:r>
          </w:p>
        </w:tc>
        <w:tc>
          <w:tcPr>
            <w:tcW w:w="3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4,686,000</w:t>
            </w:r>
          </w:p>
        </w:tc>
        <w:tc>
          <w:tcPr>
            <w:tcW w:w="326" w:type="dxa"/>
            <w:tcBorders/>
            <w:vAlign w:val="center"/>
          </w:tcPr>
          <w:p>
            <w:pPr>
              <w:pStyle w:val="TableContents"/>
              <w:bidi w:val="0"/>
              <w:spacing w:before="0" w:after="0"/>
              <w:ind w:left="0" w:right="0" w:hanging="0"/>
              <w:jc w:val="both"/>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10,440,000</w:t>
            </w:r>
          </w:p>
        </w:tc>
        <w:tc>
          <w:tcPr>
            <w:tcW w:w="326" w:type="dxa"/>
            <w:tcBorders/>
            <w:shd w:fill="CCEEFF" w:val="clear"/>
            <w:vAlign w:val="center"/>
          </w:tcPr>
          <w:p>
            <w:pPr>
              <w:pStyle w:val="TableContents"/>
              <w:bidi w:val="0"/>
              <w:spacing w:before="0" w:after="0"/>
              <w:ind w:left="0" w:right="0" w:hanging="0"/>
              <w:jc w:val="both"/>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(8,443,000)</w:t>
            </w:r>
          </w:p>
        </w:tc>
        <w:tc>
          <w:tcPr>
            <w:tcW w:w="32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3,586,000</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vAlign w:val="center"/>
          </w:tcPr>
          <w:p>
            <w:pPr>
              <w:pStyle w:val="TableContents"/>
              <w:bidi w:val="0"/>
              <w:spacing w:before="0" w:after="0"/>
              <w:ind w:left="0" w:right="0" w:hanging="0"/>
              <w:jc w:val="both"/>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(4,585,000)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(8,323,000)</w:t>
            </w:r>
          </w:p>
        </w:tc>
        <w:tc>
          <w:tcPr>
            <w:tcW w:w="326" w:type="dxa"/>
            <w:tcBorders/>
            <w:shd w:fill="CCEEFF" w:val="clear"/>
            <w:vAlign w:val="center"/>
          </w:tcPr>
          <w:p>
            <w:pPr>
              <w:pStyle w:val="TableContents"/>
              <w:bidi w:val="0"/>
              <w:spacing w:before="0" w:after="0"/>
              <w:ind w:left="0" w:right="0" w:hanging="0"/>
              <w:jc w:val="both"/>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3,738,000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six months ended June 30, 2024 and 2023, respectively, from the sales or licensing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we received notice of a Product Development Research award totaling approximately $13.1 million from the Cancer Prevention and Research Institute of Texas (“CPRIT”) to support the clinical investigation of MT-401. During the six months ended June 30, 2024 and 2023, we recognized $1.5 million and $1.8 million of revenue, respectively, associated with the CPRIT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FDA that it had awarded us a $2.0 million grant from the FDA’s Orphan Products Grant program to support the clinical investigation of MT-401 for the treatment of post-transplant AML. During the six months ended June 30, 2024 and 2023, we recognized $0.5 million and $0.2 million of revenue, respectively associated with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During the six months ended June 30, 2024, we recognized $0.4 million of revenue associated with the SBIR grant. During the six months ended June 30, 2023, there was no revenue recognized associated with the SBIR grant.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All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six months ended June 30, 2024 were $7.3 million compared to $10.4 million during the same period ended June 30,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15% to $4.9 million for the six months ended June 30, 2024, compared to $5.7 million for the six months ended June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of $0.8 million in 2024 was primarily attributable to the following: </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$1.0 million in process development expenses,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$1.0 million in headcount-related expenses,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$1.5 million in other expenses, offset by</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$0.9 million in clinical trial expenses,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$1.8 million in Cell Ready (outsourced) clinical manufacturing costs and process development expenses.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50% to $2.4 million for the six months ended June 30, 2024, compared to $4.7 million during the same period ended June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of $2.3 million in 2024 was primarily attributable to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$1.5 million in headcount-related expenses, including stock-based compensation expense and net of severance expense,</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of $0.5 million in legal and professional fees, </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of $0.2 million in insurance expense, </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other expenses, offset by</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consulting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$0.3 million and $0.1 million for the six months ended June 30, 2024 and 2023, respectively, and was attributable to interest income relating to funds that are held in U.S. Treasury notes and U.S. government agency-backed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from continuing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our net loss from continuing operations during the six months ended June 30, 2024 compared to the six months ended June 30, 2023 was primarily due to cost reductions in our general and administrative expenses, cost reductions in our research and development activities, and higher grant income. We anticipate that we will continue to incur net losses in the future as we continue to invest in research and development activities, including clinical development of our multiTAA T cell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grants, and more recently through the cash proceeds received from the Cell Ready transaction and additional grants to fund research.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clinical and research and development plans and its timing expectations related to the progress of its programs, the Company expects that its cash and cash equivalents as of June 30, 2024, including drawdowns of available grant funds, will enable the Company to fund its operating expenses and capital expenditure requirements into the fourth quarter of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and cash equivalents and working capital as of June 30, 2024 and December 31, 2023:</w:t>
      </w:r>
    </w:p>
    <w:tbl>
      <w:tblPr>
        <w:tblW w:w="5412" w:type="dxa"/>
        <w:jc w:val="left"/>
        <w:tblInd w:w="0" w:type="dxa"/>
        <w:tblLayout w:type="fixed"/>
        <w:tblCellMar>
          <w:top w:w="0" w:type="dxa"/>
          <w:left w:w="0" w:type="dxa"/>
          <w:bottom w:w="0" w:type="dxa"/>
          <w:right w:w="0" w:type="dxa"/>
        </w:tblCellMar>
      </w:tblPr>
      <w:tblGrid>
        <w:gridCol w:w="2266"/>
        <w:gridCol w:w="326"/>
        <w:gridCol w:w="211"/>
        <w:gridCol w:w="931"/>
        <w:gridCol w:w="326"/>
        <w:gridCol w:w="211"/>
        <w:gridCol w:w="114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38910" cy="175260"/>
                      <wp:effectExtent l="0" t="0" r="0" b="0"/>
                      <wp:wrapNone/>
                      <wp:docPr id="207" name="Frame204"/>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91185" cy="175260"/>
                      <wp:effectExtent l="0" t="0" r="0" b="0"/>
                      <wp:wrapNone/>
                      <wp:docPr id="210" name="Frame2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24535" cy="175260"/>
                      <wp:effectExtent l="0" t="0" r="0" b="0"/>
                      <wp:wrapNone/>
                      <wp:docPr id="213" name="Frame21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both"/>
              <w:rPr/>
            </w:pPr>
            <w:r>
              <w:rPr/>
              <w:t>    </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15,111,000</w:t>
            </w:r>
          </w:p>
        </w:tc>
      </w:tr>
      <w:tr>
        <w:trPr/>
        <w:tc>
          <w:tcPr>
            <w:tcW w:w="22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9,703,000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14,053,000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six months ended June 30, 2024 and 2023:</w:t>
      </w:r>
    </w:p>
    <w:tbl>
      <w:tblPr>
        <w:tblW w:w="7542" w:type="dxa"/>
        <w:jc w:val="left"/>
        <w:tblInd w:w="0" w:type="dxa"/>
        <w:tblLayout w:type="fixed"/>
        <w:tblCellMar>
          <w:top w:w="0" w:type="dxa"/>
          <w:left w:w="0" w:type="dxa"/>
          <w:bottom w:w="0" w:type="dxa"/>
          <w:right w:w="0" w:type="dxa"/>
        </w:tblCellMar>
      </w:tblPr>
      <w:tblGrid>
        <w:gridCol w:w="4321"/>
        <w:gridCol w:w="326"/>
        <w:gridCol w:w="211"/>
        <w:gridCol w:w="1051"/>
        <w:gridCol w:w="326"/>
        <w:gridCol w:w="211"/>
        <w:gridCol w:w="109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743835" cy="175260"/>
                      <wp:effectExtent l="0" t="0" r="0" b="0"/>
                      <wp:wrapNone/>
                      <wp:docPr id="214" name="Frame21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67385" cy="175260"/>
                      <wp:effectExtent l="0" t="0" r="0" b="0"/>
                      <wp:wrapNone/>
                      <wp:docPr id="217" name="Frame2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5960" cy="175260"/>
                      <wp:effectExtent l="0" t="0" r="0" b="0"/>
                      <wp:wrapNone/>
                      <wp:docPr id="220" name="Frame21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Continuing operations: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(7,169,000)</w:t>
            </w:r>
          </w:p>
        </w:tc>
      </w:tr>
      <w:tr>
        <w:trPr/>
        <w:tc>
          <w:tcPr>
            <w:tcW w:w="43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621,000</w:t>
            </w:r>
          </w:p>
        </w:tc>
      </w:tr>
      <w:tr>
        <w:trPr/>
        <w:tc>
          <w:tcPr>
            <w:tcW w:w="43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(5,776,000)</w:t>
            </w:r>
          </w:p>
        </w:tc>
      </w:tr>
      <w:tr>
        <w:trPr/>
        <w:tc>
          <w:tcPr>
            <w:tcW w:w="43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18,664,000</w:t>
            </w:r>
          </w:p>
        </w:tc>
      </w:tr>
      <w:tr>
        <w:trPr/>
        <w:tc>
          <w:tcPr>
            <w:tcW w:w="43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6,340,000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Continuing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continuing operations during the six months ended June 30, 2024 was $7.4 million. The use of cash primarily related to our net loss from continuing operations of $4.5 million and a $3.0 million decrease from changes in assets and liabilities, offset by $0.1 million of 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continuing operations during the six months ended June 30, 2023 was $7.2 million. The changes in cash flow from operating activities during the six months ended June 30, 2023 were due to $8.3 million of net losses from continuing operations, offset by a $0.6 million increase from changes in operating assets and liabilities and a $0.5 million increase from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$0.1 million and $0.6 million during the six months ended June 30, 2024 and 2023, respectively, due to the net proceeds from sale of common stock as well as the exercise of stock options.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Discontinued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discontinued operations during the six months ended June 30, 2023 was $5.8 million, which represents the reclassification of operating activities of the discontinued operations from continuing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from discontinued operations during the six months ended June 30, 2023 was $18.7 million, which related to the sale of assets in discontinued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CPRIT to support the Company’s clinical investigation of MT-401. Through the date of this filing, the Company has received $9.7 million of funds from the CPRIT grant. The Company recorded $0.7 million and $1.5 million of grant income related to the CPRIT grant as revenue during the three and six months ended June 30, 2024, respectively. At June 30, 2024, the Company recorded $1.9 million of grant income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13,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$1.0 million from the FDA grant. The Company recorded $0.2 million and $0.5 million of grant income related to the FDA grant as revenue during the three and six months ended June 30, 2024. At June 30, 2024, the Company recorded $0.2 million of grant income receivable.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$0.6 million from SBIR. The Company recorded $0.2 million and $0.4 million of grant income related to the SBIR grant as revenue during the three and six months ended June 30, 2024. At June 30, 2024, the Company recorded $0.2 million of grant income receivable.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2-year period from the National Institutes of Health – National Cancer Institute to support control over tumor immune escape in pancreatic cancer using a dual T cell product strategy. Through the date of this filing, the Company has nor received any funds from this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we had working capital of $9.7 million, compared to working capital of $14.1 million as of December 31, 2023. Operating expenses incurred during the three and six months ended June 30, 2024 were $3.4 million and $7.2 million, respectively, compared to $4.9 million and $10.4 million during the equivalent prior year periods. Based on our clinical plans and our timing expectations related to the progress of our programs, we expect that, together with drawdowns of available grant funds, our cash and cash equivalents as of June 30, 2024 will enable us to fund our operating expenses and capital expenditure requirements into the fourth quarter of 2025.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 seek regulatory approvals for our product candidates if they successfully complete clinical trials;</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development of our manufacturing capabilities and our manufacturing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unfavorable to us. We may also be required to pay damages or have liabilities associated with litigation or other legal proceedings involving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lineRule="auto" w:line="240" w:before="0" w:after="200"/>
        <w:ind w:left="0" w:right="0" w:hanging="0"/>
        <w:jc w:val="both"/>
        <w:rPr>
          <w:rFonts w:ascii="Times New Roman;Times;serif" w:hAnsi="Times New Roman;Times;serif"/>
          <w:sz w:val="20"/>
        </w:rPr>
      </w:pPr>
      <w:r>
        <w:rPr>
          <w:rFonts w:ascii="Times New Roman;Times;serif" w:hAnsi="Times New Roman;Times;serif"/>
          <w:sz w:val="20"/>
        </w:rPr>
        <w:t>In August 2021,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six months ended June 30, 2024, the Company sold 8,178 shares of its common stock under the ATM Agreement resulting in net proceeds of approximately $37,000, after deducting agent commissions. On June 10, 2024, the Company provided notice of its termination of the ATM Agreement with Cantor Fitzgerald &amp; Co. and RBC Capital Markets, LLC. The Company is not subject to any termination penalties related to the termination of the ATM Agreement. The Company is currently considering more effective ways to improve market access to its equity.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 Purchase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at a variable price with certain market-based terms as defined in the agreement. The purchase agreement does not exhibit any of the characteristics for liability classification under ASC Topic 480, Distinguishing Liabilities from Equity. In January 2023, Lincoln Park was issued 180,410 shares of stock as a commitment fee at a value of $0.5 million. On February 29, 2024, we terminated the Purchase Agreement with Lincoln Park effective March 1, 2024.</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Company’s critical accounting policies and estimates include the valuation and attribution of stock-based compensation and grant income.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estimates the fair value of stock options granted (including modification of options) using the Black-Scholes option pricing model with key assumptions including volatility, computed using the Company’s historical stock price over its expected terms.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With respect to grant income, the Company recognizes revenue when qualifying costs are incurred for the amount the Company is entitled to under the provisions of the contract.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under Part II, Item 7 of our Annual Report on Form 10-K for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00"/>
        <w:ind w:left="14" w:right="0" w:hanging="0"/>
        <w:jc w:val="left"/>
        <w:rPr>
          <w:rFonts w:ascii="Times New Roman;Times;serif" w:hAnsi="Times New Roman;Times;serif"/>
          <w:b/>
          <w:sz w:val="20"/>
        </w:rPr>
      </w:pPr>
      <w:bookmarkStart w:id="814" w:name="Item3QuantitativeandQualitativeDisclosur"/>
      <w:bookmarkStart w:id="815" w:name="_7a364cb3_c85d_4254_b4dd_abdeb5c22005"/>
      <w:bookmarkEnd w:id="814"/>
      <w:bookmarkEnd w:id="815"/>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pBdr>
          <w:bottom w:val="single" w:sz="2" w:space="1" w:color="000000"/>
        </w:pBdr>
        <w:bidi w:val="0"/>
        <w:spacing w:before="0" w:after="200"/>
        <w:ind w:left="14" w:right="0" w:hanging="0"/>
        <w:jc w:val="left"/>
        <w:rPr>
          <w:rFonts w:ascii="Times New Roman;Times;serif" w:hAnsi="Times New Roman;Times;serif"/>
          <w:b/>
          <w:sz w:val="20"/>
        </w:rPr>
      </w:pPr>
      <w:bookmarkStart w:id="816" w:name="Item4ControlsandProcedures_453239"/>
      <w:bookmarkStart w:id="817" w:name="_64463259_95a6_4ab0_8a41_7dcc4a4f20fa"/>
      <w:bookmarkEnd w:id="816"/>
      <w:bookmarkEnd w:id="817"/>
      <w:r>
        <w:rPr>
          <w:rFonts w:ascii="Times New Roman;Times;serif" w:hAnsi="Times New Roman;Times;serif"/>
          <w:b/>
          <w:sz w:val="20"/>
        </w:rPr>
        <w:t>Item 4.         Controls and Procedures</w:t>
      </w:r>
    </w:p>
    <w:p>
      <w:pPr>
        <w:pStyle w:val="TextBody"/>
        <w:bidi w:val="0"/>
        <w:spacing w:before="0" w:after="20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the end of the period covered by this report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as of the end of the period covered by this report. Based on that evaluation, our principal executive officer and principal financial officer concluded that our disclosure controls and procedures are effective in recording, processing, summarizing, and reporting, on a timely basis, information required to be disclosed by us in the reports that we file or submit under the Exchange Act.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Exchange Act Rules 13a-15(f) and 15d-15(f)) during the three months ended June 30, 2024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18" w:name="PARTIIOTHERINFORMATION_786639"/>
      <w:bookmarkStart w:id="819" w:name="_a44ff347_0199_4b74_bab7_8c940f2d5ed0"/>
      <w:bookmarkEnd w:id="818"/>
      <w:bookmarkEnd w:id="819"/>
      <w:r>
        <w:rPr>
          <w:rFonts w:ascii="Times New Roman;Times;serif" w:hAnsi="Times New Roman;Times;serif"/>
          <w:b/>
          <w:sz w:val="20"/>
        </w:rPr>
        <w:t>PART II – OTHER INFORMATION</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20" w:name="Item1LegalProceedings_798737"/>
      <w:bookmarkEnd w:id="820"/>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21" w:name="Item1ARiskFactors_449487"/>
      <w:bookmarkStart w:id="822" w:name="_88e425e5_14bf_4a31_84de_59d80ee758c2"/>
      <w:bookmarkEnd w:id="821"/>
      <w:bookmarkEnd w:id="822"/>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2023, filed with the Securities and Exchange Commission on March 26, 2024. There have been no material changes to the risk factors described in that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23" w:name="Item2UnregisteredSalesofEquitySecurities"/>
      <w:bookmarkStart w:id="824" w:name="_db9d1ecd_3c0a_4d3d_adaa_9a1d935e5299"/>
      <w:bookmarkEnd w:id="823"/>
      <w:bookmarkEnd w:id="824"/>
      <w:r>
        <w:rPr>
          <w:rFonts w:ascii="Times New Roman;Times;serif" w:hAnsi="Times New Roman;Times;serif"/>
          <w:b/>
          <w:sz w:val="20"/>
        </w:rPr>
        <w:t>Item 2.         Unregistered Sales of Equity Securities and Use of Proceeds</w:t>
      </w:r>
    </w:p>
    <w:p>
      <w:pPr>
        <w:pStyle w:val="TextBody"/>
        <w:bidi w:val="0"/>
        <w:spacing w:before="0" w:after="0"/>
        <w:ind w:left="1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We did not record any issuances of unregistered securities during the six months ended June 30, 2024.</w:t>
      </w:r>
    </w:p>
    <w:tbl>
      <w:tblPr>
        <w:tblW w:w="1787" w:type="dxa"/>
        <w:jc w:val="left"/>
        <w:tblInd w:w="0" w:type="dxa"/>
        <w:tblLayout w:type="fixed"/>
        <w:tblCellMar>
          <w:top w:w="0" w:type="dxa"/>
          <w:left w:w="0" w:type="dxa"/>
          <w:bottom w:w="0" w:type="dxa"/>
          <w:right w:w="0" w:type="dxa"/>
        </w:tblCellMar>
      </w:tblPr>
      <w:tblGrid>
        <w:gridCol w:w="346"/>
        <w:gridCol w:w="1441"/>
      </w:tblGrid>
      <w:tr>
        <w:trPr/>
        <w:tc>
          <w:tcPr>
            <w:tcW w:w="3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4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 Applicable.</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8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did not, nor did any affiliated purchasers, purchase any shares or other units of any class of the Company’s equity securities during the six months ended June 30, 2024.</w:t>
            </w:r>
          </w:p>
        </w:tc>
      </w:tr>
    </w:tbl>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25" w:name="Item3DefaultsUponSeniorSecurities_390946"/>
      <w:bookmarkStart w:id="826" w:name="_d9c0c9ca_38be_4efd_9682_430e37603cc1"/>
      <w:bookmarkEnd w:id="825"/>
      <w:bookmarkEnd w:id="826"/>
      <w:r>
        <w:rPr>
          <w:rFonts w:ascii="Times New Roman;Times;serif" w:hAnsi="Times New Roman;Times;serif"/>
          <w:b/>
          <w:sz w:val="20"/>
        </w:rPr>
        <w:t>Item 3.         Defaults Upon Senior Securities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827" w:name="Item4MineSafetyDisclosure_210061"/>
      <w:bookmarkStart w:id="828" w:name="_2d7b05b5_47ed_4827_bc4e_9d057e02007d"/>
      <w:bookmarkEnd w:id="827"/>
      <w:bookmarkEnd w:id="828"/>
      <w:r>
        <w:rPr>
          <w:rFonts w:ascii="Times New Roman;Times;serif" w:hAnsi="Times New Roman;Times;serif"/>
          <w:b/>
          <w:sz w:val="20"/>
        </w:rPr>
        <w:t>Item 4.         Mine Safety Disclosure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29" w:name="Item5OtherInformation_200318"/>
      <w:bookmarkStart w:id="830" w:name="_b23ac03c_a062_424e_9554_117c56f1c46e"/>
      <w:bookmarkEnd w:id="829"/>
      <w:bookmarkEnd w:id="830"/>
      <w:r>
        <w:rPr>
          <w:rFonts w:ascii="Times New Roman;Times;serif" w:hAnsi="Times New Roman;Times;serif"/>
          <w:b/>
          <w:sz w:val="20"/>
        </w:rPr>
        <w:t>Item 5.         Other Information</w:t>
      </w:r>
    </w:p>
    <w:tbl>
      <w:tblPr>
        <w:tblW w:w="962" w:type="dxa"/>
        <w:jc w:val="left"/>
        <w:tblInd w:w="0" w:type="dxa"/>
        <w:tblLayout w:type="fixed"/>
        <w:tblCellMar>
          <w:top w:w="0" w:type="dxa"/>
          <w:left w:w="0" w:type="dxa"/>
          <w:bottom w:w="0" w:type="dxa"/>
          <w:right w:w="0" w:type="dxa"/>
        </w:tblCellMar>
      </w:tblPr>
      <w:tblGrid>
        <w:gridCol w:w="331"/>
        <w:gridCol w:w="631"/>
      </w:tblGrid>
      <w:tr>
        <w:trPr/>
        <w:tc>
          <w:tcPr>
            <w:tcW w:w="3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None.</w:t>
            </w:r>
          </w:p>
        </w:tc>
      </w:tr>
    </w:tbl>
    <w:tbl>
      <w:tblPr>
        <w:tblW w:w="977" w:type="dxa"/>
        <w:jc w:val="left"/>
        <w:tblInd w:w="0" w:type="dxa"/>
        <w:tblLayout w:type="fixed"/>
        <w:tblCellMar>
          <w:top w:w="0" w:type="dxa"/>
          <w:left w:w="0" w:type="dxa"/>
          <w:bottom w:w="0" w:type="dxa"/>
          <w:right w:w="0" w:type="dxa"/>
        </w:tblCellMar>
      </w:tblPr>
      <w:tblGrid>
        <w:gridCol w:w="346"/>
        <w:gridCol w:w="631"/>
      </w:tblGrid>
      <w:tr>
        <w:trPr/>
        <w:tc>
          <w:tcPr>
            <w:tcW w:w="3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6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None.</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Director and Officer Trading Plans and Arrangements</w:t>
            </w:r>
            <w:r>
              <w:rPr>
                <w:rFonts w:ascii="Times New Roman;Times;serif" w:hAnsi="Times New Roman;Times;serif"/>
                <w:sz w:val="20"/>
              </w:rPr>
              <w:t>. During the quarterly period ended June 30, 2024, no director or officer of the Company adopted or terminated any contract, instruction or written plan for the purchase or sale of securities of the Company intended to satisfy the affirmative defense conditions of Rule 10b5-1(c) of the Exchange Act or any “non-Rule 10b5-1 trading arrangement” (as defined in the Exchange Act).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831" w:name="Item6Exhibits_556633"/>
      <w:bookmarkStart w:id="832" w:name="_fb521ab6_0748_4b83_bbd4_dc7997e16848"/>
      <w:bookmarkEnd w:id="831"/>
      <w:bookmarkEnd w:id="832"/>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 on Form 10-Q:</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6"/>
        <w:gridCol w:w="206"/>
        <w:gridCol w:w="4915"/>
        <w:gridCol w:w="206"/>
        <w:gridCol w:w="511"/>
        <w:gridCol w:w="206"/>
        <w:gridCol w:w="773"/>
        <w:gridCol w:w="206"/>
        <w:gridCol w:w="631"/>
        <w:gridCol w:w="206"/>
        <w:gridCol w:w="680"/>
        <w:gridCol w:w="206"/>
        <w:gridCol w:w="783"/>
      </w:tblGrid>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 </w:t>
            </w:r>
          </w:p>
        </w:tc>
        <w:tc>
          <w:tcPr>
            <w:tcW w:w="206" w:type="dxa"/>
            <w:tcBorders/>
            <w:vAlign w:val="center"/>
          </w:tcPr>
          <w:p>
            <w:pPr>
              <w:pStyle w:val="TableContents"/>
              <w:bidi w:val="0"/>
              <w:spacing w:before="0" w:after="0"/>
              <w:ind w:left="0" w:right="0" w:hanging="0"/>
              <w:jc w:val="both"/>
              <w:rPr/>
            </w:pPr>
            <w:r>
              <w:rPr/>
              <w:t>​</w:t>
            </w:r>
          </w:p>
        </w:tc>
        <w:tc>
          <w:tcPr>
            <w:tcW w:w="23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206" w:type="dxa"/>
            <w:tcBorders/>
            <w:vAlign w:val="center"/>
          </w:tcPr>
          <w:p>
            <w:pPr>
              <w:pStyle w:val="TableContents"/>
              <w:bidi w:val="0"/>
              <w:spacing w:before="0" w:after="0"/>
              <w:ind w:left="0" w:right="0" w:hanging="0"/>
              <w:jc w:val="both"/>
              <w:rPr/>
            </w:pPr>
            <w:r>
              <w:rPr/>
              <w:t>  </w:t>
            </w:r>
          </w:p>
        </w:tc>
        <w:tc>
          <w:tcPr>
            <w:tcW w:w="4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vAlign w:val="center"/>
          </w:tcPr>
          <w:p>
            <w:pPr>
              <w:pStyle w:val="TableContents"/>
              <w:bidi w:val="0"/>
              <w:spacing w:before="0" w:after="0"/>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vAlign w:val="center"/>
          </w:tcPr>
          <w:p>
            <w:pPr>
              <w:pStyle w:val="TableContents"/>
              <w:bidi w:val="0"/>
              <w:spacing w:before="0" w:after="0"/>
              <w:ind w:left="0" w:right="0" w:hanging="0"/>
              <w:jc w:val="both"/>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vAlign w:val="center"/>
          </w:tcPr>
          <w:p>
            <w:pPr>
              <w:pStyle w:val="TableContents"/>
              <w:bidi w:val="0"/>
              <w:spacing w:before="0" w:after="0"/>
              <w:ind w:left="0" w:right="0" w:hanging="0"/>
              <w:jc w:val="both"/>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206" w:type="dxa"/>
            <w:tcBorders/>
            <w:vAlign w:val="center"/>
          </w:tcPr>
          <w:p>
            <w:pPr>
              <w:pStyle w:val="TableContents"/>
              <w:bidi w:val="0"/>
              <w:spacing w:before="0" w:after="0"/>
              <w:ind w:left="0" w:right="0" w:hanging="0"/>
              <w:jc w:val="both"/>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(Delaware).</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5/27/2022</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to Amended and Restated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1/26/2023</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Bylaws of Marker Therapeutics, Inc.</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Master Services Agreement for Product Supply between Marker Therapeutics, Inc. and Cell Ready LLC dated February 22, 2024**</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3/26/2024</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4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1933, as amended.</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40630xex32d1.htm">
              <w:r>
                <w:rPr>
                  <w:rStyle w:val="InternetLink"/>
                  <w:rFonts w:ascii="Times New Roman;Times;serif" w:hAnsi="Times New Roman;Times;serif"/>
                  <w:b w:val="false"/>
                  <w:i w:val="false"/>
                  <w:caps w:val="false"/>
                  <w:smallCaps w:val="false"/>
                  <w:sz w:val="20"/>
                </w:rPr>
                <w:t>Certification of Chief Executive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40630xex32d2.htm">
              <w:r>
                <w:rPr>
                  <w:rStyle w:val="InternetLink"/>
                  <w:rFonts w:ascii="Times New Roman;Times;serif" w:hAnsi="Times New Roman;Times;serif"/>
                  <w:b w:val="false"/>
                  <w:i w:val="false"/>
                  <w:caps w:val="false"/>
                  <w:smallCaps w:val="false"/>
                  <w:sz w:val="20"/>
                </w:rPr>
                <w:t>Certification of Chief Financial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 - XBRL Instance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 - XBRL Taxonomy Extension Schema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 - XBRL Taxonomy Extension Calculation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 - XBRL Taxonomy Extension Definition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 - XBRL Taxonomy Extension Label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 - XBRL Taxonomy Extension Presentation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        - Cover Page Interactive Data File (formatted as Inline XBRL and contained in Exhibit 101 filed herewith).</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Confidential treatment has been granted as to certain portions of this exhibit pursuant to Rule 406 of the Securities Act of 1933, as amended, or Rule 24b-2 of the Securities Exchange Act of 1934, as amended.</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833" w:name="SIGNATURES_772915"/>
      <w:bookmarkStart w:id="834" w:name="SIGNATURES_208803"/>
      <w:bookmarkStart w:id="835" w:name="_f768b363_3676_4e22_9fdc_d91e716517e7"/>
      <w:bookmarkEnd w:id="833"/>
      <w:bookmarkEnd w:id="834"/>
      <w:bookmarkEnd w:id="83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August 14, 2024</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0"/>
              <w:ind w:left="0" w:right="0" w:hanging="0"/>
              <w:jc w:val="both"/>
              <w:rPr/>
            </w:pPr>
            <w:r>
              <w:rPr/>
              <w:t>​</w:t>
            </w:r>
          </w:p>
        </w:tc>
        <w:tc>
          <w:tcPr>
            <w:tcW w:w="992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Treasurer (Principal Executive Officer and 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right"/>
        <w:rPr>
          <w:rFonts w:ascii="Times New Roman;Times;serif" w:hAnsi="Times New Roman;Times;serif"/>
          <w:b/>
          <w:sz w:val="20"/>
        </w:rPr>
      </w:pPr>
      <w:bookmarkStart w:id="836" w:name="mrkr-20240630xex31d1.htm"/>
      <w:bookmarkStart w:id="837" w:name="ksmrkr20240630xex31d1"/>
      <w:bookmarkEnd w:id="836"/>
      <w:bookmarkEnd w:id="83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175" w:type="dxa"/>
        <w:jc w:val="left"/>
        <w:tblInd w:w="0" w:type="dxa"/>
        <w:tblLayout w:type="fixed"/>
        <w:tblCellMar>
          <w:top w:w="0" w:type="dxa"/>
          <w:left w:w="0" w:type="dxa"/>
          <w:bottom w:w="0" w:type="dxa"/>
          <w:right w:w="0" w:type="dxa"/>
        </w:tblCellMar>
      </w:tblPr>
      <w:tblGrid>
        <w:gridCol w:w="4021"/>
        <w:gridCol w:w="154"/>
      </w:tblGrid>
      <w:tr>
        <w:trPr/>
        <w:tc>
          <w:tcPr>
            <w:tcW w:w="402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Date:</w:t>
            </w:r>
            <w:r>
              <w:rPr>
                <w:rFonts w:ascii="Times New Roman;Times;serif" w:hAnsi="Times New Roman;Times;serif"/>
                <w:sz w:val="20"/>
              </w:rPr>
              <w:t>August 14, 2024</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w:t>
              <w:br/>
              <w:t>(Principal Executive Officer) </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38" w:name="mrkr-20240630xex31d2.htm"/>
      <w:bookmarkStart w:id="839" w:name="ksmrkr20240630xex31d2"/>
      <w:bookmarkEnd w:id="838"/>
      <w:bookmarkEnd w:id="83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175" w:type="dxa"/>
        <w:jc w:val="center"/>
        <w:tblInd w:w="0" w:type="dxa"/>
        <w:tblLayout w:type="fixed"/>
        <w:tblCellMar>
          <w:top w:w="0" w:type="dxa"/>
          <w:left w:w="0" w:type="dxa"/>
          <w:bottom w:w="0" w:type="dxa"/>
          <w:right w:w="0" w:type="dxa"/>
        </w:tblCellMar>
      </w:tblPr>
      <w:tblGrid>
        <w:gridCol w:w="4021"/>
        <w:gridCol w:w="154"/>
      </w:tblGrid>
      <w:tr>
        <w:trPr/>
        <w:tc>
          <w:tcPr>
            <w:tcW w:w="402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Date:</w:t>
            </w:r>
            <w:r>
              <w:rPr>
                <w:rFonts w:ascii="Times New Roman;Times;serif" w:hAnsi="Times New Roman;Times;serif"/>
                <w:sz w:val="20"/>
              </w:rPr>
              <w:t>August 14, 2024</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w:t>
              <w:br/>
              <w:t>(Principal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40" w:name="mrkr-20240630xex32d1.htm"/>
      <w:bookmarkStart w:id="841" w:name="ksmrkr20240630xex32d1"/>
      <w:bookmarkEnd w:id="840"/>
      <w:bookmarkEnd w:id="841"/>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June 30, 2024,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tbl>
      <w:tblPr>
        <w:tblW w:w="4716" w:type="dxa"/>
        <w:jc w:val="left"/>
        <w:tblInd w:w="0" w:type="dxa"/>
        <w:tblLayout w:type="fixed"/>
        <w:tblCellMar>
          <w:top w:w="0" w:type="dxa"/>
          <w:left w:w="0" w:type="dxa"/>
          <w:bottom w:w="0" w:type="dxa"/>
          <w:right w:w="0" w:type="dxa"/>
        </w:tblCellMar>
      </w:tblPr>
      <w:tblGrid>
        <w:gridCol w:w="556"/>
        <w:gridCol w:w="4006"/>
        <w:gridCol w:w="154"/>
      </w:tblGrid>
      <w:tr>
        <w:trPr/>
        <w:tc>
          <w:tcPr>
            <w:tcW w:w="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14, 2024</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42" w:name="mrkr-20240630xex32d2.htm"/>
      <w:bookmarkStart w:id="843" w:name="ksmrkr20240630xex32d2"/>
      <w:bookmarkEnd w:id="842"/>
      <w:bookmarkEnd w:id="843"/>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undersigned, Juan Vera, the Principal Financial Officer of Marker Therapeutics, Inc. (the “Company”) hereby certifies, pursuant to 18 U.S.C. Section 1350, as adopted pursuant to Section 906 of the Sarbanes-Oxley Act of 2002, that, to the best of his knowledge, the Quarterly Report on Form 10-Q for the period ended June 30, 2024,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tbl>
      <w:tblPr>
        <w:tblW w:w="4607" w:type="dxa"/>
        <w:jc w:val="left"/>
        <w:tblInd w:w="0" w:type="dxa"/>
        <w:tblLayout w:type="fixed"/>
        <w:tblCellMar>
          <w:top w:w="0" w:type="dxa"/>
          <w:left w:w="0" w:type="dxa"/>
          <w:bottom w:w="0" w:type="dxa"/>
          <w:right w:w="0" w:type="dxa"/>
        </w:tblCellMar>
      </w:tblPr>
      <w:tblGrid>
        <w:gridCol w:w="556"/>
        <w:gridCol w:w="4051"/>
      </w:tblGrid>
      <w:tr>
        <w:trPr/>
        <w:tc>
          <w:tcPr>
            <w:tcW w:w="55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14, 2024</w:t>
            </w:r>
          </w:p>
        </w:tc>
      </w:tr>
      <w:tr>
        <w:trPr/>
        <w:tc>
          <w:tcPr>
            <w:tcW w:w="556" w:type="dxa"/>
            <w:tcBorders/>
            <w:vAlign w:val="center"/>
          </w:tcPr>
          <w:p>
            <w:pPr>
              <w:pStyle w:val="TableContents"/>
              <w:pBdr/>
              <w:bidi w:val="0"/>
              <w:spacing w:before="0" w:after="0"/>
              <w:ind w:left="0" w:right="0" w:hanging="0"/>
              <w:jc w:val="both"/>
              <w:rPr/>
            </w:pPr>
            <w:r>
              <w:rPr/>
              <w:t>​</w:t>
            </w:r>
          </w:p>
        </w:tc>
        <w:tc>
          <w:tcPr>
            <w:tcW w:w="4051"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5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r>
      <w:tr>
        <w:trPr/>
        <w:tc>
          <w:tcPr>
            <w:tcW w:w="556" w:type="dxa"/>
            <w:tcBorders/>
            <w:vAlign w:val="center"/>
          </w:tcPr>
          <w:p>
            <w:pPr>
              <w:pStyle w:val="TableContents"/>
              <w:pBdr/>
              <w:bidi w:val="0"/>
              <w:spacing w:before="0" w:after="0"/>
              <w:ind w:left="0" w:right="0" w:hanging="0"/>
              <w:jc w:val="both"/>
              <w:rPr/>
            </w:pPr>
            <w:r>
              <w:rPr/>
              <w:t>​</w:t>
            </w:r>
          </w:p>
        </w:tc>
        <w:tc>
          <w:tcPr>
            <w:tcW w:w="4051"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r>
      <w:tr>
        <w:trPr/>
        <w:tc>
          <w:tcPr>
            <w:tcW w:w="556" w:type="dxa"/>
            <w:tcBorders/>
            <w:vAlign w:val="center"/>
          </w:tcPr>
          <w:p>
            <w:pPr>
              <w:pStyle w:val="TableContents"/>
              <w:pBdr/>
              <w:bidi w:val="0"/>
              <w:spacing w:before="0" w:after="0"/>
              <w:ind w:left="0" w:right="0" w:hanging="0"/>
              <w:jc w:val="both"/>
              <w:rPr/>
            </w:pPr>
            <w:r>
              <w:rPr/>
              <w:t>​</w:t>
            </w:r>
          </w:p>
        </w:tc>
        <w:tc>
          <w:tcPr>
            <w:tcW w:w="4051"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094038/000114420418054209/tv504951_ex3-4.htm" TargetMode="External"/><Relationship Id="rId6" Type="http://schemas.openxmlformats.org/officeDocument/2006/relationships/hyperlink" Target="https://www.sec.gov/Archives/edgar/data/1094038/000119312522162322/d480537dex31.htm" TargetMode="External"/><Relationship Id="rId7" Type="http://schemas.openxmlformats.org/officeDocument/2006/relationships/hyperlink" Target="https://www.sec.gov/Archives/edgar/data/1094038/000110465923007019/tm234466d1_ex3-1.htm" TargetMode="External"/><Relationship Id="rId8" Type="http://schemas.openxmlformats.org/officeDocument/2006/relationships/hyperlink" Target="https://www.sec.gov/Archives/edgar/data/1094038/000114420418054209/tv504951_ex3-6.htm" TargetMode="External"/><Relationship Id="rId9" Type="http://schemas.openxmlformats.org/officeDocument/2006/relationships/hyperlink" Target="https://www.sec.gov/Archives/edgar/data/1094038/000141057824000297/mrkr-20231231xex10d8.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16456</Words>
  <Characters>91306</Characters>
  <CharactersWithSpaces>108731</CharactersWithSpaces>
  <Paragraphs>3630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