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109855</wp:posOffset>
            </wp:positionV>
            <wp:extent cx="7263765"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3619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00" w:lineRule="exact"/>
        <w:rPr>
          <w:sz w:val="24"/>
          <w:szCs w:val="24"/>
          <w:color w:val="auto"/>
        </w:rPr>
      </w:pPr>
    </w:p>
    <w:p>
      <w:pPr>
        <w:spacing w:after="0" w:line="257" w:lineRule="exact"/>
        <w:rPr>
          <w:sz w:val="24"/>
          <w:szCs w:val="24"/>
          <w:color w:val="auto"/>
        </w:rPr>
      </w:pPr>
    </w:p>
    <w:p>
      <w:pPr>
        <w:ind w:left="41"/>
        <w:spacing w:after="0"/>
        <w:tabs>
          <w:tab w:leader="none" w:pos="681"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X</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ANNUAL REPORT PURSUANT TO SECTION 13 OR 15(d) OF THE SECURITIES EXCHANGE ACT OF 1934</w:t>
      </w:r>
    </w:p>
    <w:p>
      <w:pPr>
        <w:spacing w:after="0" w:line="235" w:lineRule="exact"/>
        <w:rPr>
          <w:sz w:val="24"/>
          <w:szCs w:val="24"/>
          <w:color w:val="auto"/>
        </w:rPr>
      </w:pPr>
    </w:p>
    <w:p>
      <w:pPr>
        <w:ind w:left="1"/>
        <w:spacing w:after="0"/>
        <w:rPr>
          <w:sz w:val="20"/>
          <w:szCs w:val="20"/>
          <w:color w:val="auto"/>
        </w:rPr>
      </w:pPr>
      <w:r>
        <w:rPr>
          <w:rFonts w:ascii="Arial" w:cs="Arial" w:eastAsia="Arial" w:hAnsi="Arial"/>
          <w:sz w:val="16"/>
          <w:szCs w:val="16"/>
          <w:b w:val="1"/>
          <w:bCs w:val="1"/>
          <w:color w:val="auto"/>
        </w:rPr>
        <w:t>For the Fiscal Year Ended December 31, 2014</w:t>
      </w:r>
    </w:p>
    <w:p>
      <w:pPr>
        <w:spacing w:after="0" w:line="239" w:lineRule="exact"/>
        <w:rPr>
          <w:sz w:val="24"/>
          <w:szCs w:val="24"/>
          <w:color w:val="auto"/>
        </w:rPr>
      </w:pPr>
    </w:p>
    <w:p>
      <w:pPr>
        <w:ind w:left="581" w:right="2900" w:hanging="581"/>
        <w:spacing w:after="0" w:line="543" w:lineRule="auto"/>
        <w:tabs>
          <w:tab w:leader="none" w:pos="127" w:val="left"/>
        </w:tabs>
        <w:numPr>
          <w:ilvl w:val="0"/>
          <w:numId w:val="1"/>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________________ to 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Commission file number 000-27239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TAPIMMUNE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12" w:lineRule="exact"/>
        <w:rPr>
          <w:sz w:val="24"/>
          <w:szCs w:val="24"/>
          <w:color w:val="auto"/>
        </w:rPr>
      </w:pPr>
    </w:p>
    <w:tbl>
      <w:tblPr>
        <w:tblLayout w:type="fixed"/>
        <w:tblInd w:w="901"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00" w:type="dxa"/>
            <w:vAlign w:val="bottom"/>
            <w:gridSpan w:val="3"/>
          </w:tcPr>
          <w:p>
            <w:pPr>
              <w:jc w:val="center"/>
              <w:ind w:right="2980"/>
              <w:spacing w:after="0"/>
              <w:rPr>
                <w:sz w:val="20"/>
                <w:szCs w:val="20"/>
                <w:color w:val="auto"/>
              </w:rPr>
            </w:pPr>
            <w:r>
              <w:rPr>
                <w:rFonts w:ascii="Arial" w:cs="Arial" w:eastAsia="Arial" w:hAnsi="Arial"/>
                <w:sz w:val="16"/>
                <w:szCs w:val="16"/>
                <w:b w:val="1"/>
                <w:bCs w:val="1"/>
                <w:color w:val="auto"/>
                <w:w w:val="91"/>
              </w:rPr>
              <w:t>Nevada</w:t>
            </w:r>
          </w:p>
        </w:tc>
        <w:tc>
          <w:tcPr>
            <w:tcW w:w="366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88-0277072</w:t>
            </w:r>
          </w:p>
        </w:tc>
      </w:tr>
      <w:tr>
        <w:trPr>
          <w:trHeight w:val="20"/>
        </w:trPr>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3"/>
        </w:trPr>
        <w:tc>
          <w:tcPr>
            <w:tcW w:w="5200" w:type="dxa"/>
            <w:vAlign w:val="bottom"/>
            <w:gridSpan w:val="5"/>
          </w:tcPr>
          <w:p>
            <w:pPr>
              <w:jc w:val="center"/>
              <w:ind w:right="1280"/>
              <w:spacing w:after="0"/>
              <w:rPr>
                <w:sz w:val="20"/>
                <w:szCs w:val="20"/>
                <w:color w:val="auto"/>
              </w:rPr>
            </w:pPr>
            <w:r>
              <w:rPr>
                <w:rFonts w:ascii="Arial" w:cs="Arial" w:eastAsia="Arial" w:hAnsi="Arial"/>
                <w:sz w:val="16"/>
                <w:szCs w:val="16"/>
                <w:color w:val="auto"/>
                <w:w w:val="95"/>
              </w:rPr>
              <w:t>(State or other jurisdiction of incorporation of organization)</w:t>
            </w:r>
          </w:p>
        </w:tc>
        <w:tc>
          <w:tcPr>
            <w:tcW w:w="3660" w:type="dxa"/>
            <w:vAlign w:val="bottom"/>
            <w:gridSpan w:val="5"/>
          </w:tcPr>
          <w:p>
            <w:pPr>
              <w:jc w:val="center"/>
              <w:ind w:left="1198"/>
              <w:spacing w:after="0"/>
              <w:rPr>
                <w:sz w:val="20"/>
                <w:szCs w:val="20"/>
                <w:color w:val="auto"/>
              </w:rPr>
            </w:pPr>
            <w:r>
              <w:rPr>
                <w:rFonts w:ascii="Arial" w:cs="Arial" w:eastAsia="Arial" w:hAnsi="Arial"/>
                <w:sz w:val="16"/>
                <w:szCs w:val="16"/>
                <w:color w:val="auto"/>
                <w:w w:val="96"/>
              </w:rPr>
              <w:t>(I.R.S. Employer Identification No.)</w:t>
            </w:r>
          </w:p>
        </w:tc>
      </w:tr>
      <w:tr>
        <w:trPr>
          <w:trHeight w:val="404"/>
        </w:trPr>
        <w:tc>
          <w:tcPr>
            <w:tcW w:w="5200" w:type="dxa"/>
            <w:vAlign w:val="bottom"/>
            <w:gridSpan w:val="5"/>
          </w:tcPr>
          <w:p>
            <w:pPr>
              <w:jc w:val="center"/>
              <w:ind w:right="1280"/>
              <w:spacing w:after="0"/>
              <w:rPr>
                <w:sz w:val="20"/>
                <w:szCs w:val="20"/>
                <w:color w:val="auto"/>
              </w:rPr>
            </w:pPr>
            <w:r>
              <w:rPr>
                <w:rFonts w:ascii="Arial" w:cs="Arial" w:eastAsia="Arial" w:hAnsi="Arial"/>
                <w:sz w:val="16"/>
                <w:szCs w:val="16"/>
                <w:b w:val="1"/>
                <w:bCs w:val="1"/>
                <w:color w:val="auto"/>
                <w:w w:val="91"/>
              </w:rPr>
              <w:t>1551 Eastlake Avenue East, Suite 100</w:t>
            </w: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7"/>
        </w:trPr>
        <w:tc>
          <w:tcPr>
            <w:tcW w:w="1260" w:type="dxa"/>
            <w:vAlign w:val="bottom"/>
          </w:tcPr>
          <w:p>
            <w:pPr>
              <w:spacing w:after="0"/>
              <w:rPr>
                <w:sz w:val="15"/>
                <w:szCs w:val="15"/>
                <w:color w:val="auto"/>
              </w:rPr>
            </w:pPr>
          </w:p>
        </w:tc>
        <w:tc>
          <w:tcPr>
            <w:tcW w:w="1400" w:type="dxa"/>
            <w:vAlign w:val="bottom"/>
            <w:tcBorders>
              <w:bottom w:val="single" w:sz="8" w:color="auto"/>
            </w:tcBorders>
            <w:gridSpan w:val="3"/>
          </w:tcPr>
          <w:p>
            <w:pPr>
              <w:jc w:val="center"/>
              <w:spacing w:after="0" w:line="177" w:lineRule="exact"/>
              <w:rPr>
                <w:sz w:val="20"/>
                <w:szCs w:val="20"/>
                <w:color w:val="auto"/>
              </w:rPr>
            </w:pPr>
            <w:r>
              <w:rPr>
                <w:rFonts w:ascii="Arial" w:cs="Arial" w:eastAsia="Arial" w:hAnsi="Arial"/>
                <w:sz w:val="16"/>
                <w:szCs w:val="16"/>
                <w:b w:val="1"/>
                <w:bCs w:val="1"/>
                <w:color w:val="auto"/>
                <w:w w:val="91"/>
              </w:rPr>
              <w:t>Seattle, Washington</w:t>
            </w:r>
          </w:p>
        </w:tc>
        <w:tc>
          <w:tcPr>
            <w:tcW w:w="2540" w:type="dxa"/>
            <w:vAlign w:val="bottom"/>
          </w:tcPr>
          <w:p>
            <w:pPr>
              <w:spacing w:after="0"/>
              <w:rPr>
                <w:sz w:val="15"/>
                <w:szCs w:val="15"/>
                <w:color w:val="auto"/>
              </w:rPr>
            </w:pPr>
          </w:p>
        </w:tc>
        <w:tc>
          <w:tcPr>
            <w:tcW w:w="2260" w:type="dxa"/>
            <w:vAlign w:val="bottom"/>
            <w:gridSpan w:val="2"/>
          </w:tcPr>
          <w:p>
            <w:pPr>
              <w:spacing w:after="0"/>
              <w:rPr>
                <w:sz w:val="15"/>
                <w:szCs w:val="15"/>
                <w:color w:val="auto"/>
              </w:rPr>
            </w:pPr>
          </w:p>
        </w:tc>
        <w:tc>
          <w:tcPr>
            <w:tcW w:w="42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b w:val="1"/>
                <w:bCs w:val="1"/>
                <w:color w:val="auto"/>
                <w:w w:val="89"/>
              </w:rPr>
              <w:t>98102</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7"/>
        </w:trPr>
        <w:tc>
          <w:tcPr>
            <w:tcW w:w="5200" w:type="dxa"/>
            <w:vAlign w:val="bottom"/>
            <w:gridSpan w:val="5"/>
          </w:tcPr>
          <w:p>
            <w:pPr>
              <w:jc w:val="center"/>
              <w:ind w:right="1280"/>
              <w:spacing w:after="0"/>
              <w:rPr>
                <w:sz w:val="20"/>
                <w:szCs w:val="20"/>
                <w:color w:val="auto"/>
              </w:rPr>
            </w:pPr>
            <w:r>
              <w:rPr>
                <w:rFonts w:ascii="Arial" w:cs="Arial" w:eastAsia="Arial" w:hAnsi="Arial"/>
                <w:sz w:val="16"/>
                <w:szCs w:val="16"/>
                <w:color w:val="auto"/>
                <w:w w:val="95"/>
              </w:rPr>
              <w:t>(Address of Principal Executive Offices)</w:t>
            </w:r>
          </w:p>
        </w:tc>
        <w:tc>
          <w:tcPr>
            <w:tcW w:w="2080" w:type="dxa"/>
            <w:vAlign w:val="bottom"/>
          </w:tcPr>
          <w:p>
            <w:pPr>
              <w:spacing w:after="0"/>
              <w:rPr>
                <w:sz w:val="20"/>
                <w:szCs w:val="20"/>
                <w:color w:val="auto"/>
              </w:rPr>
            </w:pPr>
          </w:p>
        </w:tc>
        <w:tc>
          <w:tcPr>
            <w:tcW w:w="1580" w:type="dxa"/>
            <w:vAlign w:val="bottom"/>
            <w:gridSpan w:val="4"/>
          </w:tcPr>
          <w:p>
            <w:pPr>
              <w:jc w:val="center"/>
              <w:ind w:right="800"/>
              <w:spacing w:after="0"/>
              <w:rPr>
                <w:sz w:val="20"/>
                <w:szCs w:val="20"/>
                <w:color w:val="auto"/>
              </w:rPr>
            </w:pPr>
            <w:r>
              <w:rPr>
                <w:rFonts w:ascii="Arial" w:cs="Arial" w:eastAsia="Arial" w:hAnsi="Arial"/>
                <w:sz w:val="16"/>
                <w:szCs w:val="16"/>
                <w:color w:val="auto"/>
                <w:w w:val="97"/>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5431155</wp:posOffset>
            </wp:positionH>
            <wp:positionV relativeFrom="paragraph">
              <wp:posOffset>-287655</wp:posOffset>
            </wp:positionV>
            <wp:extent cx="260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035" cy="762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(206) 504-7278</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20" w:lineRule="exact"/>
        <w:rPr>
          <w:sz w:val="24"/>
          <w:szCs w:val="24"/>
          <w:color w:val="auto"/>
        </w:rPr>
      </w:pPr>
    </w:p>
    <w:p>
      <w:pPr>
        <w:ind w:left="1"/>
        <w:spacing w:after="0"/>
        <w:rPr>
          <w:sz w:val="20"/>
          <w:szCs w:val="20"/>
          <w:color w:val="auto"/>
        </w:rPr>
      </w:pPr>
      <w:r>
        <w:rPr>
          <w:rFonts w:ascii="Arial" w:cs="Arial" w:eastAsia="Arial" w:hAnsi="Arial"/>
          <w:sz w:val="16"/>
          <w:szCs w:val="16"/>
          <w:color w:val="auto"/>
        </w:rPr>
        <w:t xml:space="preserve">Securities registered pursuant to Section 12(b) of the Act: </w:t>
      </w:r>
      <w:r>
        <w:rPr>
          <w:rFonts w:ascii="Arial" w:cs="Arial" w:eastAsia="Arial" w:hAnsi="Arial"/>
          <w:sz w:val="16"/>
          <w:szCs w:val="16"/>
          <w:b w:val="1"/>
          <w:bCs w:val="1"/>
          <w:u w:val="single" w:color="auto"/>
          <w:color w:val="auto"/>
        </w:rPr>
        <w:t>None</w:t>
      </w:r>
    </w:p>
    <w:p>
      <w:pPr>
        <w:spacing w:after="0" w:line="239"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12(g) of the Act:</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Common Stock, Par Value $0.001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(Title of class)</w:t>
      </w:r>
    </w:p>
    <w:p>
      <w:pPr>
        <w:spacing w:after="0" w:line="224" w:lineRule="exact"/>
        <w:rPr>
          <w:sz w:val="24"/>
          <w:szCs w:val="24"/>
          <w:color w:val="auto"/>
        </w:rPr>
      </w:pPr>
    </w:p>
    <w:p>
      <w:pPr>
        <w:ind w:left="1"/>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31" w:lineRule="exact"/>
        <w:rPr>
          <w:sz w:val="24"/>
          <w:szCs w:val="24"/>
          <w:color w:val="auto"/>
        </w:rPr>
      </w:pPr>
    </w:p>
    <w:p>
      <w:pPr>
        <w:ind w:left="1"/>
        <w:spacing w:after="0"/>
        <w:rPr>
          <w:sz w:val="20"/>
          <w:szCs w:val="20"/>
          <w:color w:val="auto"/>
        </w:rPr>
      </w:pPr>
      <w:r>
        <w:rPr>
          <w:rFonts w:ascii="Arial" w:cs="Arial" w:eastAsia="Arial" w:hAnsi="Arial"/>
          <w:sz w:val="16"/>
          <w:szCs w:val="16"/>
          <w:color w:val="auto"/>
        </w:rPr>
        <w:t>Yes [ ] No [</w:t>
      </w:r>
      <w:r>
        <w:rPr>
          <w:rFonts w:ascii="Arial" w:cs="Arial" w:eastAsia="Arial" w:hAnsi="Arial"/>
          <w:sz w:val="16"/>
          <w:szCs w:val="16"/>
          <w:b w:val="1"/>
          <w:bCs w:val="1"/>
          <w:color w:val="auto"/>
        </w:rPr>
        <w:t>X</w:t>
      </w:r>
      <w:r>
        <w:rPr>
          <w:rFonts w:ascii="Arial" w:cs="Arial" w:eastAsia="Arial" w:hAnsi="Arial"/>
          <w:sz w:val="16"/>
          <w:szCs w:val="16"/>
          <w:color w:val="auto"/>
        </w:rPr>
        <w:t>]</w:t>
      </w:r>
    </w:p>
    <w:p>
      <w:pPr>
        <w:spacing w:after="0" w:line="239" w:lineRule="exact"/>
        <w:rPr>
          <w:sz w:val="24"/>
          <w:szCs w:val="24"/>
          <w:color w:val="auto"/>
        </w:rPr>
      </w:pPr>
    </w:p>
    <w:p>
      <w:pPr>
        <w:ind w:left="1"/>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of Section 15(d) of the Act.</w:t>
      </w:r>
    </w:p>
    <w:p>
      <w:pPr>
        <w:spacing w:after="0" w:line="231" w:lineRule="exact"/>
        <w:rPr>
          <w:sz w:val="24"/>
          <w:szCs w:val="24"/>
          <w:color w:val="auto"/>
        </w:rPr>
      </w:pPr>
    </w:p>
    <w:p>
      <w:pPr>
        <w:ind w:left="1"/>
        <w:spacing w:after="0"/>
        <w:rPr>
          <w:sz w:val="20"/>
          <w:szCs w:val="20"/>
          <w:color w:val="auto"/>
        </w:rPr>
      </w:pPr>
      <w:r>
        <w:rPr>
          <w:rFonts w:ascii="Arial" w:cs="Arial" w:eastAsia="Arial" w:hAnsi="Arial"/>
          <w:sz w:val="16"/>
          <w:szCs w:val="16"/>
          <w:color w:val="auto"/>
        </w:rPr>
        <w:t>Yes [ ] No [</w:t>
      </w:r>
      <w:r>
        <w:rPr>
          <w:rFonts w:ascii="Arial" w:cs="Arial" w:eastAsia="Arial" w:hAnsi="Arial"/>
          <w:sz w:val="16"/>
          <w:szCs w:val="16"/>
          <w:b w:val="1"/>
          <w:bCs w:val="1"/>
          <w:color w:val="auto"/>
        </w:rPr>
        <w:t>X</w:t>
      </w:r>
      <w:r>
        <w:rPr>
          <w:rFonts w:ascii="Arial" w:cs="Arial" w:eastAsia="Arial" w:hAnsi="Arial"/>
          <w:sz w:val="16"/>
          <w:szCs w:val="16"/>
          <w:color w:val="auto"/>
        </w:rPr>
        <w:t>]</w:t>
      </w:r>
    </w:p>
    <w:p>
      <w:pPr>
        <w:spacing w:after="0" w:line="239" w:lineRule="exact"/>
        <w:rPr>
          <w:sz w:val="24"/>
          <w:szCs w:val="24"/>
          <w:color w:val="auto"/>
        </w:rPr>
      </w:pPr>
    </w:p>
    <w:p>
      <w:pPr>
        <w:jc w:val="both"/>
        <w:ind w:left="1"/>
        <w:spacing w:after="0" w:line="272" w:lineRule="auto"/>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b w:val="1"/>
          <w:bCs w:val="1"/>
          <w:color w:val="auto"/>
        </w:rPr>
        <w:t>X</w:t>
      </w:r>
      <w:r>
        <w:rPr>
          <w:rFonts w:ascii="Arial" w:cs="Arial" w:eastAsia="Arial" w:hAnsi="Arial"/>
          <w:sz w:val="16"/>
          <w:szCs w:val="16"/>
          <w:color w:val="auto"/>
        </w:rPr>
        <w:t>] No [ ]</w:t>
      </w:r>
    </w:p>
    <w:p>
      <w:pPr>
        <w:spacing w:after="0" w:line="187" w:lineRule="exact"/>
        <w:rPr>
          <w:sz w:val="24"/>
          <w:szCs w:val="24"/>
          <w:color w:val="auto"/>
        </w:rPr>
      </w:pPr>
    </w:p>
    <w:p>
      <w:pPr>
        <w:jc w:val="both"/>
        <w:ind w:left="1"/>
        <w:spacing w:after="0" w:line="27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Arial" w:cs="Arial" w:eastAsia="Arial" w:hAnsi="Arial"/>
          <w:sz w:val="16"/>
          <w:szCs w:val="16"/>
          <w:b w:val="1"/>
          <w:bCs w:val="1"/>
          <w:color w:val="auto"/>
        </w:rPr>
        <w:t>X</w:t>
      </w:r>
      <w:r>
        <w:rPr>
          <w:rFonts w:ascii="Arial" w:cs="Arial" w:eastAsia="Arial" w:hAnsi="Arial"/>
          <w:sz w:val="16"/>
          <w:szCs w:val="16"/>
          <w:color w:val="auto"/>
        </w:rPr>
        <w:t>] No [ ]</w:t>
      </w:r>
    </w:p>
    <w:p>
      <w:pPr>
        <w:spacing w:after="0" w:line="187" w:lineRule="exact"/>
        <w:rPr>
          <w:sz w:val="24"/>
          <w:szCs w:val="24"/>
          <w:color w:val="auto"/>
        </w:rPr>
      </w:pPr>
    </w:p>
    <w:p>
      <w:pPr>
        <w:jc w:val="both"/>
        <w:ind w:left="1"/>
        <w:spacing w:after="0" w:line="324"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5"/>
          <w:szCs w:val="15"/>
          <w:b w:val="1"/>
          <w:bCs w:val="1"/>
          <w:color w:val="auto"/>
        </w:rPr>
        <w:t>X</w:t>
      </w:r>
      <w:r>
        <w:rPr>
          <w:rFonts w:ascii="Arial" w:cs="Arial" w:eastAsia="Arial" w:hAnsi="Arial"/>
          <w:sz w:val="15"/>
          <w:szCs w:val="15"/>
          <w:color w:val="auto"/>
        </w:rPr>
        <w:t>]</w:t>
      </w:r>
    </w:p>
    <w:p>
      <w:pPr>
        <w:spacing w:after="0" w:line="150" w:lineRule="exact"/>
        <w:rPr>
          <w:sz w:val="24"/>
          <w:szCs w:val="24"/>
          <w:color w:val="auto"/>
        </w:rPr>
      </w:pPr>
    </w:p>
    <w:p>
      <w:pPr>
        <w:ind w:left="1"/>
        <w:spacing w:after="0"/>
        <w:rPr>
          <w:sz w:val="20"/>
          <w:szCs w:val="20"/>
          <w:color w:val="auto"/>
        </w:rPr>
      </w:pPr>
      <w:r>
        <w:rPr>
          <w:rFonts w:ascii="Arial" w:cs="Arial" w:eastAsia="Arial" w:hAnsi="Arial"/>
          <w:sz w:val="16"/>
          <w:szCs w:val="16"/>
          <w:color w:val="auto"/>
        </w:rPr>
        <w:t>Indicate by checkmark whether the registrant is a large accelerated filer, an accelerated filer, a non-accelerated filer, or a smaller reporting company.</w:t>
      </w:r>
    </w:p>
    <w:p>
      <w:pPr>
        <w:sectPr>
          <w:pgSz w:w="11900" w:h="16838" w:orient="portrait"/>
          <w:cols w:equalWidth="0" w:num="1">
            <w:col w:w="11421"/>
          </w:cols>
          <w:pgMar w:left="239" w:top="517" w:right="239" w:bottom="1440" w:gutter="0" w:footer="0" w:header="0"/>
        </w:sectPr>
      </w:pPr>
    </w:p>
    <w:p>
      <w:pPr>
        <w:spacing w:after="0" w:line="235" w:lineRule="exact"/>
        <w:rPr>
          <w:sz w:val="24"/>
          <w:szCs w:val="24"/>
          <w:color w:val="auto"/>
        </w:rPr>
      </w:pPr>
    </w:p>
    <w:p>
      <w:pPr>
        <w:ind w:left="1"/>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4220"/>
        <w:spacing w:after="0"/>
        <w:rPr>
          <w:sz w:val="20"/>
          <w:szCs w:val="20"/>
          <w:color w:val="auto"/>
        </w:rPr>
      </w:pPr>
      <w:r>
        <w:rPr>
          <w:rFonts w:ascii="Arial" w:cs="Arial" w:eastAsia="Arial" w:hAnsi="Arial"/>
          <w:sz w:val="15"/>
          <w:szCs w:val="15"/>
          <w:color w:val="auto"/>
        </w:rPr>
        <w:t>Accelerated filer o</w:t>
      </w:r>
    </w:p>
    <w:p>
      <w:pPr>
        <w:spacing w:after="0" w:line="200" w:lineRule="exact"/>
        <w:rPr>
          <w:sz w:val="24"/>
          <w:szCs w:val="24"/>
          <w:color w:val="auto"/>
        </w:rPr>
      </w:pPr>
    </w:p>
    <w:p>
      <w:pPr>
        <w:sectPr>
          <w:pgSz w:w="11900" w:h="16838" w:orient="portrait"/>
          <w:cols w:equalWidth="0" w:num="2">
            <w:col w:w="5261" w:space="720"/>
            <w:col w:w="5440"/>
          </w:cols>
          <w:pgMar w:left="239" w:top="517" w:right="239" w:bottom="1440" w:gutter="0" w:footer="0" w:header="0"/>
          <w:type w:val="continuous"/>
        </w:sectPr>
      </w:pPr>
    </w:p>
    <w:p>
      <w:pPr>
        <w:spacing w:after="0" w:line="46" w:lineRule="exact"/>
        <w:rPr>
          <w:sz w:val="24"/>
          <w:szCs w:val="24"/>
          <w:color w:val="auto"/>
        </w:rPr>
      </w:pPr>
    </w:p>
    <w:p>
      <w:pPr>
        <w:ind w:left="1"/>
        <w:spacing w:after="0"/>
        <w:rPr>
          <w:sz w:val="20"/>
          <w:szCs w:val="20"/>
          <w:color w:val="auto"/>
        </w:rPr>
      </w:pPr>
      <w:r>
        <w:rPr>
          <w:rFonts w:ascii="Arial" w:cs="Arial" w:eastAsia="Arial" w:hAnsi="Arial"/>
          <w:sz w:val="15"/>
          <w:szCs w:val="15"/>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T</w:t>
      </w:r>
    </w:p>
    <w:p>
      <w:pPr>
        <w:spacing w:after="0" w:line="200" w:lineRule="exact"/>
        <w:rPr>
          <w:sz w:val="24"/>
          <w:szCs w:val="24"/>
          <w:color w:val="auto"/>
        </w:rPr>
      </w:pPr>
    </w:p>
    <w:p>
      <w:pPr>
        <w:sectPr>
          <w:pgSz w:w="11900" w:h="16838" w:orient="portrait"/>
          <w:cols w:equalWidth="0" w:num="2">
            <w:col w:w="5001" w:space="720"/>
            <w:col w:w="5700"/>
          </w:cols>
          <w:pgMar w:left="239" w:top="517" w:right="239" w:bottom="1440" w:gutter="0" w:footer="0" w:header="0"/>
          <w:type w:val="continuous"/>
        </w:sectPr>
      </w:pPr>
    </w:p>
    <w:p>
      <w:pPr>
        <w:spacing w:after="0" w:line="46" w:lineRule="exact"/>
        <w:rPr>
          <w:sz w:val="24"/>
          <w:szCs w:val="24"/>
          <w:color w:val="auto"/>
        </w:rPr>
      </w:pPr>
    </w:p>
    <w:p>
      <w:pPr>
        <w:ind w:left="1"/>
        <w:spacing w:after="0"/>
        <w:rPr>
          <w:sz w:val="20"/>
          <w:szCs w:val="20"/>
          <w:color w:val="auto"/>
        </w:rPr>
      </w:pPr>
      <w:r>
        <w:rPr>
          <w:rFonts w:ascii="Arial" w:cs="Arial" w:eastAsia="Arial" w:hAnsi="Arial"/>
          <w:sz w:val="16"/>
          <w:szCs w:val="16"/>
          <w:color w:val="auto"/>
        </w:rPr>
        <w:t>Indicate by checkmark whether the registrant is a shell company (as defined in Rule 12b-2 of the Exchange Act).</w:t>
      </w:r>
    </w:p>
    <w:p>
      <w:pPr>
        <w:spacing w:after="0" w:line="231" w:lineRule="exact"/>
        <w:rPr>
          <w:sz w:val="24"/>
          <w:szCs w:val="24"/>
          <w:color w:val="auto"/>
        </w:rPr>
      </w:pPr>
    </w:p>
    <w:p>
      <w:pPr>
        <w:ind w:left="1"/>
        <w:spacing w:after="0"/>
        <w:rPr>
          <w:sz w:val="20"/>
          <w:szCs w:val="20"/>
          <w:color w:val="auto"/>
        </w:rPr>
      </w:pPr>
      <w:r>
        <w:rPr>
          <w:rFonts w:ascii="Arial" w:cs="Arial" w:eastAsia="Arial" w:hAnsi="Arial"/>
          <w:sz w:val="16"/>
          <w:szCs w:val="16"/>
          <w:color w:val="auto"/>
        </w:rPr>
        <w:t>Yes [ ] No [</w:t>
      </w:r>
      <w:r>
        <w:rPr>
          <w:rFonts w:ascii="Arial" w:cs="Arial" w:eastAsia="Arial" w:hAnsi="Arial"/>
          <w:sz w:val="16"/>
          <w:szCs w:val="16"/>
          <w:b w:val="1"/>
          <w:bCs w:val="1"/>
          <w:color w:val="auto"/>
        </w:rPr>
        <w:t>X</w:t>
      </w:r>
      <w:r>
        <w:rPr>
          <w:rFonts w:ascii="Arial" w:cs="Arial" w:eastAsia="Arial" w:hAnsi="Arial"/>
          <w:sz w:val="16"/>
          <w:szCs w:val="16"/>
          <w:color w:val="auto"/>
        </w:rPr>
        <w:t>]</w:t>
      </w:r>
    </w:p>
    <w:p>
      <w:pPr>
        <w:spacing w:after="0" w:line="239" w:lineRule="exact"/>
        <w:rPr>
          <w:sz w:val="24"/>
          <w:szCs w:val="24"/>
          <w:color w:val="auto"/>
        </w:rPr>
      </w:pPr>
    </w:p>
    <w:p>
      <w:pPr>
        <w:ind w:left="1"/>
        <w:spacing w:after="0" w:line="324"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computed by reference to the price at which the registrant’s common equity was last sold, as of June 30, 2014 (the last day of the registrant’s most recently completed second fiscal quarter) was approximately $30,929,000.</w:t>
      </w:r>
    </w:p>
    <w:p>
      <w:pPr>
        <w:spacing w:after="0" w:line="150" w:lineRule="exact"/>
        <w:rPr>
          <w:sz w:val="24"/>
          <w:szCs w:val="24"/>
          <w:color w:val="auto"/>
        </w:rPr>
      </w:pPr>
    </w:p>
    <w:p>
      <w:pPr>
        <w:ind w:left="1"/>
        <w:spacing w:after="0"/>
        <w:rPr>
          <w:sz w:val="20"/>
          <w:szCs w:val="20"/>
          <w:color w:val="auto"/>
        </w:rPr>
      </w:pPr>
      <w:r>
        <w:rPr>
          <w:rFonts w:ascii="Arial" w:cs="Arial" w:eastAsia="Arial" w:hAnsi="Arial"/>
          <w:sz w:val="16"/>
          <w:szCs w:val="16"/>
          <w:color w:val="auto"/>
        </w:rPr>
        <w:t>The registrant had 32,638,810 shares of common stock outstanding as of April 10,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670560</wp:posOffset>
            </wp:positionV>
            <wp:extent cx="726376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51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u w:val="single" w:color="auto"/>
          <w:color w:val="auto"/>
        </w:rPr>
        <w:t>FORWARD LOOKING STATEMENTS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This annual report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annual report. Any of these items may cause our actual results to differ materially from any forward-looking statement made in this annual report. Forward-looking statements in this annual report include, among others, statements regarding our capital needs, business plans and expectations.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187" w:lineRule="exact"/>
        <w:rPr>
          <w:sz w:val="20"/>
          <w:szCs w:val="20"/>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need for additional financing;</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limited operating history;</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history of operating losses;</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lack of insurance coverage;</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competitive environment in which we operate;</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governmental regulation and administrative practices;</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dependence on key personnel;</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conflicts of interest of our directors and officers;</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fully implement our business plan;</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effectively manage our growth; and</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regulatory, legislative and judicial developments.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advise the reader that these cautionary remarks expressly qualify in their entirety all forward-looking statements attributable to us or persons acting on our behalf. The forward-looking statements in this annual report are made as of the date of this annual report and we do not intend or undertake to update any of the forward-looking statements to conform these statements to actual results, except as required by applicable law, including the securities laws of the United States.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AVAILABLE INFORMATION</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TapImmune Inc. files annual, quarterly and current reports, proxy statements and other information with the Securities and Exchange Commission (the “SEC”). You may read and copy documents referred to in this Annual Report on Form 10-K that have been filed with the SEC at the SEC’s Public Reference Room, 450 Fifth Street, N.W., Washington, D.C. You may obtain information on the operation of the Public Reference Room by calling the SEC at 1-800-SEC-0330. You can also obtain copies of our SEC filings by going to the SEC’s website at http://www.sec.gov.</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REFERENCES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As used in this annual report: (i) the terms “we”, “us”, “our”, “TapImmune” and the “Company” mean TapImmune Inc.; (ii) “SEC” refers to the Securities and Exchange Commission; (iii) “Securities Act” refers to the United States </w:t>
      </w:r>
      <w:r>
        <w:rPr>
          <w:rFonts w:ascii="Arial" w:cs="Arial" w:eastAsia="Arial" w:hAnsi="Arial"/>
          <w:sz w:val="16"/>
          <w:szCs w:val="16"/>
          <w:i w:val="1"/>
          <w:iCs w:val="1"/>
          <w:color w:val="auto"/>
        </w:rPr>
        <w:t>Securities Act of 1933</w:t>
      </w:r>
      <w:r>
        <w:rPr>
          <w:rFonts w:ascii="Arial" w:cs="Arial" w:eastAsia="Arial" w:hAnsi="Arial"/>
          <w:sz w:val="16"/>
          <w:szCs w:val="16"/>
          <w:color w:val="auto"/>
        </w:rPr>
        <w:t xml:space="preserve">, as amended; (iv) “Exchange Act” refers to the United States </w:t>
      </w:r>
      <w:r>
        <w:rPr>
          <w:rFonts w:ascii="Arial" w:cs="Arial" w:eastAsia="Arial" w:hAnsi="Arial"/>
          <w:sz w:val="16"/>
          <w:szCs w:val="16"/>
          <w:i w:val="1"/>
          <w:iCs w:val="1"/>
          <w:color w:val="auto"/>
        </w:rPr>
        <w:t>Securities Exchange Act of</w:t>
      </w:r>
      <w:r>
        <w:rPr>
          <w:rFonts w:ascii="Arial" w:cs="Arial" w:eastAsia="Arial" w:hAnsi="Arial"/>
          <w:sz w:val="16"/>
          <w:szCs w:val="16"/>
          <w:color w:val="auto"/>
        </w:rPr>
        <w:t xml:space="preserve"> </w:t>
      </w:r>
      <w:r>
        <w:rPr>
          <w:rFonts w:ascii="Arial" w:cs="Arial" w:eastAsia="Arial" w:hAnsi="Arial"/>
          <w:sz w:val="16"/>
          <w:szCs w:val="16"/>
          <w:i w:val="1"/>
          <w:iCs w:val="1"/>
          <w:color w:val="auto"/>
        </w:rPr>
        <w:t>1934</w:t>
      </w:r>
      <w:r>
        <w:rPr>
          <w:rFonts w:ascii="Arial" w:cs="Arial" w:eastAsia="Arial" w:hAnsi="Arial"/>
          <w:sz w:val="16"/>
          <w:szCs w:val="16"/>
          <w:color w:val="auto"/>
        </w:rPr>
        <w:t>, as amended; and (v) all dollar amounts refer to United States dollars unless otherwise indicated.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2"/>
        </w:trPr>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gridSpan w:val="13"/>
          </w:tcPr>
          <w:p>
            <w:pPr>
              <w:ind w:left="900"/>
              <w:spacing w:after="0"/>
              <w:rPr>
                <w:sz w:val="20"/>
                <w:szCs w:val="20"/>
                <w:color w:val="auto"/>
              </w:rPr>
            </w:pPr>
            <w:r>
              <w:rPr>
                <w:rFonts w:ascii="Arial" w:cs="Arial" w:eastAsia="Arial" w:hAnsi="Arial"/>
                <w:sz w:val="16"/>
                <w:szCs w:val="16"/>
                <w:b w:val="1"/>
                <w:bCs w:val="1"/>
                <w:color w:val="auto"/>
              </w:rPr>
              <w:t>TABLE OF CONTENTS</w:t>
            </w: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6"/>
        </w:trPr>
        <w:tc>
          <w:tcPr>
            <w:tcW w:w="1380" w:type="dxa"/>
            <w:vAlign w:val="bottom"/>
            <w:tcBorders>
              <w:bottom w:val="single" w:sz="8" w:color="CCEEFF"/>
            </w:tcBorders>
            <w:gridSpan w:val="2"/>
            <w:shd w:val="clear" w:color="auto" w:fill="CCEEFF"/>
          </w:tcPr>
          <w:p>
            <w:pPr>
              <w:spacing w:after="0" w:line="168" w:lineRule="exact"/>
              <w:rPr>
                <w:sz w:val="20"/>
                <w:szCs w:val="20"/>
                <w:color w:val="auto"/>
              </w:rPr>
            </w:pPr>
            <w:r>
              <w:rPr>
                <w:rFonts w:ascii="Arial" w:cs="Arial" w:eastAsia="Arial" w:hAnsi="Arial"/>
                <w:sz w:val="16"/>
                <w:szCs w:val="16"/>
                <w:color w:val="auto"/>
              </w:rPr>
              <w:t>ITEM 1.</w:t>
            </w:r>
          </w:p>
        </w:tc>
        <w:tc>
          <w:tcPr>
            <w:tcW w:w="780" w:type="dxa"/>
            <w:vAlign w:val="bottom"/>
            <w:tcBorders>
              <w:bottom w:val="single" w:sz="8" w:color="auto"/>
            </w:tcBorders>
            <w:gridSpan w:val="2"/>
            <w:shd w:val="clear" w:color="auto" w:fill="CCEEFF"/>
          </w:tcPr>
          <w:p>
            <w:pPr>
              <w:spacing w:after="0" w:line="168" w:lineRule="exact"/>
              <w:rPr>
                <w:sz w:val="20"/>
                <w:szCs w:val="20"/>
                <w:color w:val="auto"/>
              </w:rPr>
            </w:pPr>
            <w:r>
              <w:rPr>
                <w:rFonts w:ascii="Arial" w:cs="Arial" w:eastAsia="Arial" w:hAnsi="Arial"/>
                <w:sz w:val="16"/>
                <w:szCs w:val="16"/>
                <w:color w:val="auto"/>
                <w:w w:val="93"/>
              </w:rPr>
              <w:t>BUSINESS</w:t>
            </w:r>
          </w:p>
        </w:tc>
        <w:tc>
          <w:tcPr>
            <w:tcW w:w="2680" w:type="dxa"/>
            <w:vAlign w:val="bottom"/>
            <w:tcBorders>
              <w:bottom w:val="single" w:sz="8" w:color="CCEEFF"/>
            </w:tcBorders>
            <w:gridSpan w:val="11"/>
            <w:shd w:val="clear" w:color="auto" w:fill="CCEEFF"/>
          </w:tcPr>
          <w:p>
            <w:pPr>
              <w:spacing w:after="0"/>
              <w:rPr>
                <w:sz w:val="16"/>
                <w:szCs w:val="16"/>
                <w:color w:val="auto"/>
              </w:rPr>
            </w:pPr>
          </w:p>
        </w:tc>
        <w:tc>
          <w:tcPr>
            <w:tcW w:w="1760" w:type="dxa"/>
            <w:vAlign w:val="bottom"/>
            <w:tcBorders>
              <w:top w:val="single" w:sz="8" w:color="auto"/>
              <w:bottom w:val="single" w:sz="8" w:color="CCEEFF"/>
            </w:tcBorders>
            <w:gridSpan w:val="5"/>
            <w:shd w:val="clear" w:color="auto" w:fill="CCEEFF"/>
          </w:tcPr>
          <w:p>
            <w:pPr>
              <w:spacing w:after="0"/>
              <w:rPr>
                <w:sz w:val="16"/>
                <w:szCs w:val="16"/>
                <w:color w:val="auto"/>
              </w:rPr>
            </w:pPr>
          </w:p>
        </w:tc>
        <w:tc>
          <w:tcPr>
            <w:tcW w:w="860" w:type="dxa"/>
            <w:vAlign w:val="bottom"/>
            <w:tcBorders>
              <w:bottom w:val="single" w:sz="8" w:color="CCEEFF"/>
            </w:tcBorders>
            <w:gridSpan w:val="7"/>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jc w:val="right"/>
              <w:ind w:right="1678"/>
              <w:spacing w:after="0" w:line="168" w:lineRule="exact"/>
              <w:rPr>
                <w:sz w:val="20"/>
                <w:szCs w:val="20"/>
                <w:color w:val="auto"/>
              </w:rPr>
            </w:pPr>
            <w:r>
              <w:rPr>
                <w:rFonts w:ascii="Arial" w:cs="Arial" w:eastAsia="Arial" w:hAnsi="Arial"/>
                <w:sz w:val="16"/>
                <w:szCs w:val="16"/>
                <w:color w:val="auto"/>
              </w:rPr>
              <w:t>3</w:t>
            </w:r>
          </w:p>
        </w:tc>
        <w:tc>
          <w:tcPr>
            <w:tcW w:w="1880" w:type="dxa"/>
            <w:vAlign w:val="bottom"/>
            <w:tcBorders>
              <w:bottom w:val="single" w:sz="8" w:color="CCEEFF"/>
            </w:tcBorders>
            <w:shd w:val="clear" w:color="auto" w:fill="CCEEFF"/>
          </w:tcPr>
          <w:p>
            <w:pPr>
              <w:spacing w:after="0"/>
              <w:rPr>
                <w:sz w:val="16"/>
                <w:szCs w:val="16"/>
                <w:color w:val="auto"/>
              </w:rPr>
            </w:pPr>
          </w:p>
        </w:tc>
      </w:tr>
      <w:tr>
        <w:trPr>
          <w:trHeight w:val="160"/>
        </w:trPr>
        <w:tc>
          <w:tcPr>
            <w:tcW w:w="1380" w:type="dxa"/>
            <w:vAlign w:val="bottom"/>
            <w:gridSpan w:val="2"/>
          </w:tcPr>
          <w:p>
            <w:pPr>
              <w:spacing w:after="0" w:line="160" w:lineRule="exact"/>
              <w:rPr>
                <w:sz w:val="20"/>
                <w:szCs w:val="20"/>
                <w:color w:val="auto"/>
              </w:rPr>
            </w:pPr>
            <w:r>
              <w:rPr>
                <w:rFonts w:ascii="Arial" w:cs="Arial" w:eastAsia="Arial" w:hAnsi="Arial"/>
                <w:sz w:val="16"/>
                <w:szCs w:val="16"/>
                <w:color w:val="auto"/>
              </w:rPr>
              <w:t>ITEM 1A.</w:t>
            </w:r>
          </w:p>
        </w:tc>
        <w:tc>
          <w:tcPr>
            <w:tcW w:w="6080" w:type="dxa"/>
            <w:vAlign w:val="bottom"/>
            <w:gridSpan w:val="25"/>
          </w:tcPr>
          <w:p>
            <w:pPr>
              <w:spacing w:after="0" w:line="160" w:lineRule="exact"/>
              <w:rPr>
                <w:sz w:val="20"/>
                <w:szCs w:val="20"/>
                <w:color w:val="auto"/>
              </w:rPr>
            </w:pPr>
            <w:r>
              <w:rPr>
                <w:rFonts w:ascii="Arial" w:cs="Arial" w:eastAsia="Arial" w:hAnsi="Arial"/>
                <w:sz w:val="16"/>
                <w:szCs w:val="16"/>
                <w:color w:val="auto"/>
              </w:rPr>
              <w:t>RISK FACTORS</w:t>
            </w:r>
          </w:p>
        </w:tc>
        <w:tc>
          <w:tcPr>
            <w:tcW w:w="2080" w:type="dxa"/>
            <w:vAlign w:val="bottom"/>
          </w:tcPr>
          <w:p>
            <w:pPr>
              <w:jc w:val="right"/>
              <w:ind w:right="1678"/>
              <w:spacing w:after="0" w:line="160" w:lineRule="exact"/>
              <w:rPr>
                <w:sz w:val="20"/>
                <w:szCs w:val="20"/>
                <w:color w:val="auto"/>
              </w:rPr>
            </w:pPr>
            <w:r>
              <w:rPr>
                <w:rFonts w:ascii="Arial" w:cs="Arial" w:eastAsia="Arial" w:hAnsi="Arial"/>
                <w:sz w:val="16"/>
                <w:szCs w:val="16"/>
                <w:color w:val="auto"/>
              </w:rPr>
              <w:t>10</w:t>
            </w:r>
          </w:p>
        </w:tc>
        <w:tc>
          <w:tcPr>
            <w:tcW w:w="1880" w:type="dxa"/>
            <w:vAlign w:val="bottom"/>
          </w:tcPr>
          <w:p>
            <w:pPr>
              <w:spacing w:after="0"/>
              <w:rPr>
                <w:sz w:val="13"/>
                <w:szCs w:val="13"/>
                <w:color w:val="auto"/>
              </w:rPr>
            </w:pPr>
          </w:p>
        </w:tc>
      </w:tr>
      <w:tr>
        <w:trPr>
          <w:trHeight w:val="28"/>
        </w:trPr>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186"/>
        </w:trPr>
        <w:tc>
          <w:tcPr>
            <w:tcW w:w="68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w w:val="98"/>
              </w:rPr>
              <w:t>ITEM 1B.</w:t>
            </w:r>
          </w:p>
        </w:tc>
        <w:tc>
          <w:tcPr>
            <w:tcW w:w="700" w:type="dxa"/>
            <w:vAlign w:val="bottom"/>
            <w:shd w:val="clear" w:color="auto" w:fill="CCEEFF"/>
          </w:tcPr>
          <w:p>
            <w:pPr>
              <w:spacing w:after="0"/>
              <w:rPr>
                <w:sz w:val="16"/>
                <w:szCs w:val="16"/>
                <w:color w:val="auto"/>
              </w:rPr>
            </w:pPr>
          </w:p>
        </w:tc>
        <w:tc>
          <w:tcPr>
            <w:tcW w:w="6080" w:type="dxa"/>
            <w:vAlign w:val="bottom"/>
            <w:gridSpan w:val="25"/>
            <w:shd w:val="clear" w:color="auto" w:fill="CCEEFF"/>
          </w:tcPr>
          <w:p>
            <w:pPr>
              <w:spacing w:after="0" w:line="168" w:lineRule="exact"/>
              <w:rPr>
                <w:sz w:val="20"/>
                <w:szCs w:val="20"/>
                <w:color w:val="auto"/>
              </w:rPr>
            </w:pPr>
            <w:r>
              <w:rPr>
                <w:rFonts w:ascii="Arial" w:cs="Arial" w:eastAsia="Arial" w:hAnsi="Arial"/>
                <w:sz w:val="16"/>
                <w:szCs w:val="16"/>
                <w:color w:val="auto"/>
              </w:rPr>
              <w:t>UNRESOLVED STAFF COMMENTS</w:t>
            </w:r>
          </w:p>
        </w:tc>
        <w:tc>
          <w:tcPr>
            <w:tcW w:w="2080" w:type="dxa"/>
            <w:vAlign w:val="bottom"/>
            <w:shd w:val="clear" w:color="auto" w:fill="CCEEFF"/>
          </w:tcPr>
          <w:p>
            <w:pPr>
              <w:jc w:val="right"/>
              <w:ind w:right="1678"/>
              <w:spacing w:after="0" w:line="168" w:lineRule="exact"/>
              <w:rPr>
                <w:sz w:val="20"/>
                <w:szCs w:val="20"/>
                <w:color w:val="auto"/>
              </w:rPr>
            </w:pPr>
            <w:r>
              <w:rPr>
                <w:rFonts w:ascii="Arial" w:cs="Arial" w:eastAsia="Arial" w:hAnsi="Arial"/>
                <w:sz w:val="16"/>
                <w:szCs w:val="16"/>
                <w:color w:val="auto"/>
              </w:rPr>
              <w:t>10</w:t>
            </w:r>
          </w:p>
        </w:tc>
        <w:tc>
          <w:tcPr>
            <w:tcW w:w="18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0</w:t>
            </w:r>
          </w:p>
        </w:tc>
      </w:tr>
      <w:tr>
        <w:trPr>
          <w:trHeight w:val="169"/>
        </w:trPr>
        <w:tc>
          <w:tcPr>
            <w:tcW w:w="680" w:type="dxa"/>
            <w:vAlign w:val="bottom"/>
            <w:tcBorders>
              <w:top w:val="single" w:sz="8" w:color="auto"/>
            </w:tcBorders>
          </w:tcPr>
          <w:p>
            <w:pPr>
              <w:spacing w:after="0" w:line="160" w:lineRule="exact"/>
              <w:rPr>
                <w:sz w:val="20"/>
                <w:szCs w:val="20"/>
                <w:color w:val="auto"/>
              </w:rPr>
            </w:pPr>
            <w:r>
              <w:rPr>
                <w:rFonts w:ascii="Arial" w:cs="Arial" w:eastAsia="Arial" w:hAnsi="Arial"/>
                <w:sz w:val="16"/>
                <w:szCs w:val="16"/>
                <w:color w:val="auto"/>
              </w:rPr>
              <w:t>ITEM 2.</w:t>
            </w:r>
          </w:p>
        </w:tc>
        <w:tc>
          <w:tcPr>
            <w:tcW w:w="700" w:type="dxa"/>
            <w:vAlign w:val="bottom"/>
            <w:tcBorders>
              <w:top w:val="single" w:sz="8" w:color="CCEEFF"/>
            </w:tcBorders>
          </w:tcPr>
          <w:p>
            <w:pPr>
              <w:spacing w:after="0"/>
              <w:rPr>
                <w:sz w:val="14"/>
                <w:szCs w:val="14"/>
                <w:color w:val="auto"/>
              </w:rPr>
            </w:pPr>
          </w:p>
        </w:tc>
        <w:tc>
          <w:tcPr>
            <w:tcW w:w="960" w:type="dxa"/>
            <w:vAlign w:val="bottom"/>
            <w:tcBorders>
              <w:top w:val="single" w:sz="8" w:color="auto"/>
              <w:bottom w:val="single" w:sz="8" w:color="auto"/>
            </w:tcBorders>
            <w:gridSpan w:val="3"/>
          </w:tcPr>
          <w:p>
            <w:pPr>
              <w:spacing w:after="0" w:line="160" w:lineRule="exact"/>
              <w:rPr>
                <w:sz w:val="20"/>
                <w:szCs w:val="20"/>
                <w:color w:val="auto"/>
              </w:rPr>
            </w:pPr>
            <w:r>
              <w:rPr>
                <w:rFonts w:ascii="Arial" w:cs="Arial" w:eastAsia="Arial" w:hAnsi="Arial"/>
                <w:sz w:val="16"/>
                <w:szCs w:val="16"/>
                <w:color w:val="auto"/>
                <w:w w:val="91"/>
              </w:rPr>
              <w:t>PROPERTIES</w:t>
            </w:r>
          </w:p>
        </w:tc>
        <w:tc>
          <w:tcPr>
            <w:tcW w:w="1600" w:type="dxa"/>
            <w:vAlign w:val="bottom"/>
            <w:tcBorders>
              <w:top w:val="single" w:sz="8" w:color="auto"/>
            </w:tcBorders>
            <w:gridSpan w:val="9"/>
          </w:tcPr>
          <w:p>
            <w:pPr>
              <w:spacing w:after="0"/>
              <w:rPr>
                <w:sz w:val="14"/>
                <w:szCs w:val="14"/>
                <w:color w:val="auto"/>
              </w:rPr>
            </w:pPr>
          </w:p>
        </w:tc>
        <w:tc>
          <w:tcPr>
            <w:tcW w:w="3520" w:type="dxa"/>
            <w:vAlign w:val="bottom"/>
            <w:tcBorders>
              <w:top w:val="single" w:sz="8" w:color="CCEEFF"/>
            </w:tcBorders>
            <w:gridSpan w:val="13"/>
          </w:tcPr>
          <w:p>
            <w:pPr>
              <w:spacing w:after="0"/>
              <w:rPr>
                <w:sz w:val="14"/>
                <w:szCs w:val="14"/>
                <w:color w:val="auto"/>
              </w:rPr>
            </w:pPr>
          </w:p>
        </w:tc>
        <w:tc>
          <w:tcPr>
            <w:tcW w:w="2080" w:type="dxa"/>
            <w:vAlign w:val="bottom"/>
            <w:tcBorders>
              <w:top w:val="single" w:sz="8" w:color="CCEEFF"/>
            </w:tcBorders>
          </w:tcPr>
          <w:p>
            <w:pPr>
              <w:jc w:val="right"/>
              <w:ind w:right="1678"/>
              <w:spacing w:after="0" w:line="160" w:lineRule="exact"/>
              <w:rPr>
                <w:sz w:val="20"/>
                <w:szCs w:val="20"/>
                <w:color w:val="auto"/>
              </w:rPr>
            </w:pPr>
            <w:r>
              <w:rPr>
                <w:rFonts w:ascii="Arial" w:cs="Arial" w:eastAsia="Arial" w:hAnsi="Arial"/>
                <w:sz w:val="16"/>
                <w:szCs w:val="16"/>
                <w:color w:val="auto"/>
              </w:rPr>
              <w:t>10</w:t>
            </w:r>
          </w:p>
        </w:tc>
        <w:tc>
          <w:tcPr>
            <w:tcW w:w="1880" w:type="dxa"/>
            <w:vAlign w:val="bottom"/>
            <w:tcBorders>
              <w:top w:val="single" w:sz="8" w:color="CCEEFF"/>
            </w:tcBorders>
          </w:tcPr>
          <w:p>
            <w:pPr>
              <w:spacing w:after="0"/>
              <w:rPr>
                <w:sz w:val="14"/>
                <w:szCs w:val="14"/>
                <w:color w:val="auto"/>
              </w:rPr>
            </w:pPr>
          </w:p>
        </w:tc>
      </w:tr>
      <w:tr>
        <w:trPr>
          <w:trHeight w:val="169"/>
        </w:trPr>
        <w:tc>
          <w:tcPr>
            <w:tcW w:w="138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rPr>
              <w:t>ITEM 3.</w:t>
            </w:r>
          </w:p>
        </w:tc>
        <w:tc>
          <w:tcPr>
            <w:tcW w:w="6080" w:type="dxa"/>
            <w:vAlign w:val="bottom"/>
            <w:gridSpan w:val="25"/>
            <w:shd w:val="clear" w:color="auto" w:fill="CCEEFF"/>
          </w:tcPr>
          <w:p>
            <w:pPr>
              <w:spacing w:after="0" w:line="168" w:lineRule="exact"/>
              <w:rPr>
                <w:sz w:val="20"/>
                <w:szCs w:val="20"/>
                <w:color w:val="auto"/>
              </w:rPr>
            </w:pPr>
            <w:r>
              <w:rPr>
                <w:rFonts w:ascii="Arial" w:cs="Arial" w:eastAsia="Arial" w:hAnsi="Arial"/>
                <w:sz w:val="16"/>
                <w:szCs w:val="16"/>
                <w:color w:val="auto"/>
              </w:rPr>
              <w:t>LEGAL PROCEEDINGS</w:t>
            </w:r>
          </w:p>
        </w:tc>
        <w:tc>
          <w:tcPr>
            <w:tcW w:w="2080" w:type="dxa"/>
            <w:vAlign w:val="bottom"/>
            <w:shd w:val="clear" w:color="auto" w:fill="CCEEFF"/>
          </w:tcPr>
          <w:p>
            <w:pPr>
              <w:jc w:val="right"/>
              <w:ind w:right="1678"/>
              <w:spacing w:after="0" w:line="168" w:lineRule="exact"/>
              <w:rPr>
                <w:sz w:val="20"/>
                <w:szCs w:val="20"/>
                <w:color w:val="auto"/>
              </w:rPr>
            </w:pPr>
            <w:r>
              <w:rPr>
                <w:rFonts w:ascii="Arial" w:cs="Arial" w:eastAsia="Arial" w:hAnsi="Arial"/>
                <w:sz w:val="16"/>
                <w:szCs w:val="16"/>
                <w:color w:val="auto"/>
              </w:rPr>
              <w:t>10</w:t>
            </w:r>
          </w:p>
        </w:tc>
        <w:tc>
          <w:tcPr>
            <w:tcW w:w="1880" w:type="dxa"/>
            <w:vAlign w:val="bottom"/>
            <w:shd w:val="clear" w:color="auto" w:fill="CCEEFF"/>
          </w:tcPr>
          <w:p>
            <w:pPr>
              <w:spacing w:after="0"/>
              <w:rPr>
                <w:sz w:val="14"/>
                <w:szCs w:val="14"/>
                <w:color w:val="auto"/>
              </w:rPr>
            </w:pPr>
          </w:p>
        </w:tc>
      </w:tr>
      <w:tr>
        <w:trPr>
          <w:trHeight w:val="37"/>
        </w:trPr>
        <w:tc>
          <w:tcPr>
            <w:tcW w:w="6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80" w:type="dxa"/>
            <w:vAlign w:val="bottom"/>
            <w:tcBorders>
              <w:right w:val="single" w:sz="8" w:color="CCEEFF"/>
            </w:tcBorders>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r>
      <w:tr>
        <w:trPr>
          <w:trHeight w:val="169"/>
        </w:trPr>
        <w:tc>
          <w:tcPr>
            <w:tcW w:w="1380" w:type="dxa"/>
            <w:vAlign w:val="bottom"/>
            <w:gridSpan w:val="2"/>
          </w:tcPr>
          <w:p>
            <w:pPr>
              <w:spacing w:after="0" w:line="160" w:lineRule="exact"/>
              <w:rPr>
                <w:sz w:val="20"/>
                <w:szCs w:val="20"/>
                <w:color w:val="auto"/>
              </w:rPr>
            </w:pPr>
            <w:r>
              <w:rPr>
                <w:rFonts w:ascii="Arial" w:cs="Arial" w:eastAsia="Arial" w:hAnsi="Arial"/>
                <w:sz w:val="16"/>
                <w:szCs w:val="16"/>
                <w:color w:val="auto"/>
              </w:rPr>
              <w:t>ITEM 4.</w:t>
            </w:r>
          </w:p>
        </w:tc>
        <w:tc>
          <w:tcPr>
            <w:tcW w:w="2140" w:type="dxa"/>
            <w:vAlign w:val="bottom"/>
            <w:tcBorders>
              <w:bottom w:val="single" w:sz="8" w:color="auto"/>
            </w:tcBorders>
            <w:gridSpan w:val="8"/>
          </w:tcPr>
          <w:p>
            <w:pPr>
              <w:spacing w:after="0" w:line="160" w:lineRule="exact"/>
              <w:rPr>
                <w:sz w:val="20"/>
                <w:szCs w:val="20"/>
                <w:color w:val="auto"/>
              </w:rPr>
            </w:pPr>
            <w:r>
              <w:rPr>
                <w:rFonts w:ascii="Arial" w:cs="Arial" w:eastAsia="Arial" w:hAnsi="Arial"/>
                <w:sz w:val="16"/>
                <w:szCs w:val="16"/>
                <w:color w:val="auto"/>
                <w:w w:val="98"/>
              </w:rPr>
              <w:t>MINE SAFETY DISCLOSURE</w:t>
            </w:r>
          </w:p>
        </w:tc>
        <w:tc>
          <w:tcPr>
            <w:tcW w:w="3940" w:type="dxa"/>
            <w:vAlign w:val="bottom"/>
            <w:gridSpan w:val="17"/>
          </w:tcPr>
          <w:p>
            <w:pPr>
              <w:spacing w:after="0"/>
              <w:rPr>
                <w:sz w:val="14"/>
                <w:szCs w:val="14"/>
                <w:color w:val="auto"/>
              </w:rPr>
            </w:pPr>
          </w:p>
        </w:tc>
        <w:tc>
          <w:tcPr>
            <w:tcW w:w="2080" w:type="dxa"/>
            <w:vAlign w:val="bottom"/>
          </w:tcPr>
          <w:p>
            <w:pPr>
              <w:jc w:val="right"/>
              <w:ind w:right="1678"/>
              <w:spacing w:after="0" w:line="160" w:lineRule="exact"/>
              <w:rPr>
                <w:sz w:val="20"/>
                <w:szCs w:val="20"/>
                <w:color w:val="auto"/>
              </w:rPr>
            </w:pPr>
            <w:r>
              <w:rPr>
                <w:rFonts w:ascii="Arial" w:cs="Arial" w:eastAsia="Arial" w:hAnsi="Arial"/>
                <w:sz w:val="16"/>
                <w:szCs w:val="16"/>
                <w:color w:val="auto"/>
              </w:rPr>
              <w:t>11</w:t>
            </w:r>
          </w:p>
        </w:tc>
        <w:tc>
          <w:tcPr>
            <w:tcW w:w="1880" w:type="dxa"/>
            <w:vAlign w:val="bottom"/>
          </w:tcPr>
          <w:p>
            <w:pPr>
              <w:spacing w:after="0"/>
              <w:rPr>
                <w:sz w:val="14"/>
                <w:szCs w:val="14"/>
                <w:color w:val="auto"/>
              </w:rPr>
            </w:pPr>
          </w:p>
        </w:tc>
      </w:tr>
      <w:tr>
        <w:trPr>
          <w:trHeight w:val="169"/>
        </w:trPr>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80" w:type="dxa"/>
            <w:vAlign w:val="bottom"/>
            <w:gridSpan w:val="25"/>
            <w:shd w:val="clear" w:color="auto" w:fill="CCEEFF"/>
          </w:tcPr>
          <w:p>
            <w:pPr>
              <w:spacing w:after="0" w:line="168" w:lineRule="exact"/>
              <w:rPr>
                <w:sz w:val="20"/>
                <w:szCs w:val="20"/>
                <w:color w:val="auto"/>
              </w:rPr>
            </w:pPr>
            <w:r>
              <w:rPr>
                <w:rFonts w:ascii="Arial" w:cs="Arial" w:eastAsia="Arial" w:hAnsi="Arial"/>
                <w:sz w:val="16"/>
                <w:szCs w:val="16"/>
                <w:color w:val="auto"/>
              </w:rPr>
              <w:t>MARKET FOR REGISTRANT’S COMMON EQUITY, RELATED STOCKHOLDER</w:t>
            </w:r>
          </w:p>
        </w:tc>
        <w:tc>
          <w:tcPr>
            <w:tcW w:w="20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r>
      <w:tr>
        <w:trPr>
          <w:trHeight w:val="194"/>
        </w:trPr>
        <w:tc>
          <w:tcPr>
            <w:tcW w:w="1380" w:type="dxa"/>
            <w:vAlign w:val="bottom"/>
            <w:tcBorders>
              <w:top w:val="single" w:sz="8" w:color="CCEEFF"/>
              <w:bottom w:val="single" w:sz="8" w:color="CCEEFF"/>
            </w:tcBorders>
            <w:gridSpan w:val="2"/>
            <w:shd w:val="clear" w:color="auto" w:fill="CCEEFF"/>
          </w:tcPr>
          <w:p>
            <w:pPr>
              <w:spacing w:after="0" w:line="177" w:lineRule="exact"/>
              <w:rPr>
                <w:sz w:val="20"/>
                <w:szCs w:val="20"/>
                <w:color w:val="auto"/>
              </w:rPr>
            </w:pPr>
            <w:r>
              <w:rPr>
                <w:rFonts w:ascii="Arial" w:cs="Arial" w:eastAsia="Arial" w:hAnsi="Arial"/>
                <w:sz w:val="16"/>
                <w:szCs w:val="16"/>
                <w:color w:val="auto"/>
              </w:rPr>
              <w:t>ITEM 5.</w:t>
            </w:r>
          </w:p>
        </w:tc>
        <w:tc>
          <w:tcPr>
            <w:tcW w:w="4620" w:type="dxa"/>
            <w:vAlign w:val="bottom"/>
            <w:tcBorders>
              <w:top w:val="single" w:sz="8" w:color="auto"/>
              <w:bottom w:val="single" w:sz="8" w:color="auto"/>
            </w:tcBorders>
            <w:gridSpan w:val="16"/>
            <w:shd w:val="clear" w:color="auto" w:fill="CCEEFF"/>
          </w:tcPr>
          <w:p>
            <w:pPr>
              <w:spacing w:after="0" w:line="177" w:lineRule="exact"/>
              <w:rPr>
                <w:sz w:val="20"/>
                <w:szCs w:val="20"/>
                <w:color w:val="auto"/>
              </w:rPr>
            </w:pPr>
            <w:r>
              <w:rPr>
                <w:rFonts w:ascii="Arial" w:cs="Arial" w:eastAsia="Arial" w:hAnsi="Arial"/>
                <w:sz w:val="16"/>
                <w:szCs w:val="16"/>
                <w:color w:val="auto"/>
                <w:w w:val="97"/>
              </w:rPr>
              <w:t>MATTERS AND ISSUER PURCHASES OF EQUITY SECURITIES</w:t>
            </w:r>
          </w:p>
        </w:tc>
        <w:tc>
          <w:tcPr>
            <w:tcW w:w="1120" w:type="dxa"/>
            <w:vAlign w:val="bottom"/>
            <w:tcBorders>
              <w:top w:val="single" w:sz="8" w:color="auto"/>
              <w:bottom w:val="single" w:sz="8" w:color="CCEEFF"/>
            </w:tcBorders>
            <w:gridSpan w:val="7"/>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80" w:type="dxa"/>
            <w:vAlign w:val="bottom"/>
            <w:tcBorders>
              <w:top w:val="single" w:sz="8" w:color="CCEEFF"/>
              <w:bottom w:val="single" w:sz="8" w:color="CCEEFF"/>
            </w:tcBorders>
            <w:shd w:val="clear" w:color="auto" w:fill="CCEEFF"/>
          </w:tcPr>
          <w:p>
            <w:pPr>
              <w:jc w:val="right"/>
              <w:ind w:right="1678"/>
              <w:spacing w:after="0" w:line="177" w:lineRule="exact"/>
              <w:rPr>
                <w:sz w:val="20"/>
                <w:szCs w:val="20"/>
                <w:color w:val="auto"/>
              </w:rPr>
            </w:pPr>
            <w:r>
              <w:rPr>
                <w:rFonts w:ascii="Arial" w:cs="Arial" w:eastAsia="Arial" w:hAnsi="Arial"/>
                <w:sz w:val="16"/>
                <w:szCs w:val="16"/>
                <w:color w:val="auto"/>
              </w:rPr>
              <w:t>12</w:t>
            </w:r>
          </w:p>
        </w:tc>
        <w:tc>
          <w:tcPr>
            <w:tcW w:w="18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69"/>
        </w:trPr>
        <w:tc>
          <w:tcPr>
            <w:tcW w:w="1380" w:type="dxa"/>
            <w:vAlign w:val="bottom"/>
            <w:gridSpan w:val="2"/>
          </w:tcPr>
          <w:p>
            <w:pPr>
              <w:spacing w:after="0" w:line="160" w:lineRule="exact"/>
              <w:rPr>
                <w:sz w:val="20"/>
                <w:szCs w:val="20"/>
                <w:color w:val="auto"/>
              </w:rPr>
            </w:pPr>
            <w:r>
              <w:rPr>
                <w:rFonts w:ascii="Arial" w:cs="Arial" w:eastAsia="Arial" w:hAnsi="Arial"/>
                <w:sz w:val="16"/>
                <w:szCs w:val="16"/>
                <w:color w:val="auto"/>
              </w:rPr>
              <w:t>ITEM 6.</w:t>
            </w:r>
          </w:p>
        </w:tc>
        <w:tc>
          <w:tcPr>
            <w:tcW w:w="2220" w:type="dxa"/>
            <w:vAlign w:val="bottom"/>
            <w:tcBorders>
              <w:bottom w:val="single" w:sz="8" w:color="auto"/>
            </w:tcBorders>
            <w:gridSpan w:val="9"/>
          </w:tcPr>
          <w:p>
            <w:pPr>
              <w:spacing w:after="0" w:line="160" w:lineRule="exact"/>
              <w:rPr>
                <w:sz w:val="20"/>
                <w:szCs w:val="20"/>
                <w:color w:val="auto"/>
              </w:rPr>
            </w:pPr>
            <w:r>
              <w:rPr>
                <w:rFonts w:ascii="Arial" w:cs="Arial" w:eastAsia="Arial" w:hAnsi="Arial"/>
                <w:sz w:val="16"/>
                <w:szCs w:val="16"/>
                <w:color w:val="auto"/>
              </w:rPr>
              <w:t>SELECTED FINANCIAL DATA</w:t>
            </w:r>
          </w:p>
        </w:tc>
        <w:tc>
          <w:tcPr>
            <w:tcW w:w="3860" w:type="dxa"/>
            <w:vAlign w:val="bottom"/>
            <w:gridSpan w:val="16"/>
          </w:tcPr>
          <w:p>
            <w:pPr>
              <w:spacing w:after="0"/>
              <w:rPr>
                <w:sz w:val="14"/>
                <w:szCs w:val="14"/>
                <w:color w:val="auto"/>
              </w:rPr>
            </w:pPr>
          </w:p>
        </w:tc>
        <w:tc>
          <w:tcPr>
            <w:tcW w:w="2080" w:type="dxa"/>
            <w:vAlign w:val="bottom"/>
          </w:tcPr>
          <w:p>
            <w:pPr>
              <w:jc w:val="right"/>
              <w:ind w:right="1678"/>
              <w:spacing w:after="0" w:line="160" w:lineRule="exact"/>
              <w:rPr>
                <w:sz w:val="20"/>
                <w:szCs w:val="20"/>
                <w:color w:val="auto"/>
              </w:rPr>
            </w:pPr>
            <w:r>
              <w:rPr>
                <w:rFonts w:ascii="Arial" w:cs="Arial" w:eastAsia="Arial" w:hAnsi="Arial"/>
                <w:sz w:val="16"/>
                <w:szCs w:val="16"/>
                <w:color w:val="auto"/>
              </w:rPr>
              <w:t>13</w:t>
            </w:r>
          </w:p>
        </w:tc>
        <w:tc>
          <w:tcPr>
            <w:tcW w:w="1880" w:type="dxa"/>
            <w:vAlign w:val="bottom"/>
          </w:tcPr>
          <w:p>
            <w:pPr>
              <w:spacing w:after="0"/>
              <w:rPr>
                <w:sz w:val="14"/>
                <w:szCs w:val="14"/>
                <w:color w:val="auto"/>
              </w:rPr>
            </w:pPr>
          </w:p>
        </w:tc>
      </w:tr>
      <w:tr>
        <w:trPr>
          <w:trHeight w:val="169"/>
        </w:trPr>
        <w:tc>
          <w:tcPr>
            <w:tcW w:w="6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720" w:type="dxa"/>
            <w:vAlign w:val="bottom"/>
            <w:tcBorders>
              <w:bottom w:val="single" w:sz="8" w:color="auto"/>
            </w:tcBorders>
            <w:gridSpan w:val="22"/>
            <w:shd w:val="clear" w:color="auto" w:fill="CCEEFF"/>
          </w:tcPr>
          <w:p>
            <w:pPr>
              <w:spacing w:after="0" w:line="168" w:lineRule="exact"/>
              <w:rPr>
                <w:sz w:val="20"/>
                <w:szCs w:val="20"/>
                <w:color w:val="auto"/>
              </w:rPr>
            </w:pPr>
            <w:r>
              <w:rPr>
                <w:rFonts w:ascii="Arial" w:cs="Arial" w:eastAsia="Arial" w:hAnsi="Arial"/>
                <w:sz w:val="16"/>
                <w:szCs w:val="16"/>
                <w:color w:val="auto"/>
              </w:rPr>
              <w:t>MANAGEMENT’S DISCUSSION AND ANALYSIS OF FINANCIAL CONDITION</w:t>
            </w:r>
          </w:p>
        </w:tc>
        <w:tc>
          <w:tcPr>
            <w:tcW w:w="360" w:type="dxa"/>
            <w:vAlign w:val="bottom"/>
            <w:tcBorders>
              <w:bottom w:val="single" w:sz="8" w:color="CCEEFF"/>
            </w:tcBorders>
            <w:gridSpan w:val="3"/>
            <w:shd w:val="clear" w:color="auto" w:fill="CCEEFF"/>
          </w:tcPr>
          <w:p>
            <w:pPr>
              <w:spacing w:after="0"/>
              <w:rPr>
                <w:sz w:val="14"/>
                <w:szCs w:val="14"/>
                <w:color w:val="auto"/>
              </w:rPr>
            </w:pPr>
          </w:p>
        </w:tc>
        <w:tc>
          <w:tcPr>
            <w:tcW w:w="2080" w:type="dxa"/>
            <w:vAlign w:val="bottom"/>
            <w:tcBorders>
              <w:bottom w:val="single" w:sz="8" w:color="CCEEFF"/>
            </w:tcBorders>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spacing w:after="0"/>
              <w:rPr>
                <w:sz w:val="14"/>
                <w:szCs w:val="14"/>
                <w:color w:val="auto"/>
              </w:rPr>
            </w:pPr>
          </w:p>
        </w:tc>
      </w:tr>
      <w:tr>
        <w:trPr>
          <w:trHeight w:val="177"/>
        </w:trPr>
        <w:tc>
          <w:tcPr>
            <w:tcW w:w="138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ITEM 7.</w:t>
            </w:r>
          </w:p>
        </w:tc>
        <w:tc>
          <w:tcPr>
            <w:tcW w:w="6080" w:type="dxa"/>
            <w:vAlign w:val="bottom"/>
            <w:gridSpan w:val="25"/>
            <w:shd w:val="clear" w:color="auto" w:fill="CCEEFF"/>
          </w:tcPr>
          <w:p>
            <w:pPr>
              <w:spacing w:after="0" w:line="177" w:lineRule="exact"/>
              <w:rPr>
                <w:sz w:val="20"/>
                <w:szCs w:val="20"/>
                <w:color w:val="auto"/>
              </w:rPr>
            </w:pPr>
            <w:r>
              <w:rPr>
                <w:rFonts w:ascii="Arial" w:cs="Arial" w:eastAsia="Arial" w:hAnsi="Arial"/>
                <w:sz w:val="16"/>
                <w:szCs w:val="16"/>
                <w:color w:val="auto"/>
              </w:rPr>
              <w:t>AND RESULTS OF OPERATIONS</w:t>
            </w:r>
          </w:p>
        </w:tc>
        <w:tc>
          <w:tcPr>
            <w:tcW w:w="2080" w:type="dxa"/>
            <w:vAlign w:val="bottom"/>
            <w:shd w:val="clear" w:color="auto" w:fill="CCEEFF"/>
          </w:tcPr>
          <w:p>
            <w:pPr>
              <w:jc w:val="right"/>
              <w:ind w:right="1678"/>
              <w:spacing w:after="0" w:line="177" w:lineRule="exact"/>
              <w:rPr>
                <w:sz w:val="20"/>
                <w:szCs w:val="20"/>
                <w:color w:val="auto"/>
              </w:rPr>
            </w:pPr>
            <w:r>
              <w:rPr>
                <w:rFonts w:ascii="Arial" w:cs="Arial" w:eastAsia="Arial" w:hAnsi="Arial"/>
                <w:sz w:val="16"/>
                <w:szCs w:val="16"/>
                <w:color w:val="auto"/>
              </w:rPr>
              <w:t>13</w:t>
            </w:r>
          </w:p>
        </w:tc>
        <w:tc>
          <w:tcPr>
            <w:tcW w:w="1880" w:type="dxa"/>
            <w:vAlign w:val="bottom"/>
            <w:shd w:val="clear" w:color="auto" w:fill="CCEEFF"/>
          </w:tcPr>
          <w:p>
            <w:pPr>
              <w:spacing w:after="0"/>
              <w:rPr>
                <w:sz w:val="15"/>
                <w:szCs w:val="15"/>
                <w:color w:val="auto"/>
              </w:rPr>
            </w:pPr>
          </w:p>
        </w:tc>
      </w:tr>
      <w:tr>
        <w:trPr>
          <w:trHeight w:val="37"/>
        </w:trPr>
        <w:tc>
          <w:tcPr>
            <w:tcW w:w="6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80" w:type="dxa"/>
            <w:vAlign w:val="bottom"/>
            <w:tcBorders>
              <w:right w:val="single" w:sz="8" w:color="auto"/>
            </w:tcBorders>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0" w:type="dxa"/>
            <w:vAlign w:val="bottom"/>
            <w:tcBorders>
              <w:right w:val="single" w:sz="8" w:color="auto"/>
            </w:tcBorders>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r>
      <w:tr>
        <w:trPr>
          <w:trHeight w:val="169"/>
        </w:trPr>
        <w:tc>
          <w:tcPr>
            <w:tcW w:w="1380" w:type="dxa"/>
            <w:vAlign w:val="bottom"/>
            <w:gridSpan w:val="2"/>
          </w:tcPr>
          <w:p>
            <w:pPr>
              <w:spacing w:after="0" w:line="160" w:lineRule="exact"/>
              <w:rPr>
                <w:sz w:val="20"/>
                <w:szCs w:val="20"/>
                <w:color w:val="auto"/>
              </w:rPr>
            </w:pPr>
            <w:r>
              <w:rPr>
                <w:rFonts w:ascii="Arial" w:cs="Arial" w:eastAsia="Arial" w:hAnsi="Arial"/>
                <w:sz w:val="16"/>
                <w:szCs w:val="16"/>
                <w:color w:val="auto"/>
              </w:rPr>
              <w:t>ITEM 7A.</w:t>
            </w:r>
          </w:p>
        </w:tc>
        <w:tc>
          <w:tcPr>
            <w:tcW w:w="6080" w:type="dxa"/>
            <w:vAlign w:val="bottom"/>
            <w:gridSpan w:val="25"/>
          </w:tcPr>
          <w:p>
            <w:pPr>
              <w:spacing w:after="0" w:line="160" w:lineRule="exact"/>
              <w:rPr>
                <w:sz w:val="20"/>
                <w:szCs w:val="20"/>
                <w:color w:val="auto"/>
              </w:rPr>
            </w:pPr>
            <w:r>
              <w:rPr>
                <w:rFonts w:ascii="Arial" w:cs="Arial" w:eastAsia="Arial" w:hAnsi="Arial"/>
                <w:sz w:val="16"/>
                <w:szCs w:val="16"/>
                <w:color w:val="auto"/>
              </w:rPr>
              <w:t>QUANTITATIVE AND QUALITATIVE DISCLOSURES ABOUT MARKET RISK</w:t>
            </w:r>
          </w:p>
        </w:tc>
        <w:tc>
          <w:tcPr>
            <w:tcW w:w="2080" w:type="dxa"/>
            <w:vAlign w:val="bottom"/>
          </w:tcPr>
          <w:p>
            <w:pPr>
              <w:jc w:val="right"/>
              <w:ind w:right="1678"/>
              <w:spacing w:after="0" w:line="160" w:lineRule="exact"/>
              <w:rPr>
                <w:sz w:val="20"/>
                <w:szCs w:val="20"/>
                <w:color w:val="auto"/>
              </w:rPr>
            </w:pPr>
            <w:r>
              <w:rPr>
                <w:rFonts w:ascii="Arial" w:cs="Arial" w:eastAsia="Arial" w:hAnsi="Arial"/>
                <w:sz w:val="16"/>
                <w:szCs w:val="16"/>
                <w:color w:val="auto"/>
              </w:rPr>
              <w:t>19</w:t>
            </w:r>
          </w:p>
        </w:tc>
        <w:tc>
          <w:tcPr>
            <w:tcW w:w="1880" w:type="dxa"/>
            <w:vAlign w:val="bottom"/>
          </w:tcPr>
          <w:p>
            <w:pPr>
              <w:spacing w:after="0"/>
              <w:rPr>
                <w:sz w:val="14"/>
                <w:szCs w:val="14"/>
                <w:color w:val="auto"/>
              </w:rPr>
            </w:pPr>
          </w:p>
        </w:tc>
      </w:tr>
      <w:tr>
        <w:trPr>
          <w:trHeight w:val="186"/>
        </w:trPr>
        <w:tc>
          <w:tcPr>
            <w:tcW w:w="680" w:type="dxa"/>
            <w:vAlign w:val="bottom"/>
            <w:tcBorders>
              <w:top w:val="single" w:sz="8" w:color="auto"/>
              <w:bottom w:val="single" w:sz="8" w:color="CCEEFF"/>
            </w:tcBorders>
            <w:shd w:val="clear" w:color="auto" w:fill="CCEEFF"/>
          </w:tcPr>
          <w:p>
            <w:pPr>
              <w:spacing w:after="0" w:line="168" w:lineRule="exact"/>
              <w:rPr>
                <w:sz w:val="20"/>
                <w:szCs w:val="20"/>
                <w:color w:val="auto"/>
              </w:rPr>
            </w:pPr>
            <w:r>
              <w:rPr>
                <w:rFonts w:ascii="Arial" w:cs="Arial" w:eastAsia="Arial" w:hAnsi="Arial"/>
                <w:sz w:val="16"/>
                <w:szCs w:val="16"/>
                <w:color w:val="auto"/>
              </w:rPr>
              <w:t>ITEM 8.</w:t>
            </w:r>
          </w:p>
        </w:tc>
        <w:tc>
          <w:tcPr>
            <w:tcW w:w="70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top w:val="single" w:sz="8" w:color="auto"/>
              <w:bottom w:val="single" w:sz="8" w:color="auto"/>
            </w:tcBorders>
            <w:gridSpan w:val="7"/>
            <w:shd w:val="clear" w:color="auto" w:fill="CCEEFF"/>
          </w:tcPr>
          <w:p>
            <w:pPr>
              <w:spacing w:after="0" w:line="168" w:lineRule="exact"/>
              <w:rPr>
                <w:sz w:val="20"/>
                <w:szCs w:val="20"/>
                <w:color w:val="auto"/>
              </w:rPr>
            </w:pPr>
            <w:r>
              <w:rPr>
                <w:rFonts w:ascii="Arial" w:cs="Arial" w:eastAsia="Arial" w:hAnsi="Arial"/>
                <w:sz w:val="16"/>
                <w:szCs w:val="16"/>
                <w:color w:val="auto"/>
                <w:w w:val="99"/>
              </w:rPr>
              <w:t>FINANCIAL STATEMENTS</w:t>
            </w:r>
          </w:p>
        </w:tc>
        <w:tc>
          <w:tcPr>
            <w:tcW w:w="3640" w:type="dxa"/>
            <w:vAlign w:val="bottom"/>
            <w:tcBorders>
              <w:top w:val="single" w:sz="8" w:color="auto"/>
              <w:bottom w:val="single" w:sz="8" w:color="CCEEFF"/>
            </w:tcBorders>
            <w:gridSpan w:val="13"/>
            <w:shd w:val="clear" w:color="auto" w:fill="CCEEFF"/>
          </w:tcPr>
          <w:p>
            <w:pPr>
              <w:spacing w:after="0"/>
              <w:rPr>
                <w:sz w:val="16"/>
                <w:szCs w:val="16"/>
                <w:color w:val="auto"/>
              </w:rPr>
            </w:pPr>
          </w:p>
        </w:tc>
        <w:tc>
          <w:tcPr>
            <w:tcW w:w="480" w:type="dxa"/>
            <w:vAlign w:val="bottom"/>
            <w:tcBorders>
              <w:bottom w:val="single" w:sz="8" w:color="CCEEFF"/>
            </w:tcBorders>
            <w:gridSpan w:val="5"/>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jc w:val="right"/>
              <w:ind w:right="1678"/>
              <w:spacing w:after="0" w:line="168" w:lineRule="exact"/>
              <w:rPr>
                <w:sz w:val="20"/>
                <w:szCs w:val="20"/>
                <w:color w:val="auto"/>
              </w:rPr>
            </w:pPr>
            <w:r>
              <w:rPr>
                <w:rFonts w:ascii="Arial" w:cs="Arial" w:eastAsia="Arial" w:hAnsi="Arial"/>
                <w:sz w:val="16"/>
                <w:szCs w:val="16"/>
                <w:color w:val="auto"/>
              </w:rPr>
              <w:t>20</w:t>
            </w:r>
          </w:p>
        </w:tc>
        <w:tc>
          <w:tcPr>
            <w:tcW w:w="1880" w:type="dxa"/>
            <w:vAlign w:val="bottom"/>
            <w:tcBorders>
              <w:bottom w:val="single" w:sz="8" w:color="CCEEFF"/>
            </w:tcBorders>
            <w:shd w:val="clear" w:color="auto" w:fill="CCEEFF"/>
          </w:tcPr>
          <w:p>
            <w:pPr>
              <w:spacing w:after="0"/>
              <w:rPr>
                <w:sz w:val="16"/>
                <w:szCs w:val="16"/>
                <w:color w:val="auto"/>
              </w:rPr>
            </w:pPr>
          </w:p>
        </w:tc>
      </w:tr>
      <w:tr>
        <w:trPr>
          <w:trHeight w:val="160"/>
        </w:trPr>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920" w:type="dxa"/>
            <w:vAlign w:val="bottom"/>
            <w:tcBorders>
              <w:bottom w:val="single" w:sz="8" w:color="auto"/>
            </w:tcBorders>
            <w:gridSpan w:val="24"/>
          </w:tcPr>
          <w:p>
            <w:pPr>
              <w:spacing w:after="0" w:line="160" w:lineRule="exact"/>
              <w:rPr>
                <w:sz w:val="20"/>
                <w:szCs w:val="20"/>
                <w:color w:val="auto"/>
              </w:rPr>
            </w:pPr>
            <w:r>
              <w:rPr>
                <w:rFonts w:ascii="Arial" w:cs="Arial" w:eastAsia="Arial" w:hAnsi="Arial"/>
                <w:sz w:val="16"/>
                <w:szCs w:val="16"/>
                <w:color w:val="auto"/>
                <w:w w:val="99"/>
              </w:rPr>
              <w:t>CHANGES IN AND DISAGREEMENTS WITH ACCOUNTANTS ON ACCOUNTING</w:t>
            </w:r>
          </w:p>
        </w:tc>
        <w:tc>
          <w:tcPr>
            <w:tcW w:w="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86"/>
        </w:trPr>
        <w:tc>
          <w:tcPr>
            <w:tcW w:w="1380" w:type="dxa"/>
            <w:vAlign w:val="bottom"/>
            <w:gridSpan w:val="2"/>
          </w:tcPr>
          <w:p>
            <w:pPr>
              <w:spacing w:after="0" w:line="177" w:lineRule="exact"/>
              <w:rPr>
                <w:sz w:val="20"/>
                <w:szCs w:val="20"/>
                <w:color w:val="auto"/>
              </w:rPr>
            </w:pPr>
            <w:r>
              <w:rPr>
                <w:rFonts w:ascii="Arial" w:cs="Arial" w:eastAsia="Arial" w:hAnsi="Arial"/>
                <w:sz w:val="16"/>
                <w:szCs w:val="16"/>
                <w:color w:val="auto"/>
              </w:rPr>
              <w:t>ITEM 9.</w:t>
            </w:r>
          </w:p>
        </w:tc>
        <w:tc>
          <w:tcPr>
            <w:tcW w:w="2340" w:type="dxa"/>
            <w:vAlign w:val="bottom"/>
            <w:tcBorders>
              <w:bottom w:val="single" w:sz="8" w:color="auto"/>
            </w:tcBorders>
            <w:gridSpan w:val="10"/>
          </w:tcPr>
          <w:p>
            <w:pPr>
              <w:spacing w:after="0" w:line="177" w:lineRule="exact"/>
              <w:rPr>
                <w:sz w:val="20"/>
                <w:szCs w:val="20"/>
                <w:color w:val="auto"/>
              </w:rPr>
            </w:pPr>
            <w:r>
              <w:rPr>
                <w:rFonts w:ascii="Arial" w:cs="Arial" w:eastAsia="Arial" w:hAnsi="Arial"/>
                <w:sz w:val="16"/>
                <w:szCs w:val="16"/>
                <w:color w:val="auto"/>
              </w:rPr>
              <w:t>AND FINANCIAL DISCLOSURE</w:t>
            </w:r>
          </w:p>
        </w:tc>
        <w:tc>
          <w:tcPr>
            <w:tcW w:w="3740" w:type="dxa"/>
            <w:vAlign w:val="bottom"/>
            <w:gridSpan w:val="15"/>
          </w:tcPr>
          <w:p>
            <w:pPr>
              <w:spacing w:after="0"/>
              <w:rPr>
                <w:sz w:val="16"/>
                <w:szCs w:val="16"/>
                <w:color w:val="auto"/>
              </w:rPr>
            </w:pPr>
          </w:p>
        </w:tc>
        <w:tc>
          <w:tcPr>
            <w:tcW w:w="2080" w:type="dxa"/>
            <w:vAlign w:val="bottom"/>
          </w:tcPr>
          <w:p>
            <w:pPr>
              <w:jc w:val="right"/>
              <w:ind w:right="1678"/>
              <w:spacing w:after="0" w:line="177" w:lineRule="exact"/>
              <w:rPr>
                <w:sz w:val="20"/>
                <w:szCs w:val="20"/>
                <w:color w:val="auto"/>
              </w:rPr>
            </w:pPr>
            <w:r>
              <w:rPr>
                <w:rFonts w:ascii="Arial" w:cs="Arial" w:eastAsia="Arial" w:hAnsi="Arial"/>
                <w:sz w:val="16"/>
                <w:szCs w:val="16"/>
                <w:color w:val="auto"/>
              </w:rPr>
              <w:t>21</w:t>
            </w:r>
          </w:p>
        </w:tc>
        <w:tc>
          <w:tcPr>
            <w:tcW w:w="1880" w:type="dxa"/>
            <w:vAlign w:val="bottom"/>
          </w:tcPr>
          <w:p>
            <w:pPr>
              <w:spacing w:after="0"/>
              <w:rPr>
                <w:sz w:val="16"/>
                <w:szCs w:val="16"/>
                <w:color w:val="auto"/>
              </w:rPr>
            </w:pPr>
          </w:p>
        </w:tc>
      </w:tr>
      <w:tr>
        <w:trPr>
          <w:trHeight w:val="186"/>
        </w:trPr>
        <w:tc>
          <w:tcPr>
            <w:tcW w:w="138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rPr>
              <w:t>ITEM 9A.</w:t>
            </w:r>
          </w:p>
        </w:tc>
        <w:tc>
          <w:tcPr>
            <w:tcW w:w="6080" w:type="dxa"/>
            <w:vAlign w:val="bottom"/>
            <w:gridSpan w:val="25"/>
            <w:shd w:val="clear" w:color="auto" w:fill="CCEEFF"/>
          </w:tcPr>
          <w:p>
            <w:pPr>
              <w:spacing w:after="0" w:line="168" w:lineRule="exact"/>
              <w:rPr>
                <w:sz w:val="20"/>
                <w:szCs w:val="20"/>
                <w:color w:val="auto"/>
              </w:rPr>
            </w:pPr>
            <w:r>
              <w:rPr>
                <w:rFonts w:ascii="Arial" w:cs="Arial" w:eastAsia="Arial" w:hAnsi="Arial"/>
                <w:sz w:val="16"/>
                <w:szCs w:val="16"/>
                <w:color w:val="auto"/>
              </w:rPr>
              <w:t>CONTROLS AND PROCEDURES</w:t>
            </w:r>
          </w:p>
        </w:tc>
        <w:tc>
          <w:tcPr>
            <w:tcW w:w="2080" w:type="dxa"/>
            <w:vAlign w:val="bottom"/>
            <w:shd w:val="clear" w:color="auto" w:fill="CCEEFF"/>
          </w:tcPr>
          <w:p>
            <w:pPr>
              <w:jc w:val="right"/>
              <w:ind w:right="1678"/>
              <w:spacing w:after="0" w:line="168" w:lineRule="exact"/>
              <w:rPr>
                <w:sz w:val="20"/>
                <w:szCs w:val="20"/>
                <w:color w:val="auto"/>
              </w:rPr>
            </w:pPr>
            <w:r>
              <w:rPr>
                <w:rFonts w:ascii="Arial" w:cs="Arial" w:eastAsia="Arial" w:hAnsi="Arial"/>
                <w:sz w:val="16"/>
                <w:szCs w:val="16"/>
                <w:color w:val="auto"/>
              </w:rPr>
              <w:t>21</w:t>
            </w:r>
          </w:p>
        </w:tc>
        <w:tc>
          <w:tcPr>
            <w:tcW w:w="1880" w:type="dxa"/>
            <w:vAlign w:val="bottom"/>
            <w:shd w:val="clear" w:color="auto" w:fill="CCEEFF"/>
          </w:tcPr>
          <w:p>
            <w:pPr>
              <w:spacing w:after="0"/>
              <w:rPr>
                <w:sz w:val="16"/>
                <w:szCs w:val="16"/>
                <w:color w:val="auto"/>
              </w:rPr>
            </w:pPr>
          </w:p>
        </w:tc>
      </w:tr>
      <w:tr>
        <w:trPr>
          <w:trHeight w:val="169"/>
        </w:trPr>
        <w:tc>
          <w:tcPr>
            <w:tcW w:w="680" w:type="dxa"/>
            <w:vAlign w:val="bottom"/>
            <w:tcBorders>
              <w:top w:val="single" w:sz="8" w:color="auto"/>
              <w:bottom w:val="single" w:sz="8" w:color="auto"/>
            </w:tcBorders>
          </w:tcPr>
          <w:p>
            <w:pPr>
              <w:spacing w:after="0" w:line="160" w:lineRule="exact"/>
              <w:rPr>
                <w:sz w:val="20"/>
                <w:szCs w:val="20"/>
                <w:color w:val="auto"/>
              </w:rPr>
            </w:pPr>
            <w:r>
              <w:rPr>
                <w:rFonts w:ascii="Arial" w:cs="Arial" w:eastAsia="Arial" w:hAnsi="Arial"/>
                <w:sz w:val="16"/>
                <w:szCs w:val="16"/>
                <w:color w:val="auto"/>
                <w:w w:val="98"/>
              </w:rPr>
              <w:t>ITEM 9B.</w:t>
            </w:r>
          </w:p>
        </w:tc>
        <w:tc>
          <w:tcPr>
            <w:tcW w:w="700" w:type="dxa"/>
            <w:vAlign w:val="bottom"/>
            <w:tcBorders>
              <w:top w:val="single" w:sz="8" w:color="CCEEFF"/>
            </w:tcBorders>
          </w:tcPr>
          <w:p>
            <w:pPr>
              <w:spacing w:after="0"/>
              <w:rPr>
                <w:sz w:val="14"/>
                <w:szCs w:val="14"/>
                <w:color w:val="auto"/>
              </w:rPr>
            </w:pPr>
          </w:p>
        </w:tc>
        <w:tc>
          <w:tcPr>
            <w:tcW w:w="1720" w:type="dxa"/>
            <w:vAlign w:val="bottom"/>
            <w:tcBorders>
              <w:top w:val="single" w:sz="8" w:color="auto"/>
              <w:bottom w:val="single" w:sz="8" w:color="auto"/>
            </w:tcBorders>
            <w:gridSpan w:val="6"/>
          </w:tcPr>
          <w:p>
            <w:pPr>
              <w:spacing w:after="0" w:line="160" w:lineRule="exact"/>
              <w:rPr>
                <w:sz w:val="20"/>
                <w:szCs w:val="20"/>
                <w:color w:val="auto"/>
              </w:rPr>
            </w:pPr>
            <w:r>
              <w:rPr>
                <w:rFonts w:ascii="Arial" w:cs="Arial" w:eastAsia="Arial" w:hAnsi="Arial"/>
                <w:sz w:val="16"/>
                <w:szCs w:val="16"/>
                <w:color w:val="auto"/>
                <w:w w:val="97"/>
              </w:rPr>
              <w:t>OTHER INFORMATION</w:t>
            </w:r>
          </w:p>
        </w:tc>
        <w:tc>
          <w:tcPr>
            <w:tcW w:w="660" w:type="dxa"/>
            <w:vAlign w:val="bottom"/>
            <w:tcBorders>
              <w:top w:val="single" w:sz="8" w:color="auto"/>
            </w:tcBorders>
            <w:gridSpan w:val="5"/>
          </w:tcPr>
          <w:p>
            <w:pPr>
              <w:spacing w:after="0"/>
              <w:rPr>
                <w:sz w:val="14"/>
                <w:szCs w:val="14"/>
                <w:color w:val="auto"/>
              </w:rPr>
            </w:pPr>
          </w:p>
        </w:tc>
        <w:tc>
          <w:tcPr>
            <w:tcW w:w="3700" w:type="dxa"/>
            <w:vAlign w:val="bottom"/>
            <w:tcBorders>
              <w:top w:val="single" w:sz="8" w:color="CCEEFF"/>
            </w:tcBorders>
            <w:gridSpan w:val="14"/>
          </w:tcPr>
          <w:p>
            <w:pPr>
              <w:spacing w:after="0"/>
              <w:rPr>
                <w:sz w:val="14"/>
                <w:szCs w:val="14"/>
                <w:color w:val="auto"/>
              </w:rPr>
            </w:pPr>
          </w:p>
        </w:tc>
        <w:tc>
          <w:tcPr>
            <w:tcW w:w="2080" w:type="dxa"/>
            <w:vAlign w:val="bottom"/>
            <w:tcBorders>
              <w:top w:val="single" w:sz="8" w:color="CCEEFF"/>
            </w:tcBorders>
          </w:tcPr>
          <w:p>
            <w:pPr>
              <w:jc w:val="right"/>
              <w:ind w:right="1678"/>
              <w:spacing w:after="0" w:line="160" w:lineRule="exact"/>
              <w:rPr>
                <w:sz w:val="20"/>
                <w:szCs w:val="20"/>
                <w:color w:val="auto"/>
              </w:rPr>
            </w:pPr>
            <w:r>
              <w:rPr>
                <w:rFonts w:ascii="Arial" w:cs="Arial" w:eastAsia="Arial" w:hAnsi="Arial"/>
                <w:sz w:val="16"/>
                <w:szCs w:val="16"/>
                <w:color w:val="auto"/>
              </w:rPr>
              <w:t>22</w:t>
            </w:r>
          </w:p>
        </w:tc>
        <w:tc>
          <w:tcPr>
            <w:tcW w:w="1880" w:type="dxa"/>
            <w:vAlign w:val="bottom"/>
            <w:tcBorders>
              <w:top w:val="single" w:sz="8" w:color="CCEEFF"/>
            </w:tcBorders>
          </w:tcPr>
          <w:p>
            <w:pPr>
              <w:spacing w:after="0"/>
              <w:rPr>
                <w:sz w:val="14"/>
                <w:szCs w:val="14"/>
                <w:color w:val="auto"/>
              </w:rPr>
            </w:pPr>
          </w:p>
        </w:tc>
      </w:tr>
      <w:tr>
        <w:trPr>
          <w:trHeight w:val="186"/>
        </w:trPr>
        <w:tc>
          <w:tcPr>
            <w:tcW w:w="138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rPr>
              <w:t>ITEM 10.</w:t>
            </w:r>
          </w:p>
        </w:tc>
        <w:tc>
          <w:tcPr>
            <w:tcW w:w="6080" w:type="dxa"/>
            <w:vAlign w:val="bottom"/>
            <w:gridSpan w:val="25"/>
            <w:shd w:val="clear" w:color="auto" w:fill="CCEEFF"/>
          </w:tcPr>
          <w:p>
            <w:pPr>
              <w:spacing w:after="0" w:line="168" w:lineRule="exact"/>
              <w:rPr>
                <w:sz w:val="20"/>
                <w:szCs w:val="20"/>
                <w:color w:val="auto"/>
              </w:rPr>
            </w:pPr>
            <w:r>
              <w:rPr>
                <w:rFonts w:ascii="Arial" w:cs="Arial" w:eastAsia="Arial" w:hAnsi="Arial"/>
                <w:sz w:val="16"/>
                <w:szCs w:val="16"/>
                <w:color w:val="auto"/>
              </w:rPr>
              <w:t>DIRECTORS, EXECUTIVE OFFICERS AND CORPORATE GOVERNANCE</w:t>
            </w:r>
          </w:p>
        </w:tc>
        <w:tc>
          <w:tcPr>
            <w:tcW w:w="2080" w:type="dxa"/>
            <w:vAlign w:val="bottom"/>
            <w:shd w:val="clear" w:color="auto" w:fill="CCEEFF"/>
          </w:tcPr>
          <w:p>
            <w:pPr>
              <w:jc w:val="right"/>
              <w:ind w:right="1678"/>
              <w:spacing w:after="0" w:line="168" w:lineRule="exact"/>
              <w:rPr>
                <w:sz w:val="20"/>
                <w:szCs w:val="20"/>
                <w:color w:val="auto"/>
              </w:rPr>
            </w:pPr>
            <w:r>
              <w:rPr>
                <w:rFonts w:ascii="Arial" w:cs="Arial" w:eastAsia="Arial" w:hAnsi="Arial"/>
                <w:sz w:val="16"/>
                <w:szCs w:val="16"/>
                <w:color w:val="auto"/>
              </w:rPr>
              <w:t>22</w:t>
            </w:r>
          </w:p>
        </w:tc>
        <w:tc>
          <w:tcPr>
            <w:tcW w:w="1880" w:type="dxa"/>
            <w:vAlign w:val="bottom"/>
            <w:shd w:val="clear" w:color="auto" w:fill="CCEEFF"/>
          </w:tcPr>
          <w:p>
            <w:pPr>
              <w:spacing w:after="0"/>
              <w:rPr>
                <w:sz w:val="16"/>
                <w:szCs w:val="16"/>
                <w:color w:val="auto"/>
              </w:rPr>
            </w:pPr>
          </w:p>
        </w:tc>
      </w:tr>
      <w:tr>
        <w:trPr>
          <w:trHeight w:val="160"/>
        </w:trPr>
        <w:tc>
          <w:tcPr>
            <w:tcW w:w="1380" w:type="dxa"/>
            <w:vAlign w:val="bottom"/>
            <w:tcBorders>
              <w:top w:val="single" w:sz="8" w:color="CCEEFF"/>
            </w:tcBorders>
            <w:gridSpan w:val="2"/>
          </w:tcPr>
          <w:p>
            <w:pPr>
              <w:spacing w:after="0" w:line="160" w:lineRule="exact"/>
              <w:rPr>
                <w:sz w:val="20"/>
                <w:szCs w:val="20"/>
                <w:color w:val="auto"/>
              </w:rPr>
            </w:pPr>
            <w:r>
              <w:rPr>
                <w:rFonts w:ascii="Arial" w:cs="Arial" w:eastAsia="Arial" w:hAnsi="Arial"/>
                <w:sz w:val="16"/>
                <w:szCs w:val="16"/>
                <w:color w:val="auto"/>
              </w:rPr>
              <w:t>ITEM 11.</w:t>
            </w:r>
          </w:p>
        </w:tc>
        <w:tc>
          <w:tcPr>
            <w:tcW w:w="5280" w:type="dxa"/>
            <w:vAlign w:val="bottom"/>
            <w:tcBorders>
              <w:top w:val="single" w:sz="8" w:color="auto"/>
            </w:tcBorders>
            <w:gridSpan w:val="19"/>
          </w:tcPr>
          <w:p>
            <w:pPr>
              <w:spacing w:after="0" w:line="160" w:lineRule="exact"/>
              <w:rPr>
                <w:sz w:val="20"/>
                <w:szCs w:val="20"/>
                <w:color w:val="auto"/>
              </w:rPr>
            </w:pPr>
            <w:r>
              <w:rPr>
                <w:rFonts w:ascii="Arial" w:cs="Arial" w:eastAsia="Arial" w:hAnsi="Arial"/>
                <w:sz w:val="16"/>
                <w:szCs w:val="16"/>
                <w:color w:val="auto"/>
              </w:rPr>
              <w:t>EXECUTIVE COMPENSATION</w:t>
            </w:r>
          </w:p>
        </w:tc>
        <w:tc>
          <w:tcPr>
            <w:tcW w:w="800" w:type="dxa"/>
            <w:vAlign w:val="bottom"/>
            <w:tcBorders>
              <w:top w:val="single" w:sz="8" w:color="CCEEFF"/>
            </w:tcBorders>
            <w:gridSpan w:val="6"/>
          </w:tcPr>
          <w:p>
            <w:pPr>
              <w:spacing w:after="0"/>
              <w:rPr>
                <w:sz w:val="13"/>
                <w:szCs w:val="13"/>
                <w:color w:val="auto"/>
              </w:rPr>
            </w:pPr>
          </w:p>
        </w:tc>
        <w:tc>
          <w:tcPr>
            <w:tcW w:w="2080" w:type="dxa"/>
            <w:vAlign w:val="bottom"/>
            <w:tcBorders>
              <w:top w:val="single" w:sz="8" w:color="CCEEFF"/>
            </w:tcBorders>
          </w:tcPr>
          <w:p>
            <w:pPr>
              <w:jc w:val="right"/>
              <w:ind w:right="1678"/>
              <w:spacing w:after="0" w:line="160" w:lineRule="exact"/>
              <w:rPr>
                <w:sz w:val="20"/>
                <w:szCs w:val="20"/>
                <w:color w:val="auto"/>
              </w:rPr>
            </w:pPr>
            <w:r>
              <w:rPr>
                <w:rFonts w:ascii="Arial" w:cs="Arial" w:eastAsia="Arial" w:hAnsi="Arial"/>
                <w:sz w:val="16"/>
                <w:szCs w:val="16"/>
                <w:color w:val="auto"/>
              </w:rPr>
              <w:t>25</w:t>
            </w:r>
          </w:p>
        </w:tc>
        <w:tc>
          <w:tcPr>
            <w:tcW w:w="1880" w:type="dxa"/>
            <w:vAlign w:val="bottom"/>
            <w:tcBorders>
              <w:top w:val="single" w:sz="8" w:color="CCEEFF"/>
            </w:tcBorders>
          </w:tcPr>
          <w:p>
            <w:pPr>
              <w:spacing w:after="0"/>
              <w:rPr>
                <w:sz w:val="13"/>
                <w:szCs w:val="13"/>
                <w:color w:val="auto"/>
              </w:rPr>
            </w:pPr>
          </w:p>
        </w:tc>
      </w:tr>
      <w:tr>
        <w:trPr>
          <w:trHeight w:val="28"/>
        </w:trPr>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169"/>
        </w:trPr>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80" w:type="dxa"/>
            <w:vAlign w:val="bottom"/>
            <w:gridSpan w:val="25"/>
            <w:shd w:val="clear" w:color="auto" w:fill="CCEEFF"/>
          </w:tcPr>
          <w:p>
            <w:pPr>
              <w:spacing w:after="0" w:line="168" w:lineRule="exact"/>
              <w:rPr>
                <w:sz w:val="20"/>
                <w:szCs w:val="20"/>
                <w:color w:val="auto"/>
              </w:rPr>
            </w:pPr>
            <w:r>
              <w:rPr>
                <w:rFonts w:ascii="Arial" w:cs="Arial" w:eastAsia="Arial" w:hAnsi="Arial"/>
                <w:sz w:val="16"/>
                <w:szCs w:val="16"/>
                <w:color w:val="auto"/>
              </w:rPr>
              <w:t>SECURITY OWNERSHIP OF CERTAIN BENEFICIAL OWNERS AND</w:t>
            </w:r>
          </w:p>
        </w:tc>
        <w:tc>
          <w:tcPr>
            <w:tcW w:w="20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r>
      <w:tr>
        <w:trPr>
          <w:trHeight w:val="177"/>
        </w:trPr>
        <w:tc>
          <w:tcPr>
            <w:tcW w:w="138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6"/>
                <w:szCs w:val="16"/>
                <w:color w:val="auto"/>
              </w:rPr>
              <w:t>ITEM 12.</w:t>
            </w:r>
          </w:p>
        </w:tc>
        <w:tc>
          <w:tcPr>
            <w:tcW w:w="4900" w:type="dxa"/>
            <w:vAlign w:val="bottom"/>
            <w:tcBorders>
              <w:top w:val="single" w:sz="8" w:color="auto"/>
            </w:tcBorders>
            <w:gridSpan w:val="17"/>
            <w:shd w:val="clear" w:color="auto" w:fill="CCEEFF"/>
          </w:tcPr>
          <w:p>
            <w:pPr>
              <w:spacing w:after="0" w:line="177" w:lineRule="exact"/>
              <w:rPr>
                <w:sz w:val="20"/>
                <w:szCs w:val="20"/>
                <w:color w:val="auto"/>
              </w:rPr>
            </w:pPr>
            <w:r>
              <w:rPr>
                <w:rFonts w:ascii="Arial" w:cs="Arial" w:eastAsia="Arial" w:hAnsi="Arial"/>
                <w:sz w:val="16"/>
                <w:szCs w:val="16"/>
                <w:color w:val="auto"/>
              </w:rPr>
              <w:t>MANAGEMENT AND RELATED STOCKHOLDER MATTERS</w:t>
            </w:r>
          </w:p>
        </w:tc>
        <w:tc>
          <w:tcPr>
            <w:tcW w:w="1180" w:type="dxa"/>
            <w:vAlign w:val="bottom"/>
            <w:tcBorders>
              <w:top w:val="single" w:sz="8" w:color="CCEEFF"/>
            </w:tcBorders>
            <w:gridSpan w:val="8"/>
            <w:shd w:val="clear" w:color="auto" w:fill="CCEEFF"/>
          </w:tcPr>
          <w:p>
            <w:pPr>
              <w:spacing w:after="0"/>
              <w:rPr>
                <w:sz w:val="15"/>
                <w:szCs w:val="15"/>
                <w:color w:val="auto"/>
              </w:rPr>
            </w:pPr>
          </w:p>
        </w:tc>
        <w:tc>
          <w:tcPr>
            <w:tcW w:w="2080" w:type="dxa"/>
            <w:vAlign w:val="bottom"/>
            <w:tcBorders>
              <w:top w:val="single" w:sz="8" w:color="CCEEFF"/>
            </w:tcBorders>
            <w:shd w:val="clear" w:color="auto" w:fill="CCEEFF"/>
          </w:tcPr>
          <w:p>
            <w:pPr>
              <w:jc w:val="right"/>
              <w:ind w:right="1678"/>
              <w:spacing w:after="0" w:line="177" w:lineRule="exact"/>
              <w:rPr>
                <w:sz w:val="20"/>
                <w:szCs w:val="20"/>
                <w:color w:val="auto"/>
              </w:rPr>
            </w:pPr>
            <w:r>
              <w:rPr>
                <w:rFonts w:ascii="Arial" w:cs="Arial" w:eastAsia="Arial" w:hAnsi="Arial"/>
                <w:sz w:val="16"/>
                <w:szCs w:val="16"/>
                <w:color w:val="auto"/>
              </w:rPr>
              <w:t>26</w:t>
            </w:r>
          </w:p>
        </w:tc>
        <w:tc>
          <w:tcPr>
            <w:tcW w:w="1880" w:type="dxa"/>
            <w:vAlign w:val="bottom"/>
            <w:tcBorders>
              <w:top w:val="single" w:sz="8" w:color="CCEEFF"/>
            </w:tcBorders>
            <w:shd w:val="clear" w:color="auto" w:fill="CCEEFF"/>
          </w:tcPr>
          <w:p>
            <w:pPr>
              <w:spacing w:after="0"/>
              <w:rPr>
                <w:sz w:val="15"/>
                <w:szCs w:val="15"/>
                <w:color w:val="auto"/>
              </w:rPr>
            </w:pPr>
          </w:p>
        </w:tc>
      </w:tr>
      <w:tr>
        <w:trPr>
          <w:trHeight w:val="37"/>
        </w:trPr>
        <w:tc>
          <w:tcPr>
            <w:tcW w:w="6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80" w:type="dxa"/>
            <w:vAlign w:val="bottom"/>
            <w:tcBorders>
              <w:right w:val="single" w:sz="8" w:color="auto"/>
            </w:tcBorders>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0" w:type="dxa"/>
            <w:vAlign w:val="bottom"/>
            <w:tcBorders>
              <w:right w:val="single" w:sz="8" w:color="auto"/>
            </w:tcBorders>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r>
      <w:tr>
        <w:trPr>
          <w:trHeight w:val="160"/>
        </w:trPr>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700" w:type="dxa"/>
            <w:vAlign w:val="bottom"/>
            <w:tcBorders>
              <w:bottom w:val="single" w:sz="8" w:color="auto"/>
            </w:tcBorders>
            <w:gridSpan w:val="21"/>
          </w:tcPr>
          <w:p>
            <w:pPr>
              <w:spacing w:after="0" w:line="160" w:lineRule="exact"/>
              <w:rPr>
                <w:sz w:val="20"/>
                <w:szCs w:val="20"/>
                <w:color w:val="auto"/>
              </w:rPr>
            </w:pPr>
            <w:r>
              <w:rPr>
                <w:rFonts w:ascii="Arial" w:cs="Arial" w:eastAsia="Arial" w:hAnsi="Arial"/>
                <w:sz w:val="16"/>
                <w:szCs w:val="16"/>
                <w:color w:val="auto"/>
                <w:w w:val="98"/>
              </w:rPr>
              <w:t>CERTAIN RELATIONSHIPS AND RELATED TRANSACTIONS AND DIRECTOR</w:t>
            </w:r>
          </w:p>
        </w:tc>
        <w:tc>
          <w:tcPr>
            <w:tcW w:w="380" w:type="dxa"/>
            <w:vAlign w:val="bottom"/>
            <w:gridSpan w:val="4"/>
          </w:tcPr>
          <w:p>
            <w:pPr>
              <w:spacing w:after="0"/>
              <w:rPr>
                <w:sz w:val="13"/>
                <w:szCs w:val="13"/>
                <w:color w:val="auto"/>
              </w:rPr>
            </w:pPr>
          </w:p>
        </w:tc>
        <w:tc>
          <w:tcPr>
            <w:tcW w:w="208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77"/>
        </w:trPr>
        <w:tc>
          <w:tcPr>
            <w:tcW w:w="1380" w:type="dxa"/>
            <w:vAlign w:val="bottom"/>
            <w:gridSpan w:val="2"/>
          </w:tcPr>
          <w:p>
            <w:pPr>
              <w:spacing w:after="0" w:line="177" w:lineRule="exact"/>
              <w:rPr>
                <w:sz w:val="20"/>
                <w:szCs w:val="20"/>
                <w:color w:val="auto"/>
              </w:rPr>
            </w:pPr>
            <w:r>
              <w:rPr>
                <w:rFonts w:ascii="Arial" w:cs="Arial" w:eastAsia="Arial" w:hAnsi="Arial"/>
                <w:sz w:val="16"/>
                <w:szCs w:val="16"/>
                <w:color w:val="auto"/>
              </w:rPr>
              <w:t>ITEM 13.</w:t>
            </w:r>
          </w:p>
        </w:tc>
        <w:tc>
          <w:tcPr>
            <w:tcW w:w="6080" w:type="dxa"/>
            <w:vAlign w:val="bottom"/>
            <w:gridSpan w:val="25"/>
          </w:tcPr>
          <w:p>
            <w:pPr>
              <w:spacing w:after="0" w:line="177" w:lineRule="exact"/>
              <w:rPr>
                <w:sz w:val="20"/>
                <w:szCs w:val="20"/>
                <w:color w:val="auto"/>
              </w:rPr>
            </w:pPr>
            <w:r>
              <w:rPr>
                <w:rFonts w:ascii="Arial" w:cs="Arial" w:eastAsia="Arial" w:hAnsi="Arial"/>
                <w:sz w:val="16"/>
                <w:szCs w:val="16"/>
                <w:color w:val="auto"/>
              </w:rPr>
              <w:t>INDEPENDENCE</w:t>
            </w:r>
          </w:p>
        </w:tc>
        <w:tc>
          <w:tcPr>
            <w:tcW w:w="2080" w:type="dxa"/>
            <w:vAlign w:val="bottom"/>
          </w:tcPr>
          <w:p>
            <w:pPr>
              <w:jc w:val="right"/>
              <w:ind w:right="1678"/>
              <w:spacing w:after="0" w:line="177" w:lineRule="exact"/>
              <w:rPr>
                <w:sz w:val="20"/>
                <w:szCs w:val="20"/>
                <w:color w:val="auto"/>
              </w:rPr>
            </w:pPr>
            <w:r>
              <w:rPr>
                <w:rFonts w:ascii="Arial" w:cs="Arial" w:eastAsia="Arial" w:hAnsi="Arial"/>
                <w:sz w:val="16"/>
                <w:szCs w:val="16"/>
                <w:color w:val="auto"/>
              </w:rPr>
              <w:t>28</w:t>
            </w:r>
          </w:p>
        </w:tc>
        <w:tc>
          <w:tcPr>
            <w:tcW w:w="1880" w:type="dxa"/>
            <w:vAlign w:val="bottom"/>
          </w:tcPr>
          <w:p>
            <w:pPr>
              <w:spacing w:after="0"/>
              <w:rPr>
                <w:sz w:val="15"/>
                <w:szCs w:val="15"/>
                <w:color w:val="auto"/>
              </w:rPr>
            </w:pPr>
          </w:p>
        </w:tc>
      </w:tr>
      <w:tr>
        <w:trPr>
          <w:trHeight w:val="28"/>
        </w:trPr>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186"/>
        </w:trPr>
        <w:tc>
          <w:tcPr>
            <w:tcW w:w="138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rPr>
              <w:t>ITEM 14.</w:t>
            </w:r>
          </w:p>
        </w:tc>
        <w:tc>
          <w:tcPr>
            <w:tcW w:w="6080" w:type="dxa"/>
            <w:vAlign w:val="bottom"/>
            <w:gridSpan w:val="25"/>
            <w:shd w:val="clear" w:color="auto" w:fill="CCEEFF"/>
          </w:tcPr>
          <w:p>
            <w:pPr>
              <w:spacing w:after="0" w:line="168" w:lineRule="exact"/>
              <w:rPr>
                <w:sz w:val="20"/>
                <w:szCs w:val="20"/>
                <w:color w:val="auto"/>
              </w:rPr>
            </w:pPr>
            <w:r>
              <w:rPr>
                <w:rFonts w:ascii="Arial" w:cs="Arial" w:eastAsia="Arial" w:hAnsi="Arial"/>
                <w:sz w:val="16"/>
                <w:szCs w:val="16"/>
                <w:color w:val="auto"/>
              </w:rPr>
              <w:t>PRINCIPAL ACCOUNTING FEES AND SERVICES</w:t>
            </w:r>
          </w:p>
        </w:tc>
        <w:tc>
          <w:tcPr>
            <w:tcW w:w="2080" w:type="dxa"/>
            <w:vAlign w:val="bottom"/>
            <w:shd w:val="clear" w:color="auto" w:fill="CCEEFF"/>
          </w:tcPr>
          <w:p>
            <w:pPr>
              <w:jc w:val="right"/>
              <w:ind w:right="1678"/>
              <w:spacing w:after="0" w:line="168" w:lineRule="exact"/>
              <w:rPr>
                <w:sz w:val="20"/>
                <w:szCs w:val="20"/>
                <w:color w:val="auto"/>
              </w:rPr>
            </w:pPr>
            <w:r>
              <w:rPr>
                <w:rFonts w:ascii="Arial" w:cs="Arial" w:eastAsia="Arial" w:hAnsi="Arial"/>
                <w:sz w:val="16"/>
                <w:szCs w:val="16"/>
                <w:color w:val="auto"/>
              </w:rPr>
              <w:t>28</w:t>
            </w:r>
          </w:p>
        </w:tc>
        <w:tc>
          <w:tcPr>
            <w:tcW w:w="1880" w:type="dxa"/>
            <w:vAlign w:val="bottom"/>
            <w:shd w:val="clear" w:color="auto" w:fill="CCEEFF"/>
          </w:tcPr>
          <w:p>
            <w:pPr>
              <w:spacing w:after="0"/>
              <w:rPr>
                <w:sz w:val="16"/>
                <w:szCs w:val="16"/>
                <w:color w:val="auto"/>
              </w:rPr>
            </w:pPr>
          </w:p>
        </w:tc>
      </w:tr>
      <w:tr>
        <w:trPr>
          <w:trHeight w:val="160"/>
        </w:trPr>
        <w:tc>
          <w:tcPr>
            <w:tcW w:w="1380" w:type="dxa"/>
            <w:vAlign w:val="bottom"/>
            <w:tcBorders>
              <w:top w:val="single" w:sz="8" w:color="CCEEFF"/>
            </w:tcBorders>
            <w:gridSpan w:val="2"/>
          </w:tcPr>
          <w:p>
            <w:pPr>
              <w:spacing w:after="0" w:line="160" w:lineRule="exact"/>
              <w:rPr>
                <w:sz w:val="20"/>
                <w:szCs w:val="20"/>
                <w:color w:val="auto"/>
              </w:rPr>
            </w:pPr>
            <w:r>
              <w:rPr>
                <w:rFonts w:ascii="Arial" w:cs="Arial" w:eastAsia="Arial" w:hAnsi="Arial"/>
                <w:sz w:val="16"/>
                <w:szCs w:val="16"/>
                <w:color w:val="auto"/>
              </w:rPr>
              <w:t>ITEM 15.</w:t>
            </w:r>
          </w:p>
        </w:tc>
        <w:tc>
          <w:tcPr>
            <w:tcW w:w="3580" w:type="dxa"/>
            <w:vAlign w:val="bottom"/>
            <w:tcBorders>
              <w:top w:val="single" w:sz="8" w:color="auto"/>
            </w:tcBorders>
            <w:gridSpan w:val="14"/>
          </w:tcPr>
          <w:p>
            <w:pPr>
              <w:spacing w:after="0" w:line="160" w:lineRule="exact"/>
              <w:rPr>
                <w:sz w:val="20"/>
                <w:szCs w:val="20"/>
                <w:color w:val="auto"/>
              </w:rPr>
            </w:pPr>
            <w:r>
              <w:rPr>
                <w:rFonts w:ascii="Arial" w:cs="Arial" w:eastAsia="Arial" w:hAnsi="Arial"/>
                <w:sz w:val="16"/>
                <w:szCs w:val="16"/>
                <w:color w:val="auto"/>
              </w:rPr>
              <w:t>EXHIBITS</w:t>
            </w:r>
          </w:p>
        </w:tc>
        <w:tc>
          <w:tcPr>
            <w:tcW w:w="2500" w:type="dxa"/>
            <w:vAlign w:val="bottom"/>
            <w:tcBorders>
              <w:top w:val="single" w:sz="8" w:color="CCEEFF"/>
            </w:tcBorders>
            <w:gridSpan w:val="11"/>
          </w:tcPr>
          <w:p>
            <w:pPr>
              <w:spacing w:after="0"/>
              <w:rPr>
                <w:sz w:val="13"/>
                <w:szCs w:val="13"/>
                <w:color w:val="auto"/>
              </w:rPr>
            </w:pPr>
          </w:p>
        </w:tc>
        <w:tc>
          <w:tcPr>
            <w:tcW w:w="2080" w:type="dxa"/>
            <w:vAlign w:val="bottom"/>
            <w:tcBorders>
              <w:top w:val="single" w:sz="8" w:color="CCEEFF"/>
            </w:tcBorders>
          </w:tcPr>
          <w:p>
            <w:pPr>
              <w:jc w:val="right"/>
              <w:ind w:right="1678"/>
              <w:spacing w:after="0" w:line="160" w:lineRule="exact"/>
              <w:rPr>
                <w:sz w:val="20"/>
                <w:szCs w:val="20"/>
                <w:color w:val="auto"/>
              </w:rPr>
            </w:pPr>
            <w:r>
              <w:rPr>
                <w:rFonts w:ascii="Arial" w:cs="Arial" w:eastAsia="Arial" w:hAnsi="Arial"/>
                <w:sz w:val="16"/>
                <w:szCs w:val="16"/>
                <w:color w:val="auto"/>
              </w:rPr>
              <w:t>29</w:t>
            </w:r>
          </w:p>
        </w:tc>
        <w:tc>
          <w:tcPr>
            <w:tcW w:w="1880" w:type="dxa"/>
            <w:vAlign w:val="bottom"/>
            <w:tcBorders>
              <w:top w:val="single" w:sz="8" w:color="CCEEFF"/>
            </w:tcBorders>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9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u w:val="single" w:color="auto"/>
          <w:color w:val="auto"/>
        </w:rPr>
        <w:t>PART I</w:t>
      </w:r>
    </w:p>
    <w:p>
      <w:pPr>
        <w:spacing w:after="0" w:line="235"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Overview</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Cancer Vaccines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TapImmune is a biotechnology Company focusing on immunotherapy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To enhance shareholder value and taking into account development timelines, the Company plans to focus on advancing its clinical programs including our HER2/neu peptide antigen program and our Folate Alpha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187"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Unlike other vaccine technologies that narrowly address the initiation of an immune response, TapImmune's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Our nucleic acid-based systems can also incorporate “TAP” which stands for Transporter associated with Antigen Presentation.</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currently focusing on the clinical development and testing of our product candidates. In this regard, we have two Phase I studies being concluded at the Mayo Clinic (Rochester, MN) which are designed to evaluate the safety and immune response(s) of a set of proprietary HER2/neu antigens for a HER2/neu breast cancer vaccine and Folate Receptor Alpha for triple negative breast and ovarian cancer respectively. TapImmune has the exclusive option to license each of these technologies upon the completion of each Phase I. In addition, we plan to initiate Phase II studies in 2015. The first of which will likely include the novel folate alpha antigens in a Phase II study, providing a vaccine for triple negative breast cancer that can stimulate a T-cell response. The unmet demand for a promising therapeutic in this indication, we believe, will allow us to proceed with an orphan drug and FDA fast track applications pending discussion and approval from the FDA. The second Phase II trial is expected to include our HER2/neu epitopes and will likely focus on Her2 positive breast cancer. Interim data from both phase I trials has provided the technical rational for progressing these programs to phase II trials.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plans to incorporate the pre-clinical development of Polystart™ as a boost strategy for HER2/neu breast cancer, colorectal cancer, ovarian cancer and triple negative breast cancer.</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candidate breast cancer, colorectal cancer and ovarian cancer immunotherapeutic vaccines are being developed for use in this setting as an adjuvant treatment to prevent recurrent disease.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Management strongly believes that the comprehensive scientific underpinnings of our overall approach, to elicit the production of both helper T- cells and killer T- cells, will provide the Company with highly competitive product candidates for the treatment of HER2/neu positive breast cancer, colorectal cancer, ovarian cancer and triple negative breast cancer.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Our Infectious Disease Program</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Regarding our programs for the development of vaccines aimed at viral pandemics/biodefense, our collaborations with the Mayo Clinic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the Company to focus the majority of its internal resources on HER2/neu breast, ovarian and triple negative cancers.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facilities at 1551 Eastlake Avenue, Seattle have exceeded our expectations and allowed us to continue to recruit top-class scientific staff while at the same time effectively leverage world-class resources made available to us and manage our cash flow. Our technical staff has proven experience and relevant expertise in the areas of molecular biology, cellular biology and immunology/oncology. Our small core team has allowed us to establish in-house technical expertise in molecular biology (expression vector development) and immunology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our core TAP IP and antigen specific IP from the Mayo Clinic for which we have either licensed outright or have exclusive options to license.</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Over the past two quarters, we have, in a challenging financing climate, raised sufficient working capital to fund and progress our operations and significantly restructured our balance sheet and capital structure. We believe that we continue to make good progress with the resources available to us. With the start of clinical programs and our focus on securing non-dilutive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History</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currently trade on the OTC Bulletin Board (“OTCQX”) under the symbol “TPIV” and on the Frankfurt and Berlin Stock Exchanges under the symbol “GX1A.” The listing on the Berlin Stock Exchange was done without the Company’s knowledge and consent.</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were incorporated under the laws of the State of Nevada in 1991. We have one wholly owned subsidiary named GeneMax Pharmaceuticals Inc. (“GeneMax Pharmaceuticals”).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Immunotherapy Industry for Cancer</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believes that there is a critical need for more effective cancer therapies. Given the massive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we continue to pursue the development of an approach which can allow the cellular immune system to make tumor cells more visible to the immune system. Many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77" w:right="239" w:bottom="1440"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16"/>
          <w:szCs w:val="16"/>
          <w:color w:val="auto"/>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By restoring TAP expression to TAP-deficient cells, the MHC Class I protein peptide complexes could signal the immune system to attack the cancer. A strategic vision of TapImmune is to restore the TAP function within cancerous cells, thus making them immunogenic, or more “visible” to cancer fighting immune cells. Management believes that with further development and improvement of selectivity, this cancer vaccine strategy could provide a commercially viable therapeutic approach that addresses this problem of “non-immunogenicity” of cancer.</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TapImmune’s Target Market and Strategy</w:t>
      </w:r>
    </w:p>
    <w:p>
      <w:pPr>
        <w:spacing w:after="0" w:line="23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will focus our product development in oncology, both, alone and with corporate partners and/or collaborators including the Mayo Clinic for HER2/neu positive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TapImmune management is to ultimately have the FDA approve our cancer vaccines so that we can secure a portion of this market.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global market for infectious disease based vaccines is dominated by five companies—Merck, GlaxoSmithKline, Sanofi Pasteur (the vaccines division of Sanofi SA), Pfizer Inc.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will have the potential to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Research and Development Efforts</w:t>
      </w:r>
    </w:p>
    <w:p>
      <w:pPr>
        <w:spacing w:after="0" w:line="239" w:lineRule="exact"/>
        <w:rPr>
          <w:sz w:val="20"/>
          <w:szCs w:val="20"/>
          <w:color w:val="auto"/>
        </w:rPr>
      </w:pPr>
    </w:p>
    <w:p>
      <w:pPr>
        <w:jc w:val="both"/>
        <w:spacing w:after="0" w:line="300" w:lineRule="auto"/>
        <w:rPr>
          <w:sz w:val="20"/>
          <w:szCs w:val="20"/>
          <w:color w:val="auto"/>
        </w:rPr>
      </w:pPr>
      <w:r>
        <w:rPr>
          <w:rFonts w:ascii="Arial" w:cs="Arial" w:eastAsia="Arial" w:hAnsi="Arial"/>
          <w:sz w:val="14"/>
          <w:szCs w:val="14"/>
          <w:color w:val="auto"/>
        </w:rPr>
        <w:t>We direct our research and development efforts towards the advancement of immunotherapeutic and prophylactic vaccine products for the treatment of cancer and protection against pathogenic microbes respectively, using our combined proprietary technologies, (1) relevant killer plus helper T-cell peptide antigens, (2) Polystart™ nucleic acid-based expression system(s), and (3)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and Technology in Development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For perspective, the Company notes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5"/>
          <w:szCs w:val="15"/>
          <w:i w:val="1"/>
          <w:iCs w:val="1"/>
          <w:color w:val="auto"/>
        </w:rPr>
        <w:t>i.e</w:t>
      </w:r>
      <w:r>
        <w:rPr>
          <w:rFonts w:ascii="Arial" w:cs="Arial" w:eastAsia="Arial" w:hAnsi="Arial"/>
          <w:sz w:val="15"/>
          <w:szCs w:val="15"/>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Phase I Human Clinical Trials – </w:t>
      </w:r>
      <w:r>
        <w:rPr>
          <w:rFonts w:ascii="Arial" w:cs="Arial" w:eastAsia="Arial" w:hAnsi="Arial"/>
          <w:sz w:val="16"/>
          <w:szCs w:val="16"/>
          <w:b w:val="1"/>
          <w:bCs w:val="1"/>
          <w:color w:val="auto"/>
        </w:rPr>
        <w:t>HER2/neu+ Breast Cancer – Mayo Clinic</w:t>
      </w:r>
    </w:p>
    <w:p>
      <w:pPr>
        <w:spacing w:after="0" w:line="239"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 xml:space="preserve">On June 1, 2010, we signed an exclusive licensing option agreement with the Mayo Clinic, Rochester MN for clinical development of a new HER2/neu breast cancer vaccine technology. An IND for Phase I human clinical trial on the HER2/neu cancer vaccine in collaboration with the Mayo Clinic was allowed by the FDA in July, 2011 and the Mayo IRB approved the trial on May 4, 2012. This trial is fully enrolled and closed, and patient dosing has been completed. All patients have received the Company’s vaccine composition, and </w:t>
      </w:r>
      <w:r>
        <w:rPr>
          <w:rFonts w:ascii="Arial" w:cs="Arial" w:eastAsia="Arial" w:hAnsi="Arial"/>
          <w:sz w:val="15"/>
          <w:szCs w:val="15"/>
          <w:u w:val="single" w:color="auto"/>
          <w:color w:val="auto"/>
        </w:rPr>
        <w:t>interim safety analysis</w:t>
      </w:r>
      <w:r>
        <w:rPr>
          <w:rFonts w:ascii="Arial" w:cs="Arial" w:eastAsia="Arial" w:hAnsi="Arial"/>
          <w:sz w:val="15"/>
          <w:szCs w:val="15"/>
          <w:color w:val="auto"/>
        </w:rPr>
        <w:t xml:space="preserve"> on the first six patients is complete and shown to be safe. In addition, each of the first six patients treated, developed specific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 The assessment of vaccine safety (primary endpoint) and evaluation of immunogenicity (secondary endpoint) for this trial are currently scheduled for review and determination of progression into Phase II, in 2015. Patients enrolled in the Phase I study will be followed for up to two years after completion of trials.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Therefore a key goal in 2015 is to progress the HER2/neu vaccine towards the above mentioned Phase 1(b)/II Clinical Trial.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Phase I Human Clinical Trials – </w:t>
      </w:r>
      <w:r>
        <w:rPr>
          <w:rFonts w:ascii="Arial" w:cs="Arial" w:eastAsia="Arial" w:hAnsi="Arial"/>
          <w:sz w:val="16"/>
          <w:szCs w:val="16"/>
          <w:b w:val="1"/>
          <w:bCs w:val="1"/>
          <w:color w:val="auto"/>
        </w:rPr>
        <w:t>Folate Alpha Breast and Ovarian Cancer – Mayo Clinic</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19, 2014, the Company announced the signing of an exclusive option agreement for a set of unique peptide epitopes targeting Folate Receptor Alpha in both breast cancer and ovarian cancer.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7" w:name="page8"/>
    <w:bookmarkEnd w:id="7"/>
    <w:p>
      <w:pPr>
        <w:jc w:val="both"/>
        <w:spacing w:after="0" w:line="267" w:lineRule="auto"/>
        <w:rPr>
          <w:sz w:val="20"/>
          <w:szCs w:val="20"/>
          <w:color w:val="auto"/>
        </w:rPr>
      </w:pPr>
      <w:r>
        <w:rPr>
          <w:rFonts w:ascii="Arial" w:cs="Arial" w:eastAsia="Arial" w:hAnsi="Arial"/>
          <w:sz w:val="16"/>
          <w:szCs w:val="16"/>
          <w:color w:val="auto"/>
        </w:rPr>
        <w:t>Folate Receptor Alpha is expressed in over 80%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24 patient Phase I clinical trial is currently underway. The trial is fully enrolled and closed, and will be evaluated for Phase II advancement in 2015 when all Phase I data has been evaluated.</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No serious adverse events have occurred to date and 20 out of 21 evaluable patients showed positive immune responses providing a strong rationale rational for progressing to phase 2 trials. More information can be seen at: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http://clinicaltrials.gov/ct2/show/NCT01606241?term=folate+receptor+alpha&amp;rank=1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Preclinical</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Polystart™</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TapImmune is initiating the development of a nucleic acid-based expression system that can be aligned as a prime and boost strategy with our peptide-based vaccine compositions. The nucleic acid-based platform may also represent a second stand-alone vaccine technology. The nucleic acid–based technology is termed “Polystart™. The Company’s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The Company has filed a U.S. Provisional Patent Application around the Polystart™ technology.</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plan to develop or out-license our technologies for the creation of enhanced anti-viral vaccines, such as for smallpox and other viral diseases. We anticipate that we will complete these studies with a strategic partner involved in the vaccine and Biodefense space. We intend to progress our infectious disease programs with non-dilutive grant funding as well and to expand the use of our TAP platform to emerging pathogens that could be either pandemic or bioterrorist threats.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Relationships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Mayo Foundation for Medical Education and Research</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Following approval of the IND by the FDA in July, 2011, TapImmune and the Mayo Foundation executed a Sponsored Research Agreement for the clinical trial.</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4, 2012, Mayo IRB approval was confirmed and patient dosing started in August 2012. Interim safety analysis on the first five patients was completed successfully allowing continuation of the trial.</w:t>
      </w:r>
    </w:p>
    <w:p>
      <w:pPr>
        <w:spacing w:after="0" w:line="1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TapImmune decided not to proceed into primate studies to devote resources to its oncology clinical programs..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 w:name="page9"/>
    <w:bookmarkEnd w:id="8"/>
    <w:p>
      <w:pPr>
        <w:jc w:val="both"/>
        <w:spacing w:after="0" w:line="284" w:lineRule="auto"/>
        <w:rPr>
          <w:sz w:val="20"/>
          <w:szCs w:val="20"/>
          <w:color w:val="auto"/>
        </w:rPr>
      </w:pPr>
      <w:r>
        <w:rPr>
          <w:rFonts w:ascii="Arial" w:cs="Arial" w:eastAsia="Arial" w:hAnsi="Arial"/>
          <w:sz w:val="15"/>
          <w:szCs w:val="15"/>
          <w:color w:val="auto"/>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MA, June 26, 2012. A peer-reviewed manuscript from the Knutson lab, which describes the science in detail, has been accepted for publication in Journal of Immunology.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Patents and Trademarks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TapImmune currently owns a number of issued and pending patents covering composition of matter and use of TAP and PolyStart. In addition, a number of issued and pending patents cover the HER2/neu and Folate Receptor Alpha peptides in our Option to License or License Agreements from the Mayo Foundation for Education and Research.</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Management believes that a number of companies, which are developing various types of similar in vivo T-cell immunotherapies and therapeutic cancer vaccines to treat cancer, could be our major competitors including: Advaxis, Genzyme Molecular Oncology, Immune Design, Oncothyreon, Celldex, BN Immunotherapeutics, Immunocellular, Galena, Antigen Express,Transgene S.A., and Bavarian Nordic. Other immunotherapy approaches including adoptive T-cell therapies, monoclonal antibodies and checkpoint inhibitors also provide competition in the oncology space. In these areas competitors include, Lion Biotechnology, Juno, Kite, Roche, Merck, Bristol Myers Squibb, Astra Zeneca, Medimmune. We believe that our in vivo T-cell therapy approaches will be synergistic with these approaches and might even improve them.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6"/>
          <w:szCs w:val="16"/>
          <w:color w:val="auto"/>
        </w:rPr>
        <w:t>Pre-clinical tests include laboratory evaluation of product chemistry, preparation of consistent test batches of product to what is known as GLP, toxicology studies, animal pre-clinical efficacy studies and manufacturing pursuant to what is known as GMP.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development of products. Moreover, positive results of pre-clinical tests will not necessarily indicate positive results in subsequent clinical trials.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NDA review.</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manufacturers of approved products and their manufacturing facilities are subject to continual review and periodic inspections.</w:t>
      </w:r>
    </w:p>
    <w:p>
      <w:pPr>
        <w:spacing w:after="0" w:line="235"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Canada</w:t>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6"/>
          <w:szCs w:val="16"/>
          <w:u w:val="single" w:color="auto"/>
          <w:color w:val="auto"/>
        </w:rPr>
        <w:t>www.hc-sc.gc.ca</w:t>
      </w:r>
      <w:r>
        <w:rPr>
          <w:rFonts w:ascii="Arial" w:cs="Arial" w:eastAsia="Arial" w:hAnsi="Arial"/>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Other Jurisdictions</w:t>
      </w:r>
    </w:p>
    <w:p>
      <w:pPr>
        <w:spacing w:after="0" w:line="23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Outside the United States and Canada, the Company’s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 and Insurance</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TapImmune currently has one full-time employee. The management team is comprised of Dr. Glynn Wilson (Chief Executive Officer, Principal Executive Officer and Acting Principal Accounting Officer), and Dr. Robert Florkiewicz (Consulting, Head of Research) together with a number of consultants, corporate advisors and scientific collaborators.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We are not required to provide the information required by this item because we are a smaller reporting company.</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do not own any real estate or other properties. Our registered office is located at 1551 Eastlake Ave East, Seattle, WA 98102. Our lease expired in January 2014 and we continue to rent laboratory and office space at this address on a month to month basis.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39"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In May 2012, we issued what is now equal to 112,000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 under the consulting agreements has been filed in the Supreme Court of New York. He has based his claim for damages on the difference between market price at the time we were able to delay the sale of his shares and the market price at the time of the sale of all of his shares. As the result of a judicial decision in New York he received a bond payment of ($100,000) that the Company had used to secure a temporary restraining order against the issuance of stock to him.</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law firm that we used to pursue the Gardner Action was awarded a judgment against us for $210,255 of unpaid legal fees (“G&amp;S Judgment”). Shareholders of the Company acquired the G&amp;S Judgment in full, converted that Judgment into preferred shares of the Company (which in turn converted into common stock) and subsequently released the Company from any liability related thereto.</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1" w:name="page12"/>
    <w:bookmarkEnd w:id="11"/>
    <w:p>
      <w:pPr>
        <w:jc w:val="both"/>
        <w:spacing w:after="0" w:line="265" w:lineRule="auto"/>
        <w:rPr>
          <w:sz w:val="20"/>
          <w:szCs w:val="20"/>
          <w:color w:val="auto"/>
        </w:rPr>
      </w:pPr>
      <w:r>
        <w:rPr>
          <w:rFonts w:ascii="Arial" w:cs="Arial" w:eastAsia="Arial" w:hAnsi="Arial"/>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One of our suppliers, Fischer Scientific was awarded a judgment against us for $51,000 which is equal to the amount owed to them. We intend on settling that matter in the second quarter of 2015.</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Management is not aware of any legal proceedings contemplated by any government authority or any other party involving the Company. As of the date of this Annual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2" w:name="page13"/>
    <w:bookmarkEnd w:id="12"/>
    <w:p>
      <w:pPr>
        <w:ind w:left="1"/>
        <w:spacing w:after="0"/>
        <w:rPr>
          <w:sz w:val="20"/>
          <w:szCs w:val="20"/>
          <w:color w:val="auto"/>
        </w:rPr>
      </w:pPr>
      <w:r>
        <w:rPr>
          <w:rFonts w:ascii="Arial" w:cs="Arial" w:eastAsia="Arial" w:hAnsi="Arial"/>
          <w:sz w:val="16"/>
          <w:szCs w:val="16"/>
          <w:b w:val="1"/>
          <w:bCs w:val="1"/>
          <w:u w:val="single" w:color="auto"/>
          <w:color w:val="auto"/>
        </w:rPr>
        <w:t>PART II</w:t>
      </w:r>
    </w:p>
    <w:p>
      <w:pPr>
        <w:spacing w:after="0" w:line="235" w:lineRule="exact"/>
        <w:rPr>
          <w:sz w:val="20"/>
          <w:szCs w:val="20"/>
          <w:color w:val="auto"/>
        </w:rPr>
      </w:pPr>
    </w:p>
    <w:p>
      <w:pPr>
        <w:ind w:left="1" w:right="760"/>
        <w:spacing w:after="0" w:line="294"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Market Information</w:t>
      </w:r>
    </w:p>
    <w:p>
      <w:pPr>
        <w:spacing w:after="0" w:line="239" w:lineRule="exact"/>
        <w:rPr>
          <w:sz w:val="20"/>
          <w:szCs w:val="20"/>
          <w:color w:val="auto"/>
        </w:rPr>
      </w:pPr>
    </w:p>
    <w:p>
      <w:pPr>
        <w:jc w:val="both"/>
        <w:ind w:left="1"/>
        <w:spacing w:after="0" w:line="272" w:lineRule="auto"/>
        <w:rPr>
          <w:sz w:val="20"/>
          <w:szCs w:val="20"/>
          <w:color w:val="auto"/>
        </w:rPr>
      </w:pPr>
      <w:r>
        <w:rPr>
          <w:rFonts w:ascii="Arial" w:cs="Arial" w:eastAsia="Arial" w:hAnsi="Arial"/>
          <w:sz w:val="16"/>
          <w:szCs w:val="16"/>
          <w:color w:val="auto"/>
        </w:rPr>
        <w:t>Our common stock is traded on the Over the Counter Bulletin Board (“OTCQB”) under the symbol “TPIV” and previously on the Frankfurt and subsequently on the Berlin and Munich Stock Exchanges under the symbol “GX1A.” The listing on the Frankfurt exchange is no longer valid however the Berlin and Munich Stock Exchange listing done without the Company’s knowledge and consent appear to still be active.</w:t>
      </w:r>
    </w:p>
    <w:p>
      <w:pPr>
        <w:spacing w:after="0" w:line="187" w:lineRule="exact"/>
        <w:rPr>
          <w:sz w:val="20"/>
          <w:szCs w:val="20"/>
          <w:color w:val="auto"/>
        </w:rPr>
      </w:pPr>
    </w:p>
    <w:p>
      <w:pPr>
        <w:jc w:val="both"/>
        <w:ind w:left="1"/>
        <w:spacing w:after="0" w:line="324" w:lineRule="auto"/>
        <w:rPr>
          <w:sz w:val="20"/>
          <w:szCs w:val="20"/>
          <w:color w:val="auto"/>
        </w:rPr>
      </w:pPr>
      <w:r>
        <w:rPr>
          <w:rFonts w:ascii="Arial" w:cs="Arial" w:eastAsia="Arial" w:hAnsi="Arial"/>
          <w:sz w:val="15"/>
          <w:szCs w:val="15"/>
          <w:color w:val="auto"/>
        </w:rPr>
        <w:t>The market for our common stock is limited, volatile and sporadic. The following table sets forth, for the periods indicated, the high and low bid prices of our common stock as reported on the OTCQB. The following quotations reflect inter-dealer prices, without retail mark-up, markdown, or commissions, and may not reflect actual transactions.</w:t>
      </w:r>
    </w:p>
    <w:p>
      <w:pPr>
        <w:spacing w:after="0" w:line="143" w:lineRule="exact"/>
        <w:rPr>
          <w:sz w:val="20"/>
          <w:szCs w:val="20"/>
          <w:color w:val="auto"/>
        </w:rPr>
      </w:pPr>
    </w:p>
    <w:tbl>
      <w:tblPr>
        <w:tblLayout w:type="fixed"/>
        <w:tblInd w:w="1" w:type="dxa"/>
        <w:tblCellMar>
          <w:top w:w="0" w:type="dxa"/>
          <w:left w:w="0" w:type="dxa"/>
          <w:bottom w:w="0" w:type="dxa"/>
          <w:right w:w="0" w:type="dxa"/>
        </w:tblCellMar>
      </w:tblPr>
      <w:tr>
        <w:trPr>
          <w:trHeight w:val="226"/>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High Bid</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Low Bid</w:t>
            </w:r>
          </w:p>
        </w:tc>
      </w:tr>
      <w:tr>
        <w:trPr>
          <w:trHeight w:val="382"/>
        </w:trPr>
        <w:tc>
          <w:tcPr>
            <w:tcW w:w="8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Fiscal Year 2015</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8700" w:type="dxa"/>
            <w:vAlign w:val="bottom"/>
          </w:tcPr>
          <w:p>
            <w:pPr>
              <w:ind w:left="80"/>
              <w:spacing w:after="0"/>
              <w:rPr>
                <w:sz w:val="20"/>
                <w:szCs w:val="20"/>
                <w:color w:val="auto"/>
              </w:rPr>
            </w:pPr>
            <w:r>
              <w:rPr>
                <w:rFonts w:ascii="Arial" w:cs="Arial" w:eastAsia="Arial" w:hAnsi="Arial"/>
                <w:sz w:val="16"/>
                <w:szCs w:val="16"/>
                <w:color w:val="auto"/>
              </w:rPr>
              <w:t>February 27, 2015</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0.22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0.21</w:t>
            </w:r>
          </w:p>
        </w:tc>
      </w:tr>
      <w:tr>
        <w:trPr>
          <w:trHeight w:val="383"/>
        </w:trPr>
        <w:tc>
          <w:tcPr>
            <w:tcW w:w="8700" w:type="dxa"/>
            <w:vAlign w:val="bottom"/>
          </w:tcPr>
          <w:p>
            <w:pPr>
              <w:spacing w:after="0"/>
              <w:rPr>
                <w:sz w:val="20"/>
                <w:szCs w:val="20"/>
                <w:color w:val="auto"/>
              </w:rPr>
            </w:pPr>
            <w:r>
              <w:rPr>
                <w:rFonts w:ascii="Arial" w:cs="Arial" w:eastAsia="Arial" w:hAnsi="Arial"/>
                <w:sz w:val="16"/>
                <w:szCs w:val="16"/>
                <w:b w:val="1"/>
                <w:bCs w:val="1"/>
                <w:color w:val="auto"/>
              </w:rPr>
              <w:t>Fiscal Year 2014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December 31, 2014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0.32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0.28</w:t>
            </w: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September 30, 2014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0.66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0.62</w:t>
            </w: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June 28, 2014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1.93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1.80</w:t>
            </w:r>
          </w:p>
        </w:tc>
      </w:tr>
      <w:tr>
        <w:trPr>
          <w:trHeight w:val="208"/>
        </w:trPr>
        <w:tc>
          <w:tcPr>
            <w:tcW w:w="8700" w:type="dxa"/>
            <w:vAlign w:val="bottom"/>
          </w:tcPr>
          <w:p>
            <w:pPr>
              <w:ind w:left="80"/>
              <w:spacing w:after="0"/>
              <w:rPr>
                <w:sz w:val="20"/>
                <w:szCs w:val="20"/>
                <w:color w:val="auto"/>
              </w:rPr>
            </w:pPr>
            <w:r>
              <w:rPr>
                <w:rFonts w:ascii="Arial" w:cs="Arial" w:eastAsia="Arial" w:hAnsi="Arial"/>
                <w:sz w:val="16"/>
                <w:szCs w:val="16"/>
                <w:color w:val="auto"/>
              </w:rPr>
              <w:t>March 31, 2014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4.09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3.50</w:t>
            </w:r>
          </w:p>
        </w:tc>
      </w:tr>
      <w:tr>
        <w:trPr>
          <w:trHeight w:val="383"/>
        </w:trPr>
        <w:tc>
          <w:tcPr>
            <w:tcW w:w="8700" w:type="dxa"/>
            <w:vAlign w:val="bottom"/>
          </w:tcPr>
          <w:p>
            <w:pPr>
              <w:spacing w:after="0"/>
              <w:rPr>
                <w:sz w:val="20"/>
                <w:szCs w:val="20"/>
                <w:color w:val="auto"/>
              </w:rPr>
            </w:pPr>
            <w:r>
              <w:rPr>
                <w:rFonts w:ascii="Arial" w:cs="Arial" w:eastAsia="Arial" w:hAnsi="Arial"/>
                <w:sz w:val="16"/>
                <w:szCs w:val="16"/>
                <w:b w:val="1"/>
                <w:bCs w:val="1"/>
                <w:color w:val="auto"/>
              </w:rPr>
              <w:t>Fiscal Year 2013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December 31, 2013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1.91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1.60</w:t>
            </w: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September 30, 2013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1.24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June 28, 2013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3.20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2.35</w:t>
            </w:r>
          </w:p>
        </w:tc>
      </w:tr>
      <w:tr>
        <w:trPr>
          <w:trHeight w:val="209"/>
        </w:trPr>
        <w:tc>
          <w:tcPr>
            <w:tcW w:w="8700" w:type="dxa"/>
            <w:vAlign w:val="bottom"/>
          </w:tcPr>
          <w:p>
            <w:pPr>
              <w:ind w:left="80"/>
              <w:spacing w:after="0"/>
              <w:rPr>
                <w:sz w:val="20"/>
                <w:szCs w:val="20"/>
                <w:color w:val="auto"/>
              </w:rPr>
            </w:pPr>
            <w:r>
              <w:rPr>
                <w:rFonts w:ascii="Arial" w:cs="Arial" w:eastAsia="Arial" w:hAnsi="Arial"/>
                <w:sz w:val="16"/>
                <w:szCs w:val="16"/>
                <w:color w:val="auto"/>
              </w:rPr>
              <w:t>March 28, 2013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10.20</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9.22</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last reported sales price for our shares on the OTCQB as of April 10, 2015, was $0.20 per share. As of April 10, 2015, we had 579 shareholders of record.</w:t>
      </w:r>
    </w:p>
    <w:p>
      <w:pPr>
        <w:spacing w:after="0" w:line="23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Dividend Policy</w:t>
      </w:r>
    </w:p>
    <w:p>
      <w:pPr>
        <w:spacing w:after="0" w:line="239"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No dividends have been declared or paid on our common stock. We have incurred recurring losses and do not currently intend to pay any cash dividends in the foreseeable future.</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Securities Authorized For Issuance under Compensation Plans</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sets forth information as of December 31, 2014:</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31"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288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Number of securities remaining available</w:t>
            </w:r>
          </w:p>
        </w:tc>
        <w:tc>
          <w:tcPr>
            <w:tcW w:w="0" w:type="dxa"/>
            <w:vAlign w:val="bottom"/>
          </w:tcPr>
          <w:p>
            <w:pPr>
              <w:spacing w:after="0"/>
              <w:rPr>
                <w:sz w:val="1"/>
                <w:szCs w:val="1"/>
                <w:color w:val="auto"/>
              </w:rPr>
            </w:pPr>
          </w:p>
        </w:tc>
      </w:tr>
      <w:tr>
        <w:trPr>
          <w:trHeight w:val="197"/>
        </w:trPr>
        <w:tc>
          <w:tcPr>
            <w:tcW w:w="288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w w:val="92"/>
              </w:rPr>
              <w:t>Number of securities to be issued upon</w:t>
            </w:r>
          </w:p>
        </w:tc>
        <w:tc>
          <w:tcPr>
            <w:tcW w:w="284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w w:val="92"/>
              </w:rPr>
              <w:t>for future issuance under equity</w:t>
            </w:r>
          </w:p>
        </w:tc>
        <w:tc>
          <w:tcPr>
            <w:tcW w:w="0" w:type="dxa"/>
            <w:vAlign w:val="bottom"/>
          </w:tcPr>
          <w:p>
            <w:pPr>
              <w:spacing w:after="0"/>
              <w:rPr>
                <w:sz w:val="1"/>
                <w:szCs w:val="1"/>
                <w:color w:val="auto"/>
              </w:rPr>
            </w:pPr>
          </w:p>
        </w:tc>
      </w:tr>
      <w:tr>
        <w:trPr>
          <w:trHeight w:val="197"/>
        </w:trPr>
        <w:tc>
          <w:tcPr>
            <w:tcW w:w="288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w w:val="92"/>
              </w:rPr>
              <w:t>exercise of outstanding options, warrants</w:t>
            </w:r>
          </w:p>
        </w:tc>
        <w:tc>
          <w:tcPr>
            <w:tcW w:w="2840" w:type="dxa"/>
            <w:vAlign w:val="bottom"/>
          </w:tcPr>
          <w:p>
            <w:pPr>
              <w:jc w:val="center"/>
              <w:spacing w:after="0"/>
              <w:rPr>
                <w:sz w:val="20"/>
                <w:szCs w:val="20"/>
                <w:color w:val="auto"/>
              </w:rPr>
            </w:pPr>
            <w:r>
              <w:rPr>
                <w:rFonts w:ascii="Arial" w:cs="Arial" w:eastAsia="Arial" w:hAnsi="Arial"/>
                <w:sz w:val="16"/>
                <w:szCs w:val="16"/>
                <w:color w:val="auto"/>
                <w:w w:val="91"/>
              </w:rPr>
              <w:t>Weighted average exercise price of</w:t>
            </w:r>
          </w:p>
        </w:tc>
        <w:tc>
          <w:tcPr>
            <w:tcW w:w="2860" w:type="dxa"/>
            <w:vAlign w:val="bottom"/>
          </w:tcPr>
          <w:p>
            <w:pPr>
              <w:jc w:val="center"/>
              <w:spacing w:after="0"/>
              <w:rPr>
                <w:sz w:val="20"/>
                <w:szCs w:val="20"/>
                <w:color w:val="auto"/>
              </w:rPr>
            </w:pPr>
            <w:r>
              <w:rPr>
                <w:rFonts w:ascii="Arial" w:cs="Arial" w:eastAsia="Arial" w:hAnsi="Arial"/>
                <w:sz w:val="16"/>
                <w:szCs w:val="16"/>
                <w:color w:val="auto"/>
                <w:w w:val="93"/>
              </w:rPr>
              <w:t>compensation plans (excluding securities</w:t>
            </w:r>
          </w:p>
        </w:tc>
        <w:tc>
          <w:tcPr>
            <w:tcW w:w="0" w:type="dxa"/>
            <w:vAlign w:val="bottom"/>
          </w:tcPr>
          <w:p>
            <w:pPr>
              <w:spacing w:after="0"/>
              <w:rPr>
                <w:sz w:val="1"/>
                <w:szCs w:val="1"/>
                <w:color w:val="auto"/>
              </w:rPr>
            </w:pPr>
          </w:p>
        </w:tc>
      </w:tr>
      <w:tr>
        <w:trPr>
          <w:trHeight w:val="197"/>
        </w:trPr>
        <w:tc>
          <w:tcPr>
            <w:tcW w:w="288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w w:val="93"/>
              </w:rPr>
              <w:t>and rights</w:t>
            </w:r>
          </w:p>
        </w:tc>
        <w:tc>
          <w:tcPr>
            <w:tcW w:w="2840" w:type="dxa"/>
            <w:vAlign w:val="bottom"/>
          </w:tcPr>
          <w:p>
            <w:pPr>
              <w:jc w:val="center"/>
              <w:spacing w:after="0"/>
              <w:rPr>
                <w:sz w:val="20"/>
                <w:szCs w:val="20"/>
                <w:color w:val="auto"/>
              </w:rPr>
            </w:pPr>
            <w:r>
              <w:rPr>
                <w:rFonts w:ascii="Arial" w:cs="Arial" w:eastAsia="Arial" w:hAnsi="Arial"/>
                <w:sz w:val="16"/>
                <w:szCs w:val="16"/>
                <w:color w:val="auto"/>
                <w:w w:val="93"/>
              </w:rPr>
              <w:t>outstanding options, warrants and rights</w:t>
            </w:r>
          </w:p>
        </w:tc>
        <w:tc>
          <w:tcPr>
            <w:tcW w:w="2860" w:type="dxa"/>
            <w:vAlign w:val="bottom"/>
          </w:tcPr>
          <w:p>
            <w:pPr>
              <w:jc w:val="center"/>
              <w:spacing w:after="0"/>
              <w:rPr>
                <w:sz w:val="20"/>
                <w:szCs w:val="20"/>
                <w:color w:val="auto"/>
              </w:rPr>
            </w:pPr>
            <w:r>
              <w:rPr>
                <w:rFonts w:ascii="Arial" w:cs="Arial" w:eastAsia="Arial" w:hAnsi="Arial"/>
                <w:sz w:val="16"/>
                <w:szCs w:val="16"/>
                <w:color w:val="auto"/>
                <w:w w:val="94"/>
              </w:rPr>
              <w:t>reflected in column (a)</w:t>
            </w:r>
          </w:p>
        </w:tc>
        <w:tc>
          <w:tcPr>
            <w:tcW w:w="0" w:type="dxa"/>
            <w:vAlign w:val="bottom"/>
          </w:tcPr>
          <w:p>
            <w:pPr>
              <w:spacing w:after="0"/>
              <w:rPr>
                <w:sz w:val="1"/>
                <w:szCs w:val="1"/>
                <w:color w:val="auto"/>
              </w:rPr>
            </w:pPr>
          </w:p>
        </w:tc>
      </w:tr>
      <w:tr>
        <w:trPr>
          <w:trHeight w:val="214"/>
        </w:trPr>
        <w:tc>
          <w:tcPr>
            <w:tcW w:w="28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(a)</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(b)</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185"/>
        </w:trPr>
        <w:tc>
          <w:tcPr>
            <w:tcW w:w="2880" w:type="dxa"/>
            <w:vAlign w:val="bottom"/>
          </w:tcPr>
          <w:p>
            <w:pPr>
              <w:spacing w:after="0"/>
              <w:rPr>
                <w:sz w:val="20"/>
                <w:szCs w:val="20"/>
                <w:color w:val="auto"/>
              </w:rPr>
            </w:pPr>
            <w:r>
              <w:rPr>
                <w:rFonts w:ascii="Arial" w:cs="Arial" w:eastAsia="Arial" w:hAnsi="Arial"/>
                <w:sz w:val="16"/>
                <w:szCs w:val="16"/>
                <w:color w:val="auto"/>
                <w:w w:val="94"/>
              </w:rPr>
              <w:t>(a)Equity compensation plans approved by</w:t>
            </w:r>
          </w:p>
        </w:tc>
        <w:tc>
          <w:tcPr>
            <w:tcW w:w="2840" w:type="dxa"/>
            <w:vAlign w:val="bottom"/>
            <w:vMerge w:val="restart"/>
          </w:tcPr>
          <w:p>
            <w:pPr>
              <w:jc w:val="center"/>
              <w:spacing w:after="0"/>
              <w:rPr>
                <w:sz w:val="20"/>
                <w:szCs w:val="20"/>
                <w:color w:val="auto"/>
              </w:rPr>
            </w:pPr>
            <w:r>
              <w:rPr>
                <w:rFonts w:ascii="Arial" w:cs="Arial" w:eastAsia="Arial" w:hAnsi="Arial"/>
                <w:sz w:val="16"/>
                <w:szCs w:val="16"/>
                <w:color w:val="auto"/>
                <w:w w:val="86"/>
              </w:rPr>
              <w:t>65,430</w:t>
            </w:r>
            <w:r>
              <w:rPr>
                <w:rFonts w:ascii="Arial" w:cs="Arial" w:eastAsia="Arial" w:hAnsi="Arial"/>
                <w:sz w:val="22"/>
                <w:szCs w:val="22"/>
                <w:color w:val="auto"/>
                <w:w w:val="86"/>
                <w:vertAlign w:val="superscript"/>
              </w:rPr>
              <w:t>(1)</w:t>
            </w:r>
          </w:p>
        </w:tc>
        <w:tc>
          <w:tcPr>
            <w:tcW w:w="28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80" w:type="dxa"/>
            <w:vAlign w:val="bottom"/>
          </w:tcPr>
          <w:p>
            <w:pPr>
              <w:ind w:left="300"/>
              <w:spacing w:after="0"/>
              <w:rPr>
                <w:sz w:val="20"/>
                <w:szCs w:val="20"/>
                <w:color w:val="auto"/>
              </w:rPr>
            </w:pPr>
            <w:r>
              <w:rPr>
                <w:rFonts w:ascii="Arial" w:cs="Arial" w:eastAsia="Arial" w:hAnsi="Arial"/>
                <w:sz w:val="16"/>
                <w:szCs w:val="16"/>
                <w:color w:val="auto"/>
              </w:rPr>
              <w:t>security holders</w:t>
            </w:r>
          </w:p>
        </w:tc>
        <w:tc>
          <w:tcPr>
            <w:tcW w:w="2840" w:type="dxa"/>
            <w:vAlign w:val="bottom"/>
            <w:vMerge w:val="continue"/>
          </w:tcPr>
          <w:p>
            <w:pPr>
              <w:spacing w:after="0"/>
              <w:rPr>
                <w:sz w:val="17"/>
                <w:szCs w:val="17"/>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w w:val="89"/>
              </w:rPr>
              <w:t>$18.00</w:t>
            </w:r>
          </w:p>
        </w:tc>
        <w:tc>
          <w:tcPr>
            <w:tcW w:w="2860" w:type="dxa"/>
            <w:vAlign w:val="bottom"/>
          </w:tcPr>
          <w:p>
            <w:pPr>
              <w:jc w:val="center"/>
              <w:spacing w:after="0"/>
              <w:rPr>
                <w:sz w:val="20"/>
                <w:szCs w:val="20"/>
                <w:color w:val="auto"/>
              </w:rPr>
            </w:pPr>
            <w:r>
              <w:rPr>
                <w:rFonts w:ascii="Arial" w:cs="Arial" w:eastAsia="Arial" w:hAnsi="Arial"/>
                <w:sz w:val="16"/>
                <w:szCs w:val="16"/>
                <w:color w:val="auto"/>
                <w:w w:val="89"/>
              </w:rPr>
              <w:t>34,570</w:t>
            </w:r>
          </w:p>
        </w:tc>
        <w:tc>
          <w:tcPr>
            <w:tcW w:w="0" w:type="dxa"/>
            <w:vAlign w:val="bottom"/>
          </w:tcPr>
          <w:p>
            <w:pPr>
              <w:spacing w:after="0"/>
              <w:rPr>
                <w:sz w:val="1"/>
                <w:szCs w:val="1"/>
                <w:color w:val="auto"/>
              </w:rPr>
            </w:pPr>
          </w:p>
        </w:tc>
      </w:tr>
      <w:tr>
        <w:trPr>
          <w:trHeight w:val="197"/>
        </w:trPr>
        <w:tc>
          <w:tcPr>
            <w:tcW w:w="2880" w:type="dxa"/>
            <w:vAlign w:val="bottom"/>
          </w:tcPr>
          <w:p>
            <w:pPr>
              <w:spacing w:after="0"/>
              <w:rPr>
                <w:sz w:val="20"/>
                <w:szCs w:val="20"/>
                <w:color w:val="auto"/>
              </w:rPr>
            </w:pPr>
            <w:r>
              <w:rPr>
                <w:rFonts w:ascii="Arial" w:cs="Arial" w:eastAsia="Arial" w:hAnsi="Arial"/>
                <w:sz w:val="16"/>
                <w:szCs w:val="16"/>
                <w:color w:val="auto"/>
              </w:rPr>
              <w:t>(b)Equity compensation plans not</w:t>
            </w:r>
          </w:p>
        </w:tc>
        <w:tc>
          <w:tcPr>
            <w:tcW w:w="28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approved by security holders</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Nil</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Nil</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Nil</w:t>
            </w:r>
          </w:p>
        </w:tc>
        <w:tc>
          <w:tcPr>
            <w:tcW w:w="0" w:type="dxa"/>
            <w:vAlign w:val="bottom"/>
          </w:tcPr>
          <w:p>
            <w:pPr>
              <w:spacing w:after="0"/>
              <w:rPr>
                <w:sz w:val="1"/>
                <w:szCs w:val="1"/>
                <w:color w:val="auto"/>
              </w:rPr>
            </w:pPr>
          </w:p>
        </w:tc>
      </w:tr>
      <w:tr>
        <w:trPr>
          <w:trHeight w:val="197"/>
        </w:trPr>
        <w:tc>
          <w:tcPr>
            <w:tcW w:w="28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6"/>
                <w:szCs w:val="16"/>
                <w:color w:val="auto"/>
                <w:w w:val="86"/>
              </w:rPr>
              <w:t>65,430</w:t>
            </w:r>
            <w:r>
              <w:rPr>
                <w:rFonts w:ascii="Arial" w:cs="Arial" w:eastAsia="Arial" w:hAnsi="Arial"/>
                <w:sz w:val="22"/>
                <w:szCs w:val="22"/>
                <w:color w:val="auto"/>
                <w:w w:val="86"/>
                <w:vertAlign w:val="superscript"/>
              </w:rPr>
              <w:t>(1)</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$18.00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34,570</w:t>
            </w:r>
          </w:p>
        </w:tc>
        <w:tc>
          <w:tcPr>
            <w:tcW w:w="0" w:type="dxa"/>
            <w:vAlign w:val="bottom"/>
          </w:tcPr>
          <w:p>
            <w:pPr>
              <w:spacing w:after="0"/>
              <w:rPr>
                <w:sz w:val="1"/>
                <w:szCs w:val="1"/>
                <w:color w:val="auto"/>
              </w:rPr>
            </w:pP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1" w:hanging="181"/>
        <w:spacing w:after="0"/>
        <w:tabs>
          <w:tab w:leader="none" w:pos="181"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The plan under which these shares were issued was approved by the Board of Directors and the shareholders in 2009 but did not come into effect until February 22, 2010.</w:t>
      </w:r>
    </w:p>
    <w:p>
      <w:pPr>
        <w:spacing w:after="0" w:line="346" w:lineRule="exact"/>
        <w:rPr>
          <w:rFonts w:ascii="Arial" w:cs="Arial" w:eastAsia="Arial" w:hAnsi="Arial"/>
          <w:sz w:val="20"/>
          <w:szCs w:val="20"/>
          <w:color w:val="auto"/>
          <w:vertAlign w:val="superscript"/>
        </w:rPr>
      </w:pPr>
    </w:p>
    <w:p>
      <w:pPr>
        <w:ind w:left="5641"/>
        <w:spacing w:after="0"/>
        <w:rPr>
          <w:rFonts w:ascii="Arial" w:cs="Arial" w:eastAsia="Arial" w:hAnsi="Arial"/>
          <w:sz w:val="20"/>
          <w:szCs w:val="20"/>
          <w:color w:val="auto"/>
          <w:vertAlign w:val="superscript"/>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702"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Stock Incentive Plan</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October 14, 2009, the Company adopted the 2009 Stock Incentive Plan (the “2009 Plan”). The 2009 Plan allows for the issuance of up to 100,000 common shares. Options granted under the Plan shall be at prices and for terms as determined by our Board of Directors, and may have vesting requirements as determined by our Board of Directors.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foregoing summary of the 2009 Stock Incentive Plan is not complete and is qualified in its entirety by reference to the 2009 Stock Incentive Plan, a copy of which has been filed with the SEC.</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date, 65,430 options have been issued under the 2009 Plan. Of those options, 42,500 were issued to members of our scientific advisory board, and our Chief Executive Officer.</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On March 19, 2014, we adopted the 2014 Omnibus Stock Option Plan (“2014 Plan”). The 2014 Plan allows for the issuance of 2,000,000 options to acquire common shares.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As of April 10, 2015, there are an aggregate of 65,250,000 common stock purchase warrants issued and outstanding.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previously reported all issuances of unregistered equity during the year ended December 31, 2014 through April 15, 2015.</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are not required to provide the information required under this item.</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following discussion of our financial condition, changes in financial condition, plan of operations and results of operations should be read in conjunction with (i) our audited consolidated financial statements as at December 31, 2014 and for the period from inception (July 27, 1999) to December 31, 2013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of Operations</w:t>
      </w:r>
    </w:p>
    <w:p>
      <w:pPr>
        <w:spacing w:after="0" w:line="23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Management believes that our platform technologies combine to make the most comprehensive vaccines in development today. The comprehensive approach of stimulating both the helper and killer T cell response to cancer antigens is essential in having an effective and long lasting killing effect on tumor and infected cells.</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January 10, 2014 the shareholders and the Board of Directors approved a reverse stock split whereby every one hundred (100) shares of common stock held by a TapImmune stockholder was exchanged for one share of TapImmune common stock (the “Reverse Stock Split”). The Board of Directors set the close of business on the twentieth day following the mailing of an Information Statement to the shareholders as the date on which to file a “Certificate Pursuant to NRS 78.209” with the Nevada Secretary of State to make the Reverse Stock Split effective. Every one hundred (100) shares of common stock issued and outstanding immediately prior to that effective date was reclassified as and changed into one share of common stock.</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principal effect of the Reverse Stock Split decreased the number of outstanding shares of common stock. At the time of the approval of the Reverse Stock Split by the shareholders on January 10, 2014, we had approximately 145,000,000 common shares outstanding, which number was reduced to approximately 1,450,000 shares as a result of the Reverse Stock Split. The respective relative voting rights and other rights that accompany the common stock were not altered and the common stock continues to have a par value of $0.001 per share.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Reasons for, and the effect of, the Reverse Stock Split</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undertook the Reverse Stock Split with three goals in mind: (i) reduce the Company’s debt by creating a capital structure that would be attractive enough to the then debt-holders of the company to entice them to convert into shares of the Company; (ii) position the Company so that upon a successful capital raise it could up-list on a NASDAQ market; (iii) create a capital structure, by increasing the authorized number of shares, which would allow the Company to make acquisitions or raise additional capital or both. On the date of the written consent the Company had essentially no shares available for issuance for any purpose as the remaining 5,000,000 (and more) were reserved for issuance to our debtors.</w:t>
      </w:r>
    </w:p>
    <w:p>
      <w:pPr>
        <w:spacing w:after="0" w:line="191"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After the Reverse Stock Split, debt settlement conversions and amendment to the articles of incorporation, the common stock outstanding was approximately 15,000,000 shares, providing us with 485,000,000 authorized but unissued shares of common stock to proceed with a capital raise through the sale of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conversions and stock issuances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In regard to the above explanation and pursuant to our articles of incorporation, we were authorized to issue up to 5,000,000 shares of preferred stock.</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reduced the outstanding debt on our balance sheet significantly by converting into shares of preferred stock, which in turn converted into shares of common stock upon the occurrence of the Reverse Stock Split. On January 7, 2014, we filed a certificate of designation to create up to 1,250,000 shares of Series A Convertible Preferred Stock. Also in the first quarter of fiscal 2014, we filed a certificate of designation to create up to 1,500,000 shares of Series B Convertible Preferred Stock. During the year we issued $418,000 of Convertible notes. The notes carried no interest rate and were converted shortly thereafter into preferred stock and immediately into common stock. During the year approximately $4.8 million of debt and $0.5 million of accrued interest was converted into preferred stock, which immediately converted into 14.0 million shares of common stock.</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debt settlement and capital raising efforts in 2014 and early 2015 have resulted in approximately 32,639,000 shares of our common stock currently issued and outstanding.</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Debt settlement transactions were not registered under the Act in reliance on the exemption from registration in Section 4(2) of the Act, as a transaction not involving any public offering. We issued a press release on February 25, 2014 discussing these and other matters and further details are available in the filed Information Statement on Form 14-C and Form 8-Ks describing the corporate actions. We completed new institutional financing in January 2015 and March 2015 via an effective S3 registration statement (July 23, 2014).</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State of the Company</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TapImmune is a clinical-stage immunotherapy Company specializing in the development of innovative peptide and gene-based immunotherapeutics and vaccines for the treatment of cancer. The Company now has multiple clinical trials underway at the Mayo Clinic in Rochester, MN. In addition to our own sponsored clinical trials, we announced that a new grant-funded breast and ovarian cancer trial was started by Mayo using the same Folate Alpha Receptor peptides to which we have the exclusive commercial rights. Our development pipeline is extremely strong and provides us the opportunity to continue to expand on collaborations with leading institutions and corporations.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Over the past year, we have significantly strengthened our balance sheet by raising additional working capital and reducing our stockholders’ deficit from $8.7 million in December 2013 to $2.46 million in the second quarter and further down to $656,000 in the third quarter. On August 14, 2014, we closed a $2 million registered direct offering with a fundamental institutional investor and a further $2.5 million in the first quarter of 2015, giving us confidence in our ability to continue developing our products on the path to commercialization. The strength of our science and development approaches is becoming more widely appreciated, particularly as our clinical program has now generated positive interim data on both clinical programs in Breast and Ovarian Cancer. Also, we are pleased to report that all our pre-clinical programs are seeing positive outcomes.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With the new funding the Company is focusing on the following key initiatives: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Entry into Phase II HER2/neu Breast Cancer Trials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Entry into Phase II Triple Negative Cancer Trials and Fast Track &amp; Orphan Drug Status</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Produce new PolyStart™ constructs, in-house, to facilitate collaborative efforts in our current clinical indications and those where others have already indicated interest in combination therapies.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5" w:name="page16"/>
    <w:bookmarkEnd w:id="15"/>
    <w:p>
      <w:pPr>
        <w:ind w:left="1"/>
        <w:spacing w:after="0"/>
        <w:rPr>
          <w:sz w:val="20"/>
          <w:szCs w:val="20"/>
          <w:color w:val="auto"/>
        </w:rPr>
      </w:pPr>
      <w:r>
        <w:rPr>
          <w:rFonts w:ascii="Arial" w:cs="Arial" w:eastAsia="Arial" w:hAnsi="Arial"/>
          <w:sz w:val="16"/>
          <w:szCs w:val="16"/>
          <w:color w:val="auto"/>
        </w:rPr>
        <w:t>In addition, we will continue to work on deficit reduction and capital improvement in order to make the required benchmarks for an uplisting to the NASDAQ.</w:t>
      </w:r>
    </w:p>
    <w:p>
      <w:pPr>
        <w:spacing w:after="0" w:line="235"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Together, these fundamental programs and corporate activities have positioned TapImmune extremely well to capitalize on the acceptance of immunotherapy as a leading therapeutic strategy in cancer and infectious disease resulting in exploding valuations in the market.</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TapImmune’s Pipeline</w:t>
      </w:r>
    </w:p>
    <w:p>
      <w:pPr>
        <w:spacing w:after="0" w:line="239" w:lineRule="exact"/>
        <w:rPr>
          <w:sz w:val="20"/>
          <w:szCs w:val="20"/>
          <w:color w:val="auto"/>
        </w:rPr>
      </w:pPr>
    </w:p>
    <w:p>
      <w:pPr>
        <w:jc w:val="both"/>
        <w:ind w:left="1"/>
        <w:spacing w:after="0" w:line="284" w:lineRule="auto"/>
        <w:rPr>
          <w:sz w:val="20"/>
          <w:szCs w:val="20"/>
          <w:color w:val="auto"/>
        </w:rPr>
      </w:pPr>
      <w:r>
        <w:rPr>
          <w:rFonts w:ascii="Arial" w:cs="Arial" w:eastAsia="Arial" w:hAnsi="Arial"/>
          <w:sz w:val="15"/>
          <w:szCs w:val="15"/>
          <w:color w:val="auto"/>
        </w:rPr>
        <w:t>The Company has a deep pipeline of potential blockbuster immunotherapies under development. Two of the clinical programs are completing Phase I studies and are expected to advance to Phase II in 2015. These are major inflection and valuation events, and we believe that, in light of these assets, the company is significantly undervalued. Over the past year a number of highly visible transactions and billion dollar acquisitions have taken place that validate the work we are doing. We believe that, if our treatment successfully reaches commercialization, our treatment is applicable to 50% of the HER2/neu Breast Cancer market, which is a $21 billion annual market. We further believe that if our Ovarian Cancer treatment reaches commercialization, it will be applicable to 95% of the market which Decision Resources, one of the world’s leading research firms for pharmaceuticals and healthcare, believes will triple in the next 10 years to at least $1.5 billion.</w:t>
      </w:r>
    </w:p>
    <w:p>
      <w:pPr>
        <w:spacing w:after="0" w:line="180" w:lineRule="exact"/>
        <w:rPr>
          <w:sz w:val="20"/>
          <w:szCs w:val="20"/>
          <w:color w:val="auto"/>
        </w:rPr>
      </w:pPr>
    </w:p>
    <w:p>
      <w:pPr>
        <w:jc w:val="both"/>
        <w:ind w:left="1"/>
        <w:spacing w:after="0" w:line="307" w:lineRule="auto"/>
        <w:rPr>
          <w:sz w:val="20"/>
          <w:szCs w:val="20"/>
          <w:color w:val="auto"/>
        </w:rPr>
      </w:pPr>
      <w:r>
        <w:rPr>
          <w:rFonts w:ascii="Arial" w:cs="Arial" w:eastAsia="Arial" w:hAnsi="Arial"/>
          <w:sz w:val="14"/>
          <w:szCs w:val="14"/>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 Our technologies are also widely applicable to the treatment of emerging viral threats and pandemics. In particular, our highly versatile PolyStart™ technology has application in these areas. As we have established our focus in oncology we will continue to seek new collaborations and non-dilutive funding in the infectious disease area. With respect to validation of our technologies, it is important to note that the majority of our technologies have been published in leading peer-reviewed journals. The timing of such publications is consistent with the filing of patents.</w:t>
      </w:r>
    </w:p>
    <w:p>
      <w:pPr>
        <w:spacing w:after="0" w:line="169"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A list of publications on our TAP technology can be found on our website (www.tapimmune.com). Publication of our data on PolyStart will occur after current patent filings have been completed.</w:t>
      </w:r>
    </w:p>
    <w:p>
      <w:pPr>
        <w:spacing w:after="0" w:line="174"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 TapImmune is working with Seed IP in Seattle, to effect such a strategy. In addition, we are fortunate that Dr. Robert Florkiewicz at TapImmune is a registered patent agent with an extensive background in this field.</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6"/>
          <w:szCs w:val="16"/>
          <w:color w:val="auto"/>
        </w:rPr>
        <w:t>TapImmune has four patent estates, details of which can be found on our website:</w:t>
      </w:r>
    </w:p>
    <w:p>
      <w:pPr>
        <w:spacing w:after="0" w:line="235" w:lineRule="exact"/>
        <w:rPr>
          <w:sz w:val="20"/>
          <w:szCs w:val="20"/>
          <w:color w:val="auto"/>
        </w:rPr>
      </w:pPr>
    </w:p>
    <w:p>
      <w:pPr>
        <w:ind w:left="161" w:hanging="161"/>
        <w:spacing w:after="0"/>
        <w:tabs>
          <w:tab w:leader="none" w:pos="161" w:val="left"/>
        </w:tabs>
        <w:numPr>
          <w:ilvl w:val="0"/>
          <w:numId w:val="4"/>
        </w:numPr>
        <w:rPr>
          <w:rFonts w:ascii="Arial" w:cs="Arial" w:eastAsia="Arial" w:hAnsi="Arial"/>
          <w:sz w:val="16"/>
          <w:szCs w:val="16"/>
          <w:color w:val="auto"/>
        </w:rPr>
      </w:pPr>
      <w:r>
        <w:rPr>
          <w:rFonts w:ascii="Arial" w:cs="Arial" w:eastAsia="Arial" w:hAnsi="Arial"/>
          <w:sz w:val="16"/>
          <w:szCs w:val="16"/>
          <w:color w:val="auto"/>
        </w:rPr>
        <w:t>Issued and filed patents on TAP for treatment of cancer and infectious disease (owned by TapImmune)</w:t>
      </w:r>
    </w:p>
    <w:p>
      <w:pPr>
        <w:spacing w:after="0" w:line="234" w:lineRule="exact"/>
        <w:rPr>
          <w:rFonts w:ascii="Arial" w:cs="Arial" w:eastAsia="Arial" w:hAnsi="Arial"/>
          <w:sz w:val="16"/>
          <w:szCs w:val="16"/>
          <w:color w:val="auto"/>
        </w:rPr>
      </w:pPr>
    </w:p>
    <w:p>
      <w:pPr>
        <w:ind w:left="161" w:hanging="161"/>
        <w:spacing w:after="0"/>
        <w:tabs>
          <w:tab w:leader="none" w:pos="161"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Filed patents on PolyStart™ expression vector (owned by TapImmune and filed in 2014)</w:t>
      </w:r>
    </w:p>
    <w:p>
      <w:pPr>
        <w:spacing w:after="0" w:line="234" w:lineRule="exact"/>
        <w:rPr>
          <w:rFonts w:ascii="Arial" w:cs="Arial" w:eastAsia="Arial" w:hAnsi="Arial"/>
          <w:sz w:val="16"/>
          <w:szCs w:val="16"/>
          <w:color w:val="auto"/>
        </w:rPr>
      </w:pPr>
    </w:p>
    <w:p>
      <w:pPr>
        <w:ind w:left="161" w:hanging="161"/>
        <w:spacing w:after="0"/>
        <w:tabs>
          <w:tab w:leader="none" w:pos="161"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Filed patents on HER2/neu Class II and Class I antigens: exclusive license from Mayo Clinic</w:t>
      </w:r>
    </w:p>
    <w:p>
      <w:pPr>
        <w:spacing w:after="0" w:line="234" w:lineRule="exact"/>
        <w:rPr>
          <w:rFonts w:ascii="Arial" w:cs="Arial" w:eastAsia="Arial" w:hAnsi="Arial"/>
          <w:sz w:val="16"/>
          <w:szCs w:val="16"/>
          <w:color w:val="auto"/>
        </w:rPr>
      </w:pPr>
    </w:p>
    <w:p>
      <w:pPr>
        <w:ind w:left="161" w:hanging="161"/>
        <w:spacing w:after="0"/>
        <w:tabs>
          <w:tab w:leader="none" w:pos="161"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Filed patents on Folate Receptor Alpha antigens exclusive license option from Mayo Clinic</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14"/>
          <w:szCs w:val="14"/>
          <w:color w:val="auto"/>
        </w:rPr>
        <w:t>While the pathway to successful product development takes time, we believe we have put in place significant resources in technical and corporate fundamentals for success.</w:t>
      </w:r>
    </w:p>
    <w:p>
      <w:pPr>
        <w:spacing w:after="0" w:line="47"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strength of our product pipeline and access to leading scientists and institutions gives us a unique opportunity to make a major contribution to global health care.</w:t>
      </w:r>
    </w:p>
    <w:p>
      <w:pPr>
        <w:spacing w:after="0" w:line="235" w:lineRule="exact"/>
        <w:rPr>
          <w:sz w:val="20"/>
          <w:szCs w:val="20"/>
          <w:color w:val="auto"/>
        </w:rPr>
      </w:pPr>
    </w:p>
    <w:p>
      <w:pPr>
        <w:jc w:val="both"/>
        <w:ind w:left="1"/>
        <w:spacing w:after="0" w:line="272" w:lineRule="auto"/>
        <w:rPr>
          <w:sz w:val="20"/>
          <w:szCs w:val="20"/>
          <w:color w:val="auto"/>
        </w:rPr>
      </w:pPr>
      <w:r>
        <w:rPr>
          <w:rFonts w:ascii="Arial" w:cs="Arial" w:eastAsia="Arial" w:hAnsi="Arial"/>
          <w:sz w:val="16"/>
          <w:szCs w:val="16"/>
          <w:color w:val="auto"/>
        </w:rPr>
        <w:t>A number of early stage billion dollar pharma acquisitions and recent IPOs have highlighted the growing interest in investment in immunotherapy space. Looking at our current valuation and those of our peers and considering our pipeline of clinical programs with very near-term advancements and the value inflections those represent, we believe this is an excellent opportunity and presents exceptional entry point for those that have not yet become a shareholder.</w:t>
      </w:r>
    </w:p>
    <w:p>
      <w:pPr>
        <w:spacing w:after="0" w:line="187"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706" w:right="239" w:bottom="1440" w:gutter="0" w:footer="0" w:header="0"/>
        </w:sectPr>
      </w:pPr>
    </w:p>
    <w:bookmarkStart w:id="16" w:name="page17"/>
    <w:bookmarkEnd w:id="16"/>
    <w:p>
      <w:pPr>
        <w:jc w:val="both"/>
        <w:spacing w:after="0" w:line="265"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191"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 Ended December 31, 2014 Compared to the Year Ended December 31, 2013</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In this discussion of the Company’s results of operations and financial condition, amounts, other than per-share amounts, have been rounded to the nearest thousand dollars.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We recorded a net loss of $30,883,000 during the year ended December 31, 2014 compared to $5,533,000 for the year ended December 31, 2013.</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Expenses</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Operating expenses incurred during the fiscal year ended December 31, 2014 were $3,425,000 compared to $2,664,000 in the prior year. Significant changes and expenditures are outlined as follows:</w:t>
      </w:r>
    </w:p>
    <w:p>
      <w:pPr>
        <w:spacing w:after="0" w:line="174" w:lineRule="exact"/>
        <w:rPr>
          <w:sz w:val="20"/>
          <w:szCs w:val="20"/>
          <w:color w:val="auto"/>
        </w:rPr>
      </w:pPr>
    </w:p>
    <w:p>
      <w:pPr>
        <w:jc w:val="both"/>
        <w:ind w:left="580" w:hanging="286"/>
        <w:spacing w:after="0" w:line="290"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General and administrative expenses increased to $3,182,000 during the year ended December 31, 2014 from $1,967,000 during the prior period. The increase was primarily due to higher non-cash consulting fees paid as stock-based compensation of $1,391,000 during the year ended December 31, 2014 from $85,000 during the prior period offset by professional fees which were $474,000 in the year ended December 31, 2014 compared to $845,000 in the prior year. The decrease in professional fee from the prior year was due to lower legal fees incurred relating to debt issuance and settlements in the current year.</w:t>
      </w:r>
    </w:p>
    <w:p>
      <w:pPr>
        <w:spacing w:after="0" w:line="176" w:lineRule="exact"/>
        <w:rPr>
          <w:rFonts w:ascii="Arial" w:cs="Arial" w:eastAsia="Arial" w:hAnsi="Arial"/>
          <w:sz w:val="15"/>
          <w:szCs w:val="15"/>
          <w:color w:val="auto"/>
        </w:rPr>
      </w:pPr>
    </w:p>
    <w:p>
      <w:pPr>
        <w:ind w:left="580" w:hanging="286"/>
        <w:spacing w:after="0" w:line="288"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Research and development costs during the fiscal year ended December 31, 2014 were $189,000 compared to $698,000 during the prior fiscal year. This was due to lower technology licensing fee accrued for payment due to Mayo clinic and decreased in house research activity in the current year.</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net loss for the year ended December 31, 2014 was $30,883,000 or ($2.00) per share, compared to a net loss of $5,533,000 or ($4.87) per share in the prior year. The weighted average number of shares outstanding was 15,465,213 for the year ended December 31, 2014 compared to 1,136,115 for the prior year.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cash and working capital as of December 31, 2014 and 2013: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r>
      <w:tr>
        <w:trPr>
          <w:trHeight w:val="218"/>
        </w:trPr>
        <w:tc>
          <w:tcPr>
            <w:tcW w:w="8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r>
      <w:tr>
        <w:trPr>
          <w:trHeight w:val="382"/>
        </w:trPr>
        <w:tc>
          <w:tcPr>
            <w:tcW w:w="8700" w:type="dxa"/>
            <w:vAlign w:val="bottom"/>
          </w:tcPr>
          <w:p>
            <w:pPr>
              <w:ind w:left="140"/>
              <w:spacing w:after="0"/>
              <w:rPr>
                <w:sz w:val="20"/>
                <w:szCs w:val="20"/>
                <w:color w:val="auto"/>
              </w:rPr>
            </w:pPr>
            <w:r>
              <w:rPr>
                <w:rFonts w:ascii="Arial" w:cs="Arial" w:eastAsia="Arial" w:hAnsi="Arial"/>
                <w:sz w:val="16"/>
                <w:szCs w:val="16"/>
                <w:color w:val="auto"/>
              </w:rPr>
              <w:t>Cash reserves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142,000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49,000</w:t>
            </w:r>
          </w:p>
        </w:tc>
      </w:tr>
      <w:tr>
        <w:trPr>
          <w:trHeight w:val="209"/>
        </w:trPr>
        <w:tc>
          <w:tcPr>
            <w:tcW w:w="8700" w:type="dxa"/>
            <w:vAlign w:val="bottom"/>
          </w:tcPr>
          <w:p>
            <w:pPr>
              <w:ind w:left="140"/>
              <w:spacing w:after="0"/>
              <w:rPr>
                <w:sz w:val="20"/>
                <w:szCs w:val="20"/>
                <w:color w:val="auto"/>
              </w:rPr>
            </w:pPr>
            <w:r>
              <w:rPr>
                <w:rFonts w:ascii="Arial" w:cs="Arial" w:eastAsia="Arial" w:hAnsi="Arial"/>
                <w:sz w:val="16"/>
                <w:szCs w:val="16"/>
                <w:color w:val="auto"/>
              </w:rPr>
              <w:t>Working capital (deficit)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(1,024,000)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(8,768,000)</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Subject to the availability of additional financing, we intend to spend approximately $7,500,000 over the next twelve months in carrying out our plan of operations. At December 31, 2014, we had $142,000 of cash on hand and a working capital deficit of $1,024,000. As such, our working capital at December 31, 2014 will not be sufficient to enable us to pay our general and administrative expenses, and to pursue our plan of operations over the next twelve months.</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an effort to address this deficiency, management undertook the Reverse Stock Split with three goals in mind: (i) reduce the Company’s debt by creating a capital structure that would be attractive enough to the then debt-holders of the company to entice them to convert into shares of the company; (ii) position the company so that upon a successful capital raise it could up-list on a NASDAQ market; (iii) create a capital structure, by increasing the authorized number of shares, which would allow the company to make acquisitions or raise additional capital or both.</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7" w:name="page18"/>
    <w:bookmarkEnd w:id="17"/>
    <w:p>
      <w:pPr>
        <w:jc w:val="both"/>
        <w:spacing w:after="0" w:line="288" w:lineRule="auto"/>
        <w:rPr>
          <w:sz w:val="20"/>
          <w:szCs w:val="20"/>
          <w:color w:val="auto"/>
        </w:rPr>
      </w:pPr>
      <w:r>
        <w:rPr>
          <w:rFonts w:ascii="Arial" w:cs="Arial" w:eastAsia="Arial" w:hAnsi="Arial"/>
          <w:sz w:val="16"/>
          <w:szCs w:val="16"/>
          <w:color w:val="auto"/>
        </w:rPr>
        <w:t>After the 2014 Reverse Stock Split and debt settlement conversions, there were approximately 20,319,000 shares outstanding, providing us with 479,681,000 authorized but unissued shares of common stock to proceed with a capital raise through the sale of common stock.</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market and investment community have supported and applauded the restructuring effort undertaken. With the support of the creditors and their agreement to convert debt to new equity we have a significantly stronger balance sheet to present to the investor community and we expect to attract the financial backing of some of the most respected names in life science to aid us in executing our product development plans and to provide fuel for our growth. For 2014, we have ambitious plans to advance and deepen our pipeline as we expand operations, explore strategic business development opportunities and up-list to a NASDAQ Market if we meet the necessary criteria. If we are not able to obtain financing in the amounts required or on terms that are acceptable to us, we may be forced to scale back or abandon certain elements of our plan of operations.</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Various conditions outside of our control may detract from our ability to raise the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Going Concern</w:t>
      </w:r>
    </w:p>
    <w:p>
      <w:pPr>
        <w:spacing w:after="0" w:line="235"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We have no sources of revenue to provide incoming cash flows to sustain our future operations. As outlined above, our ability to pursue our planned business activities is dependent upon our successful efforts to raise additional equity financing.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As at December 31, 2014, we had accumulated losses of $86,310,000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Operating Activities</w:t>
      </w:r>
    </w:p>
    <w:p>
      <w:pPr>
        <w:spacing w:after="0" w:line="235"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Operating activities in the year ended December 31, 2014 used cash of $2,187,000 compared to $695,000 in the year ended December 31, 2013. Operating activities have primarily used cash as a result of the operating and organizational activities such as consulting fees, management fees, professional fees and research and development.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Provided by Financing Activities</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have had no revenues since inception, we have financed our operations primarily through private placements of our stock and debt. Financing activities in the year ended December 31, 2014 provided cash of $2,281,000 compared to $709,000 in the year ended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Use of Estimates</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and accrued liabilities. Matters impacting the Company’s ability to continue as a going concern and contingencies also involve the use of estimates and assumptions.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7" w:lineRule="exact"/>
        <w:rPr>
          <w:sz w:val="20"/>
          <w:szCs w:val="20"/>
          <w:color w:val="auto"/>
        </w:rPr>
      </w:pPr>
    </w:p>
    <w:p>
      <w:pPr>
        <w:ind w:left="1000" w:hanging="188"/>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1-Quoted prices (unadjusted) in active markets for identical assets and liabilities.</w:t>
      </w:r>
    </w:p>
    <w:p>
      <w:pPr>
        <w:spacing w:after="0" w:line="210" w:lineRule="exact"/>
        <w:rPr>
          <w:rFonts w:ascii="Arial" w:cs="Arial" w:eastAsia="Arial" w:hAnsi="Arial"/>
          <w:sz w:val="16"/>
          <w:szCs w:val="16"/>
          <w:color w:val="auto"/>
        </w:rPr>
      </w:pPr>
    </w:p>
    <w:p>
      <w:pPr>
        <w:jc w:val="both"/>
        <w:ind w:left="820" w:hanging="8"/>
        <w:spacing w:after="0" w:line="272" w:lineRule="auto"/>
        <w:tabs>
          <w:tab w:leader="none" w:pos="1001"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62" w:lineRule="exact"/>
        <w:rPr>
          <w:rFonts w:ascii="Arial" w:cs="Arial" w:eastAsia="Arial" w:hAnsi="Arial"/>
          <w:sz w:val="16"/>
          <w:szCs w:val="16"/>
          <w:color w:val="auto"/>
        </w:rPr>
      </w:pPr>
    </w:p>
    <w:p>
      <w:pPr>
        <w:ind w:left="1000" w:hanging="188"/>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The expected term of options represents the period that the Company’s stock-based awards are expected to be outstanding based on the simplified method,</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the half-life from vesting to the end of its contractual term.</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computes stock price volatility over expected terms based on its historical common stock trading prices.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 The Company bases the risk-free interest rate on the implied yield available on U.S. Treasury zero-coupon issues with an equivalent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term.</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 The Company has never declared or paid any cash dividends on its common shares and does not plan to pay cash dividends in the foreseeable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Liability</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Company evaluates its convertible debt, options, warrants or other contracts to determine if those contracts or embedded components of those contracts qualify as derivatives to be separately accounted for in accordance with ASC 810-10-05-4 and 815-40.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9" w:name="page20"/>
    <w:bookmarkEnd w:id="19"/>
    <w:p>
      <w:pPr>
        <w:jc w:val="both"/>
        <w:spacing w:after="0" w:line="324" w:lineRule="auto"/>
        <w:rPr>
          <w:sz w:val="20"/>
          <w:szCs w:val="20"/>
          <w:color w:val="auto"/>
        </w:rPr>
      </w:pPr>
      <w:r>
        <w:rPr>
          <w:rFonts w:ascii="Arial" w:cs="Arial" w:eastAsia="Arial" w:hAnsi="Arial"/>
          <w:sz w:val="15"/>
          <w:szCs w:val="15"/>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instruments.</w:t>
      </w:r>
    </w:p>
    <w:p>
      <w:pPr>
        <w:spacing w:after="0" w:line="15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evaluating the application of ASC 815-40, management must determine whether an instrument (or an embedded feature) is indexed to the Company’s own stock. ASC 815-40-15 provides that an entity should use a two-step approach to evaluate whether an equity-linked financial instrument (or embedded feature) is indexed to its own stock, including evaluating the instrument’s contingent exercise and settlement provisions. The application of ASC 815-40-15 has affected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 xml:space="preserve">The Company has evaluated the application ASC 480-10 </w:t>
      </w:r>
      <w:r>
        <w:rPr>
          <w:rFonts w:ascii="Arial" w:cs="Arial" w:eastAsia="Arial" w:hAnsi="Arial"/>
          <w:sz w:val="15"/>
          <w:szCs w:val="15"/>
          <w:i w:val="1"/>
          <w:iCs w:val="1"/>
          <w:color w:val="auto"/>
        </w:rPr>
        <w:t>Distinguishing liabilities from equity</w:t>
      </w:r>
      <w:r>
        <w:rPr>
          <w:rFonts w:ascii="Arial" w:cs="Arial" w:eastAsia="Arial" w:hAnsi="Arial"/>
          <w:sz w:val="15"/>
          <w:szCs w:val="15"/>
          <w:color w:val="auto"/>
        </w:rPr>
        <w:t xml:space="preserve">, ASC 815-40 </w:t>
      </w:r>
      <w:r>
        <w:rPr>
          <w:rFonts w:ascii="Arial" w:cs="Arial" w:eastAsia="Arial" w:hAnsi="Arial"/>
          <w:sz w:val="15"/>
          <w:szCs w:val="15"/>
          <w:i w:val="1"/>
          <w:iCs w:val="1"/>
          <w:color w:val="auto"/>
        </w:rPr>
        <w:t>Contracts in an Entity’s Own Equity</w:t>
      </w:r>
      <w:r>
        <w:rPr>
          <w:rFonts w:ascii="Arial" w:cs="Arial" w:eastAsia="Arial" w:hAnsi="Arial"/>
          <w:sz w:val="15"/>
          <w:szCs w:val="15"/>
          <w:color w:val="auto"/>
        </w:rPr>
        <w:t xml:space="preserve"> and ASC 718-10 </w:t>
      </w:r>
      <w:r>
        <w:rPr>
          <w:rFonts w:ascii="Arial" w:cs="Arial" w:eastAsia="Arial" w:hAnsi="Arial"/>
          <w:sz w:val="15"/>
          <w:szCs w:val="15"/>
          <w:i w:val="1"/>
          <w:iCs w:val="1"/>
          <w:color w:val="auto"/>
        </w:rPr>
        <w:t xml:space="preserve">Compensation – Stock Compensation </w:t>
      </w:r>
      <w:r>
        <w:rPr>
          <w:rFonts w:ascii="Arial" w:cs="Arial" w:eastAsia="Arial" w:hAnsi="Arial"/>
          <w:sz w:val="15"/>
          <w:szCs w:val="15"/>
          <w:color w:val="auto"/>
        </w:rPr>
        <w:t>to the issued and outstanding warrants to purchase common stock that were issued with the convertible notes, private placements,</w:t>
      </w:r>
      <w:r>
        <w:rPr>
          <w:rFonts w:ascii="Arial" w:cs="Arial" w:eastAsia="Arial" w:hAnsi="Arial"/>
          <w:sz w:val="15"/>
          <w:szCs w:val="15"/>
          <w:i w:val="1"/>
          <w:iCs w:val="1"/>
          <w:color w:val="auto"/>
        </w:rPr>
        <w:t xml:space="preserve"> </w:t>
      </w:r>
      <w:r>
        <w:rPr>
          <w:rFonts w:ascii="Arial" w:cs="Arial" w:eastAsia="Arial" w:hAnsi="Arial"/>
          <w:sz w:val="15"/>
          <w:szCs w:val="15"/>
          <w:color w:val="auto"/>
        </w:rPr>
        <w:t>consulting agreements, and various debt 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20" w:name="page21"/>
    <w:bookmarkEnd w:id="20"/>
    <w:p>
      <w:pPr>
        <w:spacing w:after="0"/>
        <w:tabs>
          <w:tab w:leader="none" w:pos="780" w:val="left"/>
        </w:tabs>
        <w:rPr>
          <w:sz w:val="20"/>
          <w:szCs w:val="20"/>
          <w:color w:val="auto"/>
        </w:rPr>
      </w:pPr>
      <w:r>
        <w:rPr>
          <w:rFonts w:ascii="Arial" w:cs="Arial" w:eastAsia="Arial" w:hAnsi="Arial"/>
          <w:sz w:val="16"/>
          <w:szCs w:val="16"/>
          <w:b w:val="1"/>
          <w:bCs w:val="1"/>
          <w:color w:val="auto"/>
        </w:rPr>
        <w:t>ITEM 8.</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TAPIMMUNE INC.</w:t>
      </w: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FINANCIAL STATEMENTS</w:t>
      </w:r>
    </w:p>
    <w:p>
      <w:pPr>
        <w:spacing w:after="0" w:line="235"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Reports of Independent Registered Public Accounting Firms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Stockholders’ Equity (Deficit)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924"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u w:val="single" w:color="auto"/>
          <w:color w:val="auto"/>
        </w:rPr>
        <w:t>REPORT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To the Audit Committee of the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of TapImmune, Inc.</w:t>
      </w:r>
    </w:p>
    <w:p>
      <w:pPr>
        <w:spacing w:after="0" w:line="200" w:lineRule="exact"/>
        <w:rPr>
          <w:sz w:val="20"/>
          <w:szCs w:val="20"/>
          <w:color w:val="auto"/>
        </w:rPr>
      </w:pPr>
    </w:p>
    <w:p>
      <w:pPr>
        <w:spacing w:after="0" w:line="24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have audited the accompanying consolidated balance sheet of TapImmune, Inc. (the “Company”) as of December 31, 2014, and the related consolidated statements of operations and comprehensive loss, changes in stockholders’ equity (deficit) and cash flows for the year then ended. These consolidated financial statements are the responsibility of the Company’s management. Our responsibility is to express an opinion on these consolidated financial statements based on our audit.</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TapImmune, Inc., as of December 31, 2014, and the results of its operations and its cash flows for the year then ended in conformity with accounting principles generally accepted in the United States of America.</w:t>
      </w:r>
    </w:p>
    <w:p>
      <w:pPr>
        <w:spacing w:after="0" w:line="200" w:lineRule="exact"/>
        <w:rPr>
          <w:sz w:val="20"/>
          <w:szCs w:val="20"/>
          <w:color w:val="auto"/>
        </w:rPr>
      </w:pPr>
    </w:p>
    <w:p>
      <w:pPr>
        <w:spacing w:after="0" w:line="20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2 to the consolidated financial statements, the Company has suffered historical losses from operations and has negative working capital. These matters raise substantial doubt about the Company’s ability to continue as a going concern. Management’s plans concerning these matters are also discussed in Note 2 to the consolidated financial statements. The accompanying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 Marcum </w:t>
      </w:r>
      <w:r>
        <w:rPr>
          <w:rFonts w:ascii="Arial" w:cs="Arial" w:eastAsia="Arial" w:hAnsi="Arial"/>
          <w:sz w:val="11"/>
          <w:szCs w:val="11"/>
          <w:color w:val="auto"/>
        </w:rPr>
        <w:t>LLP</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New York, NY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April 15, 2015</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315595</wp:posOffset>
            </wp:positionV>
            <wp:extent cx="7315835" cy="1650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315835" cy="165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 of TapImmune Inc:</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have audited the accompanying consolidated balance sheet of TapImmune Inc. (the “Company”) as of December 31, 2013 and the related consolidated statement of operations and comprehensive loss, stockholders’ deficit and cash flows for the year then ended. These financial statements are the responsibility of the Company’s management. Our responsibility is to express an opinion on these financial statements based on our audit.</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3"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In our opinion, these consolidated financial statements present fairly, in all material respects, the financial position of the Company as at December 31, 2013 and the results of its operations and its cash flows for the years then ended, in conformity with accounting principles generally accepted in the United States of America.</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financial statements, the Company has an accumulated deficit of $55,426,635and reported a loss of $5,532,552 for the year ended December 31, 2013 raising substantial doubt about the Company’s ability to continue as a going concern. The Company requires additional funds to meet its obligations and the costs of its operations. These factors raise substantial doubt about the Company’s ability to continue as a going concern. Management’s plans in this regard are described in Note 1. The financial statements do not include any adjustments that might result from the outcome of this uncertainty.</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“DMCL”</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DALE MATHESON CARR-HILTON LABONTE LLP</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CHARTERED ACCOUNTANTS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Vancouver, Canada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April 14, 2014</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color w:val="auto"/>
        </w:rPr>
        <w:t>TAPIMMUNE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2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91"/>
              </w:rPr>
              <w:t>December 31,</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2014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5020" w:type="dxa"/>
            <w:vAlign w:val="bottom"/>
            <w:vMerge w:val="restart"/>
          </w:tcPr>
          <w:p>
            <w:pPr>
              <w:spacing w:after="0"/>
              <w:rPr>
                <w:sz w:val="20"/>
                <w:szCs w:val="20"/>
                <w:color w:val="auto"/>
              </w:rPr>
            </w:pPr>
            <w:r>
              <w:rPr>
                <w:rFonts w:ascii="Arial" w:cs="Arial" w:eastAsia="Arial" w:hAnsi="Arial"/>
                <w:sz w:val="16"/>
                <w:szCs w:val="16"/>
                <w:b w:val="1"/>
                <w:bCs w:val="1"/>
                <w:color w:val="auto"/>
              </w:rPr>
              <w:t>Current Assets</w:t>
            </w:r>
          </w:p>
        </w:tc>
        <w:tc>
          <w:tcPr>
            <w:tcW w:w="3900" w:type="dxa"/>
            <w:vAlign w:val="bottom"/>
            <w:gridSpan w:val="3"/>
          </w:tcPr>
          <w:p>
            <w:pPr>
              <w:jc w:val="right"/>
              <w:ind w:right="2960"/>
              <w:spacing w:after="0"/>
              <w:rPr>
                <w:sz w:val="20"/>
                <w:szCs w:val="20"/>
                <w:color w:val="auto"/>
              </w:rPr>
            </w:pPr>
            <w:r>
              <w:rPr>
                <w:rFonts w:ascii="Arial" w:cs="Arial" w:eastAsia="Arial" w:hAnsi="Arial"/>
                <w:sz w:val="16"/>
                <w:szCs w:val="16"/>
                <w:b w:val="1"/>
                <w:bCs w:val="1"/>
                <w:color w:val="auto"/>
              </w:rPr>
              <w:t>ASSETS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Cash</w:t>
            </w:r>
          </w:p>
        </w:tc>
        <w:tc>
          <w:tcPr>
            <w:tcW w:w="3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141,944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48,589</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Prepaid expenses and deposits</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82,504</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15,004</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Deferred financing costs</w:t>
            </w:r>
          </w:p>
        </w:tc>
        <w:tc>
          <w:tcPr>
            <w:tcW w:w="3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5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224,448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77,032</w:t>
            </w:r>
          </w:p>
        </w:tc>
        <w:tc>
          <w:tcPr>
            <w:tcW w:w="0" w:type="dxa"/>
            <w:vAlign w:val="bottom"/>
          </w:tcPr>
          <w:p>
            <w:pPr>
              <w:spacing w:after="0"/>
              <w:rPr>
                <w:sz w:val="1"/>
                <w:szCs w:val="1"/>
                <w:color w:val="auto"/>
              </w:rPr>
            </w:pPr>
          </w:p>
        </w:tc>
      </w:tr>
      <w:tr>
        <w:trPr>
          <w:trHeight w:val="20"/>
        </w:trPr>
        <w:tc>
          <w:tcPr>
            <w:tcW w:w="8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8920" w:type="dxa"/>
            <w:vAlign w:val="bottom"/>
            <w:gridSpan w:val="4"/>
          </w:tcPr>
          <w:p>
            <w:pPr>
              <w:ind w:left="3460"/>
              <w:spacing w:after="0"/>
              <w:rPr>
                <w:sz w:val="20"/>
                <w:szCs w:val="20"/>
                <w:color w:val="auto"/>
              </w:rPr>
            </w:pPr>
            <w:r>
              <w:rPr>
                <w:rFonts w:ascii="Arial" w:cs="Arial" w:eastAsia="Arial" w:hAnsi="Arial"/>
                <w:sz w:val="16"/>
                <w:szCs w:val="16"/>
                <w:b w:val="1"/>
                <w:bCs w:val="1"/>
                <w:color w:val="auto"/>
              </w:rPr>
              <w:t>LIABILITIES AND STOCKHOLDERS’ EQUITY (DEFICIT)</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0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Accounts payable and accrued liabilities</w:t>
            </w:r>
          </w:p>
        </w:tc>
        <w:tc>
          <w:tcPr>
            <w:tcW w:w="3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693,362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3,778,401</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Research agreement obligations</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492,365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492,365</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Derivative liability – conversion option</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582,300</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Derivative liability – warrants</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9,415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140,504</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Convertible notes payable</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3,161,977</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Loans payable, related party (2013 - $5,200)</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42,200</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Arial" w:cs="Arial" w:eastAsia="Arial" w:hAnsi="Arial"/>
                <w:sz w:val="16"/>
                <w:szCs w:val="16"/>
                <w:color w:val="auto"/>
              </w:rPr>
              <w:t>Promissory notes, related party</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52,942</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277,942</w:t>
            </w:r>
          </w:p>
        </w:tc>
        <w:tc>
          <w:tcPr>
            <w:tcW w:w="0" w:type="dxa"/>
            <w:vAlign w:val="bottom"/>
          </w:tcPr>
          <w:p>
            <w:pPr>
              <w:spacing w:after="0"/>
              <w:rPr>
                <w:sz w:val="1"/>
                <w:szCs w:val="1"/>
                <w:color w:val="auto"/>
              </w:rPr>
            </w:pPr>
          </w:p>
        </w:tc>
      </w:tr>
      <w:tr>
        <w:trPr>
          <w:trHeight w:val="214"/>
        </w:trPr>
        <w:tc>
          <w:tcPr>
            <w:tcW w:w="5020" w:type="dxa"/>
            <w:vAlign w:val="bottom"/>
          </w:tcPr>
          <w:p>
            <w:pPr>
              <w:ind w:left="80"/>
              <w:spacing w:after="0"/>
              <w:rPr>
                <w:sz w:val="20"/>
                <w:szCs w:val="20"/>
                <w:color w:val="auto"/>
              </w:rPr>
            </w:pPr>
            <w:r>
              <w:rPr>
                <w:rFonts w:ascii="Arial" w:cs="Arial" w:eastAsia="Arial" w:hAnsi="Arial"/>
                <w:sz w:val="16"/>
                <w:szCs w:val="16"/>
                <w:color w:val="auto"/>
              </w:rPr>
              <w:t>Due to related parties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369,346</w:t>
            </w:r>
          </w:p>
        </w:tc>
        <w:tc>
          <w:tcPr>
            <w:tcW w:w="0" w:type="dxa"/>
            <w:vAlign w:val="bottom"/>
          </w:tcPr>
          <w:p>
            <w:pPr>
              <w:spacing w:after="0"/>
              <w:rPr>
                <w:sz w:val="1"/>
                <w:szCs w:val="1"/>
                <w:color w:val="auto"/>
              </w:rPr>
            </w:pPr>
          </w:p>
        </w:tc>
      </w:tr>
      <w:tr>
        <w:trPr>
          <w:trHeight w:val="202"/>
        </w:trPr>
        <w:tc>
          <w:tcPr>
            <w:tcW w:w="5020" w:type="dxa"/>
            <w:vAlign w:val="bottom"/>
            <w:tcBorders>
              <w:top w:val="single" w:sz="8" w:color="auto"/>
              <w:bottom w:val="single" w:sz="8" w:color="auto"/>
            </w:tcBorders>
          </w:tcPr>
          <w:p>
            <w:pPr>
              <w:spacing w:after="0"/>
              <w:rPr>
                <w:sz w:val="17"/>
                <w:szCs w:val="17"/>
                <w:color w:val="auto"/>
              </w:rPr>
            </w:pPr>
          </w:p>
        </w:tc>
        <w:tc>
          <w:tcPr>
            <w:tcW w:w="36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1,248,084</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8,845,035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502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020" w:type="dxa"/>
            <w:vAlign w:val="bottom"/>
          </w:tcPr>
          <w:p>
            <w:pPr>
              <w:spacing w:after="0"/>
              <w:rPr>
                <w:sz w:val="20"/>
                <w:szCs w:val="20"/>
                <w:color w:val="auto"/>
              </w:rPr>
            </w:pPr>
            <w:r>
              <w:rPr>
                <w:rFonts w:ascii="Arial" w:cs="Arial" w:eastAsia="Arial" w:hAnsi="Arial"/>
                <w:sz w:val="16"/>
                <w:szCs w:val="16"/>
                <w:b w:val="1"/>
                <w:bCs w:val="1"/>
                <w:color w:val="auto"/>
              </w:rPr>
              <w:t>Stockholders’ Equity (Deficit)</w:t>
            </w: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920" w:type="dxa"/>
            <w:vAlign w:val="bottom"/>
            <w:gridSpan w:val="4"/>
          </w:tcPr>
          <w:p>
            <w:pPr>
              <w:spacing w:after="0"/>
              <w:rPr>
                <w:sz w:val="20"/>
                <w:szCs w:val="20"/>
                <w:color w:val="auto"/>
              </w:rPr>
            </w:pPr>
            <w:r>
              <w:rPr>
                <w:rFonts w:ascii="Arial" w:cs="Arial" w:eastAsia="Arial" w:hAnsi="Arial"/>
                <w:sz w:val="16"/>
                <w:szCs w:val="16"/>
                <w:color w:val="auto"/>
              </w:rPr>
              <w:t>Convertible preferred stock, $0.001 par value — 5,000,000 shares authorized:</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920" w:type="dxa"/>
            <w:vAlign w:val="bottom"/>
            <w:gridSpan w:val="4"/>
          </w:tcPr>
          <w:p>
            <w:pPr>
              <w:ind w:left="140"/>
              <w:spacing w:after="0"/>
              <w:rPr>
                <w:sz w:val="20"/>
                <w:szCs w:val="20"/>
                <w:color w:val="auto"/>
              </w:rPr>
            </w:pPr>
            <w:r>
              <w:rPr>
                <w:rFonts w:ascii="Arial" w:cs="Arial" w:eastAsia="Arial" w:hAnsi="Arial"/>
                <w:sz w:val="16"/>
                <w:szCs w:val="16"/>
                <w:color w:val="auto"/>
              </w:rPr>
              <w:t>Series A, $0.001 par value, 1,250,000 shares designated, -0- shares issued and outstanding as of December 31, 2014 and</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Arial" w:cs="Arial" w:eastAsia="Arial" w:hAnsi="Arial"/>
                <w:sz w:val="16"/>
                <w:szCs w:val="16"/>
                <w:color w:val="auto"/>
              </w:rPr>
              <w:t>December 31, 2013</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Arial" w:cs="Arial" w:eastAsia="Arial" w:hAnsi="Arial"/>
                <w:sz w:val="16"/>
                <w:szCs w:val="16"/>
                <w:color w:val="auto"/>
                <w:w w:val="90"/>
              </w:rPr>
              <w:t>Series B, $0.001 par value, 1,500,000 shares designated, -0- shares issued</w:t>
            </w:r>
          </w:p>
        </w:tc>
        <w:tc>
          <w:tcPr>
            <w:tcW w:w="3900" w:type="dxa"/>
            <w:vAlign w:val="bottom"/>
            <w:gridSpan w:val="3"/>
          </w:tcPr>
          <w:p>
            <w:pPr>
              <w:jc w:val="right"/>
              <w:ind w:right="840"/>
              <w:spacing w:after="0"/>
              <w:rPr>
                <w:sz w:val="20"/>
                <w:szCs w:val="20"/>
                <w:color w:val="auto"/>
              </w:rPr>
            </w:pPr>
            <w:r>
              <w:rPr>
                <w:rFonts w:ascii="Arial" w:cs="Arial" w:eastAsia="Arial" w:hAnsi="Arial"/>
                <w:sz w:val="16"/>
                <w:szCs w:val="16"/>
                <w:color w:val="auto"/>
                <w:w w:val="92"/>
              </w:rPr>
              <w:t>and outstanding as of December 31, 2014 and</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Arial" w:cs="Arial" w:eastAsia="Arial" w:hAnsi="Arial"/>
                <w:sz w:val="16"/>
                <w:szCs w:val="16"/>
                <w:color w:val="auto"/>
              </w:rPr>
              <w:t>December 31, 2013</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Common stock, $0.001 par value, 500,000,000 shares authorized</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20,318,815 shares issued and outstanding (2013 – 1,465,712)</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20,319</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85,265,776</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46,715,500</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Accumulated deficit</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(86,309,731)</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(55,426,635)</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(58,334)</w:t>
            </w:r>
          </w:p>
        </w:tc>
        <w:tc>
          <w:tcPr>
            <w:tcW w:w="0" w:type="dxa"/>
            <w:vAlign w:val="bottom"/>
          </w:tcPr>
          <w:p>
            <w:pPr>
              <w:spacing w:after="0"/>
              <w:rPr>
                <w:sz w:val="1"/>
                <w:szCs w:val="1"/>
                <w:color w:val="auto"/>
              </w:rPr>
            </w:pPr>
          </w:p>
        </w:tc>
      </w:tr>
      <w:tr>
        <w:trPr>
          <w:trHeight w:val="202"/>
        </w:trPr>
        <w:tc>
          <w:tcPr>
            <w:tcW w:w="5020" w:type="dxa"/>
            <w:vAlign w:val="bottom"/>
            <w:tcBorders>
              <w:top w:val="single" w:sz="8" w:color="auto"/>
              <w:bottom w:val="single" w:sz="8" w:color="auto"/>
            </w:tcBorders>
          </w:tcPr>
          <w:p>
            <w:pPr>
              <w:spacing w:after="0"/>
              <w:rPr>
                <w:sz w:val="17"/>
                <w:szCs w:val="17"/>
                <w:color w:val="auto"/>
              </w:rPr>
            </w:pPr>
          </w:p>
        </w:tc>
        <w:tc>
          <w:tcPr>
            <w:tcW w:w="36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(1,023,636)</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(8,768,003)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5020" w:type="dxa"/>
            <w:vAlign w:val="bottom"/>
          </w:tcPr>
          <w:p>
            <w:pPr>
              <w:spacing w:after="0"/>
              <w:rPr>
                <w:sz w:val="24"/>
                <w:szCs w:val="24"/>
                <w:color w:val="auto"/>
              </w:rPr>
            </w:pPr>
          </w:p>
        </w:tc>
        <w:tc>
          <w:tcPr>
            <w:tcW w:w="3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224,448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77,032</w:t>
            </w:r>
          </w:p>
        </w:tc>
        <w:tc>
          <w:tcPr>
            <w:tcW w:w="0" w:type="dxa"/>
            <w:vAlign w:val="bottom"/>
          </w:tcPr>
          <w:p>
            <w:pPr>
              <w:spacing w:after="0"/>
              <w:rPr>
                <w:sz w:val="1"/>
                <w:szCs w:val="1"/>
                <w:color w:val="auto"/>
              </w:rPr>
            </w:pP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TAPIMMUNE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89"/>
              </w:rPr>
              <w:t>Year Ended</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89"/>
              </w:rPr>
              <w:t>Year Ended</w:t>
            </w:r>
          </w:p>
        </w:tc>
      </w:tr>
      <w:tr>
        <w:trPr>
          <w:trHeight w:val="197"/>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December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December 31,</w:t>
            </w:r>
          </w:p>
        </w:tc>
      </w:tr>
      <w:tr>
        <w:trPr>
          <w:trHeight w:val="214"/>
        </w:trPr>
        <w:tc>
          <w:tcPr>
            <w:tcW w:w="8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2013</w:t>
            </w:r>
          </w:p>
        </w:tc>
        <w:tc>
          <w:tcPr>
            <w:tcW w:w="140" w:type="dxa"/>
            <w:vAlign w:val="bottom"/>
          </w:tcPr>
          <w:p>
            <w:pPr>
              <w:spacing w:after="0"/>
              <w:rPr>
                <w:sz w:val="18"/>
                <w:szCs w:val="18"/>
                <w:color w:val="auto"/>
              </w:rPr>
            </w:pPr>
          </w:p>
        </w:tc>
      </w:tr>
      <w:tr>
        <w:trPr>
          <w:trHeight w:val="382"/>
        </w:trPr>
        <w:tc>
          <w:tcPr>
            <w:tcW w:w="868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7"/>
        </w:trPr>
        <w:tc>
          <w:tcPr>
            <w:tcW w:w="86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3,181,927</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1,966,683</w:t>
            </w:r>
          </w:p>
        </w:tc>
        <w:tc>
          <w:tcPr>
            <w:tcW w:w="140" w:type="dxa"/>
            <w:vAlign w:val="bottom"/>
          </w:tcPr>
          <w:p>
            <w:pPr>
              <w:spacing w:after="0"/>
              <w:rPr>
                <w:sz w:val="17"/>
                <w:szCs w:val="17"/>
                <w:color w:val="auto"/>
              </w:rPr>
            </w:pPr>
          </w:p>
        </w:tc>
      </w:tr>
      <w:tr>
        <w:trPr>
          <w:trHeight w:val="209"/>
        </w:trPr>
        <w:tc>
          <w:tcPr>
            <w:tcW w:w="868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189,000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697,634</w:t>
            </w:r>
          </w:p>
        </w:tc>
      </w:tr>
      <w:tr>
        <w:trPr>
          <w:trHeight w:val="25"/>
        </w:trPr>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93"/>
        </w:trPr>
        <w:tc>
          <w:tcPr>
            <w:tcW w:w="8680" w:type="dxa"/>
            <w:vAlign w:val="bottom"/>
          </w:tcPr>
          <w:p>
            <w:pPr>
              <w:spacing w:after="0"/>
              <w:rPr>
                <w:sz w:val="20"/>
                <w:szCs w:val="20"/>
                <w:color w:val="auto"/>
              </w:rPr>
            </w:pPr>
            <w:r>
              <w:rPr>
                <w:rFonts w:ascii="Arial" w:cs="Arial" w:eastAsia="Arial" w:hAnsi="Arial"/>
                <w:sz w:val="16"/>
                <w:szCs w:val="16"/>
                <w:b w:val="1"/>
                <w:bCs w:val="1"/>
                <w:color w:val="auto"/>
              </w:rPr>
              <w:t>Loss from Operations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(3,370,927)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(2,664,317)</w:t>
            </w:r>
          </w:p>
        </w:tc>
      </w:tr>
      <w:tr>
        <w:trPr>
          <w:trHeight w:val="383"/>
        </w:trPr>
        <w:tc>
          <w:tcPr>
            <w:tcW w:w="868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7"/>
        </w:trPr>
        <w:tc>
          <w:tcPr>
            <w:tcW w:w="8680" w:type="dxa"/>
            <w:vAlign w:val="bottom"/>
          </w:tcPr>
          <w:p>
            <w:pPr>
              <w:ind w:left="140"/>
              <w:spacing w:after="0"/>
              <w:rPr>
                <w:sz w:val="20"/>
                <w:szCs w:val="20"/>
                <w:color w:val="auto"/>
              </w:rPr>
            </w:pPr>
            <w:r>
              <w:rPr>
                <w:rFonts w:ascii="Arial" w:cs="Arial" w:eastAsia="Arial" w:hAnsi="Arial"/>
                <w:sz w:val="16"/>
                <w:szCs w:val="16"/>
                <w:color w:val="auto"/>
              </w:rPr>
              <w:t>Foreign exchange (loss) gain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(52,976)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5,896</w:t>
            </w:r>
          </w:p>
        </w:tc>
      </w:tr>
      <w:tr>
        <w:trPr>
          <w:trHeight w:val="197"/>
        </w:trPr>
        <w:tc>
          <w:tcPr>
            <w:tcW w:w="8680" w:type="dxa"/>
            <w:vAlign w:val="bottom"/>
          </w:tcPr>
          <w:p>
            <w:pPr>
              <w:ind w:left="160"/>
              <w:spacing w:after="0"/>
              <w:rPr>
                <w:sz w:val="20"/>
                <w:szCs w:val="20"/>
                <w:color w:val="auto"/>
              </w:rPr>
            </w:pPr>
            <w:r>
              <w:rPr>
                <w:rFonts w:ascii="Arial" w:cs="Arial" w:eastAsia="Arial" w:hAnsi="Arial"/>
                <w:sz w:val="16"/>
                <w:szCs w:val="16"/>
                <w:color w:val="auto"/>
              </w:rPr>
              <w:t>Changes in fair value of derivative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581&gt;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1,546,257</w:t>
            </w:r>
          </w:p>
        </w:tc>
        <w:tc>
          <w:tcPr>
            <w:tcW w:w="140" w:type="dxa"/>
            <w:vAlign w:val="bottom"/>
          </w:tcPr>
          <w:p>
            <w:pPr>
              <w:spacing w:after="0"/>
              <w:rPr>
                <w:sz w:val="17"/>
                <w:szCs w:val="17"/>
                <w:color w:val="auto"/>
              </w:rPr>
            </w:pPr>
          </w:p>
        </w:tc>
      </w:tr>
      <w:tr>
        <w:trPr>
          <w:trHeight w:val="197"/>
        </w:trPr>
        <w:tc>
          <w:tcPr>
            <w:tcW w:w="8680" w:type="dxa"/>
            <w:vAlign w:val="bottom"/>
          </w:tcPr>
          <w:p>
            <w:pPr>
              <w:ind w:left="160"/>
              <w:spacing w:after="0"/>
              <w:rPr>
                <w:sz w:val="20"/>
                <w:szCs w:val="20"/>
                <w:color w:val="auto"/>
              </w:rPr>
            </w:pPr>
            <w:r>
              <w:rPr>
                <w:rFonts w:ascii="Arial" w:cs="Arial" w:eastAsia="Arial" w:hAnsi="Arial"/>
                <w:sz w:val="16"/>
                <w:szCs w:val="16"/>
                <w:color w:val="auto"/>
              </w:rPr>
              <w:t>Accretion of discount on convertible notes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(492,296)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(1,110,831)</w:t>
            </w:r>
          </w:p>
        </w:tc>
      </w:tr>
      <w:tr>
        <w:trPr>
          <w:trHeight w:val="197"/>
        </w:trPr>
        <w:tc>
          <w:tcPr>
            <w:tcW w:w="8680" w:type="dxa"/>
            <w:vAlign w:val="bottom"/>
          </w:tcPr>
          <w:p>
            <w:pPr>
              <w:ind w:left="160"/>
              <w:spacing w:after="0"/>
              <w:rPr>
                <w:sz w:val="20"/>
                <w:szCs w:val="20"/>
                <w:color w:val="auto"/>
              </w:rPr>
            </w:pPr>
            <w:r>
              <w:rPr>
                <w:rFonts w:ascii="Arial" w:cs="Arial" w:eastAsia="Arial" w:hAnsi="Arial"/>
                <w:sz w:val="16"/>
                <w:szCs w:val="16"/>
                <w:color w:val="auto"/>
              </w:rPr>
              <w:t>Interest and financing charges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(83,247)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(645,562)</w:t>
            </w:r>
          </w:p>
        </w:tc>
      </w:tr>
      <w:tr>
        <w:trPr>
          <w:trHeight w:val="197"/>
        </w:trPr>
        <w:tc>
          <w:tcPr>
            <w:tcW w:w="8680" w:type="dxa"/>
            <w:vAlign w:val="bottom"/>
          </w:tcPr>
          <w:p>
            <w:pPr>
              <w:ind w:left="16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(26,884,231)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(2,560,045)</w:t>
            </w:r>
          </w:p>
        </w:tc>
      </w:tr>
      <w:tr>
        <w:trPr>
          <w:trHeight w:val="209"/>
        </w:trPr>
        <w:tc>
          <w:tcPr>
            <w:tcW w:w="8680" w:type="dxa"/>
            <w:vAlign w:val="bottom"/>
          </w:tcPr>
          <w:p>
            <w:pPr>
              <w:ind w:left="160"/>
              <w:spacing w:after="0"/>
              <w:rPr>
                <w:sz w:val="20"/>
                <w:szCs w:val="20"/>
                <w:color w:val="auto"/>
              </w:rPr>
            </w:pPr>
            <w:r>
              <w:rPr>
                <w:rFonts w:ascii="Arial" w:cs="Arial" w:eastAsia="Arial" w:hAnsi="Arial"/>
                <w:sz w:val="16"/>
                <w:szCs w:val="16"/>
                <w:color w:val="auto"/>
              </w:rPr>
              <w:t>Loss on lawsuit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(103,950)</w:t>
            </w:r>
          </w:p>
        </w:tc>
      </w:tr>
      <w:tr>
        <w:trPr>
          <w:trHeight w:val="25"/>
        </w:trPr>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99"/>
        </w:trPr>
        <w:tc>
          <w:tcPr>
            <w:tcW w:w="8680" w:type="dxa"/>
            <w:vAlign w:val="bottom"/>
          </w:tcPr>
          <w:p>
            <w:pPr>
              <w:spacing w:after="0"/>
              <w:rPr>
                <w:sz w:val="20"/>
                <w:szCs w:val="20"/>
                <w:color w:val="auto"/>
              </w:rPr>
            </w:pPr>
            <w:r>
              <w:rPr>
                <w:rFonts w:ascii="Arial" w:cs="Arial" w:eastAsia="Arial" w:hAnsi="Arial"/>
                <w:sz w:val="16"/>
                <w:szCs w:val="16"/>
                <w:b w:val="1"/>
                <w:bCs w:val="1"/>
                <w:color w:val="auto"/>
              </w:rPr>
              <w:t>Net Loss for the Period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(30,883,096)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(5,532,552)</w:t>
            </w:r>
          </w:p>
        </w:tc>
      </w:tr>
      <w:tr>
        <w:trPr>
          <w:trHeight w:val="382"/>
        </w:trPr>
        <w:tc>
          <w:tcPr>
            <w:tcW w:w="86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Other comprehensive income</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9"/>
        </w:trPr>
        <w:tc>
          <w:tcPr>
            <w:tcW w:w="8680" w:type="dxa"/>
            <w:vAlign w:val="bottom"/>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58,334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3,314</w:t>
            </w:r>
          </w:p>
        </w:tc>
      </w:tr>
      <w:tr>
        <w:trPr>
          <w:trHeight w:val="25"/>
        </w:trPr>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94"/>
        </w:trPr>
        <w:tc>
          <w:tcPr>
            <w:tcW w:w="8680" w:type="dxa"/>
            <w:vAlign w:val="bottom"/>
          </w:tcPr>
          <w:p>
            <w:pPr>
              <w:spacing w:after="0"/>
              <w:rPr>
                <w:sz w:val="20"/>
                <w:szCs w:val="20"/>
                <w:color w:val="auto"/>
              </w:rPr>
            </w:pPr>
            <w:r>
              <w:rPr>
                <w:rFonts w:ascii="Arial" w:cs="Arial" w:eastAsia="Arial" w:hAnsi="Arial"/>
                <w:sz w:val="16"/>
                <w:szCs w:val="16"/>
                <w:b w:val="1"/>
                <w:bCs w:val="1"/>
                <w:color w:val="auto"/>
              </w:rPr>
              <w:t>TOTAL COMPREHENSIVE LOSS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(30,824,762)</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(5,529,238)</w:t>
            </w:r>
          </w:p>
        </w:tc>
      </w:tr>
      <w:tr>
        <w:trPr>
          <w:trHeight w:val="20"/>
        </w:trPr>
        <w:tc>
          <w:tcPr>
            <w:tcW w:w="8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68"/>
        </w:trPr>
        <w:tc>
          <w:tcPr>
            <w:tcW w:w="8680" w:type="dxa"/>
            <w:vAlign w:val="bottom"/>
          </w:tcPr>
          <w:p>
            <w:pPr>
              <w:spacing w:after="0"/>
              <w:rPr>
                <w:sz w:val="20"/>
                <w:szCs w:val="20"/>
                <w:color w:val="auto"/>
              </w:rPr>
            </w:pPr>
            <w:r>
              <w:rPr>
                <w:rFonts w:ascii="Arial" w:cs="Arial" w:eastAsia="Arial" w:hAnsi="Arial"/>
                <w:sz w:val="16"/>
                <w:szCs w:val="16"/>
                <w:b w:val="1"/>
                <w:bCs w:val="1"/>
                <w:color w:val="auto"/>
              </w:rPr>
              <w:t>Basic and Diluted Net Loss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3"/>
        </w:trPr>
        <w:tc>
          <w:tcPr>
            <w:tcW w:w="8680" w:type="dxa"/>
            <w:vAlign w:val="bottom"/>
          </w:tcPr>
          <w:p>
            <w:pPr>
              <w:spacing w:after="0"/>
              <w:rPr>
                <w:sz w:val="20"/>
                <w:szCs w:val="20"/>
                <w:color w:val="auto"/>
              </w:rPr>
            </w:pPr>
            <w:r>
              <w:rPr>
                <w:rFonts w:ascii="Arial" w:cs="Arial" w:eastAsia="Arial" w:hAnsi="Arial"/>
                <w:sz w:val="16"/>
                <w:szCs w:val="16"/>
                <w:b w:val="1"/>
                <w:bCs w:val="1"/>
                <w:color w:val="auto"/>
              </w:rPr>
              <w:t>per Share</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(2.00)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(4.87)</w:t>
            </w:r>
          </w:p>
        </w:tc>
      </w:tr>
      <w:tr>
        <w:trPr>
          <w:trHeight w:val="20"/>
        </w:trPr>
        <w:tc>
          <w:tcPr>
            <w:tcW w:w="8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68"/>
        </w:trPr>
        <w:tc>
          <w:tcPr>
            <w:tcW w:w="8680" w:type="dxa"/>
            <w:vAlign w:val="bottom"/>
          </w:tcPr>
          <w:p>
            <w:pPr>
              <w:spacing w:after="0"/>
              <w:rPr>
                <w:sz w:val="20"/>
                <w:szCs w:val="20"/>
                <w:color w:val="auto"/>
              </w:rPr>
            </w:pPr>
            <w:r>
              <w:rPr>
                <w:rFonts w:ascii="Arial" w:cs="Arial" w:eastAsia="Arial" w:hAnsi="Arial"/>
                <w:sz w:val="16"/>
                <w:szCs w:val="16"/>
                <w:b w:val="1"/>
                <w:bCs w:val="1"/>
                <w:color w:val="auto"/>
              </w:rPr>
              <w:t>Weighted Average Number of</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3"/>
        </w:trPr>
        <w:tc>
          <w:tcPr>
            <w:tcW w:w="8680" w:type="dxa"/>
            <w:vAlign w:val="bottom"/>
          </w:tcPr>
          <w:p>
            <w:pPr>
              <w:spacing w:after="0"/>
              <w:rPr>
                <w:sz w:val="20"/>
                <w:szCs w:val="20"/>
                <w:color w:val="auto"/>
              </w:rPr>
            </w:pPr>
            <w:r>
              <w:rPr>
                <w:rFonts w:ascii="Arial" w:cs="Arial" w:eastAsia="Arial" w:hAnsi="Arial"/>
                <w:sz w:val="16"/>
                <w:szCs w:val="16"/>
                <w:b w:val="1"/>
                <w:bCs w:val="1"/>
                <w:color w:val="auto"/>
              </w:rPr>
              <w:t>Common Shares 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15,465,213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1,136,115</w:t>
            </w:r>
          </w:p>
        </w:tc>
      </w:tr>
      <w:tr>
        <w:trPr>
          <w:trHeight w:val="20"/>
        </w:trPr>
        <w:tc>
          <w:tcPr>
            <w:tcW w:w="8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STOCKHOLDERS’ EQUITY (DEFICIT)</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6"/>
          </w:tcPr>
          <w:p>
            <w:pPr>
              <w:ind w:left="720"/>
              <w:spacing w:after="0"/>
              <w:rPr>
                <w:sz w:val="20"/>
                <w:szCs w:val="20"/>
                <w:color w:val="auto"/>
              </w:rPr>
            </w:pPr>
            <w:r>
              <w:rPr>
                <w:rFonts w:ascii="Arial" w:cs="Arial" w:eastAsia="Arial" w:hAnsi="Arial"/>
                <w:sz w:val="16"/>
                <w:szCs w:val="16"/>
                <w:color w:val="auto"/>
              </w:rPr>
              <w:t>Common Stock</w:t>
            </w:r>
          </w:p>
        </w:tc>
        <w:tc>
          <w:tcPr>
            <w:tcW w:w="1360" w:type="dxa"/>
            <w:vAlign w:val="bottom"/>
            <w:tcBorders>
              <w:top w:val="single" w:sz="8" w:color="auto"/>
            </w:tcBorders>
            <w:gridSpan w:val="3"/>
            <w:vMerge w:val="restart"/>
          </w:tcPr>
          <w:p>
            <w:pPr>
              <w:ind w:left="280"/>
              <w:spacing w:after="0"/>
              <w:rPr>
                <w:sz w:val="20"/>
                <w:szCs w:val="20"/>
                <w:color w:val="auto"/>
              </w:rPr>
            </w:pPr>
            <w:r>
              <w:rPr>
                <w:rFonts w:ascii="Arial" w:cs="Arial" w:eastAsia="Arial" w:hAnsi="Arial"/>
                <w:sz w:val="16"/>
                <w:szCs w:val="16"/>
                <w:color w:val="auto"/>
              </w:rPr>
              <w:t>Paid In</w:t>
            </w:r>
          </w:p>
        </w:tc>
        <w:tc>
          <w:tcPr>
            <w:tcW w:w="1340" w:type="dxa"/>
            <w:vAlign w:val="bottom"/>
            <w:tcBorders>
              <w:top w:val="single" w:sz="8" w:color="auto"/>
            </w:tcBorders>
            <w:gridSpan w:val="3"/>
            <w:vMerge w:val="restart"/>
          </w:tcPr>
          <w:p>
            <w:pPr>
              <w:jc w:val="center"/>
              <w:ind w:right="340"/>
              <w:spacing w:after="0"/>
              <w:rPr>
                <w:sz w:val="20"/>
                <w:szCs w:val="20"/>
                <w:color w:val="auto"/>
              </w:rPr>
            </w:pPr>
            <w:r>
              <w:rPr>
                <w:rFonts w:ascii="Arial" w:cs="Arial" w:eastAsia="Arial" w:hAnsi="Arial"/>
                <w:sz w:val="16"/>
                <w:szCs w:val="16"/>
                <w:color w:val="auto"/>
                <w:w w:val="95"/>
              </w:rPr>
              <w:t>Accumulated</w:t>
            </w:r>
          </w:p>
        </w:tc>
        <w:tc>
          <w:tcPr>
            <w:tcW w:w="138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6"/>
                <w:szCs w:val="16"/>
                <w:color w:val="auto"/>
                <w:w w:val="91"/>
              </w:rPr>
              <w:t>Comprehensive</w:t>
            </w: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right="380"/>
              <w:spacing w:after="0"/>
              <w:rPr>
                <w:sz w:val="20"/>
                <w:szCs w:val="20"/>
                <w:color w:val="auto"/>
              </w:rPr>
            </w:pPr>
            <w:r>
              <w:rPr>
                <w:rFonts w:ascii="Arial" w:cs="Arial" w:eastAsia="Arial" w:hAnsi="Arial"/>
                <w:sz w:val="16"/>
                <w:szCs w:val="16"/>
                <w:color w:val="auto"/>
                <w:w w:val="96"/>
              </w:rPr>
              <w:t>Number of</w:t>
            </w:r>
          </w:p>
        </w:tc>
        <w:tc>
          <w:tcPr>
            <w:tcW w:w="1360" w:type="dxa"/>
            <w:vAlign w:val="bottom"/>
            <w:gridSpan w:val="3"/>
          </w:tcPr>
          <w:p>
            <w:pPr>
              <w:ind w:left="240"/>
              <w:spacing w:after="0"/>
              <w:rPr>
                <w:sz w:val="20"/>
                <w:szCs w:val="20"/>
                <w:color w:val="auto"/>
              </w:rPr>
            </w:pPr>
            <w:r>
              <w:rPr>
                <w:rFonts w:ascii="Arial" w:cs="Arial" w:eastAsia="Arial" w:hAnsi="Arial"/>
                <w:sz w:val="16"/>
                <w:szCs w:val="16"/>
                <w:color w:val="auto"/>
              </w:rPr>
              <w:t>Amount</w:t>
            </w:r>
          </w:p>
        </w:tc>
        <w:tc>
          <w:tcPr>
            <w:tcW w:w="1360" w:type="dxa"/>
            <w:vAlign w:val="bottom"/>
            <w:gridSpan w:val="3"/>
          </w:tcPr>
          <w:p>
            <w:pPr>
              <w:ind w:left="280"/>
              <w:spacing w:after="0"/>
              <w:rPr>
                <w:sz w:val="20"/>
                <w:szCs w:val="20"/>
                <w:color w:val="auto"/>
              </w:rPr>
            </w:pPr>
            <w:r>
              <w:rPr>
                <w:rFonts w:ascii="Arial" w:cs="Arial" w:eastAsia="Arial" w:hAnsi="Arial"/>
                <w:sz w:val="16"/>
                <w:szCs w:val="16"/>
                <w:color w:val="auto"/>
              </w:rPr>
              <w:t>Capital</w:t>
            </w:r>
          </w:p>
        </w:tc>
        <w:tc>
          <w:tcPr>
            <w:tcW w:w="1340" w:type="dxa"/>
            <w:vAlign w:val="bottom"/>
            <w:gridSpan w:val="3"/>
          </w:tcPr>
          <w:p>
            <w:pPr>
              <w:jc w:val="center"/>
              <w:ind w:right="320"/>
              <w:spacing w:after="0"/>
              <w:rPr>
                <w:sz w:val="20"/>
                <w:szCs w:val="20"/>
                <w:color w:val="auto"/>
              </w:rPr>
            </w:pPr>
            <w:r>
              <w:rPr>
                <w:rFonts w:ascii="Arial" w:cs="Arial" w:eastAsia="Arial" w:hAnsi="Arial"/>
                <w:sz w:val="16"/>
                <w:szCs w:val="16"/>
                <w:color w:val="auto"/>
              </w:rPr>
              <w:t>Deficit</w:t>
            </w:r>
          </w:p>
        </w:tc>
        <w:tc>
          <w:tcPr>
            <w:tcW w:w="1380" w:type="dxa"/>
            <w:vAlign w:val="bottom"/>
            <w:gridSpan w:val="3"/>
          </w:tcPr>
          <w:p>
            <w:pPr>
              <w:jc w:val="center"/>
              <w:ind w:right="320"/>
              <w:spacing w:after="0"/>
              <w:rPr>
                <w:sz w:val="20"/>
                <w:szCs w:val="20"/>
                <w:color w:val="auto"/>
              </w:rPr>
            </w:pPr>
            <w:r>
              <w:rPr>
                <w:rFonts w:ascii="Arial" w:cs="Arial" w:eastAsia="Arial" w:hAnsi="Arial"/>
                <w:sz w:val="16"/>
                <w:szCs w:val="16"/>
                <w:color w:val="auto"/>
                <w:w w:val="88"/>
              </w:rPr>
              <w:t>Loss</w:t>
            </w:r>
          </w:p>
        </w:tc>
        <w:tc>
          <w:tcPr>
            <w:tcW w:w="1120" w:type="dxa"/>
            <w:vAlign w:val="bottom"/>
            <w:gridSpan w:val="2"/>
          </w:tcPr>
          <w:p>
            <w:pPr>
              <w:jc w:val="right"/>
              <w:ind w:right="44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4"/>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6"/>
                <w:szCs w:val="16"/>
                <w:color w:val="auto"/>
                <w:w w:val="87"/>
              </w:rPr>
              <w:t>shares</w:t>
            </w:r>
          </w:p>
        </w:tc>
        <w:tc>
          <w:tcPr>
            <w:tcW w:w="102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9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gridSpan w:val="3"/>
          </w:tcPr>
          <w:p>
            <w:pPr>
              <w:spacing w:after="0"/>
              <w:rPr>
                <w:sz w:val="20"/>
                <w:szCs w:val="20"/>
                <w:color w:val="auto"/>
              </w:rPr>
            </w:pPr>
            <w:r>
              <w:rPr>
                <w:rFonts w:ascii="Arial" w:cs="Arial" w:eastAsia="Arial" w:hAnsi="Arial"/>
                <w:sz w:val="16"/>
                <w:szCs w:val="16"/>
                <w:color w:val="auto"/>
              </w:rPr>
              <w:t>Balance, December 31, 2012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764,029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43,912,427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(49,894,083)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(6,042,522)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Notes converted into shares</w:t>
            </w:r>
          </w:p>
        </w:tc>
        <w:tc>
          <w:tcPr>
            <w:tcW w:w="1040" w:type="dxa"/>
            <w:vAlign w:val="bottom"/>
          </w:tcPr>
          <w:p>
            <w:pPr>
              <w:jc w:val="right"/>
              <w:spacing w:after="0"/>
              <w:rPr>
                <w:sz w:val="20"/>
                <w:szCs w:val="20"/>
                <w:color w:val="auto"/>
              </w:rPr>
            </w:pPr>
            <w:r>
              <w:rPr>
                <w:rFonts w:ascii="Arial" w:cs="Arial" w:eastAsia="Arial" w:hAnsi="Arial"/>
                <w:sz w:val="16"/>
                <w:szCs w:val="16"/>
                <w:color w:val="auto"/>
              </w:rPr>
              <w:t>412,047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1,477,175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1,477,587</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Stock based compensation in 2013</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46,840</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46,840</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Obligation to issue shares at fair value</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220"/>
              <w:spacing w:after="0"/>
              <w:rPr>
                <w:sz w:val="20"/>
                <w:szCs w:val="20"/>
                <w:color w:val="auto"/>
              </w:rPr>
            </w:pPr>
            <w:r>
              <w:rPr>
                <w:rFonts w:ascii="Arial" w:cs="Arial" w:eastAsia="Arial" w:hAnsi="Arial"/>
                <w:sz w:val="16"/>
                <w:szCs w:val="16"/>
                <w:color w:val="auto"/>
              </w:rPr>
              <w:t>pursuant to service agreements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31,891</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31,891</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Issued at fair value pursuant to</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220"/>
              <w:spacing w:after="0"/>
              <w:rPr>
                <w:sz w:val="20"/>
                <w:szCs w:val="20"/>
                <w:color w:val="auto"/>
              </w:rPr>
            </w:pPr>
            <w:r>
              <w:rPr>
                <w:rFonts w:ascii="Arial" w:cs="Arial" w:eastAsia="Arial" w:hAnsi="Arial"/>
                <w:sz w:val="16"/>
                <w:szCs w:val="16"/>
                <w:color w:val="auto"/>
              </w:rPr>
              <w:t>debt settlement agreements</w:t>
            </w:r>
          </w:p>
        </w:tc>
        <w:tc>
          <w:tcPr>
            <w:tcW w:w="1040" w:type="dxa"/>
            <w:vAlign w:val="bottom"/>
          </w:tcPr>
          <w:p>
            <w:pPr>
              <w:jc w:val="right"/>
              <w:spacing w:after="0"/>
              <w:rPr>
                <w:sz w:val="20"/>
                <w:szCs w:val="20"/>
                <w:color w:val="auto"/>
              </w:rPr>
            </w:pPr>
            <w:r>
              <w:rPr>
                <w:rFonts w:ascii="Arial" w:cs="Arial" w:eastAsia="Arial" w:hAnsi="Arial"/>
                <w:sz w:val="16"/>
                <w:szCs w:val="16"/>
                <w:color w:val="auto"/>
              </w:rPr>
              <w:t>264,649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1,211,362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1,211,627</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Finders’ fee</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(11,300)</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(11,300)</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Issued at fair value pursuant to service</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agreements</w:t>
            </w:r>
          </w:p>
        </w:tc>
        <w:tc>
          <w:tcPr>
            <w:tcW w:w="1040" w:type="dxa"/>
            <w:vAlign w:val="bottom"/>
          </w:tcPr>
          <w:p>
            <w:pPr>
              <w:jc w:val="right"/>
              <w:spacing w:after="0"/>
              <w:rPr>
                <w:sz w:val="20"/>
                <w:szCs w:val="20"/>
                <w:color w:val="auto"/>
              </w:rPr>
            </w:pPr>
            <w:r>
              <w:rPr>
                <w:rFonts w:ascii="Arial" w:cs="Arial" w:eastAsia="Arial" w:hAnsi="Arial"/>
                <w:sz w:val="16"/>
                <w:szCs w:val="16"/>
                <w:color w:val="auto"/>
              </w:rPr>
              <w:t>3,500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38,932</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38,936</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Shares issued for director compensation</w:t>
            </w:r>
          </w:p>
        </w:tc>
        <w:tc>
          <w:tcPr>
            <w:tcW w:w="1040" w:type="dxa"/>
            <w:vAlign w:val="bottom"/>
          </w:tcPr>
          <w:p>
            <w:pPr>
              <w:jc w:val="right"/>
              <w:spacing w:after="0"/>
              <w:rPr>
                <w:sz w:val="20"/>
                <w:szCs w:val="20"/>
                <w:color w:val="auto"/>
              </w:rPr>
            </w:pPr>
            <w:r>
              <w:rPr>
                <w:rFonts w:ascii="Arial" w:cs="Arial" w:eastAsia="Arial" w:hAnsi="Arial"/>
                <w:sz w:val="16"/>
                <w:szCs w:val="16"/>
                <w:color w:val="auto"/>
              </w:rPr>
              <w:t>2,500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8,176</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Non-cash exercise of warrants</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18,986</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3,314</w:t>
            </w:r>
          </w:p>
        </w:tc>
        <w:tc>
          <w:tcPr>
            <w:tcW w:w="0" w:type="dxa"/>
            <w:vAlign w:val="bottom"/>
          </w:tcPr>
          <w:p>
            <w:pPr>
              <w:spacing w:after="0"/>
              <w:rPr>
                <w:sz w:val="1"/>
                <w:szCs w:val="1"/>
                <w:color w:val="auto"/>
              </w:rPr>
            </w:pPr>
          </w:p>
        </w:tc>
      </w:tr>
      <w:tr>
        <w:trPr>
          <w:trHeight w:val="214"/>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(5,532,552)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(5,532,552)</w:t>
            </w:r>
          </w:p>
        </w:tc>
        <w:tc>
          <w:tcPr>
            <w:tcW w:w="0" w:type="dxa"/>
            <w:vAlign w:val="bottom"/>
          </w:tcPr>
          <w:p>
            <w:pPr>
              <w:spacing w:after="0"/>
              <w:rPr>
                <w:sz w:val="1"/>
                <w:szCs w:val="1"/>
                <w:color w:val="auto"/>
              </w:rPr>
            </w:pPr>
          </w:p>
        </w:tc>
      </w:tr>
      <w:tr>
        <w:trPr>
          <w:trHeight w:val="208"/>
        </w:trPr>
        <w:tc>
          <w:tcPr>
            <w:tcW w:w="3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 2013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1,465,712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46,715,500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(55,426,635)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(58,334)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(8,768,003)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Convertible notes, promissory notes, loan</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payable-related party, due to related parties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and accrued interest converted into Series A</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and B preferred stock and immediately</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converted into commons stock</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14,048,701</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14,049</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30,937,029</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30,951,078</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Conversion of accounts payable to common</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stock</w:t>
            </w:r>
          </w:p>
        </w:tc>
        <w:tc>
          <w:tcPr>
            <w:tcW w:w="1040" w:type="dxa"/>
            <w:vAlign w:val="bottom"/>
          </w:tcPr>
          <w:p>
            <w:pPr>
              <w:jc w:val="right"/>
              <w:spacing w:after="0"/>
              <w:rPr>
                <w:sz w:val="20"/>
                <w:szCs w:val="20"/>
                <w:color w:val="auto"/>
              </w:rPr>
            </w:pPr>
            <w:r>
              <w:rPr>
                <w:rFonts w:ascii="Arial" w:cs="Arial" w:eastAsia="Arial" w:hAnsi="Arial"/>
                <w:sz w:val="16"/>
                <w:szCs w:val="16"/>
                <w:color w:val="auto"/>
              </w:rPr>
              <w:t>1,836,361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1,836</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4,347,592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4,349,428</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Private placement (net of finders’ fee)</w:t>
            </w:r>
          </w:p>
        </w:tc>
        <w:tc>
          <w:tcPr>
            <w:tcW w:w="1040" w:type="dxa"/>
            <w:vAlign w:val="bottom"/>
          </w:tcPr>
          <w:p>
            <w:pPr>
              <w:jc w:val="right"/>
              <w:spacing w:after="0"/>
              <w:rPr>
                <w:sz w:val="20"/>
                <w:szCs w:val="20"/>
                <w:color w:val="auto"/>
              </w:rPr>
            </w:pPr>
            <w:r>
              <w:rPr>
                <w:rFonts w:ascii="Arial" w:cs="Arial" w:eastAsia="Arial" w:hAnsi="Arial"/>
                <w:sz w:val="16"/>
                <w:szCs w:val="16"/>
                <w:color w:val="auto"/>
              </w:rPr>
              <w:t>2,157,042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2,157</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1,875,343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1,877,500</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58,334</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58,334</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Stock- 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811,000</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1,390,312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1,391,123</w:t>
            </w:r>
          </w:p>
        </w:tc>
        <w:tc>
          <w:tcPr>
            <w:tcW w:w="0" w:type="dxa"/>
            <w:vAlign w:val="bottom"/>
          </w:tcPr>
          <w:p>
            <w:pPr>
              <w:spacing w:after="0"/>
              <w:rPr>
                <w:sz w:val="1"/>
                <w:szCs w:val="1"/>
                <w:color w:val="auto"/>
              </w:rPr>
            </w:pPr>
          </w:p>
        </w:tc>
      </w:tr>
      <w:tr>
        <w:trPr>
          <w:trHeight w:val="214"/>
        </w:trPr>
        <w:tc>
          <w:tcPr>
            <w:tcW w:w="3440" w:type="dxa"/>
            <w:vAlign w:val="bottom"/>
            <w:gridSpan w:val="3"/>
          </w:tcPr>
          <w:p>
            <w:pPr>
              <w:ind w:left="140"/>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(30,883,096)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(30,883,096)</w:t>
            </w:r>
          </w:p>
        </w:tc>
        <w:tc>
          <w:tcPr>
            <w:tcW w:w="0" w:type="dxa"/>
            <w:vAlign w:val="bottom"/>
          </w:tcPr>
          <w:p>
            <w:pPr>
              <w:spacing w:after="0"/>
              <w:rPr>
                <w:sz w:val="1"/>
                <w:szCs w:val="1"/>
                <w:color w:val="auto"/>
              </w:rPr>
            </w:pPr>
          </w:p>
        </w:tc>
      </w:tr>
      <w:tr>
        <w:trPr>
          <w:trHeight w:val="197"/>
        </w:trPr>
        <w:tc>
          <w:tcPr>
            <w:tcW w:w="3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Balance, December 31, 2014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20,318,816</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20,319</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85,265,776</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(86,309,731)</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(1,023,636)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t>TAPIMMUNE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2"/>
              </w:rPr>
              <w:t>Year Ended</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6"/>
                <w:szCs w:val="16"/>
                <w:color w:val="auto"/>
                <w:w w:val="89"/>
              </w:rPr>
              <w:t>Year Ended</w:t>
            </w:r>
          </w:p>
        </w:tc>
      </w:tr>
      <w:tr>
        <w:trPr>
          <w:trHeight w:val="197"/>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31,</w:t>
            </w:r>
          </w:p>
        </w:tc>
      </w:tr>
      <w:tr>
        <w:trPr>
          <w:trHeight w:val="214"/>
        </w:trPr>
        <w:tc>
          <w:tcPr>
            <w:tcW w:w="8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2013</w:t>
            </w:r>
          </w:p>
        </w:tc>
        <w:tc>
          <w:tcPr>
            <w:tcW w:w="100" w:type="dxa"/>
            <w:vAlign w:val="bottom"/>
          </w:tcPr>
          <w:p>
            <w:pPr>
              <w:spacing w:after="0"/>
              <w:rPr>
                <w:sz w:val="18"/>
                <w:szCs w:val="18"/>
                <w:color w:val="auto"/>
              </w:rPr>
            </w:pPr>
          </w:p>
        </w:tc>
      </w:tr>
      <w:tr>
        <w:trPr>
          <w:trHeight w:val="382"/>
        </w:trPr>
        <w:tc>
          <w:tcPr>
            <w:tcW w:w="870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Net loss</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(30,883,096)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(5,532,552)</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Adjustments to reconcile net loss to</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net cash from operating activities: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Changes in fair value of derivative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(1,546,257)</w:t>
            </w: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26,884,231</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2,560,045</w:t>
            </w: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Accretion of discount on convertible notes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492,296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1,110,831</w:t>
            </w: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Non-cash interest and finance charges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83,247</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645,562</w:t>
            </w: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1,391,123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132,093</w:t>
            </w: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Foreign exchange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58,334</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Prepaid expenses and deposits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(67,500)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Deferred financing costs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24,013</w:t>
            </w: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(145,199)</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1,835,315</w:t>
            </w:r>
          </w:p>
        </w:tc>
      </w:tr>
      <w:tr>
        <w:trPr>
          <w:trHeight w:val="214"/>
        </w:trPr>
        <w:tc>
          <w:tcPr>
            <w:tcW w:w="8700" w:type="dxa"/>
            <w:vAlign w:val="bottom"/>
          </w:tcPr>
          <w:p>
            <w:pPr>
              <w:ind w:left="140"/>
              <w:spacing w:after="0"/>
              <w:rPr>
                <w:sz w:val="20"/>
                <w:szCs w:val="20"/>
                <w:color w:val="auto"/>
              </w:rPr>
            </w:pPr>
            <w:r>
              <w:rPr>
                <w:rFonts w:ascii="Arial" w:cs="Arial" w:eastAsia="Arial" w:hAnsi="Arial"/>
                <w:sz w:val="16"/>
                <w:szCs w:val="16"/>
                <w:color w:val="auto"/>
              </w:rPr>
              <w:t>Research agreement obligations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76,367</w:t>
            </w:r>
          </w:p>
        </w:tc>
      </w:tr>
      <w:tr>
        <w:trPr>
          <w:trHeight w:val="202"/>
        </w:trPr>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(2,187,145)</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(694,583)</w:t>
            </w:r>
          </w:p>
        </w:tc>
        <w:tc>
          <w:tcPr>
            <w:tcW w:w="100" w:type="dxa"/>
            <w:vAlign w:val="bottom"/>
          </w:tcPr>
          <w:p>
            <w:pPr>
              <w:spacing w:after="0"/>
              <w:rPr>
                <w:sz w:val="17"/>
                <w:szCs w:val="17"/>
                <w:color w:val="auto"/>
              </w:rPr>
            </w:pPr>
          </w:p>
        </w:tc>
      </w:tr>
      <w:tr>
        <w:trPr>
          <w:trHeight w:val="382"/>
        </w:trPr>
        <w:tc>
          <w:tcPr>
            <w:tcW w:w="87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Issuance of shares, net of issuance costs of $387,500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1,877,500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Convertible notes issuance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418,000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728,000</w:t>
            </w: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Proceeds from loans payable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32,200</w:t>
            </w: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Repayment to related parties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(30,867)</w:t>
            </w:r>
          </w:p>
        </w:tc>
      </w:tr>
      <w:tr>
        <w:trPr>
          <w:trHeight w:val="197"/>
        </w:trPr>
        <w:tc>
          <w:tcPr>
            <w:tcW w:w="8700" w:type="dxa"/>
            <w:vAlign w:val="bottom"/>
          </w:tcPr>
          <w:p>
            <w:pPr>
              <w:ind w:left="140"/>
              <w:spacing w:after="0"/>
              <w:rPr>
                <w:sz w:val="20"/>
                <w:szCs w:val="20"/>
                <w:color w:val="auto"/>
              </w:rPr>
            </w:pPr>
            <w:r>
              <w:rPr>
                <w:rFonts w:ascii="Arial" w:cs="Arial" w:eastAsia="Arial" w:hAnsi="Arial"/>
                <w:sz w:val="16"/>
                <w:szCs w:val="16"/>
                <w:color w:val="auto"/>
              </w:rPr>
              <w:t>Repayment of convertible notes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(20,000)</w:t>
            </w:r>
          </w:p>
        </w:tc>
      </w:tr>
      <w:tr>
        <w:trPr>
          <w:trHeight w:val="214"/>
        </w:trPr>
        <w:tc>
          <w:tcPr>
            <w:tcW w:w="8700" w:type="dxa"/>
            <w:vAlign w:val="bottom"/>
          </w:tcPr>
          <w:p>
            <w:pPr>
              <w:ind w:left="140"/>
              <w:spacing w:after="0"/>
              <w:rPr>
                <w:sz w:val="20"/>
                <w:szCs w:val="20"/>
                <w:color w:val="auto"/>
              </w:rPr>
            </w:pPr>
            <w:r>
              <w:rPr>
                <w:rFonts w:ascii="Arial" w:cs="Arial" w:eastAsia="Arial" w:hAnsi="Arial"/>
                <w:sz w:val="16"/>
                <w:szCs w:val="16"/>
                <w:color w:val="auto"/>
              </w:rPr>
              <w:t>Repayment of promissory notes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2"/>
        </w:trPr>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2,280,500</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709,333</w:t>
            </w:r>
          </w:p>
        </w:tc>
        <w:tc>
          <w:tcPr>
            <w:tcW w:w="100" w:type="dxa"/>
            <w:vAlign w:val="bottom"/>
          </w:tcPr>
          <w:p>
            <w:pPr>
              <w:spacing w:after="0"/>
              <w:rPr>
                <w:sz w:val="17"/>
                <w:szCs w:val="17"/>
                <w:color w:val="auto"/>
              </w:rPr>
            </w:pPr>
          </w:p>
        </w:tc>
      </w:tr>
      <w:tr>
        <w:trPr>
          <w:trHeight w:val="393"/>
        </w:trPr>
        <w:tc>
          <w:tcPr>
            <w:tcW w:w="8700" w:type="dxa"/>
            <w:vAlign w:val="bottom"/>
          </w:tcPr>
          <w:p>
            <w:pPr>
              <w:spacing w:after="0"/>
              <w:rPr>
                <w:sz w:val="20"/>
                <w:szCs w:val="20"/>
                <w:color w:val="auto"/>
              </w:rPr>
            </w:pPr>
            <w:r>
              <w:rPr>
                <w:rFonts w:ascii="Arial" w:cs="Arial" w:eastAsia="Arial" w:hAnsi="Arial"/>
                <w:sz w:val="16"/>
                <w:szCs w:val="16"/>
                <w:b w:val="1"/>
                <w:bCs w:val="1"/>
                <w:color w:val="auto"/>
              </w:rPr>
              <w:t>INCREASE IN CASH</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93,355</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14,750</w:t>
            </w:r>
          </w:p>
        </w:tc>
      </w:tr>
      <w:tr>
        <w:trPr>
          <w:trHeight w:val="395"/>
        </w:trPr>
        <w:tc>
          <w:tcPr>
            <w:tcW w:w="8700" w:type="dxa"/>
            <w:vAlign w:val="bottom"/>
          </w:tcPr>
          <w:p>
            <w:pPr>
              <w:spacing w:after="0"/>
              <w:rPr>
                <w:sz w:val="20"/>
                <w:szCs w:val="20"/>
                <w:color w:val="auto"/>
              </w:rPr>
            </w:pPr>
            <w:r>
              <w:rPr>
                <w:rFonts w:ascii="Arial" w:cs="Arial" w:eastAsia="Arial" w:hAnsi="Arial"/>
                <w:sz w:val="16"/>
                <w:szCs w:val="16"/>
                <w:b w:val="1"/>
                <w:bCs w:val="1"/>
                <w:color w:val="auto"/>
              </w:rPr>
              <w:t>CASH, BEGINNING OF YEAR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48,589</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33,839</w:t>
            </w:r>
          </w:p>
        </w:tc>
      </w:tr>
      <w:tr>
        <w:trPr>
          <w:trHeight w:val="25"/>
        </w:trPr>
        <w:tc>
          <w:tcPr>
            <w:tcW w:w="8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394"/>
        </w:trPr>
        <w:tc>
          <w:tcPr>
            <w:tcW w:w="8700" w:type="dxa"/>
            <w:vAlign w:val="bottom"/>
          </w:tcPr>
          <w:p>
            <w:pPr>
              <w:spacing w:after="0"/>
              <w:rPr>
                <w:sz w:val="20"/>
                <w:szCs w:val="20"/>
                <w:color w:val="auto"/>
              </w:rPr>
            </w:pPr>
            <w:r>
              <w:rPr>
                <w:rFonts w:ascii="Arial" w:cs="Arial" w:eastAsia="Arial" w:hAnsi="Arial"/>
                <w:sz w:val="16"/>
                <w:szCs w:val="16"/>
                <w:b w:val="1"/>
                <w:bCs w:val="1"/>
                <w:color w:val="auto"/>
              </w:rPr>
              <w:t>CASH, END OF YEAR</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141,944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48,589</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t>TAPIMMUNE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2"/>
              </w:rPr>
              <w:t>Year Ended</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6"/>
                <w:szCs w:val="16"/>
                <w:color w:val="auto"/>
                <w:w w:val="89"/>
              </w:rPr>
              <w:t>Year Ended</w:t>
            </w:r>
          </w:p>
        </w:tc>
      </w:tr>
      <w:tr>
        <w:trPr>
          <w:trHeight w:val="197"/>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31,</w:t>
            </w:r>
          </w:p>
        </w:tc>
      </w:tr>
      <w:tr>
        <w:trPr>
          <w:trHeight w:val="214"/>
        </w:trPr>
        <w:tc>
          <w:tcPr>
            <w:tcW w:w="8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2013</w:t>
            </w:r>
          </w:p>
        </w:tc>
        <w:tc>
          <w:tcPr>
            <w:tcW w:w="100" w:type="dxa"/>
            <w:vAlign w:val="bottom"/>
          </w:tcPr>
          <w:p>
            <w:pPr>
              <w:spacing w:after="0"/>
              <w:rPr>
                <w:sz w:val="18"/>
                <w:szCs w:val="18"/>
                <w:color w:val="auto"/>
              </w:rPr>
            </w:pPr>
          </w:p>
        </w:tc>
      </w:tr>
      <w:tr>
        <w:trPr>
          <w:trHeight w:val="393"/>
        </w:trPr>
        <w:tc>
          <w:tcPr>
            <w:tcW w:w="8700" w:type="dxa"/>
            <w:vAlign w:val="bottom"/>
          </w:tcPr>
          <w:p>
            <w:pPr>
              <w:spacing w:after="0"/>
              <w:rPr>
                <w:sz w:val="20"/>
                <w:szCs w:val="20"/>
                <w:color w:val="auto"/>
              </w:rPr>
            </w:pPr>
            <w:r>
              <w:rPr>
                <w:rFonts w:ascii="Arial" w:cs="Arial" w:eastAsia="Arial" w:hAnsi="Arial"/>
                <w:sz w:val="16"/>
                <w:szCs w:val="16"/>
                <w:b w:val="1"/>
                <w:bCs w:val="1"/>
                <w:color w:val="auto"/>
              </w:rPr>
              <w:t>SUPPLEMENTAL SCHEDULE OF NON-CASH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8700" w:type="dxa"/>
            <w:vAlign w:val="bottom"/>
          </w:tcPr>
          <w:p>
            <w:pPr>
              <w:spacing w:after="0"/>
              <w:rPr>
                <w:sz w:val="20"/>
                <w:szCs w:val="20"/>
                <w:color w:val="auto"/>
              </w:rPr>
            </w:pPr>
            <w:r>
              <w:rPr>
                <w:rFonts w:ascii="Arial" w:cs="Arial" w:eastAsia="Arial" w:hAnsi="Arial"/>
                <w:sz w:val="16"/>
                <w:szCs w:val="16"/>
                <w:color w:val="auto"/>
              </w:rPr>
              <w:t>Accounts payable settled in common stock</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2,415,000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558,000</w:t>
            </w:r>
          </w:p>
        </w:tc>
      </w:tr>
      <w:tr>
        <w:trPr>
          <w:trHeight w:val="383"/>
        </w:trPr>
        <w:tc>
          <w:tcPr>
            <w:tcW w:w="8700" w:type="dxa"/>
            <w:vAlign w:val="bottom"/>
          </w:tcPr>
          <w:p>
            <w:pPr>
              <w:spacing w:after="0"/>
              <w:rPr>
                <w:sz w:val="20"/>
                <w:szCs w:val="20"/>
                <w:color w:val="auto"/>
              </w:rPr>
            </w:pPr>
            <w:r>
              <w:rPr>
                <w:rFonts w:ascii="Arial" w:cs="Arial" w:eastAsia="Arial" w:hAnsi="Arial"/>
                <w:sz w:val="16"/>
                <w:szCs w:val="16"/>
                <w:b w:val="1"/>
                <w:bCs w:val="1"/>
                <w:color w:val="auto"/>
              </w:rPr>
              <w:t>Conversion of debt obligations into common 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Accrued interest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525,000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Convertible notes payable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4,116,000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738,000</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Loans payable, related party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42,000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Promissory notes, related party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Due to related parties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369,000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8700" w:type="dxa"/>
            <w:vAlign w:val="bottom"/>
          </w:tcPr>
          <w:p>
            <w:pPr>
              <w:spacing w:after="0"/>
              <w:rPr>
                <w:sz w:val="20"/>
                <w:szCs w:val="20"/>
                <w:color w:val="auto"/>
              </w:rPr>
            </w:pPr>
            <w:r>
              <w:rPr>
                <w:rFonts w:ascii="Arial" w:cs="Arial" w:eastAsia="Arial" w:hAnsi="Arial"/>
                <w:sz w:val="16"/>
                <w:szCs w:val="16"/>
                <w:color w:val="auto"/>
              </w:rPr>
              <w:t>Fair value derivative liability – conversion option at conversion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708,000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3"/>
        </w:trPr>
        <w:tc>
          <w:tcPr>
            <w:tcW w:w="8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i w:val="1"/>
          <w:iCs w:val="1"/>
          <w:color w:val="auto"/>
        </w:rPr>
        <w:t>TAPIMMUNE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DECEMBER 31, 2014</w:t>
      </w:r>
    </w:p>
    <w:p>
      <w:pPr>
        <w:spacing w:after="0" w:line="20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NOTE 1:</w:t>
        <w:tab/>
        <w:t>NATURE OF OPERATIONS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Phase I study at the Mayo Clinic is currently evaluating the safety and immune responses of a set of proprietary HER2/neu antigens that will be part of the "Prime" for a HER2/neu breast cancer vaccine.</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 second Phase I trial is underway at Mayo Clinic (“Mayo”) in Ovarian and breast cancer (Folate Receptor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 Negative Breast Cancer. Both of these diseases have few treatment options if any beyond surgery and chemotherapy and therefore the Company is hopeful that it might be an ideal candidate for orphan drug status in these indications.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Phase II advancement will be assessed in the second quarter of 2015. TapImmune has an exclusive option to license this set of peptides after successful phase 1 trials.</w:t>
      </w:r>
    </w:p>
    <w:p>
      <w:pPr>
        <w:spacing w:after="0" w:line="24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91" w:lineRule="exact"/>
        <w:rPr>
          <w:sz w:val="20"/>
          <w:szCs w:val="20"/>
          <w:color w:val="auto"/>
        </w:rPr>
      </w:pPr>
    </w:p>
    <w:p>
      <w:pPr>
        <w:jc w:val="both"/>
        <w:ind w:firstLine="46"/>
        <w:spacing w:after="0" w:line="288" w:lineRule="auto"/>
        <w:rPr>
          <w:sz w:val="20"/>
          <w:szCs w:val="20"/>
          <w:color w:val="auto"/>
        </w:rPr>
      </w:pPr>
      <w:r>
        <w:rPr>
          <w:rFonts w:ascii="Arial" w:cs="Arial" w:eastAsia="Arial" w:hAnsi="Arial"/>
          <w:sz w:val="16"/>
          <w:szCs w:val="16"/>
          <w:color w:val="auto"/>
        </w:rPr>
        <w:t>The Company is also exploiting the emerging field of vaccinomics for the development of vaccines applicable to a broad patient population. TapImmune's immunotherapy technologies are also aimed at the prevention of emerging viral pathogens for pandemics and biodefense.</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These consolidated financial statements have been prepared on the basis of a going concern which contemplates the realization of assets and the satisfaction of liabilities in the normal course of business. As at December 31, 2014, the Company had a working capital deficiency and has incurred significant losses since inception in the development of its business. Further losses are anticipated raising substantial doubt as to the Company’s ability to continue as a going concern.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29" w:name="page30"/>
    <w:bookmarkEnd w:id="29"/>
    <w:p>
      <w:pPr>
        <w:jc w:val="both"/>
        <w:spacing w:after="0" w:line="267" w:lineRule="auto"/>
        <w:rPr>
          <w:sz w:val="20"/>
          <w:szCs w:val="20"/>
          <w:color w:val="auto"/>
        </w:rPr>
      </w:pPr>
      <w:r>
        <w:rPr>
          <w:rFonts w:ascii="Arial" w:cs="Arial" w:eastAsia="Arial" w:hAnsi="Arial"/>
          <w:sz w:val="16"/>
          <w:szCs w:val="16"/>
          <w:color w:val="auto"/>
        </w:rPr>
        <w:t>Historically the Company has raised capital through issuances of various financial instruments and the Company recently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There is no certainty that the Company will be able to arrange sufficient funding to satisfy current debt obligations or to continue development of products to marketability.</w:t>
      </w:r>
    </w:p>
    <w:p>
      <w:pPr>
        <w:spacing w:after="0" w:line="24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NOTE 2:</w:t>
        <w:tab/>
        <w:t>SUMMARY OF SIGNIFICANT ACCOUNTING POLICIES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financial statements are presented in United States dollars and have been prepared in accordance with accounting principles generally accepted in the United States of America (“GAAP”).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These financial statements include the accounts of the Company and its wholly-owned subsidiaries GeneMax Pharmaceuticals Inc. (“GPI”) and GeneMax Pharmaceuticals Canada Inc. (“GPC”). All significant intercompany balances and transactions are eliminated upon consolidation. In the fourth quarter of fiscal 2014, the Company dissolved GPC and no longer has any Canadian subsidiary.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and accrued liabilities. Matters impacting the Company’s ability to continue as a going concern and contingencies also involve the use of estimates and assumptions.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7" w:lineRule="exact"/>
        <w:rPr>
          <w:sz w:val="20"/>
          <w:szCs w:val="20"/>
          <w:color w:val="auto"/>
        </w:rPr>
      </w:pPr>
    </w:p>
    <w:p>
      <w:pPr>
        <w:ind w:left="1000" w:hanging="188"/>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1-Quoted prices (unadjusted) in active markets for identical assets and liabilities.</w:t>
      </w:r>
    </w:p>
    <w:p>
      <w:pPr>
        <w:spacing w:after="0" w:line="210" w:lineRule="exact"/>
        <w:rPr>
          <w:rFonts w:ascii="Arial" w:cs="Arial" w:eastAsia="Arial" w:hAnsi="Arial"/>
          <w:sz w:val="16"/>
          <w:szCs w:val="16"/>
          <w:color w:val="auto"/>
        </w:rPr>
      </w:pPr>
    </w:p>
    <w:p>
      <w:pPr>
        <w:jc w:val="both"/>
        <w:ind w:left="820" w:firstLine="583"/>
        <w:spacing w:after="0" w:line="272" w:lineRule="auto"/>
        <w:tabs>
          <w:tab w:leader="none" w:pos="1611" w:val="left"/>
        </w:tabs>
        <w:numPr>
          <w:ilvl w:val="1"/>
          <w:numId w:val="7"/>
        </w:numPr>
        <w:rPr>
          <w:rFonts w:ascii="Arial" w:cs="Arial" w:eastAsia="Arial" w:hAnsi="Arial"/>
          <w:sz w:val="16"/>
          <w:szCs w:val="16"/>
          <w:color w:val="auto"/>
        </w:rPr>
      </w:pPr>
      <w:r>
        <w:rPr>
          <w:rFonts w:ascii="Arial" w:cs="Arial" w:eastAsia="Arial" w:hAnsi="Arial"/>
          <w:sz w:val="16"/>
          <w:szCs w:val="16"/>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7" w:lineRule="exact"/>
        <w:rPr>
          <w:rFonts w:ascii="Arial" w:cs="Arial" w:eastAsia="Arial" w:hAnsi="Arial"/>
          <w:sz w:val="16"/>
          <w:szCs w:val="16"/>
          <w:color w:val="auto"/>
        </w:rPr>
      </w:pPr>
    </w:p>
    <w:p>
      <w:pPr>
        <w:ind w:left="820" w:hanging="8"/>
        <w:spacing w:after="0" w:line="288"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Financial Instruments and Concentration of Credit Risk.</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and liabilities classified as financial instruments.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Period Reclassifications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prior period amounts that were combined in the December 31, 2013 consolidated financial statements have been reclassified for comparability with the December 31, 2014 presentation. These reclassifications had no effect on previously reported net loss.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Stock-Based Compensation</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The expected term of options represents the period that the Company’s stock-based awards are expected to be outstanding based on the simplified method,</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the half-life from vesting to the end of its contractual term.</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computes stock price volatility over expected terms based on its historical common stock trading prices.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 The Company bases the risk-free interest rate on the implied yield available on U.S. Treasury zero-coupon issues with an equivalent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term.</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 The Company has never declared or paid any cash dividends on its common shares and does not plan to pay cash dividends in the foreseeable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Financing Costs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allowances against deferred tax assets.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Liability</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Company evaluates its convertible debt, options, warrants or other contracts to determine if those contracts or embedded components of those contracts qualify as derivatives to be separately accounted for in accordance with ASC 810-10-05-4 and 815-40.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5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1" w:name="page32"/>
    <w:bookmarkEnd w:id="31"/>
    <w:p>
      <w:pPr>
        <w:jc w:val="both"/>
        <w:spacing w:after="0" w:line="265" w:lineRule="auto"/>
        <w:rPr>
          <w:sz w:val="20"/>
          <w:szCs w:val="20"/>
          <w:color w:val="auto"/>
        </w:rPr>
      </w:pPr>
      <w:r>
        <w:rPr>
          <w:rFonts w:ascii="Arial" w:cs="Arial" w:eastAsia="Arial" w:hAnsi="Arial"/>
          <w:sz w:val="16"/>
          <w:szCs w:val="16"/>
          <w:color w:val="auto"/>
        </w:rPr>
        <w:t>In evaluating the application of ASC 815-40, management must determine whether an instrument (or an embedded feature) is indexed to the Company’s own stock. ASC 815-40-15 provides that an entity should use a two-step approach to evaluate whether an equity-linked financial instrument (or embedded feature) is indexed to its own stock, including evaluating the instrument’s contingent exercise and settlement provisions. The application of ASC 815-40-15 has affected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 xml:space="preserve">The Company has evaluated the application ASC 480-10 </w:t>
      </w:r>
      <w:r>
        <w:rPr>
          <w:rFonts w:ascii="Arial" w:cs="Arial" w:eastAsia="Arial" w:hAnsi="Arial"/>
          <w:sz w:val="15"/>
          <w:szCs w:val="15"/>
          <w:i w:val="1"/>
          <w:iCs w:val="1"/>
          <w:color w:val="auto"/>
        </w:rPr>
        <w:t>Distinguishing liabilities from equity</w:t>
      </w:r>
      <w:r>
        <w:rPr>
          <w:rFonts w:ascii="Arial" w:cs="Arial" w:eastAsia="Arial" w:hAnsi="Arial"/>
          <w:sz w:val="15"/>
          <w:szCs w:val="15"/>
          <w:color w:val="auto"/>
        </w:rPr>
        <w:t xml:space="preserve">, ASC 815-40 </w:t>
      </w:r>
      <w:r>
        <w:rPr>
          <w:rFonts w:ascii="Arial" w:cs="Arial" w:eastAsia="Arial" w:hAnsi="Arial"/>
          <w:sz w:val="15"/>
          <w:szCs w:val="15"/>
          <w:i w:val="1"/>
          <w:iCs w:val="1"/>
          <w:color w:val="auto"/>
        </w:rPr>
        <w:t>Contracts in an Entity’s Own Equity</w:t>
      </w:r>
      <w:r>
        <w:rPr>
          <w:rFonts w:ascii="Arial" w:cs="Arial" w:eastAsia="Arial" w:hAnsi="Arial"/>
          <w:sz w:val="15"/>
          <w:szCs w:val="15"/>
          <w:color w:val="auto"/>
        </w:rPr>
        <w:t xml:space="preserve"> and ASC 718-10 </w:t>
      </w:r>
      <w:r>
        <w:rPr>
          <w:rFonts w:ascii="Arial" w:cs="Arial" w:eastAsia="Arial" w:hAnsi="Arial"/>
          <w:sz w:val="15"/>
          <w:szCs w:val="15"/>
          <w:i w:val="1"/>
          <w:iCs w:val="1"/>
          <w:color w:val="auto"/>
        </w:rPr>
        <w:t xml:space="preserve">Compensation – Stock Compensation </w:t>
      </w:r>
      <w:r>
        <w:rPr>
          <w:rFonts w:ascii="Arial" w:cs="Arial" w:eastAsia="Arial" w:hAnsi="Arial"/>
          <w:sz w:val="15"/>
          <w:szCs w:val="15"/>
          <w:color w:val="auto"/>
        </w:rPr>
        <w:t>to the issued and outstanding warrants to purchase common stock that were issued with the convertible notes, private placements,</w:t>
      </w:r>
      <w:r>
        <w:rPr>
          <w:rFonts w:ascii="Arial" w:cs="Arial" w:eastAsia="Arial" w:hAnsi="Arial"/>
          <w:sz w:val="15"/>
          <w:szCs w:val="15"/>
          <w:i w:val="1"/>
          <w:iCs w:val="1"/>
          <w:color w:val="auto"/>
        </w:rPr>
        <w:t xml:space="preserve"> </w:t>
      </w:r>
      <w:r>
        <w:rPr>
          <w:rFonts w:ascii="Arial" w:cs="Arial" w:eastAsia="Arial" w:hAnsi="Arial"/>
          <w:sz w:val="15"/>
          <w:szCs w:val="15"/>
          <w:color w:val="auto"/>
        </w:rPr>
        <w:t>consulting agreements, and various debt 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per Common Share</w:t>
      </w:r>
    </w:p>
    <w:p>
      <w:pPr>
        <w:spacing w:after="0" w:line="239" w:lineRule="exact"/>
        <w:rPr>
          <w:sz w:val="20"/>
          <w:szCs w:val="20"/>
          <w:color w:val="auto"/>
        </w:rPr>
      </w:pPr>
    </w:p>
    <w:p>
      <w:pPr>
        <w:ind w:right="380"/>
        <w:spacing w:after="0" w:line="299" w:lineRule="auto"/>
        <w:rPr>
          <w:sz w:val="20"/>
          <w:szCs w:val="20"/>
          <w:color w:val="auto"/>
        </w:rPr>
      </w:pPr>
      <w:r>
        <w:rPr>
          <w:rFonts w:ascii="Arial" w:cs="Arial" w:eastAsia="Arial" w:hAnsi="Arial"/>
          <w:sz w:val="15"/>
          <w:szCs w:val="15"/>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 per Share Applicable to Common Stockholders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Options, warrants, and convertible debt outstanding were all considered anti-dilutive for the years ended December 31, 2014 and 2013, due to net losses.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not included in the diluted net loss per share calculation because their effect was anti-dilutive as of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820" w:type="dxa"/>
            <w:vAlign w:val="bottom"/>
          </w:tcPr>
          <w:p>
            <w:pPr>
              <w:spacing w:after="0"/>
              <w:rPr>
                <w:sz w:val="18"/>
                <w:szCs w:val="18"/>
                <w:color w:val="auto"/>
              </w:rPr>
            </w:pPr>
          </w:p>
        </w:tc>
        <w:tc>
          <w:tcPr>
            <w:tcW w:w="172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w w:val="94"/>
              </w:rPr>
              <w:t>December 31,</w:t>
            </w:r>
          </w:p>
        </w:tc>
        <w:tc>
          <w:tcPr>
            <w:tcW w:w="780" w:type="dxa"/>
            <w:vAlign w:val="bottom"/>
            <w:tcBorders>
              <w:bottom w:val="single" w:sz="8" w:color="auto"/>
            </w:tcBorders>
          </w:tcPr>
          <w:p>
            <w:pPr>
              <w:spacing w:after="0"/>
              <w:rPr>
                <w:sz w:val="18"/>
                <w:szCs w:val="18"/>
                <w:color w:val="auto"/>
              </w:rPr>
            </w:pPr>
          </w:p>
        </w:tc>
      </w:tr>
      <w:tr>
        <w:trPr>
          <w:trHeight w:val="202"/>
        </w:trPr>
        <w:tc>
          <w:tcPr>
            <w:tcW w:w="8820" w:type="dxa"/>
            <w:vAlign w:val="bottom"/>
          </w:tcPr>
          <w:p>
            <w:pPr>
              <w:spacing w:after="0"/>
              <w:rPr>
                <w:sz w:val="17"/>
                <w:szCs w:val="17"/>
                <w:color w:val="auto"/>
              </w:rPr>
            </w:pP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w w:val="95"/>
              </w:rPr>
              <w:t>2013</w:t>
            </w:r>
          </w:p>
        </w:tc>
      </w:tr>
      <w:tr>
        <w:trPr>
          <w:trHeight w:val="185"/>
        </w:trPr>
        <w:tc>
          <w:tcPr>
            <w:tcW w:w="8820" w:type="dxa"/>
            <w:vAlign w:val="bottom"/>
          </w:tcPr>
          <w:p>
            <w:pPr>
              <w:spacing w:after="0"/>
              <w:rPr>
                <w:sz w:val="20"/>
                <w:szCs w:val="20"/>
                <w:color w:val="auto"/>
              </w:rPr>
            </w:pPr>
            <w:r>
              <w:rPr>
                <w:rFonts w:ascii="Arial" w:cs="Arial" w:eastAsia="Arial" w:hAnsi="Arial"/>
                <w:sz w:val="16"/>
                <w:szCs w:val="16"/>
                <w:color w:val="auto"/>
              </w:rPr>
              <w:t>Common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65,430</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65,430</w:t>
            </w:r>
          </w:p>
        </w:tc>
      </w:tr>
      <w:tr>
        <w:trPr>
          <w:trHeight w:val="197"/>
        </w:trPr>
        <w:tc>
          <w:tcPr>
            <w:tcW w:w="8820" w:type="dxa"/>
            <w:vAlign w:val="bottom"/>
          </w:tcPr>
          <w:p>
            <w:pPr>
              <w:spacing w:after="0"/>
              <w:rPr>
                <w:sz w:val="20"/>
                <w:szCs w:val="20"/>
                <w:color w:val="auto"/>
              </w:rPr>
            </w:pPr>
            <w:r>
              <w:rPr>
                <w:rFonts w:ascii="Arial" w:cs="Arial" w:eastAsia="Arial" w:hAnsi="Arial"/>
                <w:sz w:val="16"/>
                <w:szCs w:val="16"/>
                <w:color w:val="auto"/>
              </w:rPr>
              <w:t>Common stock warrants - equity treatment</w:t>
            </w:r>
          </w:p>
        </w:tc>
        <w:tc>
          <w:tcPr>
            <w:tcW w:w="1140" w:type="dxa"/>
            <w:vAlign w:val="bottom"/>
          </w:tcPr>
          <w:p>
            <w:pPr>
              <w:jc w:val="right"/>
              <w:spacing w:after="0"/>
              <w:rPr>
                <w:sz w:val="20"/>
                <w:szCs w:val="20"/>
                <w:color w:val="auto"/>
              </w:rPr>
            </w:pPr>
            <w:r>
              <w:rPr>
                <w:rFonts w:ascii="Arial" w:cs="Arial" w:eastAsia="Arial" w:hAnsi="Arial"/>
                <w:sz w:val="16"/>
                <w:szCs w:val="16"/>
                <w:color w:val="auto"/>
              </w:rPr>
              <w:t>2,556,133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25,168</w:t>
            </w:r>
          </w:p>
        </w:tc>
      </w:tr>
      <w:tr>
        <w:trPr>
          <w:trHeight w:val="197"/>
        </w:trPr>
        <w:tc>
          <w:tcPr>
            <w:tcW w:w="8820" w:type="dxa"/>
            <w:vAlign w:val="bottom"/>
          </w:tcPr>
          <w:p>
            <w:pPr>
              <w:spacing w:after="0"/>
              <w:rPr>
                <w:sz w:val="20"/>
                <w:szCs w:val="20"/>
                <w:color w:val="auto"/>
              </w:rPr>
            </w:pPr>
            <w:r>
              <w:rPr>
                <w:rFonts w:ascii="Arial" w:cs="Arial" w:eastAsia="Arial" w:hAnsi="Arial"/>
                <w:sz w:val="16"/>
                <w:szCs w:val="16"/>
                <w:color w:val="auto"/>
              </w:rPr>
              <w:t>Common stock warrants - liability treatment</w:t>
            </w:r>
          </w:p>
        </w:tc>
        <w:tc>
          <w:tcPr>
            <w:tcW w:w="1140" w:type="dxa"/>
            <w:vAlign w:val="bottom"/>
          </w:tcPr>
          <w:p>
            <w:pPr>
              <w:jc w:val="right"/>
              <w:spacing w:after="0"/>
              <w:rPr>
                <w:sz w:val="20"/>
                <w:szCs w:val="20"/>
                <w:color w:val="auto"/>
              </w:rPr>
            </w:pPr>
            <w:r>
              <w:rPr>
                <w:rFonts w:ascii="Arial" w:cs="Arial" w:eastAsia="Arial" w:hAnsi="Arial"/>
                <w:sz w:val="16"/>
                <w:szCs w:val="16"/>
                <w:color w:val="auto"/>
              </w:rPr>
              <w:t>103,284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124,284</w:t>
            </w:r>
          </w:p>
        </w:tc>
      </w:tr>
      <w:tr>
        <w:trPr>
          <w:trHeight w:val="214"/>
        </w:trPr>
        <w:tc>
          <w:tcPr>
            <w:tcW w:w="8820" w:type="dxa"/>
            <w:vAlign w:val="bottom"/>
          </w:tcPr>
          <w:p>
            <w:pPr>
              <w:spacing w:after="0"/>
              <w:rPr>
                <w:sz w:val="20"/>
                <w:szCs w:val="20"/>
                <w:color w:val="auto"/>
              </w:rPr>
            </w:pPr>
            <w:r>
              <w:rPr>
                <w:rFonts w:ascii="Arial" w:cs="Arial" w:eastAsia="Arial" w:hAnsi="Arial"/>
                <w:sz w:val="16"/>
                <w:szCs w:val="16"/>
                <w:color w:val="auto"/>
              </w:rPr>
              <w:t>Convertible notes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738,760</w:t>
            </w:r>
          </w:p>
        </w:tc>
      </w:tr>
      <w:tr>
        <w:trPr>
          <w:trHeight w:val="197"/>
        </w:trPr>
        <w:tc>
          <w:tcPr>
            <w:tcW w:w="8820" w:type="dxa"/>
            <w:vAlign w:val="bottom"/>
          </w:tcPr>
          <w:p>
            <w:pPr>
              <w:spacing w:after="0"/>
              <w:rPr>
                <w:sz w:val="20"/>
                <w:szCs w:val="20"/>
                <w:color w:val="auto"/>
              </w:rPr>
            </w:pPr>
            <w:r>
              <w:rPr>
                <w:rFonts w:ascii="Arial" w:cs="Arial" w:eastAsia="Arial" w:hAnsi="Arial"/>
                <w:sz w:val="16"/>
                <w:szCs w:val="16"/>
                <w:color w:val="auto"/>
              </w:rPr>
              <w:t>Excluded potentially dilutive securities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2,724,847</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953,642</w:t>
            </w:r>
          </w:p>
        </w:tc>
      </w:tr>
      <w:tr>
        <w:trPr>
          <w:trHeight w:val="20"/>
        </w:trPr>
        <w:tc>
          <w:tcPr>
            <w:tcW w:w="8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Accounting Standards Update No. 2014-10, </w:t>
      </w:r>
      <w:r>
        <w:rPr>
          <w:rFonts w:ascii="Arial" w:cs="Arial" w:eastAsia="Arial" w:hAnsi="Arial"/>
          <w:sz w:val="16"/>
          <w:szCs w:val="16"/>
          <w:i w:val="1"/>
          <w:iCs w:val="1"/>
          <w:color w:val="auto"/>
        </w:rPr>
        <w:t>Development Stage Entities (Topic 915): Elimination of Certain Financial Reporting Requirements, Including an Amendment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Variable Interest Entities Guidance in Topic 810, Consolidation </w:t>
      </w:r>
      <w:r>
        <w:rPr>
          <w:rFonts w:ascii="Arial" w:cs="Arial" w:eastAsia="Arial" w:hAnsi="Arial"/>
          <w:sz w:val="16"/>
          <w:szCs w:val="16"/>
          <w:color w:val="auto"/>
        </w:rPr>
        <w:t>removes all incremental financial reporting requirements for development stage entities,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removal of reporting of the cumulative results of operations and cash flows for the period from inception to the end of the current period. The update is effective for the first annual period beginning after December 15, 2014. Early adoption is permitted, and the Company has adopted this change effective with its form 10-Q filing for the period ending September 30, 2014.</w:t>
      </w:r>
    </w:p>
    <w:p>
      <w:pPr>
        <w:spacing w:after="0" w:line="191" w:lineRule="exact"/>
        <w:rPr>
          <w:sz w:val="20"/>
          <w:szCs w:val="20"/>
          <w:color w:val="auto"/>
        </w:rPr>
      </w:pPr>
    </w:p>
    <w:p>
      <w:pPr>
        <w:jc w:val="both"/>
        <w:ind w:firstLine="48"/>
        <w:spacing w:after="0" w:line="299" w:lineRule="auto"/>
        <w:rPr>
          <w:sz w:val="20"/>
          <w:szCs w:val="20"/>
          <w:color w:val="auto"/>
        </w:rPr>
      </w:pPr>
      <w:r>
        <w:rPr>
          <w:rFonts w:ascii="Arial" w:cs="Arial" w:eastAsia="Arial" w:hAnsi="Arial"/>
          <w:sz w:val="15"/>
          <w:szCs w:val="15"/>
          <w:color w:val="auto"/>
        </w:rPr>
        <w:t>Accounting Standard Update No. ASU 2014-15, Presentation of Financial Statements—Going Concern (Subtopic 205-40): Disclosure of Uncertainties about an Entity’s Ability to Continue as a Going Concern. The amendments in this update are effective for the annual period ending after December 15, 2016, and for annual periods and interim periods thereafter. Early application is permitted. The Company is currently evaluating the impact of this update on its consolidated financial statements.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2" w:name="page33"/>
    <w:bookmarkEnd w:id="32"/>
    <w:p>
      <w:pPr>
        <w:spacing w:after="0"/>
        <w:tabs>
          <w:tab w:leader="none" w:pos="820" w:val="left"/>
        </w:tabs>
        <w:rPr>
          <w:sz w:val="20"/>
          <w:szCs w:val="20"/>
          <w:color w:val="auto"/>
        </w:rPr>
      </w:pPr>
      <w:r>
        <w:rPr>
          <w:rFonts w:ascii="Arial" w:cs="Arial" w:eastAsia="Arial" w:hAnsi="Arial"/>
          <w:sz w:val="16"/>
          <w:szCs w:val="16"/>
          <w:b w:val="1"/>
          <w:bCs w:val="1"/>
          <w:color w:val="auto"/>
        </w:rPr>
        <w:t>NOTE 3:</w:t>
        <w:tab/>
        <w:t>ACCOUNTS PAYABLE AND ACCRUED LIABILITIES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Payable and Accrued Liabilities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December 31,</w:t>
            </w: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color w:val="auto"/>
              </w:rPr>
              <w:t>December 31,</w:t>
            </w:r>
          </w:p>
        </w:tc>
      </w:tr>
      <w:tr>
        <w:trPr>
          <w:trHeight w:val="214"/>
        </w:trPr>
        <w:tc>
          <w:tcPr>
            <w:tcW w:w="5500" w:type="dxa"/>
            <w:vAlign w:val="bottom"/>
          </w:tcPr>
          <w:p>
            <w:pPr>
              <w:spacing w:after="0"/>
              <w:rPr>
                <w:sz w:val="18"/>
                <w:szCs w:val="18"/>
                <w:color w:val="auto"/>
              </w:rPr>
            </w:pPr>
          </w:p>
        </w:tc>
        <w:tc>
          <w:tcPr>
            <w:tcW w:w="4460" w:type="dxa"/>
            <w:vAlign w:val="bottom"/>
            <w:gridSpan w:val="2"/>
          </w:tcPr>
          <w:p>
            <w:pPr>
              <w:jc w:val="right"/>
              <w:ind w:right="320"/>
              <w:spacing w:after="0"/>
              <w:rPr>
                <w:sz w:val="20"/>
                <w:szCs w:val="20"/>
                <w:color w:val="auto"/>
              </w:rPr>
            </w:pPr>
            <w:r>
              <w:rPr>
                <w:rFonts w:ascii="Arial" w:cs="Arial" w:eastAsia="Arial" w:hAnsi="Arial"/>
                <w:sz w:val="16"/>
                <w:szCs w:val="16"/>
                <w:color w:val="auto"/>
              </w:rPr>
              <w:t>2014</w:t>
            </w:r>
          </w:p>
        </w:tc>
        <w:tc>
          <w:tcPr>
            <w:tcW w:w="220" w:type="dxa"/>
            <w:vAlign w:val="bottom"/>
          </w:tcPr>
          <w:p>
            <w:pPr>
              <w:spacing w:after="0"/>
              <w:rPr>
                <w:sz w:val="18"/>
                <w:szCs w:val="18"/>
                <w:color w:val="auto"/>
              </w:rPr>
            </w:pPr>
          </w:p>
        </w:tc>
        <w:tc>
          <w:tcPr>
            <w:tcW w:w="1140" w:type="dxa"/>
            <w:vAlign w:val="bottom"/>
          </w:tcPr>
          <w:p>
            <w:pPr>
              <w:jc w:val="right"/>
              <w:ind w:right="318"/>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r>
      <w:tr>
        <w:trPr>
          <w:trHeight w:val="208"/>
        </w:trPr>
        <w:tc>
          <w:tcPr>
            <w:tcW w:w="5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tcBorders>
          </w:tcPr>
          <w:p>
            <w:pPr>
              <w:jc w:val="right"/>
              <w:ind w:right="98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ind w:right="97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r>
      <w:tr>
        <w:trPr>
          <w:trHeight w:val="370"/>
        </w:trPr>
        <w:tc>
          <w:tcPr>
            <w:tcW w:w="5500" w:type="dxa"/>
            <w:vAlign w:val="bottom"/>
          </w:tcPr>
          <w:p>
            <w:pPr>
              <w:ind w:left="40"/>
              <w:spacing w:after="0"/>
              <w:rPr>
                <w:sz w:val="20"/>
                <w:szCs w:val="20"/>
                <w:color w:val="auto"/>
              </w:rPr>
            </w:pPr>
            <w:r>
              <w:rPr>
                <w:rFonts w:ascii="Arial" w:cs="Arial" w:eastAsia="Arial" w:hAnsi="Arial"/>
                <w:sz w:val="16"/>
                <w:szCs w:val="16"/>
                <w:color w:val="auto"/>
              </w:rPr>
              <w:t>Trade accounts payable</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620,826</w:t>
            </w:r>
          </w:p>
        </w:tc>
        <w:tc>
          <w:tcPr>
            <w:tcW w:w="2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1,450,083</w:t>
            </w:r>
          </w:p>
        </w:tc>
      </w:tr>
      <w:tr>
        <w:trPr>
          <w:trHeight w:val="197"/>
        </w:trPr>
        <w:tc>
          <w:tcPr>
            <w:tcW w:w="5500" w:type="dxa"/>
            <w:vAlign w:val="bottom"/>
          </w:tcPr>
          <w:p>
            <w:pPr>
              <w:ind w:left="40"/>
              <w:spacing w:after="0"/>
              <w:rPr>
                <w:sz w:val="20"/>
                <w:szCs w:val="20"/>
                <w:color w:val="auto"/>
              </w:rPr>
            </w:pPr>
            <w:r>
              <w:rPr>
                <w:rFonts w:ascii="Arial" w:cs="Arial" w:eastAsia="Arial" w:hAnsi="Arial"/>
                <w:sz w:val="16"/>
                <w:szCs w:val="16"/>
                <w:color w:val="auto"/>
              </w:rPr>
              <w:t>Share-settled debt</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1,348,663</w:t>
            </w:r>
          </w:p>
        </w:tc>
      </w:tr>
      <w:tr>
        <w:trPr>
          <w:trHeight w:val="197"/>
        </w:trPr>
        <w:tc>
          <w:tcPr>
            <w:tcW w:w="5500" w:type="dxa"/>
            <w:vAlign w:val="bottom"/>
          </w:tcPr>
          <w:p>
            <w:pPr>
              <w:ind w:left="40"/>
              <w:spacing w:after="0"/>
              <w:rPr>
                <w:sz w:val="20"/>
                <w:szCs w:val="20"/>
                <w:color w:val="auto"/>
              </w:rPr>
            </w:pPr>
            <w:r>
              <w:rPr>
                <w:rFonts w:ascii="Arial" w:cs="Arial" w:eastAsia="Arial" w:hAnsi="Arial"/>
                <w:sz w:val="16"/>
                <w:szCs w:val="16"/>
                <w:color w:val="auto"/>
              </w:rPr>
              <w:t>Accrued liabilities</w:t>
            </w:r>
          </w:p>
        </w:tc>
        <w:tc>
          <w:tcPr>
            <w:tcW w:w="4680" w:type="dxa"/>
            <w:vAlign w:val="bottom"/>
            <w:gridSpan w:val="3"/>
          </w:tcPr>
          <w:p>
            <w:pPr>
              <w:jc w:val="right"/>
              <w:ind w:right="220"/>
              <w:spacing w:after="0"/>
              <w:rPr>
                <w:sz w:val="20"/>
                <w:szCs w:val="20"/>
                <w:color w:val="auto"/>
              </w:rPr>
            </w:pPr>
            <w:r>
              <w:rPr>
                <w:rFonts w:ascii="Arial" w:cs="Arial" w:eastAsia="Arial" w:hAnsi="Arial"/>
                <w:sz w:val="16"/>
                <w:szCs w:val="16"/>
                <w:color w:val="auto"/>
              </w:rPr>
              <w:t>68,448</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201,334</w:t>
            </w:r>
          </w:p>
        </w:tc>
      </w:tr>
      <w:tr>
        <w:trPr>
          <w:trHeight w:val="197"/>
        </w:trPr>
        <w:tc>
          <w:tcPr>
            <w:tcW w:w="5500" w:type="dxa"/>
            <w:vAlign w:val="bottom"/>
          </w:tcPr>
          <w:p>
            <w:pPr>
              <w:ind w:left="40"/>
              <w:spacing w:after="0"/>
              <w:rPr>
                <w:sz w:val="20"/>
                <w:szCs w:val="20"/>
                <w:color w:val="auto"/>
              </w:rPr>
            </w:pPr>
            <w:r>
              <w:rPr>
                <w:rFonts w:ascii="Arial" w:cs="Arial" w:eastAsia="Arial" w:hAnsi="Arial"/>
                <w:sz w:val="16"/>
                <w:szCs w:val="16"/>
                <w:color w:val="auto"/>
              </w:rPr>
              <w:t>Employee payroll and severance</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220,290</w:t>
            </w:r>
          </w:p>
        </w:tc>
      </w:tr>
      <w:tr>
        <w:trPr>
          <w:trHeight w:val="214"/>
        </w:trPr>
        <w:tc>
          <w:tcPr>
            <w:tcW w:w="550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4,088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558,032</w:t>
            </w:r>
          </w:p>
        </w:tc>
      </w:tr>
      <w:tr>
        <w:trPr>
          <w:trHeight w:val="197"/>
        </w:trPr>
        <w:tc>
          <w:tcPr>
            <w:tcW w:w="55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693,362</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3,778,401</w:t>
            </w:r>
          </w:p>
        </w:tc>
        <w:tc>
          <w:tcPr>
            <w:tcW w:w="10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fiscal 2014 the Company converted $2,415,000 accounts payable and accrued liabilities into 1,836,000 shares of common stock. The fair value of the shares, based on the trading price of the stock on the date of conversion, was $4,349,000 and the Company recorded a loss on extinguishment of $1,934,000.</w:t>
      </w:r>
    </w:p>
    <w:p>
      <w:pPr>
        <w:spacing w:after="0" w:line="17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NOTE 4:</w:t>
        <w:tab/>
        <w:t>RESEARCH AGREEMENTS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Crucell Holland B.V. (“Crucell”) – Research License and Option Agreement</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Effective August 7, 2003, Crucell and the Company’s subsidiary GPI entered into a five-year research license and option agreement. In addition, retroactively effective August 7, 2008, the Company negotiated an amended license agreement for the use of Crucell’s adenovirus technology. The Company was required to make annual license payments on the anniversary of the effective date for the three year term equal to $91,000 per annum for three years through December 2011. As of December 31, 2013 and 2014, the Company accrued $492,365 under the amended agreement, inclusive of 15% interest on outstanding amounts.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not made use of the Crucell technology in its current work and has not asked for nor received any work product. Management hopes to settle the outstanding amounts with Crucell in 2015 and formally terminate the research license.</w:t>
      </w:r>
    </w:p>
    <w:p>
      <w:pPr>
        <w:spacing w:after="0" w:line="17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NOTE 5:</w:t>
        <w:tab/>
        <w:t>DERIVATIVE LIABILITY</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3"/>
              </w:rPr>
              <w:t>Weighted Average Inputs for the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5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4"/>
          </w:tcPr>
          <w:p>
            <w:pPr>
              <w:jc w:val="center"/>
              <w:ind w:left="198"/>
              <w:spacing w:after="0"/>
              <w:rPr>
                <w:sz w:val="20"/>
                <w:szCs w:val="20"/>
                <w:color w:val="auto"/>
              </w:rPr>
            </w:pPr>
            <w:r>
              <w:rPr>
                <w:rFonts w:ascii="Arial" w:cs="Arial" w:eastAsia="Arial" w:hAnsi="Arial"/>
                <w:sz w:val="16"/>
                <w:szCs w:val="16"/>
                <w:b w:val="1"/>
                <w:bCs w:val="1"/>
                <w:color w:val="auto"/>
                <w:w w:val="92"/>
              </w:rPr>
              <w:t>Period</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5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spacing w:after="0"/>
              <w:rPr>
                <w:sz w:val="20"/>
                <w:szCs w:val="20"/>
                <w:color w:val="auto"/>
              </w:rPr>
            </w:pPr>
            <w:r>
              <w:rPr>
                <w:rFonts w:ascii="Arial" w:cs="Arial" w:eastAsia="Arial" w:hAnsi="Arial"/>
                <w:sz w:val="16"/>
                <w:szCs w:val="16"/>
                <w:b w:val="1"/>
                <w:bCs w:val="1"/>
                <w:color w:val="auto"/>
              </w:rPr>
              <w:t>For the Quarter</w:t>
            </w:r>
          </w:p>
        </w:tc>
        <w:tc>
          <w:tcPr>
            <w:tcW w:w="40" w:type="dxa"/>
            <w:vAlign w:val="bottom"/>
          </w:tcPr>
          <w:p>
            <w:pPr>
              <w:spacing w:after="0"/>
              <w:rPr>
                <w:sz w:val="17"/>
                <w:szCs w:val="17"/>
                <w:color w:val="auto"/>
              </w:rPr>
            </w:pPr>
          </w:p>
        </w:tc>
        <w:tc>
          <w:tcPr>
            <w:tcW w:w="1280" w:type="dxa"/>
            <w:vAlign w:val="bottom"/>
            <w:gridSpan w:val="3"/>
          </w:tcPr>
          <w:p>
            <w:pPr>
              <w:spacing w:after="0"/>
              <w:rPr>
                <w:sz w:val="20"/>
                <w:szCs w:val="20"/>
                <w:color w:val="auto"/>
              </w:rPr>
            </w:pPr>
            <w:r>
              <w:rPr>
                <w:rFonts w:ascii="Arial" w:cs="Arial" w:eastAsia="Arial" w:hAnsi="Arial"/>
                <w:sz w:val="16"/>
                <w:szCs w:val="16"/>
                <w:b w:val="1"/>
                <w:bCs w:val="1"/>
                <w:color w:val="auto"/>
              </w:rPr>
              <w:t>For the Quarter</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5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Ending March</w:t>
            </w:r>
          </w:p>
        </w:tc>
        <w:tc>
          <w:tcPr>
            <w:tcW w:w="4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ending June 30,</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8"/>
        </w:trPr>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Date of valuation</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31, 2014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Total</w:t>
            </w:r>
          </w:p>
        </w:tc>
      </w:tr>
      <w:tr>
        <w:trPr>
          <w:trHeight w:val="185"/>
        </w:trPr>
        <w:tc>
          <w:tcPr>
            <w:tcW w:w="5820" w:type="dxa"/>
            <w:vAlign w:val="bottom"/>
          </w:tcPr>
          <w:p>
            <w:pPr>
              <w:spacing w:after="0"/>
              <w:rPr>
                <w:sz w:val="20"/>
                <w:szCs w:val="20"/>
                <w:color w:val="auto"/>
              </w:rPr>
            </w:pPr>
            <w:r>
              <w:rPr>
                <w:rFonts w:ascii="Arial" w:cs="Arial" w:eastAsia="Arial" w:hAnsi="Arial"/>
                <w:sz w:val="16"/>
                <w:szCs w:val="16"/>
                <w:color w:val="auto"/>
              </w:rPr>
              <w:t>Dividend yield (per share)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5820" w:type="dxa"/>
            <w:vAlign w:val="bottom"/>
          </w:tcPr>
          <w:p>
            <w:pPr>
              <w:spacing w:after="0"/>
              <w:rPr>
                <w:sz w:val="20"/>
                <w:szCs w:val="20"/>
                <w:color w:val="auto"/>
              </w:rPr>
            </w:pPr>
            <w:r>
              <w:rPr>
                <w:rFonts w:ascii="Arial" w:cs="Arial" w:eastAsia="Arial" w:hAnsi="Arial"/>
                <w:sz w:val="16"/>
                <w:szCs w:val="16"/>
                <w:color w:val="auto"/>
              </w:rPr>
              <w:t>Strike price</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1.027</w:t>
            </w:r>
          </w:p>
        </w:tc>
        <w:tc>
          <w:tcPr>
            <w:tcW w:w="18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0.88</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5820" w:type="dxa"/>
            <w:vAlign w:val="bottom"/>
          </w:tcPr>
          <w:p>
            <w:pPr>
              <w:spacing w:after="0"/>
              <w:rPr>
                <w:sz w:val="20"/>
                <w:szCs w:val="20"/>
                <w:color w:val="auto"/>
              </w:rPr>
            </w:pPr>
            <w:r>
              <w:rPr>
                <w:rFonts w:ascii="Arial" w:cs="Arial" w:eastAsia="Arial" w:hAnsi="Arial"/>
                <w:sz w:val="16"/>
                <w:szCs w:val="16"/>
                <w:color w:val="auto"/>
              </w:rPr>
              <w:t>Volatility (annual)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199.00%</w:t>
            </w:r>
          </w:p>
        </w:tc>
        <w:tc>
          <w:tcPr>
            <w:tcW w:w="1320" w:type="dxa"/>
            <w:vAlign w:val="bottom"/>
            <w:gridSpan w:val="4"/>
          </w:tcPr>
          <w:p>
            <w:pPr>
              <w:jc w:val="right"/>
              <w:spacing w:after="0"/>
              <w:rPr>
                <w:sz w:val="20"/>
                <w:szCs w:val="20"/>
                <w:color w:val="auto"/>
              </w:rPr>
            </w:pPr>
            <w:r>
              <w:rPr>
                <w:rFonts w:ascii="Arial" w:cs="Arial" w:eastAsia="Arial" w:hAnsi="Arial"/>
                <w:sz w:val="16"/>
                <w:szCs w:val="16"/>
                <w:color w:val="auto"/>
              </w:rPr>
              <w:t>199.00%</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5820" w:type="dxa"/>
            <w:vAlign w:val="bottom"/>
          </w:tcPr>
          <w:p>
            <w:pPr>
              <w:spacing w:after="0"/>
              <w:rPr>
                <w:sz w:val="20"/>
                <w:szCs w:val="20"/>
                <w:color w:val="auto"/>
              </w:rPr>
            </w:pPr>
            <w:r>
              <w:rPr>
                <w:rFonts w:ascii="Arial" w:cs="Arial" w:eastAsia="Arial" w:hAnsi="Arial"/>
                <w:sz w:val="16"/>
                <w:szCs w:val="16"/>
                <w:color w:val="auto"/>
              </w:rPr>
              <w:t>Risk-free rate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0.05%</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0.05%</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8"/>
        </w:trPr>
        <w:tc>
          <w:tcPr>
            <w:tcW w:w="5820" w:type="dxa"/>
            <w:vAlign w:val="bottom"/>
          </w:tcPr>
          <w:p>
            <w:pPr>
              <w:spacing w:after="0"/>
              <w:rPr>
                <w:sz w:val="20"/>
                <w:szCs w:val="20"/>
                <w:color w:val="auto"/>
              </w:rPr>
            </w:pPr>
            <w:r>
              <w:rPr>
                <w:rFonts w:ascii="Arial" w:cs="Arial" w:eastAsia="Arial" w:hAnsi="Arial"/>
                <w:sz w:val="16"/>
                <w:szCs w:val="16"/>
                <w:color w:val="auto"/>
              </w:rPr>
              <w:t>Contractual term (years)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0.24</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0.06</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95"/>
        </w:trPr>
        <w:tc>
          <w:tcPr>
            <w:tcW w:w="5820" w:type="dxa"/>
            <w:vAlign w:val="bottom"/>
          </w:tcPr>
          <w:p>
            <w:pPr>
              <w:spacing w:after="0"/>
              <w:rPr>
                <w:sz w:val="20"/>
                <w:szCs w:val="20"/>
                <w:color w:val="auto"/>
              </w:rPr>
            </w:pPr>
            <w:r>
              <w:rPr>
                <w:rFonts w:ascii="Arial" w:cs="Arial" w:eastAsia="Arial" w:hAnsi="Arial"/>
                <w:sz w:val="16"/>
                <w:szCs w:val="16"/>
                <w:color w:val="auto"/>
              </w:rPr>
              <w:t>Fair value of Conversion Option at extinguishment</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708,000</w:t>
            </w:r>
          </w:p>
        </w:tc>
        <w:tc>
          <w:tcPr>
            <w:tcW w:w="18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4,000</w:t>
            </w:r>
          </w:p>
        </w:tc>
        <w:tc>
          <w:tcPr>
            <w:tcW w:w="240" w:type="dxa"/>
            <w:vAlign w:val="bottom"/>
          </w:tcPr>
          <w:p>
            <w:pPr>
              <w:jc w:val="right"/>
              <w:ind w:right="18"/>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58"/>
              <w:spacing w:after="0"/>
              <w:rPr>
                <w:sz w:val="20"/>
                <w:szCs w:val="20"/>
                <w:color w:val="auto"/>
              </w:rPr>
            </w:pPr>
            <w:r>
              <w:rPr>
                <w:rFonts w:ascii="Arial" w:cs="Arial" w:eastAsia="Arial" w:hAnsi="Arial"/>
                <w:sz w:val="16"/>
                <w:szCs w:val="16"/>
                <w:b w:val="1"/>
                <w:bCs w:val="1"/>
                <w:color w:val="auto"/>
              </w:rPr>
              <w:t>712,000</w:t>
            </w:r>
          </w:p>
        </w:tc>
      </w:tr>
      <w:tr>
        <w:trPr>
          <w:trHeight w:val="25"/>
        </w:trPr>
        <w:tc>
          <w:tcPr>
            <w:tcW w:w="5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3" w:name="page34"/>
    <w:bookmarkEnd w:id="33"/>
    <w:p>
      <w:pPr>
        <w:spacing w:after="0" w:line="264" w:lineRule="auto"/>
        <w:rPr>
          <w:sz w:val="20"/>
          <w:szCs w:val="20"/>
          <w:color w:val="auto"/>
        </w:rPr>
      </w:pPr>
      <w:r>
        <w:rPr>
          <w:rFonts w:ascii="Arial" w:cs="Arial" w:eastAsia="Arial" w:hAnsi="Arial"/>
          <w:sz w:val="16"/>
          <w:szCs w:val="16"/>
          <w:color w:val="auto"/>
        </w:rPr>
        <w:t>A summary of quantitative information with respect to valuation methodology and significant unobservable inputs used for the Company’s common stock purchase warrants that are categorized within Level 3 of the fair value hierarchy for the years ended 2014 and 2013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color w:val="auto"/>
              </w:rPr>
              <w:t>December 31, 2013</w:t>
            </w:r>
          </w:p>
        </w:tc>
        <w:tc>
          <w:tcPr>
            <w:tcW w:w="9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color w:val="auto"/>
              </w:rPr>
              <w:t>December 31, 2014</w:t>
            </w:r>
          </w:p>
        </w:tc>
        <w:tc>
          <w:tcPr>
            <w:tcW w:w="1000" w:type="dxa"/>
            <w:vAlign w:val="bottom"/>
            <w:tcBorders>
              <w:bottom w:val="single" w:sz="8" w:color="auto"/>
            </w:tcBorders>
          </w:tcPr>
          <w:p>
            <w:pPr>
              <w:spacing w:after="0"/>
              <w:rPr>
                <w:sz w:val="17"/>
                <w:szCs w:val="17"/>
                <w:color w:val="auto"/>
              </w:rPr>
            </w:pPr>
          </w:p>
        </w:tc>
      </w:tr>
      <w:tr>
        <w:trPr>
          <w:trHeight w:val="185"/>
        </w:trPr>
        <w:tc>
          <w:tcPr>
            <w:tcW w:w="2160" w:type="dxa"/>
            <w:vAlign w:val="bottom"/>
          </w:tcPr>
          <w:p>
            <w:pPr>
              <w:spacing w:after="0"/>
              <w:rPr>
                <w:sz w:val="16"/>
                <w:szCs w:val="16"/>
                <w:color w:val="auto"/>
              </w:rPr>
            </w:pPr>
          </w:p>
        </w:tc>
        <w:tc>
          <w:tcPr>
            <w:tcW w:w="1500" w:type="dxa"/>
            <w:vAlign w:val="bottom"/>
          </w:tcPr>
          <w:p>
            <w:pPr>
              <w:ind w:left="560"/>
              <w:spacing w:after="0"/>
              <w:rPr>
                <w:sz w:val="20"/>
                <w:szCs w:val="20"/>
                <w:color w:val="auto"/>
              </w:rPr>
            </w:pPr>
            <w:r>
              <w:rPr>
                <w:rFonts w:ascii="Arial" w:cs="Arial" w:eastAsia="Arial" w:hAnsi="Arial"/>
                <w:sz w:val="16"/>
                <w:szCs w:val="16"/>
                <w:color w:val="auto"/>
              </w:rPr>
              <w:t>Contractual</w:t>
            </w: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ind w:left="240"/>
              <w:spacing w:after="0"/>
              <w:rPr>
                <w:sz w:val="20"/>
                <w:szCs w:val="20"/>
                <w:color w:val="auto"/>
              </w:rPr>
            </w:pPr>
            <w:r>
              <w:rPr>
                <w:rFonts w:ascii="Arial" w:cs="Arial" w:eastAsia="Arial" w:hAnsi="Arial"/>
                <w:sz w:val="16"/>
                <w:szCs w:val="16"/>
                <w:color w:val="auto"/>
              </w:rPr>
              <w:t>Contractual</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9"/>
        </w:trPr>
        <w:tc>
          <w:tcPr>
            <w:tcW w:w="2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Life (Years)</w:t>
            </w:r>
          </w:p>
        </w:tc>
        <w:tc>
          <w:tcPr>
            <w:tcW w:w="1240" w:type="dxa"/>
            <w:vAlign w:val="bottom"/>
            <w:tcBorders>
              <w:bottom w:val="single" w:sz="8" w:color="auto"/>
            </w:tcBorders>
          </w:tcPr>
          <w:p>
            <w:pPr>
              <w:jc w:val="center"/>
              <w:ind w:left="18"/>
              <w:spacing w:after="0"/>
              <w:rPr>
                <w:sz w:val="20"/>
                <w:szCs w:val="20"/>
                <w:color w:val="auto"/>
              </w:rPr>
            </w:pPr>
            <w:r>
              <w:rPr>
                <w:rFonts w:ascii="Arial" w:cs="Arial" w:eastAsia="Arial" w:hAnsi="Arial"/>
                <w:sz w:val="16"/>
                <w:szCs w:val="16"/>
                <w:color w:val="auto"/>
                <w:w w:val="92"/>
              </w:rPr>
              <w:t>Risk free Rate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Dividend yield</w:t>
            </w: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rPr>
              <w:t>Volatility</w:t>
            </w: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Life (Years)</w:t>
            </w:r>
          </w:p>
        </w:tc>
        <w:tc>
          <w:tcPr>
            <w:tcW w:w="1140" w:type="dxa"/>
            <w:vAlign w:val="bottom"/>
            <w:tcBorders>
              <w:bottom w:val="single" w:sz="8" w:color="auto"/>
            </w:tcBorders>
          </w:tcPr>
          <w:p>
            <w:pPr>
              <w:jc w:val="center"/>
              <w:ind w:left="18"/>
              <w:spacing w:after="0"/>
              <w:rPr>
                <w:sz w:val="20"/>
                <w:szCs w:val="20"/>
                <w:color w:val="auto"/>
              </w:rPr>
            </w:pPr>
            <w:r>
              <w:rPr>
                <w:rFonts w:ascii="Arial" w:cs="Arial" w:eastAsia="Arial" w:hAnsi="Arial"/>
                <w:sz w:val="16"/>
                <w:szCs w:val="16"/>
                <w:color w:val="auto"/>
                <w:w w:val="90"/>
              </w:rPr>
              <w:t>Risk free Rate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Dividend yield</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Volatility</w:t>
            </w: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5"/>
        </w:trPr>
        <w:tc>
          <w:tcPr>
            <w:tcW w:w="2160" w:type="dxa"/>
            <w:vAlign w:val="bottom"/>
          </w:tcPr>
          <w:p>
            <w:pPr>
              <w:spacing w:after="0" w:line="175" w:lineRule="exact"/>
              <w:rPr>
                <w:sz w:val="20"/>
                <w:szCs w:val="20"/>
                <w:color w:val="auto"/>
              </w:rPr>
            </w:pPr>
            <w:r>
              <w:rPr>
                <w:rFonts w:ascii="Arial" w:cs="Arial" w:eastAsia="Arial" w:hAnsi="Arial"/>
                <w:sz w:val="16"/>
                <w:szCs w:val="16"/>
                <w:color w:val="auto"/>
              </w:rPr>
              <w:t>Share purchase warrants</w:t>
            </w:r>
          </w:p>
        </w:tc>
        <w:tc>
          <w:tcPr>
            <w:tcW w:w="1500" w:type="dxa"/>
            <w:vAlign w:val="bottom"/>
          </w:tcPr>
          <w:p>
            <w:pPr>
              <w:ind w:left="560"/>
              <w:spacing w:after="0" w:line="175" w:lineRule="exact"/>
              <w:rPr>
                <w:sz w:val="20"/>
                <w:szCs w:val="20"/>
                <w:color w:val="auto"/>
              </w:rPr>
            </w:pPr>
            <w:r>
              <w:rPr>
                <w:rFonts w:ascii="Arial" w:cs="Arial" w:eastAsia="Arial" w:hAnsi="Arial"/>
                <w:sz w:val="16"/>
                <w:szCs w:val="16"/>
                <w:color w:val="auto"/>
              </w:rPr>
              <w:t>0.85 to 2.78</w:t>
            </w:r>
          </w:p>
        </w:tc>
        <w:tc>
          <w:tcPr>
            <w:tcW w:w="1240" w:type="dxa"/>
            <w:vAlign w:val="bottom"/>
          </w:tcPr>
          <w:p>
            <w:pPr>
              <w:jc w:val="center"/>
              <w:ind w:left="18"/>
              <w:spacing w:after="0" w:line="175" w:lineRule="exact"/>
              <w:rPr>
                <w:sz w:val="20"/>
                <w:szCs w:val="20"/>
                <w:color w:val="auto"/>
              </w:rPr>
            </w:pPr>
            <w:r>
              <w:rPr>
                <w:rFonts w:ascii="Arial" w:cs="Arial" w:eastAsia="Arial" w:hAnsi="Arial"/>
                <w:sz w:val="16"/>
                <w:szCs w:val="16"/>
                <w:color w:val="auto"/>
                <w:w w:val="93"/>
              </w:rPr>
              <w:t>0.13% to 0.78%</w:t>
            </w:r>
          </w:p>
        </w:tc>
        <w:tc>
          <w:tcPr>
            <w:tcW w:w="1140" w:type="dxa"/>
            <w:vAlign w:val="bottom"/>
          </w:tcPr>
          <w:p>
            <w:pPr>
              <w:jc w:val="right"/>
              <w:ind w:right="318"/>
              <w:spacing w:after="0" w:line="175" w:lineRule="exact"/>
              <w:rPr>
                <w:sz w:val="20"/>
                <w:szCs w:val="20"/>
                <w:color w:val="auto"/>
              </w:rPr>
            </w:pPr>
            <w:r>
              <w:rPr>
                <w:rFonts w:ascii="Arial" w:cs="Arial" w:eastAsia="Arial" w:hAnsi="Arial"/>
                <w:sz w:val="16"/>
                <w:szCs w:val="16"/>
                <w:color w:val="auto"/>
              </w:rPr>
              <w:t>0.00%</w:t>
            </w:r>
          </w:p>
        </w:tc>
        <w:tc>
          <w:tcPr>
            <w:tcW w:w="960" w:type="dxa"/>
            <w:vAlign w:val="bottom"/>
          </w:tcPr>
          <w:p>
            <w:pPr>
              <w:jc w:val="right"/>
              <w:ind w:right="258"/>
              <w:spacing w:after="0" w:line="175" w:lineRule="exact"/>
              <w:rPr>
                <w:sz w:val="20"/>
                <w:szCs w:val="20"/>
                <w:color w:val="auto"/>
              </w:rPr>
            </w:pPr>
            <w:r>
              <w:rPr>
                <w:rFonts w:ascii="Arial" w:cs="Arial" w:eastAsia="Arial" w:hAnsi="Arial"/>
                <w:sz w:val="16"/>
                <w:szCs w:val="16"/>
                <w:color w:val="auto"/>
              </w:rPr>
              <w:t>199%</w:t>
            </w:r>
          </w:p>
        </w:tc>
        <w:tc>
          <w:tcPr>
            <w:tcW w:w="1180" w:type="dxa"/>
            <w:vAlign w:val="bottom"/>
          </w:tcPr>
          <w:p>
            <w:pPr>
              <w:ind w:left="240"/>
              <w:spacing w:after="0" w:line="175" w:lineRule="exact"/>
              <w:rPr>
                <w:sz w:val="20"/>
                <w:szCs w:val="20"/>
                <w:color w:val="auto"/>
              </w:rPr>
            </w:pPr>
            <w:r>
              <w:rPr>
                <w:rFonts w:ascii="Arial" w:cs="Arial" w:eastAsia="Arial" w:hAnsi="Arial"/>
                <w:sz w:val="16"/>
                <w:szCs w:val="16"/>
                <w:color w:val="auto"/>
              </w:rPr>
              <w:t>1.22 to 3.53</w:t>
            </w:r>
          </w:p>
        </w:tc>
        <w:tc>
          <w:tcPr>
            <w:tcW w:w="1140" w:type="dxa"/>
            <w:vAlign w:val="bottom"/>
          </w:tcPr>
          <w:p>
            <w:pPr>
              <w:jc w:val="center"/>
              <w:ind w:left="18"/>
              <w:spacing w:after="0" w:line="175" w:lineRule="exact"/>
              <w:rPr>
                <w:sz w:val="20"/>
                <w:szCs w:val="20"/>
                <w:color w:val="auto"/>
              </w:rPr>
            </w:pPr>
            <w:r>
              <w:rPr>
                <w:rFonts w:ascii="Arial" w:cs="Arial" w:eastAsia="Arial" w:hAnsi="Arial"/>
                <w:sz w:val="16"/>
                <w:szCs w:val="16"/>
                <w:color w:val="auto"/>
                <w:w w:val="94"/>
              </w:rPr>
              <w:t>0.25% to</w:t>
            </w:r>
          </w:p>
        </w:tc>
        <w:tc>
          <w:tcPr>
            <w:tcW w:w="1100" w:type="dxa"/>
            <w:vAlign w:val="bottom"/>
          </w:tcPr>
          <w:p>
            <w:pPr>
              <w:jc w:val="right"/>
              <w:ind w:right="278"/>
              <w:spacing w:after="0" w:line="175" w:lineRule="exact"/>
              <w:rPr>
                <w:sz w:val="20"/>
                <w:szCs w:val="20"/>
                <w:color w:val="auto"/>
              </w:rPr>
            </w:pPr>
            <w:r>
              <w:rPr>
                <w:rFonts w:ascii="Arial" w:cs="Arial" w:eastAsia="Arial" w:hAnsi="Arial"/>
                <w:sz w:val="16"/>
                <w:szCs w:val="16"/>
                <w:color w:val="auto"/>
              </w:rPr>
              <w:t>0.00%</w:t>
            </w:r>
          </w:p>
        </w:tc>
        <w:tc>
          <w:tcPr>
            <w:tcW w:w="1000" w:type="dxa"/>
            <w:vAlign w:val="bottom"/>
          </w:tcPr>
          <w:p>
            <w:pPr>
              <w:jc w:val="center"/>
              <w:spacing w:after="0" w:line="175" w:lineRule="exact"/>
              <w:rPr>
                <w:sz w:val="20"/>
                <w:szCs w:val="20"/>
                <w:color w:val="auto"/>
              </w:rPr>
            </w:pPr>
            <w:r>
              <w:rPr>
                <w:rFonts w:ascii="Arial" w:cs="Arial" w:eastAsia="Arial" w:hAnsi="Arial"/>
                <w:sz w:val="16"/>
                <w:szCs w:val="16"/>
                <w:color w:val="auto"/>
                <w:w w:val="93"/>
              </w:rPr>
              <w:t>155.90% to</w:t>
            </w:r>
          </w:p>
        </w:tc>
      </w:tr>
      <w:tr>
        <w:trPr>
          <w:trHeight w:val="209"/>
        </w:trPr>
        <w:tc>
          <w:tcPr>
            <w:tcW w:w="2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18"/>
              <w:spacing w:after="0"/>
              <w:rPr>
                <w:sz w:val="20"/>
                <w:szCs w:val="20"/>
                <w:color w:val="auto"/>
              </w:rPr>
            </w:pPr>
            <w:r>
              <w:rPr>
                <w:rFonts w:ascii="Arial" w:cs="Arial" w:eastAsia="Arial" w:hAnsi="Arial"/>
                <w:sz w:val="16"/>
                <w:szCs w:val="16"/>
                <w:color w:val="auto"/>
                <w:w w:val="96"/>
              </w:rPr>
              <w:t>1.10%</w:t>
            </w:r>
          </w:p>
        </w:tc>
        <w:tc>
          <w:tcPr>
            <w:tcW w:w="1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190.68%</w:t>
            </w: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Assets and Liabilities Measured at Fair Value on a Recurring Basis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Financial assets and liabilities measured at fair value on a recurring basis are summarized below and disclosed on the balance sheet under Derivative liability – warrants and</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Derivative liability – conversion option:</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5"/>
          </w:tcPr>
          <w:p>
            <w:pPr>
              <w:ind w:left="1040"/>
              <w:spacing w:after="0"/>
              <w:rPr>
                <w:sz w:val="20"/>
                <w:szCs w:val="20"/>
                <w:color w:val="auto"/>
              </w:rPr>
            </w:pPr>
            <w:r>
              <w:rPr>
                <w:rFonts w:ascii="Arial" w:cs="Arial" w:eastAsia="Arial" w:hAnsi="Arial"/>
                <w:sz w:val="16"/>
                <w:szCs w:val="16"/>
                <w:b w:val="1"/>
                <w:bCs w:val="1"/>
                <w:color w:val="auto"/>
                <w:w w:val="99"/>
              </w:rPr>
              <w:t>As of December 31, 2014</w:t>
            </w: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02"/>
        </w:trPr>
        <w:tc>
          <w:tcPr>
            <w:tcW w:w="4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5"/>
          </w:tcPr>
          <w:p>
            <w:pPr>
              <w:ind w:left="1040"/>
              <w:spacing w:after="0"/>
              <w:rPr>
                <w:sz w:val="20"/>
                <w:szCs w:val="20"/>
                <w:color w:val="auto"/>
              </w:rPr>
            </w:pPr>
            <w:r>
              <w:rPr>
                <w:rFonts w:ascii="Arial" w:cs="Arial" w:eastAsia="Arial" w:hAnsi="Arial"/>
                <w:sz w:val="16"/>
                <w:szCs w:val="16"/>
                <w:b w:val="1"/>
                <w:bCs w:val="1"/>
                <w:color w:val="auto"/>
                <w:w w:val="97"/>
              </w:rPr>
              <w:t>Fair Value Measurements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Level 1</w:t>
            </w:r>
          </w:p>
        </w:tc>
        <w:tc>
          <w:tcPr>
            <w:tcW w:w="1120" w:type="dxa"/>
            <w:vAlign w:val="bottom"/>
          </w:tcPr>
          <w:p>
            <w:pPr>
              <w:jc w:val="right"/>
              <w:ind w:right="218"/>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18"/>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197"/>
        </w:trPr>
        <w:tc>
          <w:tcPr>
            <w:tcW w:w="4700" w:type="dxa"/>
            <w:vAlign w:val="bottom"/>
            <w:gridSpan w:val="2"/>
          </w:tcPr>
          <w:p>
            <w:pPr>
              <w:spacing w:after="0"/>
              <w:rPr>
                <w:sz w:val="20"/>
                <w:szCs w:val="20"/>
                <w:color w:val="auto"/>
              </w:rPr>
            </w:pPr>
            <w:r>
              <w:rPr>
                <w:rFonts w:ascii="Arial" w:cs="Arial" w:eastAsia="Arial" w:hAnsi="Arial"/>
                <w:sz w:val="16"/>
                <w:szCs w:val="16"/>
                <w:color w:val="auto"/>
              </w:rPr>
              <w:t>Derivative liability - warrants</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9,415</w:t>
            </w:r>
          </w:p>
        </w:tc>
        <w:tc>
          <w:tcPr>
            <w:tcW w:w="16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9,415</w:t>
            </w:r>
          </w:p>
        </w:tc>
        <w:tc>
          <w:tcPr>
            <w:tcW w:w="46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9,415</w:t>
            </w:r>
          </w:p>
        </w:tc>
      </w:tr>
      <w:tr>
        <w:trPr>
          <w:trHeight w:val="209"/>
        </w:trPr>
        <w:tc>
          <w:tcPr>
            <w:tcW w:w="458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8"/>
                <w:szCs w:val="18"/>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9,415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9,415</w:t>
            </w:r>
          </w:p>
        </w:tc>
        <w:tc>
          <w:tcPr>
            <w:tcW w:w="46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9,415</w:t>
            </w:r>
          </w:p>
        </w:tc>
      </w:tr>
      <w:tr>
        <w:trPr>
          <w:trHeight w:val="20"/>
        </w:trPr>
        <w:tc>
          <w:tcPr>
            <w:tcW w:w="4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8"/>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2"/>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ind w:left="1040"/>
              <w:spacing w:after="0"/>
              <w:rPr>
                <w:sz w:val="20"/>
                <w:szCs w:val="20"/>
                <w:color w:val="auto"/>
              </w:rPr>
            </w:pPr>
            <w:r>
              <w:rPr>
                <w:rFonts w:ascii="Arial" w:cs="Arial" w:eastAsia="Arial" w:hAnsi="Arial"/>
                <w:sz w:val="16"/>
                <w:szCs w:val="16"/>
                <w:b w:val="1"/>
                <w:bCs w:val="1"/>
                <w:color w:val="auto"/>
                <w:w w:val="99"/>
              </w:rPr>
              <w:t>As of December 31, 2013</w:t>
            </w: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5"/>
          </w:tcPr>
          <w:p>
            <w:pPr>
              <w:ind w:left="1040"/>
              <w:spacing w:after="0"/>
              <w:rPr>
                <w:sz w:val="20"/>
                <w:szCs w:val="20"/>
                <w:color w:val="auto"/>
              </w:rPr>
            </w:pPr>
            <w:r>
              <w:rPr>
                <w:rFonts w:ascii="Arial" w:cs="Arial" w:eastAsia="Arial" w:hAnsi="Arial"/>
                <w:sz w:val="16"/>
                <w:szCs w:val="16"/>
                <w:b w:val="1"/>
                <w:bCs w:val="1"/>
                <w:color w:val="auto"/>
                <w:w w:val="97"/>
              </w:rPr>
              <w:t>Fair Value Measurements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Carrying Value</w:t>
            </w:r>
          </w:p>
        </w:tc>
        <w:tc>
          <w:tcPr>
            <w:tcW w:w="24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Level 1</w:t>
            </w:r>
          </w:p>
        </w:tc>
        <w:tc>
          <w:tcPr>
            <w:tcW w:w="1120" w:type="dxa"/>
            <w:vAlign w:val="bottom"/>
          </w:tcPr>
          <w:p>
            <w:pPr>
              <w:jc w:val="right"/>
              <w:ind w:right="218"/>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18"/>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197"/>
        </w:trPr>
        <w:tc>
          <w:tcPr>
            <w:tcW w:w="4700" w:type="dxa"/>
            <w:vAlign w:val="bottom"/>
            <w:gridSpan w:val="2"/>
          </w:tcPr>
          <w:p>
            <w:pPr>
              <w:spacing w:after="0"/>
              <w:rPr>
                <w:sz w:val="20"/>
                <w:szCs w:val="20"/>
                <w:color w:val="auto"/>
              </w:rPr>
            </w:pPr>
            <w:r>
              <w:rPr>
                <w:rFonts w:ascii="Arial" w:cs="Arial" w:eastAsia="Arial" w:hAnsi="Arial"/>
                <w:sz w:val="16"/>
                <w:szCs w:val="16"/>
                <w:color w:val="auto"/>
              </w:rPr>
              <w:t>Derivative liability - warrants</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140,504</w:t>
            </w:r>
          </w:p>
        </w:tc>
        <w:tc>
          <w:tcPr>
            <w:tcW w:w="16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140,504</w:t>
            </w:r>
          </w:p>
        </w:tc>
        <w:tc>
          <w:tcPr>
            <w:tcW w:w="46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140,504</w:t>
            </w:r>
          </w:p>
        </w:tc>
      </w:tr>
      <w:tr>
        <w:trPr>
          <w:trHeight w:val="214"/>
        </w:trPr>
        <w:tc>
          <w:tcPr>
            <w:tcW w:w="4700" w:type="dxa"/>
            <w:vAlign w:val="bottom"/>
            <w:gridSpan w:val="2"/>
          </w:tcPr>
          <w:p>
            <w:pPr>
              <w:spacing w:after="0"/>
              <w:rPr>
                <w:sz w:val="20"/>
                <w:szCs w:val="20"/>
                <w:color w:val="auto"/>
              </w:rPr>
            </w:pPr>
            <w:r>
              <w:rPr>
                <w:rFonts w:ascii="Arial" w:cs="Arial" w:eastAsia="Arial" w:hAnsi="Arial"/>
                <w:sz w:val="16"/>
                <w:szCs w:val="16"/>
                <w:color w:val="auto"/>
              </w:rPr>
              <w:t>Derivative liability – conversion option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582,300</w:t>
            </w:r>
          </w:p>
        </w:tc>
        <w:tc>
          <w:tcPr>
            <w:tcW w:w="16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582,300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582,300</w:t>
            </w:r>
          </w:p>
        </w:tc>
      </w:tr>
      <w:tr>
        <w:trPr>
          <w:trHeight w:val="197"/>
        </w:trPr>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722,804</w:t>
            </w:r>
          </w:p>
        </w:tc>
        <w:tc>
          <w:tcPr>
            <w:tcW w:w="2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722,804</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722,804</w:t>
            </w:r>
          </w:p>
        </w:tc>
        <w:tc>
          <w:tcPr>
            <w:tcW w:w="100" w:type="dxa"/>
            <w:vAlign w:val="bottom"/>
          </w:tcPr>
          <w:p>
            <w:pPr>
              <w:spacing w:after="0"/>
              <w:rPr>
                <w:sz w:val="17"/>
                <w:szCs w:val="17"/>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between Level 1, 2 or 3 during the year ended December 31, 2014.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8"/>
        </w:trPr>
        <w:tc>
          <w:tcPr>
            <w:tcW w:w="8820" w:type="dxa"/>
            <w:vAlign w:val="bottom"/>
          </w:tcPr>
          <w:p>
            <w:pPr>
              <w:spacing w:after="0"/>
              <w:rPr>
                <w:sz w:val="20"/>
                <w:szCs w:val="20"/>
                <w:color w:val="auto"/>
              </w:rPr>
            </w:pPr>
            <w:r>
              <w:rPr>
                <w:rFonts w:ascii="Arial" w:cs="Arial" w:eastAsia="Arial" w:hAnsi="Arial"/>
                <w:sz w:val="16"/>
                <w:szCs w:val="16"/>
                <w:color w:val="auto"/>
              </w:rPr>
              <w:t>The following table presents changes in Level 3 liabilities measured at fair value for the year ended December 31, 2014: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6"/>
                <w:szCs w:val="16"/>
                <w:color w:val="auto"/>
                <w:w w:val="98"/>
              </w:rPr>
              <w:t>Derivative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color w:val="auto"/>
              </w:rPr>
              <w:t>liability –</w:t>
            </w:r>
          </w:p>
        </w:tc>
        <w:tc>
          <w:tcPr>
            <w:tcW w:w="16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Derivative</w:t>
            </w:r>
          </w:p>
        </w:tc>
        <w:tc>
          <w:tcPr>
            <w:tcW w:w="0" w:type="dxa"/>
            <w:vAlign w:val="bottom"/>
          </w:tcPr>
          <w:p>
            <w:pPr>
              <w:spacing w:after="0"/>
              <w:rPr>
                <w:sz w:val="1"/>
                <w:szCs w:val="1"/>
                <w:color w:val="auto"/>
              </w:rPr>
            </w:pPr>
          </w:p>
        </w:tc>
      </w:tr>
      <w:tr>
        <w:trPr>
          <w:trHeight w:val="197"/>
        </w:trPr>
        <w:tc>
          <w:tcPr>
            <w:tcW w:w="8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color w:val="auto"/>
                <w:w w:val="93"/>
              </w:rPr>
              <w:t>conversion</w:t>
            </w:r>
          </w:p>
        </w:tc>
        <w:tc>
          <w:tcPr>
            <w:tcW w:w="16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color w:val="auto"/>
              </w:rPr>
              <w:t>liability –</w:t>
            </w:r>
          </w:p>
        </w:tc>
        <w:tc>
          <w:tcPr>
            <w:tcW w:w="0" w:type="dxa"/>
            <w:vAlign w:val="bottom"/>
          </w:tcPr>
          <w:p>
            <w:pPr>
              <w:spacing w:after="0"/>
              <w:rPr>
                <w:sz w:val="1"/>
                <w:szCs w:val="1"/>
                <w:color w:val="auto"/>
              </w:rPr>
            </w:pPr>
          </w:p>
        </w:tc>
      </w:tr>
      <w:tr>
        <w:trPr>
          <w:trHeight w:val="214"/>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color w:val="auto"/>
                <w:w w:val="96"/>
              </w:rPr>
              <w:t>option</w:t>
            </w: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warrants</w:t>
            </w:r>
          </w:p>
        </w:tc>
        <w:tc>
          <w:tcPr>
            <w:tcW w:w="0" w:type="dxa"/>
            <w:vAlign w:val="bottom"/>
          </w:tcPr>
          <w:p>
            <w:pPr>
              <w:spacing w:after="0"/>
              <w:rPr>
                <w:sz w:val="1"/>
                <w:szCs w:val="1"/>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6"/>
                <w:szCs w:val="16"/>
                <w:color w:val="auto"/>
              </w:rPr>
              <w:t>Balance – January 1, 2013</w:t>
            </w: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868,000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977,000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820" w:type="dxa"/>
            <w:vAlign w:val="bottom"/>
          </w:tcPr>
          <w:p>
            <w:pPr>
              <w:spacing w:after="0"/>
              <w:rPr>
                <w:sz w:val="20"/>
                <w:szCs w:val="20"/>
                <w:color w:val="auto"/>
              </w:rPr>
            </w:pPr>
            <w:r>
              <w:rPr>
                <w:rFonts w:ascii="Arial" w:cs="Arial" w:eastAsia="Arial" w:hAnsi="Arial"/>
                <w:sz w:val="16"/>
                <w:szCs w:val="16"/>
                <w:color w:val="auto"/>
              </w:rPr>
              <w:t>Additions during the year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811,000</w:t>
            </w:r>
          </w:p>
        </w:tc>
        <w:tc>
          <w:tcPr>
            <w:tcW w:w="1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206,000</w:t>
            </w:r>
          </w:p>
        </w:tc>
        <w:tc>
          <w:tcPr>
            <w:tcW w:w="0" w:type="dxa"/>
            <w:vAlign w:val="bottom"/>
          </w:tcPr>
          <w:p>
            <w:pPr>
              <w:spacing w:after="0"/>
              <w:rPr>
                <w:sz w:val="1"/>
                <w:szCs w:val="1"/>
                <w:color w:val="auto"/>
              </w:rPr>
            </w:pPr>
          </w:p>
        </w:tc>
      </w:tr>
      <w:tr>
        <w:trPr>
          <w:trHeight w:val="197"/>
        </w:trPr>
        <w:tc>
          <w:tcPr>
            <w:tcW w:w="8820" w:type="dxa"/>
            <w:vAlign w:val="bottom"/>
          </w:tcPr>
          <w:p>
            <w:pPr>
              <w:spacing w:after="0"/>
              <w:rPr>
                <w:sz w:val="20"/>
                <w:szCs w:val="20"/>
                <w:color w:val="auto"/>
              </w:rPr>
            </w:pPr>
            <w:r>
              <w:rPr>
                <w:rFonts w:ascii="Arial" w:cs="Arial" w:eastAsia="Arial" w:hAnsi="Arial"/>
                <w:sz w:val="16"/>
                <w:szCs w:val="16"/>
                <w:color w:val="auto"/>
              </w:rPr>
              <w:t>Total unrealized (gains) or losses included in net 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(1,096,000)</w:t>
            </w:r>
          </w:p>
        </w:tc>
        <w:tc>
          <w:tcPr>
            <w:tcW w:w="1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6"/>
                <w:szCs w:val="16"/>
                <w:color w:val="auto"/>
              </w:rPr>
              <w:t>Change in fair value of warrant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(1,043,000)</w:t>
            </w:r>
          </w:p>
        </w:tc>
        <w:tc>
          <w:tcPr>
            <w:tcW w:w="0" w:type="dxa"/>
            <w:vAlign w:val="bottom"/>
          </w:tcPr>
          <w:p>
            <w:pPr>
              <w:spacing w:after="0"/>
              <w:rPr>
                <w:sz w:val="1"/>
                <w:szCs w:val="1"/>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6"/>
                <w:szCs w:val="16"/>
                <w:color w:val="auto"/>
              </w:rPr>
              <w:t>Balance – December 31, 2013</w:t>
            </w: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583,000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820" w:type="dxa"/>
            <w:vAlign w:val="bottom"/>
          </w:tcPr>
          <w:p>
            <w:pPr>
              <w:spacing w:after="0"/>
              <w:rPr>
                <w:sz w:val="20"/>
                <w:szCs w:val="20"/>
                <w:color w:val="auto"/>
              </w:rPr>
            </w:pPr>
            <w:r>
              <w:rPr>
                <w:rFonts w:ascii="Arial" w:cs="Arial" w:eastAsia="Arial" w:hAnsi="Arial"/>
                <w:sz w:val="16"/>
                <w:szCs w:val="16"/>
                <w:color w:val="auto"/>
              </w:rPr>
              <w:t>Gain on settlement of debt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(714,000)</w:t>
            </w:r>
          </w:p>
        </w:tc>
        <w:tc>
          <w:tcPr>
            <w:tcW w:w="1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820" w:type="dxa"/>
            <w:vAlign w:val="bottom"/>
          </w:tcPr>
          <w:p>
            <w:pPr>
              <w:spacing w:after="0"/>
              <w:rPr>
                <w:sz w:val="20"/>
                <w:szCs w:val="20"/>
                <w:color w:val="auto"/>
              </w:rPr>
            </w:pPr>
            <w:r>
              <w:rPr>
                <w:rFonts w:ascii="Arial" w:cs="Arial" w:eastAsia="Arial" w:hAnsi="Arial"/>
                <w:sz w:val="16"/>
                <w:szCs w:val="16"/>
                <w:color w:val="auto"/>
              </w:rPr>
              <w:t>Change in fair value of conversion option liability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6"/>
                <w:szCs w:val="16"/>
                <w:color w:val="auto"/>
              </w:rPr>
              <w:t>Change in fair value of warrant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(131,000)</w:t>
            </w:r>
          </w:p>
        </w:tc>
        <w:tc>
          <w:tcPr>
            <w:tcW w:w="0" w:type="dxa"/>
            <w:vAlign w:val="bottom"/>
          </w:tcPr>
          <w:p>
            <w:pPr>
              <w:spacing w:after="0"/>
              <w:rPr>
                <w:sz w:val="1"/>
                <w:szCs w:val="1"/>
                <w:color w:val="auto"/>
              </w:rPr>
            </w:pPr>
          </w:p>
        </w:tc>
      </w:tr>
      <w:tr>
        <w:trPr>
          <w:trHeight w:val="197"/>
        </w:trPr>
        <w:tc>
          <w:tcPr>
            <w:tcW w:w="8820" w:type="dxa"/>
            <w:vAlign w:val="bottom"/>
          </w:tcPr>
          <w:p>
            <w:pPr>
              <w:spacing w:after="0"/>
              <w:rPr>
                <w:sz w:val="20"/>
                <w:szCs w:val="20"/>
                <w:color w:val="auto"/>
              </w:rPr>
            </w:pPr>
            <w:r>
              <w:rPr>
                <w:rFonts w:ascii="Arial" w:cs="Arial" w:eastAsia="Arial" w:hAnsi="Arial"/>
                <w:sz w:val="16"/>
                <w:szCs w:val="16"/>
                <w:color w:val="auto"/>
              </w:rPr>
              <w:t>Balance – December 31, 2014</w:t>
            </w: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5" w:name="page36"/>
    <w:bookmarkEnd w:id="35"/>
    <w:p>
      <w:pPr>
        <w:spacing w:after="0"/>
        <w:tabs>
          <w:tab w:leader="none" w:pos="820" w:val="left"/>
        </w:tabs>
        <w:rPr>
          <w:sz w:val="20"/>
          <w:szCs w:val="20"/>
          <w:color w:val="auto"/>
        </w:rPr>
      </w:pPr>
      <w:r>
        <w:rPr>
          <w:rFonts w:ascii="Arial" w:cs="Arial" w:eastAsia="Arial" w:hAnsi="Arial"/>
          <w:sz w:val="16"/>
          <w:szCs w:val="16"/>
          <w:b w:val="1"/>
          <w:bCs w:val="1"/>
          <w:color w:val="auto"/>
        </w:rPr>
        <w:t>NOTE 6:</w:t>
        <w:tab/>
        <w:t>CONVERTIBLE NOTES PAYABLE</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Company’s outstanding convertible note obligations:</w:t>
      </w:r>
    </w:p>
    <w:p>
      <w:pPr>
        <w:sectPr>
          <w:pgSz w:w="11900" w:h="16838" w:orient="portrait"/>
          <w:cols w:equalWidth="0" w:num="1">
            <w:col w:w="11420"/>
          </w:cols>
          <w:pgMar w:left="240" w:top="702" w:right="239" w:bottom="1440" w:gutter="0" w:footer="0" w:header="0"/>
        </w:sect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Stated</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213"/>
        </w:trPr>
        <w:tc>
          <w:tcPr>
            <w:tcW w:w="1400" w:type="dxa"/>
            <w:vAlign w:val="bottom"/>
          </w:tcPr>
          <w:p>
            <w:pPr>
              <w:spacing w:after="0"/>
              <w:rPr>
                <w:sz w:val="20"/>
                <w:szCs w:val="20"/>
                <w:color w:val="auto"/>
              </w:rPr>
            </w:pPr>
            <w:r>
              <w:rPr>
                <w:rFonts w:ascii="Arial" w:cs="Arial" w:eastAsia="Arial" w:hAnsi="Arial"/>
                <w:sz w:val="16"/>
                <w:szCs w:val="16"/>
                <w:b w:val="1"/>
                <w:bCs w:val="1"/>
                <w:color w:val="auto"/>
              </w:rPr>
              <w:t>Issue Date</w:t>
            </w: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Maturity Date</w:t>
            </w:r>
          </w:p>
        </w:tc>
        <w:tc>
          <w:tcPr>
            <w:tcW w:w="1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25"/>
        </w:trPr>
        <w:tc>
          <w:tcPr>
            <w:tcW w:w="140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400" w:type="dxa"/>
            <w:vAlign w:val="bottom"/>
          </w:tcPr>
          <w:p>
            <w:pPr>
              <w:spacing w:after="0"/>
              <w:rPr>
                <w:sz w:val="20"/>
                <w:szCs w:val="20"/>
                <w:color w:val="auto"/>
              </w:rPr>
            </w:pPr>
            <w:r>
              <w:rPr>
                <w:rFonts w:ascii="Arial" w:cs="Arial" w:eastAsia="Arial" w:hAnsi="Arial"/>
                <w:sz w:val="16"/>
                <w:szCs w:val="16"/>
                <w:color w:val="auto"/>
              </w:rPr>
              <w:t>2/24/2011</w:t>
            </w:r>
          </w:p>
        </w:tc>
        <w:tc>
          <w:tcPr>
            <w:tcW w:w="120" w:type="dxa"/>
            <w:vAlign w:val="bottom"/>
            <w:vMerge w:val="continue"/>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6"/>
                <w:szCs w:val="16"/>
                <w:color w:val="auto"/>
              </w:rPr>
              <w:t>2/24/2014</w:t>
            </w:r>
          </w:p>
        </w:tc>
        <w:tc>
          <w:tcPr>
            <w:tcW w:w="100" w:type="dxa"/>
            <w:vAlign w:val="bottom"/>
            <w:vMerge w:val="continue"/>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4/4/2011</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4/4/2014</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6/6/2011</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6/6/2014</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8/12/2012</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11/12/2012</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8/20/2012</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8/20/2013</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10/15/2012</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10/15/2013</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11/20/2012</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11/20/2013</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12/18/2012</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12/14/2013</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1/5/2013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5/31/2014</w:t>
            </w:r>
          </w:p>
        </w:tc>
        <w:tc>
          <w:tcPr>
            <w:tcW w:w="10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1/31/2013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5/31/2014</w:t>
            </w:r>
          </w:p>
        </w:tc>
        <w:tc>
          <w:tcPr>
            <w:tcW w:w="10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2/27/2013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2/27/2014</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4/2/2013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6/2/2013</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4/18/2013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12/18/2013</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5/2/2013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5/31/2014</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5/5/2013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7/5/2013</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5/14/2013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5/14/2014</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6/27/2013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6/27/2014</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6/19/2013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6/19/2014</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7/12/2013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7/12/2014</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10/18/2013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4/18/2014</w:t>
            </w:r>
          </w:p>
        </w:tc>
        <w:tc>
          <w:tcPr>
            <w:tcW w:w="10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Arial" w:cs="Arial" w:eastAsia="Arial" w:hAnsi="Arial"/>
                <w:sz w:val="16"/>
                <w:szCs w:val="16"/>
                <w:color w:val="auto"/>
              </w:rPr>
              <w:t>11/1/2013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5/1/2014</w:t>
            </w:r>
          </w:p>
        </w:tc>
        <w:tc>
          <w:tcPr>
            <w:tcW w:w="10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8"/>
        </w:trPr>
        <w:tc>
          <w:tcPr>
            <w:tcW w:w="1400" w:type="dxa"/>
            <w:vAlign w:val="bottom"/>
          </w:tcPr>
          <w:p>
            <w:pPr>
              <w:spacing w:after="0"/>
              <w:rPr>
                <w:sz w:val="20"/>
                <w:szCs w:val="20"/>
                <w:color w:val="auto"/>
              </w:rPr>
            </w:pPr>
            <w:r>
              <w:rPr>
                <w:rFonts w:ascii="Arial" w:cs="Arial" w:eastAsia="Arial" w:hAnsi="Arial"/>
                <w:sz w:val="16"/>
                <w:szCs w:val="16"/>
                <w:color w:val="auto"/>
              </w:rPr>
              <w:t>12/19/2013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6/19/2014</w:t>
            </w:r>
          </w:p>
        </w:tc>
        <w:tc>
          <w:tcPr>
            <w:tcW w:w="1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20"/>
                <w:szCs w:val="20"/>
                <w:color w:val="auto"/>
              </w:rPr>
            </w:pPr>
            <w:r>
              <w:rPr>
                <w:rFonts w:ascii="Arial" w:cs="Arial" w:eastAsia="Arial" w:hAnsi="Arial"/>
                <w:sz w:val="16"/>
                <w:szCs w:val="16"/>
                <w:color w:val="auto"/>
              </w:rPr>
              <w:t>12/23/2013</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6/23/2014</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Total convertible notes</w:t>
      </w:r>
    </w:p>
    <w:p>
      <w:pPr>
        <w:spacing w:after="0" w:line="3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Unamortized note discount</w:t>
      </w:r>
    </w:p>
    <w:p>
      <w:pPr>
        <w:spacing w:after="0" w:line="58"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Total on Balance sheet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Principal Balance Outstanding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20" w:type="dxa"/>
            <w:vAlign w:val="bottom"/>
            <w:gridSpan w:val="2"/>
          </w:tcPr>
          <w:p>
            <w:pPr>
              <w:spacing w:after="0"/>
              <w:rPr>
                <w:sz w:val="20"/>
                <w:szCs w:val="20"/>
                <w:color w:val="auto"/>
              </w:rPr>
            </w:pPr>
            <w:r>
              <w:rPr>
                <w:rFonts w:ascii="Arial" w:cs="Arial" w:eastAsia="Arial" w:hAnsi="Arial"/>
                <w:sz w:val="16"/>
                <w:szCs w:val="16"/>
                <w:b w:val="1"/>
                <w:bCs w:val="1"/>
                <w:color w:val="auto"/>
              </w:rPr>
              <w:t>Conversion</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b w:val="1"/>
                <w:bCs w:val="1"/>
                <w:color w:val="auto"/>
                <w:w w:val="96"/>
              </w:rPr>
              <w:t>December 31,</w:t>
            </w:r>
          </w:p>
        </w:tc>
      </w:tr>
      <w:tr>
        <w:trPr>
          <w:trHeight w:val="218"/>
        </w:trPr>
        <w:tc>
          <w:tcPr>
            <w:tcW w:w="1640" w:type="dxa"/>
            <w:vAlign w:val="bottom"/>
            <w:gridSpan w:val="3"/>
          </w:tcPr>
          <w:p>
            <w:pPr>
              <w:spacing w:after="0"/>
              <w:rPr>
                <w:sz w:val="20"/>
                <w:szCs w:val="20"/>
                <w:color w:val="auto"/>
              </w:rPr>
            </w:pPr>
            <w:r>
              <w:rPr>
                <w:rFonts w:ascii="Arial" w:cs="Arial" w:eastAsia="Arial" w:hAnsi="Arial"/>
                <w:sz w:val="16"/>
                <w:szCs w:val="16"/>
                <w:b w:val="1"/>
                <w:bCs w:val="1"/>
                <w:color w:val="auto"/>
              </w:rPr>
              <w:t>Terms</w:t>
            </w:r>
          </w:p>
        </w:tc>
        <w:tc>
          <w:tcPr>
            <w:tcW w:w="1040" w:type="dxa"/>
            <w:vAlign w:val="bottom"/>
          </w:tcPr>
          <w:p>
            <w:pPr>
              <w:jc w:val="right"/>
              <w:ind w:right="298"/>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78"/>
              <w:spacing w:after="0"/>
              <w:rPr>
                <w:sz w:val="20"/>
                <w:szCs w:val="20"/>
                <w:color w:val="auto"/>
              </w:rPr>
            </w:pPr>
            <w:r>
              <w:rPr>
                <w:rFonts w:ascii="Arial" w:cs="Arial" w:eastAsia="Arial" w:hAnsi="Arial"/>
                <w:sz w:val="16"/>
                <w:szCs w:val="16"/>
                <w:b w:val="1"/>
                <w:bCs w:val="1"/>
                <w:color w:val="auto"/>
              </w:rPr>
              <w:t>2013</w:t>
            </w:r>
          </w:p>
        </w:tc>
      </w:tr>
      <w:tr>
        <w:trPr>
          <w:trHeight w:val="185"/>
        </w:trPr>
        <w:tc>
          <w:tcPr>
            <w:tcW w:w="13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8"/>
              </w:rPr>
              <w:t>Variable at $25.00</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$ 980,858</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Variable at $25.00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215,000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Variable at $25.00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Variable at $9.00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27,500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Variable at $9.00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Variable at $12.00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340,000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Variable at $9.00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10,748</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Fixed at $10.00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Fixed at $8.00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452,729</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Fixed at $4.00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24,135</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Variable at $9.00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58,500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Fixed at $7.00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80,967</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Fixed at $7.00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31,688</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Variable at $3.44</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Fixed at $7.00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45,000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Fixed at $6.00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126,000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Variable at $9.00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37,620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Variable at $9.00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32,000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Fixed at $3.00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96,800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Variable at $1.00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94,444</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Variable at $1.00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80,000</w:t>
            </w:r>
          </w:p>
        </w:tc>
      </w:tr>
      <w:tr>
        <w:trPr>
          <w:trHeight w:val="197"/>
        </w:trPr>
        <w:tc>
          <w:tcPr>
            <w:tcW w:w="1640" w:type="dxa"/>
            <w:vAlign w:val="bottom"/>
            <w:gridSpan w:val="3"/>
          </w:tcPr>
          <w:p>
            <w:pPr>
              <w:spacing w:after="0"/>
              <w:rPr>
                <w:sz w:val="20"/>
                <w:szCs w:val="20"/>
                <w:color w:val="auto"/>
              </w:rPr>
            </w:pPr>
            <w:r>
              <w:rPr>
                <w:rFonts w:ascii="Arial" w:cs="Arial" w:eastAsia="Arial" w:hAnsi="Arial"/>
                <w:sz w:val="16"/>
                <w:szCs w:val="16"/>
                <w:color w:val="auto"/>
              </w:rPr>
              <w:t>Variable at $1.00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277,222</w:t>
            </w:r>
          </w:p>
        </w:tc>
      </w:tr>
      <w:tr>
        <w:trPr>
          <w:trHeight w:val="214"/>
        </w:trPr>
        <w:tc>
          <w:tcPr>
            <w:tcW w:w="1520" w:type="dxa"/>
            <w:vAlign w:val="bottom"/>
            <w:gridSpan w:val="2"/>
          </w:tcPr>
          <w:p>
            <w:pPr>
              <w:spacing w:after="0"/>
              <w:rPr>
                <w:sz w:val="20"/>
                <w:szCs w:val="20"/>
                <w:color w:val="auto"/>
              </w:rPr>
            </w:pPr>
            <w:r>
              <w:rPr>
                <w:rFonts w:ascii="Arial" w:cs="Arial" w:eastAsia="Arial" w:hAnsi="Arial"/>
                <w:sz w:val="16"/>
                <w:szCs w:val="16"/>
                <w:color w:val="auto"/>
              </w:rPr>
              <w:t>Fixed at $7.00</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536,400</w:t>
            </w:r>
          </w:p>
        </w:tc>
      </w:tr>
      <w:tr>
        <w:trPr>
          <w:trHeight w:val="382"/>
        </w:trPr>
        <w:tc>
          <w:tcPr>
            <w:tcW w:w="1640" w:type="dxa"/>
            <w:vAlign w:val="bottom"/>
            <w:gridSpan w:val="3"/>
          </w:tcPr>
          <w:p>
            <w:pPr>
              <w:ind w:left="152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3,697,611</w:t>
            </w:r>
          </w:p>
        </w:tc>
      </w:tr>
      <w:tr>
        <w:trPr>
          <w:trHeight w:val="214"/>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(535,634)</w:t>
            </w:r>
          </w:p>
        </w:tc>
      </w:tr>
      <w:tr>
        <w:trPr>
          <w:trHeight w:val="197"/>
        </w:trPr>
        <w:tc>
          <w:tcPr>
            <w:tcW w:w="152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3,161,977</w:t>
            </w:r>
          </w:p>
        </w:tc>
      </w:tr>
      <w:tr>
        <w:trPr>
          <w:trHeight w:val="20"/>
        </w:trPr>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60" w:space="300"/>
            <w:col w:w="6460"/>
          </w:cols>
          <w:pgMar w:left="240" w:top="702" w:right="239"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Issuance of Convertible Preferred Stock</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the Company issued $418,000 of convertible notes. The notes carried no interest rate and were converted shortly thereafter (see Extinguishment loss) into preferred stock and immediately into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converted to Preferred Stock and immediately converted into common stock</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During the year, note holders that included Convertible notes, Loans payable, Promissory notes-related party &amp; Due to related party exchanged approximately $4.7 million of debt and $0.5 million of accrued interest for shares of preferred stock, which was immediately converted into 14.0 million shares of common stock with a fair value of approximately $31 million. The total loss on extinguishment associated with the note conversions was $24.9 million, which includes the extinguishment of the derivative liability – conversion option of $0.7 million.</w:t>
      </w:r>
    </w:p>
    <w:p>
      <w:pPr>
        <w:spacing w:after="0" w:line="18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NOTE 7:</w:t>
      </w:r>
      <w:r>
        <w:rPr>
          <w:sz w:val="20"/>
          <w:szCs w:val="20"/>
          <w:color w:val="auto"/>
        </w:rPr>
        <w:tab/>
      </w:r>
      <w:r>
        <w:rPr>
          <w:rFonts w:ascii="Arial" w:cs="Arial" w:eastAsia="Arial" w:hAnsi="Arial"/>
          <w:sz w:val="15"/>
          <w:szCs w:val="15"/>
          <w:b w:val="1"/>
          <w:bCs w:val="1"/>
          <w:color w:val="auto"/>
        </w:rPr>
        <w:t>LOANS PAYABLE</w:t>
      </w:r>
    </w:p>
    <w:p>
      <w:pPr>
        <w:spacing w:after="0" w:line="23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As at December 31, 2014, there were unsecured loan payable in the amount of $nil (December 31, 2013 - $42,200). During the year ended December 31, 2014, investors converted $37,000 and a related party converted $5,200 of the loan into preferred stock which was immediately converted into common stock (see note 6).</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36" w:name="page37"/>
    <w:bookmarkEnd w:id="36"/>
    <w:p>
      <w:pPr>
        <w:spacing w:after="0"/>
        <w:tabs>
          <w:tab w:leader="none" w:pos="820" w:val="left"/>
        </w:tabs>
        <w:rPr>
          <w:sz w:val="20"/>
          <w:szCs w:val="20"/>
          <w:color w:val="auto"/>
        </w:rPr>
      </w:pPr>
      <w:r>
        <w:rPr>
          <w:rFonts w:ascii="Arial" w:cs="Arial" w:eastAsia="Arial" w:hAnsi="Arial"/>
          <w:sz w:val="16"/>
          <w:szCs w:val="16"/>
          <w:b w:val="1"/>
          <w:bCs w:val="1"/>
          <w:color w:val="auto"/>
        </w:rPr>
        <w:t>NOTE 8:</w:t>
        <w:tab/>
        <w:t>PROMISSORY NOTES, RELATED PARTY</w:t>
      </w:r>
    </w:p>
    <w:p>
      <w:pPr>
        <w:spacing w:after="0" w:line="2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has outstanding promissory notes in the amount of $52,942 (December 31, 2013 - $277,942), of which $23,000 of promissory notes are from an officer and a director of the Company. The promissory notes bear no interest charges and have no fixed repayment terms.</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year ended December 31, 2014, a note holder converted outstanding principal of $210,000 and accrued interest of $12,000 into preferred stock which was immediately converted into common shares (see note 6).</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2014, $15,000 (2013 - $nil) of the promissory notes were repaid to an officer and director of the Company.</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NOTE 9:</w:t>
        <w:tab/>
        <w:t>DUE TO RELATED PARTIES</w:t>
      </w:r>
    </w:p>
    <w:p>
      <w:pPr>
        <w:spacing w:after="0" w:line="2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year ended December 31, 2014 the Company has outstanding promissory notes in the amount of $nil (December 31, 2013 - $369,000). During the fiscal year 2014, the related parties converted the notes of $369,000 into preferred stock which was immediately converted into common stock (See note 6).</w:t>
      </w:r>
    </w:p>
    <w:p>
      <w:pPr>
        <w:spacing w:after="0" w:line="146"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NOTE 10:</w:t>
        <w:tab/>
        <w:t>CAPITAL STOCK</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Split and increase in authorized shares</w:t>
      </w:r>
    </w:p>
    <w:p>
      <w:pPr>
        <w:spacing w:after="0" w:line="239" w:lineRule="exact"/>
        <w:rPr>
          <w:sz w:val="20"/>
          <w:szCs w:val="20"/>
          <w:color w:val="auto"/>
        </w:rPr>
      </w:pPr>
    </w:p>
    <w:p>
      <w:pPr>
        <w:spacing w:after="0" w:line="324" w:lineRule="auto"/>
        <w:rPr>
          <w:sz w:val="20"/>
          <w:szCs w:val="20"/>
          <w:color w:val="auto"/>
        </w:rPr>
      </w:pPr>
      <w:r>
        <w:rPr>
          <w:rFonts w:ascii="Arial" w:cs="Arial" w:eastAsia="Arial" w:hAnsi="Arial"/>
          <w:sz w:val="15"/>
          <w:szCs w:val="15"/>
          <w:color w:val="auto"/>
        </w:rPr>
        <w:t>On February 18, 2014, the Company completed a reverse stock split thereby issuing 1 new share for each 100 outstanding shares of the Company’s common stock and amended the Company’s Articles of Incorporation to increase the authorized shares of common stock from 150,000,000 shares of common stock to 500,000,000 shares.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Capital</w:t>
      </w:r>
    </w:p>
    <w:p>
      <w:pPr>
        <w:spacing w:after="0" w:line="239" w:lineRule="exact"/>
        <w:rPr>
          <w:sz w:val="20"/>
          <w:szCs w:val="20"/>
          <w:color w:val="auto"/>
        </w:rPr>
      </w:pPr>
    </w:p>
    <w:p>
      <w:pPr>
        <w:spacing w:after="0" w:line="324" w:lineRule="auto"/>
        <w:rPr>
          <w:sz w:val="20"/>
          <w:szCs w:val="20"/>
          <w:color w:val="auto"/>
        </w:rPr>
      </w:pPr>
      <w:r>
        <w:rPr>
          <w:rFonts w:ascii="Arial" w:cs="Arial" w:eastAsia="Arial" w:hAnsi="Arial"/>
          <w:sz w:val="15"/>
          <w:szCs w:val="15"/>
          <w:color w:val="auto"/>
        </w:rPr>
        <w:t>On January 6, 2014, the Company designated 1,250,000 Series A preferred shares par value $0.001 (“Series A Convertible Preferred Stock”). Each share of Series A Convertible Preferred Stock automatically converted into five (5) shares of the Company’s common stock upon the occurrence of the 1:100 reverse stock split.</w:t>
      </w:r>
    </w:p>
    <w:p>
      <w:pPr>
        <w:spacing w:after="0" w:line="15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February 18, 2014, the Company created a class of up to 1,500,000 preferred shares, par value $0.001, called Series B convertible preferred stock (“Series B Convertible Preferred Stock”). The terms of the Series B Convertible Preferred Stock are:</w:t>
      </w:r>
    </w:p>
    <w:p>
      <w:pPr>
        <w:spacing w:after="0" w:line="174" w:lineRule="exact"/>
        <w:rPr>
          <w:sz w:val="20"/>
          <w:szCs w:val="20"/>
          <w:color w:val="auto"/>
        </w:rPr>
      </w:pPr>
    </w:p>
    <w:p>
      <w:pPr>
        <w:ind w:left="580" w:hanging="286"/>
        <w:spacing w:after="0"/>
        <w:tabs>
          <w:tab w:leader="none" w:pos="580" w:val="left"/>
        </w:tabs>
        <w:numPr>
          <w:ilvl w:val="1"/>
          <w:numId w:val="8"/>
        </w:numPr>
        <w:rPr>
          <w:rFonts w:ascii="Arial" w:cs="Arial" w:eastAsia="Arial" w:hAnsi="Arial"/>
          <w:sz w:val="16"/>
          <w:szCs w:val="16"/>
          <w:color w:val="auto"/>
        </w:rPr>
      </w:pPr>
      <w:r>
        <w:rPr>
          <w:rFonts w:ascii="Arial" w:cs="Arial" w:eastAsia="Arial" w:hAnsi="Arial"/>
          <w:sz w:val="16"/>
          <w:szCs w:val="16"/>
          <w:color w:val="auto"/>
        </w:rPr>
        <w:t>rank pari passu to the common stock with respect to rights on liquidation, winding up and dissolution;</w:t>
      </w:r>
    </w:p>
    <w:p>
      <w:pPr>
        <w:spacing w:after="0" w:line="234" w:lineRule="exact"/>
        <w:rPr>
          <w:rFonts w:ascii="Arial" w:cs="Arial" w:eastAsia="Arial" w:hAnsi="Arial"/>
          <w:sz w:val="16"/>
          <w:szCs w:val="16"/>
          <w:color w:val="auto"/>
        </w:rPr>
      </w:pPr>
    </w:p>
    <w:p>
      <w:pPr>
        <w:ind w:left="580" w:hanging="286"/>
        <w:spacing w:after="0"/>
        <w:tabs>
          <w:tab w:leader="none" w:pos="580" w:val="left"/>
        </w:tabs>
        <w:numPr>
          <w:ilvl w:val="1"/>
          <w:numId w:val="8"/>
        </w:numPr>
        <w:rPr>
          <w:rFonts w:ascii="Arial" w:cs="Arial" w:eastAsia="Arial" w:hAnsi="Arial"/>
          <w:sz w:val="16"/>
          <w:szCs w:val="16"/>
          <w:color w:val="auto"/>
        </w:rPr>
      </w:pPr>
      <w:r>
        <w:rPr>
          <w:rFonts w:ascii="Arial" w:cs="Arial" w:eastAsia="Arial" w:hAnsi="Arial"/>
          <w:sz w:val="16"/>
          <w:szCs w:val="16"/>
          <w:color w:val="auto"/>
        </w:rPr>
        <w:t>have no dividend rights except as may be declared by the Board in its sole and absolute discretion;</w:t>
      </w:r>
    </w:p>
    <w:p>
      <w:pPr>
        <w:spacing w:after="0" w:line="234" w:lineRule="exact"/>
        <w:rPr>
          <w:rFonts w:ascii="Arial" w:cs="Arial" w:eastAsia="Arial" w:hAnsi="Arial"/>
          <w:sz w:val="16"/>
          <w:szCs w:val="16"/>
          <w:color w:val="auto"/>
        </w:rPr>
      </w:pPr>
    </w:p>
    <w:p>
      <w:pPr>
        <w:ind w:left="580" w:hanging="298"/>
        <w:spacing w:after="0" w:line="288"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shall have the right to cast one thousand (1,000) votes for each share held of record on all matters submitted to a vote of holders of the Corporation’s common stock; and</w:t>
      </w:r>
    </w:p>
    <w:p>
      <w:pPr>
        <w:spacing w:after="0" w:line="174" w:lineRule="exact"/>
        <w:rPr>
          <w:rFonts w:ascii="Arial" w:cs="Arial" w:eastAsia="Arial" w:hAnsi="Arial"/>
          <w:sz w:val="16"/>
          <w:szCs w:val="16"/>
          <w:color w:val="auto"/>
        </w:rPr>
      </w:pPr>
    </w:p>
    <w:p>
      <w:pPr>
        <w:ind w:left="580" w:hanging="286"/>
        <w:spacing w:after="0"/>
        <w:tabs>
          <w:tab w:leader="none" w:pos="580" w:val="left"/>
        </w:tabs>
        <w:numPr>
          <w:ilvl w:val="1"/>
          <w:numId w:val="8"/>
        </w:numPr>
        <w:rPr>
          <w:rFonts w:ascii="Arial" w:cs="Arial" w:eastAsia="Arial" w:hAnsi="Arial"/>
          <w:sz w:val="16"/>
          <w:szCs w:val="16"/>
          <w:color w:val="auto"/>
        </w:rPr>
      </w:pPr>
      <w:r>
        <w:rPr>
          <w:rFonts w:ascii="Arial" w:cs="Arial" w:eastAsia="Arial" w:hAnsi="Arial"/>
          <w:sz w:val="16"/>
          <w:szCs w:val="16"/>
          <w:color w:val="auto"/>
        </w:rPr>
        <w:t>shall automatically convert into seven (7) shares of common upon the occurrence of a 1:100 reverse stock split.</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All prior period share transactions included in the Company’s stock transactions and balances have been retroactively restated for the reverse stock splits described above.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There are no shares outstanding under preferred shares as of December 31, 2014.</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 Share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Consulting services</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December 31, 2014, the Company issued in aggregate 811,000 shares of common stock in exchange for consulting services for which performance was complete. The fair value of the common stock recognized was approximately $954,000.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Private placements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During the year ended December 31, 2014, the Company entered into a Securities Purchase Agreement with a single institutional investor for the sale of 1,886,792 units at a purchase price of $1.06 per unit, for a total purchase price of $1,836,000, net of finders’ fee of $164,000. Each unit consists of one common share and one share purchase warrant exercisable at $1.17 for a period of 5 years. The Company also issued 94,340 placement agent share purchase warrants to acquire an equivalent number of common shares of the Company, at an exercise price of $1.325 per share for an exercise period of up to five years from the issuance date. The warrants were included within equity. The fair value of these warrants was determined to be $111,000, using the Black-Scholes Option Pricing Model with a contractual term of 5 years, a risk free interest rate of 1.66%, a dividend yield of 0%, and an expected volatility of 150.3%.</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7" w:name="page38"/>
    <w:bookmarkEnd w:id="37"/>
    <w:p>
      <w:pPr>
        <w:jc w:val="both"/>
        <w:spacing w:after="0" w:line="272" w:lineRule="auto"/>
        <w:rPr>
          <w:sz w:val="20"/>
          <w:szCs w:val="20"/>
          <w:color w:val="auto"/>
        </w:rPr>
      </w:pPr>
      <w:r>
        <w:rPr>
          <w:rFonts w:ascii="Arial" w:cs="Arial" w:eastAsia="Arial" w:hAnsi="Arial"/>
          <w:sz w:val="16"/>
          <w:szCs w:val="16"/>
          <w:color w:val="auto"/>
        </w:rPr>
        <w:t>During the year ended December 31, 2014, the Company received subscription proceeds of $265,000 for 265,000 units. Each unit consists of one share of common stock and one share purchase warrant exercisable at $2.50 for a period of 3 years. The Company also issued 5,250 shares of common stock as finders’ fee relating to the subscription proceeds. The fair value of the common stock was determined to be $5,250.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Compensation Plan</w:t>
      </w:r>
    </w:p>
    <w:p>
      <w:pPr>
        <w:spacing w:after="0" w:line="23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On October 14, 2009, the Company adopted the 2009 Stock Incentive Plan (the “2009 Plan”) which supersedes and replaces the 2007 Stock Plan. The 2009 Plan allows for the issuance of up to 100,000 common shares. Options granted under the Plan shall be at prices and for terms as determined by the Board of Directors.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expensed portion of the value of the granted and vested options during the year ended December 31, 2014 was $15,000 (2013 - $132,093) which was recorded as stock based consulting and management fees.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purchase options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stock options as of December 31, 2014 and 2013 and changes during the years is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1"/>
              </w:rPr>
              <w:t>Weighted</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1"/>
              </w:rPr>
              <w:t>Weighted</w:t>
            </w: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color w:val="auto"/>
              </w:rPr>
              <w:t>Number of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Average</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Average</w:t>
            </w:r>
          </w:p>
        </w:tc>
      </w:tr>
      <w:tr>
        <w:trPr>
          <w:trHeight w:val="214"/>
        </w:trPr>
        <w:tc>
          <w:tcPr>
            <w:tcW w:w="7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1"/>
              </w:rPr>
              <w:t>Exercise Price</w:t>
            </w:r>
          </w:p>
        </w:tc>
        <w:tc>
          <w:tcPr>
            <w:tcW w:w="22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Remaining Life</w:t>
            </w:r>
          </w:p>
        </w:tc>
        <w:tc>
          <w:tcPr>
            <w:tcW w:w="100" w:type="dxa"/>
            <w:vAlign w:val="bottom"/>
          </w:tcPr>
          <w:p>
            <w:pPr>
              <w:spacing w:after="0"/>
              <w:rPr>
                <w:sz w:val="18"/>
                <w:szCs w:val="18"/>
                <w:color w:val="auto"/>
              </w:rPr>
            </w:pPr>
          </w:p>
        </w:tc>
      </w:tr>
      <w:tr>
        <w:trPr>
          <w:trHeight w:val="382"/>
        </w:trPr>
        <w:tc>
          <w:tcPr>
            <w:tcW w:w="7320" w:type="dxa"/>
            <w:vAlign w:val="bottom"/>
          </w:tcPr>
          <w:p>
            <w:pPr>
              <w:spacing w:after="0"/>
              <w:rPr>
                <w:sz w:val="20"/>
                <w:szCs w:val="20"/>
                <w:color w:val="auto"/>
              </w:rPr>
            </w:pPr>
            <w:r>
              <w:rPr>
                <w:rFonts w:ascii="Arial" w:cs="Arial" w:eastAsia="Arial" w:hAnsi="Arial"/>
                <w:sz w:val="16"/>
                <w:szCs w:val="16"/>
                <w:b w:val="1"/>
                <w:bCs w:val="1"/>
                <w:color w:val="auto"/>
              </w:rPr>
              <w:t>Balance, December 31, 2012</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65,430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6.05</w:t>
            </w: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Issued</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4"/>
        </w:trPr>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Cancelled/Forfeited</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382"/>
        </w:trPr>
        <w:tc>
          <w:tcPr>
            <w:tcW w:w="7320" w:type="dxa"/>
            <w:vAlign w:val="bottom"/>
          </w:tcPr>
          <w:p>
            <w:pPr>
              <w:spacing w:after="0"/>
              <w:rPr>
                <w:sz w:val="20"/>
                <w:szCs w:val="20"/>
                <w:color w:val="auto"/>
              </w:rPr>
            </w:pPr>
            <w:r>
              <w:rPr>
                <w:rFonts w:ascii="Arial" w:cs="Arial" w:eastAsia="Arial" w:hAnsi="Arial"/>
                <w:sz w:val="16"/>
                <w:szCs w:val="16"/>
                <w:b w:val="1"/>
                <w:bCs w:val="1"/>
                <w:color w:val="auto"/>
              </w:rPr>
              <w:t>Balance, December 31, 2013</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65,430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5.04</w:t>
            </w: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Issued</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7320" w:type="dxa"/>
            <w:vAlign w:val="bottom"/>
          </w:tcPr>
          <w:p>
            <w:pPr>
              <w:ind w:left="80"/>
              <w:spacing w:after="0"/>
              <w:rPr>
                <w:sz w:val="20"/>
                <w:szCs w:val="20"/>
                <w:color w:val="auto"/>
              </w:rPr>
            </w:pPr>
            <w:r>
              <w:rPr>
                <w:rFonts w:ascii="Arial" w:cs="Arial" w:eastAsia="Arial" w:hAnsi="Arial"/>
                <w:sz w:val="16"/>
                <w:szCs w:val="16"/>
                <w:color w:val="auto"/>
              </w:rPr>
              <w:t>Cancelled/Forfeited</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3"/>
        </w:trPr>
        <w:tc>
          <w:tcPr>
            <w:tcW w:w="7320" w:type="dxa"/>
            <w:vAlign w:val="bottom"/>
          </w:tcPr>
          <w:p>
            <w:pPr>
              <w:spacing w:after="0"/>
              <w:rPr>
                <w:sz w:val="20"/>
                <w:szCs w:val="20"/>
                <w:color w:val="auto"/>
              </w:rPr>
            </w:pPr>
            <w:r>
              <w:rPr>
                <w:rFonts w:ascii="Arial" w:cs="Arial" w:eastAsia="Arial" w:hAnsi="Arial"/>
                <w:sz w:val="16"/>
                <w:szCs w:val="16"/>
                <w:b w:val="1"/>
                <w:bCs w:val="1"/>
                <w:color w:val="auto"/>
              </w:rPr>
              <w:t>Balance, December 31, 2014</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65,430</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4.04</w:t>
            </w: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7320" w:type="dxa"/>
            <w:vAlign w:val="bottom"/>
          </w:tcPr>
          <w:p>
            <w:pPr>
              <w:spacing w:after="0"/>
              <w:rPr>
                <w:sz w:val="20"/>
                <w:szCs w:val="20"/>
                <w:color w:val="auto"/>
              </w:rPr>
            </w:pPr>
            <w:r>
              <w:rPr>
                <w:rFonts w:ascii="Arial" w:cs="Arial" w:eastAsia="Arial" w:hAnsi="Arial"/>
                <w:sz w:val="16"/>
                <w:szCs w:val="16"/>
                <w:color w:val="auto"/>
              </w:rPr>
              <w:t>At December 31, 2014, the intrinsic value of the vested options was equal to $nil (2013 - $nil).</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7320" w:type="dxa"/>
            <w:vAlign w:val="bottom"/>
          </w:tcPr>
          <w:p>
            <w:pPr>
              <w:spacing w:after="0"/>
              <w:rPr>
                <w:sz w:val="20"/>
                <w:szCs w:val="20"/>
                <w:color w:val="auto"/>
              </w:rPr>
            </w:pPr>
            <w:r>
              <w:rPr>
                <w:rFonts w:ascii="Arial" w:cs="Arial" w:eastAsia="Arial" w:hAnsi="Arial"/>
                <w:sz w:val="16"/>
                <w:szCs w:val="16"/>
                <w:color w:val="auto"/>
                <w:w w:val="96"/>
              </w:rPr>
              <w:t>A summary of the status of the Company’s unvested options as of December 31, 2014 is presented below:</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7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spacing w:after="0"/>
              <w:rPr>
                <w:sz w:val="19"/>
                <w:szCs w:val="19"/>
                <w:color w:val="auto"/>
              </w:rPr>
            </w:pPr>
          </w:p>
        </w:tc>
      </w:tr>
      <w:tr>
        <w:trPr>
          <w:trHeight w:val="185"/>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Weighted</w:t>
            </w: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Average</w:t>
            </w: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Number of</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Grant-Date</w:t>
            </w:r>
          </w:p>
        </w:tc>
      </w:tr>
      <w:tr>
        <w:trPr>
          <w:trHeight w:val="214"/>
        </w:trPr>
        <w:tc>
          <w:tcPr>
            <w:tcW w:w="7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82"/>
              </w:rPr>
              <w:t>Shares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93"/>
              </w:rPr>
              <w:t>Fair Value</w:t>
            </w:r>
          </w:p>
        </w:tc>
        <w:tc>
          <w:tcPr>
            <w:tcW w:w="100" w:type="dxa"/>
            <w:vAlign w:val="bottom"/>
          </w:tcPr>
          <w:p>
            <w:pPr>
              <w:spacing w:after="0"/>
              <w:rPr>
                <w:sz w:val="18"/>
                <w:szCs w:val="18"/>
                <w:color w:val="auto"/>
              </w:rPr>
            </w:pPr>
          </w:p>
        </w:tc>
      </w:tr>
      <w:tr>
        <w:trPr>
          <w:trHeight w:val="382"/>
        </w:trPr>
        <w:tc>
          <w:tcPr>
            <w:tcW w:w="7320" w:type="dxa"/>
            <w:vAlign w:val="bottom"/>
          </w:tcPr>
          <w:p>
            <w:pPr>
              <w:spacing w:after="0"/>
              <w:rPr>
                <w:sz w:val="20"/>
                <w:szCs w:val="20"/>
                <w:color w:val="auto"/>
              </w:rPr>
            </w:pPr>
            <w:r>
              <w:rPr>
                <w:rFonts w:ascii="Arial" w:cs="Arial" w:eastAsia="Arial" w:hAnsi="Arial"/>
                <w:sz w:val="16"/>
                <w:szCs w:val="16"/>
                <w:b w:val="1"/>
                <w:bCs w:val="1"/>
                <w:color w:val="auto"/>
              </w:rPr>
              <w:t>Unvested, December 31, 2013</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1,111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18.00</w:t>
            </w: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Granted</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Vested</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(833)</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18.00</w:t>
            </w:r>
          </w:p>
        </w:tc>
      </w:tr>
      <w:tr>
        <w:trPr>
          <w:trHeight w:val="214"/>
        </w:trPr>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Cancelled</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394"/>
        </w:trPr>
        <w:tc>
          <w:tcPr>
            <w:tcW w:w="7320" w:type="dxa"/>
            <w:vAlign w:val="bottom"/>
          </w:tcPr>
          <w:p>
            <w:pPr>
              <w:spacing w:after="0"/>
              <w:rPr>
                <w:sz w:val="20"/>
                <w:szCs w:val="20"/>
                <w:color w:val="auto"/>
              </w:rPr>
            </w:pPr>
            <w:r>
              <w:rPr>
                <w:rFonts w:ascii="Arial" w:cs="Arial" w:eastAsia="Arial" w:hAnsi="Arial"/>
                <w:sz w:val="16"/>
                <w:szCs w:val="16"/>
                <w:b w:val="1"/>
                <w:bCs w:val="1"/>
                <w:color w:val="auto"/>
              </w:rPr>
              <w:t>Unvested, December 31, 2014</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18.00</w:t>
            </w: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7320" w:type="dxa"/>
            <w:vAlign w:val="bottom"/>
          </w:tcPr>
          <w:p>
            <w:pPr>
              <w:spacing w:after="0"/>
              <w:rPr>
                <w:sz w:val="20"/>
                <w:szCs w:val="20"/>
                <w:color w:val="auto"/>
              </w:rPr>
            </w:pPr>
            <w:r>
              <w:rPr>
                <w:rFonts w:ascii="Arial" w:cs="Arial" w:eastAsia="Arial" w:hAnsi="Arial"/>
                <w:sz w:val="16"/>
                <w:szCs w:val="16"/>
                <w:b w:val="1"/>
                <w:bCs w:val="1"/>
                <w:color w:val="auto"/>
              </w:rPr>
              <w:t>Share Purchase Warrants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September, 2014, the Company issued 100,000 share purchase warrants to acquire an equivalent number of common shares of the Company, at an exercise price of $1.15 per share for an exercise period of up to five years from the issuance date. The warrants were issued pursuant to a service agreement. The fair value of these warrants was determined to be $105,000, using the Black-Scholes Option Pricing Model with a contractual term of 5 years, a risk free interest rate of 1.63%, a dividend yield of 0%, and an annual volatility of 150.18%.</w:t>
      </w:r>
    </w:p>
    <w:p>
      <w:pPr>
        <w:spacing w:after="0" w:line="191"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In March, 2014, the Company issued 100,000 share purchase warrants to acquire an equivalent number of common shares of the Company, at an exercise price of $4.00 per share for an exercise period of up to four years from the issuance date. The warrants were issued pursuant to a technology option agreement. The fair value of these warrants was determined to be $303,000 and was recorded in general and administrative expenses. The weighted average assumptions used for the Black-Scholes option-pricing model to value these warrants were: volatility of 156.6%, risk free rate of 1.4%, term of 4 years and dividend rate of 0%. The Company used the Black-Scholes option-pricing model as the resultant fair value is not significantly different than the Monte Carlo option pricing model. In August 2014, the Company repriced the 100,000 warrants by reducing the exercise price from $4.00 to $1.06. As a result, the Company recorded incremental fair value of $14,000 during the year ended December 31, 2014.</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A summary of the Company’s share purchase warrants as of December 31, 2014 and changes during the year is presented below: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1"/>
              </w:rPr>
              <w:t>Weighted</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color w:val="auto"/>
                <w:w w:val="91"/>
              </w:rPr>
              <w:t>Weighted</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Number of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Average</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Average</w:t>
            </w:r>
          </w:p>
        </w:tc>
        <w:tc>
          <w:tcPr>
            <w:tcW w:w="0" w:type="dxa"/>
            <w:vAlign w:val="bottom"/>
          </w:tcPr>
          <w:p>
            <w:pPr>
              <w:spacing w:after="0"/>
              <w:rPr>
                <w:sz w:val="1"/>
                <w:szCs w:val="1"/>
                <w:color w:val="auto"/>
              </w:rPr>
            </w:pPr>
          </w:p>
        </w:tc>
      </w:tr>
      <w:tr>
        <w:trPr>
          <w:trHeight w:val="214"/>
        </w:trPr>
        <w:tc>
          <w:tcPr>
            <w:tcW w:w="7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Warrants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1"/>
              </w:rPr>
              <w:t>Exercise Price</w:t>
            </w:r>
          </w:p>
        </w:tc>
        <w:tc>
          <w:tcPr>
            <w:tcW w:w="22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Remaining Life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7320" w:type="dxa"/>
            <w:vAlign w:val="bottom"/>
          </w:tcPr>
          <w:p>
            <w:pPr>
              <w:spacing w:after="0"/>
              <w:rPr>
                <w:sz w:val="20"/>
                <w:szCs w:val="20"/>
                <w:color w:val="auto"/>
              </w:rPr>
            </w:pPr>
            <w:r>
              <w:rPr>
                <w:rFonts w:ascii="Arial" w:cs="Arial" w:eastAsia="Arial" w:hAnsi="Arial"/>
                <w:sz w:val="16"/>
                <w:szCs w:val="16"/>
                <w:b w:val="1"/>
                <w:bCs w:val="1"/>
                <w:color w:val="auto"/>
              </w:rPr>
              <w:t>Balance, December 31, 2013</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149,452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25.85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Issued</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2,546,132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Exercised</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7320" w:type="dxa"/>
            <w:vAlign w:val="bottom"/>
          </w:tcPr>
          <w:p>
            <w:pPr>
              <w:ind w:left="80"/>
              <w:spacing w:after="0"/>
              <w:rPr>
                <w:sz w:val="20"/>
                <w:szCs w:val="20"/>
                <w:color w:val="auto"/>
              </w:rPr>
            </w:pPr>
            <w:r>
              <w:rPr>
                <w:rFonts w:ascii="Arial" w:cs="Arial" w:eastAsia="Arial" w:hAnsi="Arial"/>
                <w:sz w:val="16"/>
                <w:szCs w:val="16"/>
                <w:color w:val="auto"/>
              </w:rPr>
              <w:t>Extinguished or expired</w:t>
            </w:r>
          </w:p>
        </w:tc>
        <w:tc>
          <w:tcPr>
            <w:tcW w:w="1380" w:type="dxa"/>
            <w:vAlign w:val="bottom"/>
            <w:gridSpan w:val="3"/>
          </w:tcPr>
          <w:p>
            <w:pPr>
              <w:jc w:val="right"/>
              <w:ind w:right="40"/>
              <w:spacing w:after="0"/>
              <w:rPr>
                <w:sz w:val="20"/>
                <w:szCs w:val="20"/>
                <w:color w:val="auto"/>
              </w:rPr>
            </w:pPr>
            <w:r>
              <w:rPr>
                <w:rFonts w:ascii="Arial" w:cs="Arial" w:eastAsia="Arial" w:hAnsi="Arial"/>
                <w:sz w:val="16"/>
                <w:szCs w:val="16"/>
                <w:color w:val="auto"/>
              </w:rPr>
              <w:t>(36,167)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Balance, December 31, 2014</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2,659,417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320" w:type="dxa"/>
            <w:vAlign w:val="bottom"/>
          </w:tcPr>
          <w:p>
            <w:pPr>
              <w:spacing w:after="0"/>
              <w:rPr>
                <w:sz w:val="20"/>
                <w:szCs w:val="20"/>
                <w:color w:val="auto"/>
              </w:rPr>
            </w:pPr>
            <w:r>
              <w:rPr>
                <w:rFonts w:ascii="Arial" w:cs="Arial" w:eastAsia="Arial" w:hAnsi="Arial"/>
                <w:sz w:val="16"/>
                <w:szCs w:val="16"/>
                <w:b w:val="1"/>
                <w:bCs w:val="1"/>
                <w:color w:val="auto"/>
              </w:rPr>
              <w:t>NOTE 11: INCOME TAXES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320" w:type="dxa"/>
            <w:vAlign w:val="bottom"/>
          </w:tcPr>
          <w:p>
            <w:pPr>
              <w:spacing w:after="0"/>
              <w:rPr>
                <w:sz w:val="20"/>
                <w:szCs w:val="20"/>
                <w:color w:val="auto"/>
              </w:rPr>
            </w:pPr>
            <w:r>
              <w:rPr>
                <w:rFonts w:ascii="Arial" w:cs="Arial" w:eastAsia="Arial" w:hAnsi="Arial"/>
                <w:sz w:val="16"/>
                <w:szCs w:val="16"/>
                <w:color w:val="auto"/>
              </w:rPr>
              <w:t>The income tax provision (benefit) for the years ended December 31, 2014 and 2013 are as follows: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Year Ended</w:t>
            </w: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Year Ended</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14"/>
        </w:trPr>
        <w:tc>
          <w:tcPr>
            <w:tcW w:w="7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9"/>
        </w:trPr>
        <w:tc>
          <w:tcPr>
            <w:tcW w:w="7320" w:type="dxa"/>
            <w:vAlign w:val="bottom"/>
          </w:tcPr>
          <w:p>
            <w:pPr>
              <w:spacing w:after="0"/>
              <w:rPr>
                <w:sz w:val="20"/>
                <w:szCs w:val="20"/>
                <w:color w:val="auto"/>
              </w:rPr>
            </w:pPr>
            <w:r>
              <w:rPr>
                <w:rFonts w:ascii="Arial" w:cs="Arial" w:eastAsia="Arial" w:hAnsi="Arial"/>
                <w:sz w:val="16"/>
                <w:szCs w:val="16"/>
                <w:color w:val="auto"/>
              </w:rPr>
              <w:t>Federal:</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320" w:type="dxa"/>
            <w:vAlign w:val="bottom"/>
          </w:tcPr>
          <w:p>
            <w:pPr>
              <w:ind w:left="160"/>
              <w:spacing w:after="0"/>
              <w:rPr>
                <w:sz w:val="20"/>
                <w:szCs w:val="20"/>
                <w:color w:val="auto"/>
              </w:rPr>
            </w:pPr>
            <w:r>
              <w:rPr>
                <w:rFonts w:ascii="Arial" w:cs="Arial" w:eastAsia="Arial" w:hAnsi="Arial"/>
                <w:sz w:val="16"/>
                <w:szCs w:val="16"/>
                <w:color w:val="auto"/>
              </w:rPr>
              <w:t>Current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320" w:type="dxa"/>
            <w:vAlign w:val="bottom"/>
          </w:tcPr>
          <w:p>
            <w:pPr>
              <w:ind w:left="160"/>
              <w:spacing w:after="0"/>
              <w:rPr>
                <w:sz w:val="20"/>
                <w:szCs w:val="20"/>
                <w:color w:val="auto"/>
              </w:rPr>
            </w:pPr>
            <w:r>
              <w:rPr>
                <w:rFonts w:ascii="Arial" w:cs="Arial" w:eastAsia="Arial" w:hAnsi="Arial"/>
                <w:sz w:val="16"/>
                <w:szCs w:val="16"/>
                <w:color w:val="auto"/>
              </w:rPr>
              <w:t>Deferred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(1,265,000)</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(1,321,000)</w:t>
            </w:r>
          </w:p>
        </w:tc>
        <w:tc>
          <w:tcPr>
            <w:tcW w:w="0" w:type="dxa"/>
            <w:vAlign w:val="bottom"/>
          </w:tcPr>
          <w:p>
            <w:pPr>
              <w:spacing w:after="0"/>
              <w:rPr>
                <w:sz w:val="1"/>
                <w:szCs w:val="1"/>
                <w:color w:val="auto"/>
              </w:rPr>
            </w:pPr>
          </w:p>
        </w:tc>
      </w:tr>
      <w:tr>
        <w:trPr>
          <w:trHeight w:val="383"/>
        </w:trPr>
        <w:tc>
          <w:tcPr>
            <w:tcW w:w="7320" w:type="dxa"/>
            <w:vAlign w:val="bottom"/>
          </w:tcPr>
          <w:p>
            <w:pPr>
              <w:spacing w:after="0"/>
              <w:rPr>
                <w:sz w:val="20"/>
                <w:szCs w:val="20"/>
                <w:color w:val="auto"/>
              </w:rPr>
            </w:pPr>
            <w:r>
              <w:rPr>
                <w:rFonts w:ascii="Arial" w:cs="Arial" w:eastAsia="Arial" w:hAnsi="Arial"/>
                <w:sz w:val="16"/>
                <w:szCs w:val="16"/>
                <w:color w:val="auto"/>
              </w:rPr>
              <w:t>State:</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320" w:type="dxa"/>
            <w:vAlign w:val="bottom"/>
          </w:tcPr>
          <w:p>
            <w:pPr>
              <w:ind w:left="160"/>
              <w:spacing w:after="0"/>
              <w:rPr>
                <w:sz w:val="20"/>
                <w:szCs w:val="20"/>
                <w:color w:val="auto"/>
              </w:rPr>
            </w:pPr>
            <w:r>
              <w:rPr>
                <w:rFonts w:ascii="Arial" w:cs="Arial" w:eastAsia="Arial" w:hAnsi="Arial"/>
                <w:sz w:val="16"/>
                <w:szCs w:val="16"/>
                <w:color w:val="auto"/>
              </w:rPr>
              <w:t>Current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320" w:type="dxa"/>
            <w:vAlign w:val="bottom"/>
          </w:tcPr>
          <w:p>
            <w:pPr>
              <w:ind w:left="160"/>
              <w:spacing w:after="0"/>
              <w:rPr>
                <w:sz w:val="20"/>
                <w:szCs w:val="20"/>
                <w:color w:val="auto"/>
              </w:rPr>
            </w:pPr>
            <w:r>
              <w:rPr>
                <w:rFonts w:ascii="Arial" w:cs="Arial" w:eastAsia="Arial" w:hAnsi="Arial"/>
                <w:sz w:val="16"/>
                <w:szCs w:val="16"/>
                <w:color w:val="auto"/>
              </w:rPr>
              <w:t>Deferred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(1,265,000)</w:t>
            </w: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(1,321,000)</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32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1,321,000</w:t>
            </w:r>
          </w:p>
        </w:tc>
        <w:tc>
          <w:tcPr>
            <w:tcW w:w="0" w:type="dxa"/>
            <w:vAlign w:val="bottom"/>
          </w:tcPr>
          <w:p>
            <w:pPr>
              <w:spacing w:after="0"/>
              <w:rPr>
                <w:sz w:val="1"/>
                <w:szCs w:val="1"/>
                <w:color w:val="auto"/>
              </w:rPr>
            </w:pPr>
          </w:p>
        </w:tc>
      </w:tr>
      <w:tr>
        <w:trPr>
          <w:trHeight w:val="197"/>
        </w:trPr>
        <w:tc>
          <w:tcPr>
            <w:tcW w:w="7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Income tax provision (benefit)</w:t>
            </w: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temporary differences that give rise to significant portions of the deferred tax assets as of December 31, 2014 and 2013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2"/>
              </w:rPr>
              <w:t>Year Ended</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6"/>
                <w:szCs w:val="16"/>
                <w:color w:val="auto"/>
                <w:w w:val="89"/>
              </w:rPr>
              <w:t>Year Ended</w:t>
            </w:r>
          </w:p>
        </w:tc>
      </w:tr>
      <w:tr>
        <w:trPr>
          <w:trHeight w:val="197"/>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31,</w:t>
            </w:r>
          </w:p>
        </w:tc>
      </w:tr>
      <w:tr>
        <w:trPr>
          <w:trHeight w:val="214"/>
        </w:trPr>
        <w:tc>
          <w:tcPr>
            <w:tcW w:w="8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2013</w:t>
            </w:r>
          </w:p>
        </w:tc>
        <w:tc>
          <w:tcPr>
            <w:tcW w:w="100" w:type="dxa"/>
            <w:vAlign w:val="bottom"/>
          </w:tcPr>
          <w:p>
            <w:pPr>
              <w:spacing w:after="0"/>
              <w:rPr>
                <w:sz w:val="18"/>
                <w:szCs w:val="18"/>
                <w:color w:val="auto"/>
              </w:rPr>
            </w:pPr>
          </w:p>
        </w:tc>
      </w:tr>
      <w:tr>
        <w:trPr>
          <w:trHeight w:val="382"/>
        </w:trPr>
        <w:tc>
          <w:tcPr>
            <w:tcW w:w="8700" w:type="dxa"/>
            <w:vAlign w:val="bottom"/>
          </w:tcPr>
          <w:p>
            <w:pPr>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Ney operating loss carryforwards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10,433,000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9,174,000</w:t>
            </w: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Stock-based compensation</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1,871,000</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1,866,000</w:t>
            </w:r>
          </w:p>
        </w:tc>
      </w:tr>
      <w:tr>
        <w:trPr>
          <w:trHeight w:val="214"/>
        </w:trPr>
        <w:tc>
          <w:tcPr>
            <w:tcW w:w="8700" w:type="dxa"/>
            <w:vAlign w:val="bottom"/>
          </w:tcPr>
          <w:p>
            <w:pPr>
              <w:ind w:left="80"/>
              <w:spacing w:after="0"/>
              <w:rPr>
                <w:sz w:val="20"/>
                <w:szCs w:val="20"/>
                <w:color w:val="auto"/>
              </w:rPr>
            </w:pPr>
            <w:r>
              <w:rPr>
                <w:rFonts w:ascii="Arial" w:cs="Arial" w:eastAsia="Arial" w:hAnsi="Arial"/>
                <w:sz w:val="16"/>
                <w:szCs w:val="16"/>
                <w:color w:val="auto"/>
              </w:rPr>
              <w:t>Technology licensing fee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167,000</w:t>
            </w:r>
          </w:p>
        </w:tc>
      </w:tr>
      <w:tr>
        <w:trPr>
          <w:trHeight w:val="185"/>
        </w:trPr>
        <w:tc>
          <w:tcPr>
            <w:tcW w:w="8700" w:type="dxa"/>
            <w:vAlign w:val="bottom"/>
          </w:tcPr>
          <w:p>
            <w:pPr>
              <w:spacing w:after="0"/>
              <w:rPr>
                <w:sz w:val="20"/>
                <w:szCs w:val="20"/>
                <w:color w:val="auto"/>
              </w:rPr>
            </w:pPr>
            <w:r>
              <w:rPr>
                <w:rFonts w:ascii="Arial" w:cs="Arial" w:eastAsia="Arial" w:hAnsi="Arial"/>
                <w:sz w:val="16"/>
                <w:szCs w:val="16"/>
                <w:color w:val="auto"/>
              </w:rPr>
              <w:t>Total deferred tax assets</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12,471,000</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11,207,000</w:t>
            </w:r>
          </w:p>
        </w:tc>
        <w:tc>
          <w:tcPr>
            <w:tcW w:w="100" w:type="dxa"/>
            <w:vAlign w:val="bottom"/>
          </w:tcPr>
          <w:p>
            <w:pPr>
              <w:spacing w:after="0"/>
              <w:rPr>
                <w:sz w:val="16"/>
                <w:szCs w:val="16"/>
                <w:color w:val="auto"/>
              </w:rPr>
            </w:pPr>
          </w:p>
        </w:tc>
      </w:tr>
      <w:tr>
        <w:trPr>
          <w:trHeight w:val="214"/>
        </w:trPr>
        <w:tc>
          <w:tcPr>
            <w:tcW w:w="8700" w:type="dxa"/>
            <w:vAlign w:val="bottom"/>
          </w:tcPr>
          <w:p>
            <w:pPr>
              <w:ind w:left="80"/>
              <w:spacing w:after="0"/>
              <w:rPr>
                <w:sz w:val="20"/>
                <w:szCs w:val="20"/>
                <w:color w:val="auto"/>
              </w:rPr>
            </w:pPr>
            <w:r>
              <w:rPr>
                <w:rFonts w:ascii="Arial" w:cs="Arial" w:eastAsia="Arial" w:hAnsi="Arial"/>
                <w:sz w:val="16"/>
                <w:szCs w:val="16"/>
                <w:color w:val="auto"/>
              </w:rPr>
              <w:t>Valuation allowance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(12,471,000)</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(11,207,000)</w:t>
            </w:r>
          </w:p>
        </w:tc>
      </w:tr>
      <w:tr>
        <w:trPr>
          <w:trHeight w:val="197"/>
        </w:trPr>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Deferred tax assets, net of valuation allowance</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
        </w:trPr>
        <w:tc>
          <w:tcPr>
            <w:tcW w:w="8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2014 and 2013.</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has not filed U.S tax returns since inception, but is in the process of filing tax returns for the years ended December 31, 2014, 2013, 2012, 2011, 2010, and 2009. The Net operating losses (“NOLs”) will not be available to reduce future taxable income until the returns are filed. Assuming these returns are filed, as of December 31, 2014 and 2013, the Company has approximately $30,686,428 and $26,982,085, respectively, of federal NOLs that may be available to offset future taxable income, if any. The federal net operating loss carryforwards, if not utilized, will expire beginning in 2023.</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81" w:right="239" w:bottom="1440" w:gutter="0" w:footer="0" w:header="0"/>
        </w:sectPr>
      </w:pPr>
    </w:p>
    <w:bookmarkStart w:id="39" w:name="page40"/>
    <w:bookmarkEnd w:id="39"/>
    <w:p>
      <w:pPr>
        <w:jc w:val="both"/>
        <w:spacing w:after="0" w:line="272" w:lineRule="auto"/>
        <w:rPr>
          <w:sz w:val="20"/>
          <w:szCs w:val="20"/>
          <w:color w:val="auto"/>
        </w:rPr>
      </w:pPr>
      <w:r>
        <w:rPr>
          <w:rFonts w:ascii="Arial" w:cs="Arial" w:eastAsia="Arial" w:hAnsi="Arial"/>
          <w:sz w:val="16"/>
          <w:szCs w:val="16"/>
          <w:color w:val="auto"/>
        </w:rPr>
        <w:t>The Company has also not filed any Canadian tax returns for GPC, which was dissolved in the fourth quarter of fiscal year 2014. The Company could be subject to fines and penalties for not filing the tax returns. The Company does not know the quantum of such fines and penalties, if any, and no liabilities have been accrued in the fiscal year 2014.</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the years ended December 31, 2014 and 2013, the expected tax expense (benefit) based on the U.S. federal statutory rate is reconciled with the actual tax provision (benefit)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25868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U.S.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552196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21960" cy="15875"/>
                    </a:xfrm>
                    <a:prstGeom prst="rect">
                      <a:avLst/>
                    </a:prstGeom>
                    <a:noFill/>
                  </pic:spPr>
                </pic:pic>
              </a:graphicData>
            </a:graphic>
          </wp:anchor>
        </w:drawing>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6"/>
          <w:szCs w:val="16"/>
          <w:color w:val="auto"/>
        </w:rPr>
        <w:t>Permanent differences</w:t>
      </w:r>
    </w:p>
    <w:p>
      <w:pPr>
        <w:spacing w:after="0" w:line="24" w:lineRule="exact"/>
        <w:rPr>
          <w:sz w:val="20"/>
          <w:szCs w:val="20"/>
          <w:color w:val="auto"/>
        </w:rPr>
      </w:pPr>
    </w:p>
    <w:p>
      <w:pPr>
        <w:ind w:left="200" w:right="5158" w:hanging="37"/>
        <w:spacing w:after="0" w:line="257"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Non-cash loss on extinguishment of debt -Other permanent differences</w:t>
      </w:r>
    </w:p>
    <w:p>
      <w:pPr>
        <w:ind w:left="80"/>
        <w:spacing w:after="0"/>
        <w:rPr>
          <w:sz w:val="20"/>
          <w:szCs w:val="20"/>
          <w:color w:val="auto"/>
        </w:rPr>
      </w:pPr>
      <w:r>
        <w:rPr>
          <w:rFonts w:ascii="Arial" w:cs="Arial" w:eastAsia="Arial" w:hAnsi="Arial"/>
          <w:sz w:val="16"/>
          <w:szCs w:val="16"/>
          <w:color w:val="auto"/>
        </w:rPr>
        <w:t>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552196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21960" cy="158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219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219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55219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219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97"/>
        </w:trPr>
        <w:tc>
          <w:tcPr>
            <w:tcW w:w="1140" w:type="dxa"/>
            <w:vAlign w:val="bottom"/>
          </w:tcPr>
          <w:p>
            <w:pPr>
              <w:jc w:val="center"/>
              <w:spacing w:after="0"/>
              <w:rPr>
                <w:sz w:val="20"/>
                <w:szCs w:val="20"/>
                <w:color w:val="auto"/>
              </w:rPr>
            </w:pPr>
            <w:r>
              <w:rPr>
                <w:rFonts w:ascii="Arial" w:cs="Arial" w:eastAsia="Arial" w:hAnsi="Arial"/>
                <w:sz w:val="16"/>
                <w:szCs w:val="16"/>
                <w:color w:val="auto"/>
                <w:w w:val="92"/>
              </w:rPr>
              <w:t>Year Ended</w:t>
            </w: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Year Ended</w:t>
            </w:r>
          </w:p>
        </w:tc>
      </w:tr>
      <w:tr>
        <w:trPr>
          <w:trHeight w:val="197"/>
        </w:trPr>
        <w:tc>
          <w:tcPr>
            <w:tcW w:w="1140" w:type="dxa"/>
            <w:vAlign w:val="bottom"/>
          </w:tcPr>
          <w:p>
            <w:pPr>
              <w:jc w:val="center"/>
              <w:spacing w:after="0"/>
              <w:rPr>
                <w:sz w:val="20"/>
                <w:szCs w:val="20"/>
                <w:color w:val="auto"/>
              </w:rPr>
            </w:pPr>
            <w:r>
              <w:rPr>
                <w:rFonts w:ascii="Arial" w:cs="Arial" w:eastAsia="Arial" w:hAnsi="Arial"/>
                <w:sz w:val="16"/>
                <w:szCs w:val="16"/>
                <w:color w:val="auto"/>
                <w:w w:val="91"/>
              </w:rPr>
              <w:t>December 31,</w:t>
            </w: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December 31,</w:t>
            </w:r>
          </w:p>
        </w:tc>
      </w:tr>
      <w:tr>
        <w:trPr>
          <w:trHeight w:val="214"/>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2014</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2013</w:t>
            </w:r>
          </w:p>
        </w:tc>
      </w:tr>
    </w:tbl>
    <w:p>
      <w:pPr>
        <w:spacing w:after="0" w:line="185" w:lineRule="exact"/>
        <w:rPr>
          <w:sz w:val="20"/>
          <w:szCs w:val="20"/>
          <w:color w:val="auto"/>
        </w:rPr>
      </w:pPr>
    </w:p>
    <w:p>
      <w:pPr>
        <w:ind w:left="362" w:hanging="362"/>
        <w:spacing w:after="0"/>
        <w:tabs>
          <w:tab w:leader="none" w:pos="362" w:val="left"/>
        </w:tabs>
        <w:numPr>
          <w:ilvl w:val="0"/>
          <w:numId w:val="10"/>
        </w:numPr>
        <w:rPr>
          <w:rFonts w:ascii="Arial" w:cs="Arial" w:eastAsia="Arial" w:hAnsi="Arial"/>
          <w:sz w:val="16"/>
          <w:szCs w:val="16"/>
          <w:color w:val="auto"/>
        </w:rPr>
      </w:pPr>
      <w:r>
        <w:rPr>
          <w:rFonts w:ascii="Arial" w:cs="Arial" w:eastAsia="Arial" w:hAnsi="Arial"/>
          <w:sz w:val="16"/>
          <w:szCs w:val="16"/>
          <w:color w:val="auto"/>
        </w:rPr>
        <w:t>(10,449,000)  $</w:t>
      </w:r>
      <w:r>
        <w:rPr>
          <w:rFonts w:ascii="Arial" w:cs="Arial" w:eastAsia="Arial" w:hAnsi="Arial"/>
          <w:sz w:val="15"/>
          <w:szCs w:val="15"/>
          <w:color w:val="auto"/>
        </w:rPr>
        <w:t>(1,881,000)</w:t>
      </w:r>
    </w:p>
    <w:p>
      <w:pPr>
        <w:spacing w:after="0" w:line="200" w:lineRule="exact"/>
        <w:rPr>
          <w:sz w:val="20"/>
          <w:szCs w:val="20"/>
          <w:color w:val="auto"/>
        </w:rPr>
      </w:pPr>
    </w:p>
    <w:p>
      <w:pPr>
        <w:spacing w:after="0" w:line="207"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9,122,000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893,000</w:t>
            </w:r>
          </w:p>
        </w:tc>
      </w:tr>
      <w:tr>
        <w:trPr>
          <w:trHeight w:val="19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62,000</w:t>
            </w: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(334,000)</w:t>
            </w:r>
          </w:p>
        </w:tc>
      </w:tr>
      <w:tr>
        <w:trPr>
          <w:trHeight w:val="214"/>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1,265,000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1,322,000</w:t>
            </w:r>
          </w:p>
        </w:tc>
      </w:tr>
      <w:tr>
        <w:trPr>
          <w:trHeight w:val="197"/>
        </w:trPr>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98" w:space="720"/>
            <w:col w:w="2602"/>
          </w:cols>
          <w:pgMar w:left="240" w:top="706" w:right="239" w:bottom="1440" w:gutter="0" w:footer="0" w:header="0"/>
          <w:type w:val="continuous"/>
        </w:sectPr>
      </w:pPr>
    </w:p>
    <w:p>
      <w:pPr>
        <w:spacing w:after="0" w:line="23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2014 and 2013, there were no unrecognized tax benefits. The Company recognizes accrued interest and penalties as income tax expense. No amounts were accrued for the payment of interest and penalties at December 31, 2014 and 2013. The Company is currently not aware of any issues under review that could result in significant payments, accruals or material deviation from its position in the next year.</w:t>
      </w:r>
    </w:p>
    <w:p>
      <w:pPr>
        <w:spacing w:after="0" w:line="187"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NOTE 12:</w:t>
        <w:tab/>
        <w:t>CONTINGENCIES AND COMMITMENTS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Consultant Litigation</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May 2012, the Company issued 112,000 post-consolidated shares of common stock to two consultants. The Company contested the validity of the services provided and initially were able to delay the sale of the contested shares. The Company was not successful in recovering the contested shares. A claim for alleged damages of approximately $362,000 plus costs by one of the consultants as a result of the contesting of the issuance of the shares has been filed in the Supreme Court of New York. The claim is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the arbitrator ordered (on July 18, 2014) the consultant to pay Tapimmune $196,204 plus 9% interest from the date of the award. The Company is attempting to collect the award from Mr. Gardner.</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law firm that we used to pursue the Gardner Action was awarded a judgment against us for $210,255 of unpaid legal fees (“G&amp;S Judgment”). Shareholders of the Company acquired the G&amp;S Judgment in full, converted that Judgment into preferred shares of the Company (which in turn converted into common stock) and subsequently released the Company from any liability related thereto.</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type w:val="continuous"/>
        </w:sectPr>
      </w:pPr>
    </w:p>
    <w:bookmarkStart w:id="40" w:name="page41"/>
    <w:bookmarkEnd w:id="40"/>
    <w:p>
      <w:pPr>
        <w:spacing w:after="0" w:line="288" w:lineRule="auto"/>
        <w:rPr>
          <w:sz w:val="20"/>
          <w:szCs w:val="20"/>
          <w:color w:val="auto"/>
        </w:rPr>
      </w:pPr>
      <w:r>
        <w:rPr>
          <w:rFonts w:ascii="Arial" w:cs="Arial" w:eastAsia="Arial" w:hAnsi="Arial"/>
          <w:sz w:val="16"/>
          <w:szCs w:val="16"/>
          <w:color w:val="auto"/>
        </w:rPr>
        <w:t>One of our suppliers, Fischer Scientific was awarded a judgment against us for $51,000 which is equal to the amount owed to them. We intend on settling that matter in the second quarter of 2015.</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NOTE 13:</w:t>
        <w:tab/>
        <w:t>SUBSEQUENT EVENTS</w:t>
      </w:r>
    </w:p>
    <w:p>
      <w:pPr>
        <w:spacing w:after="0" w:line="239" w:lineRule="exact"/>
        <w:rPr>
          <w:sz w:val="20"/>
          <w:szCs w:val="20"/>
          <w:color w:val="auto"/>
        </w:rPr>
      </w:pPr>
    </w:p>
    <w:p>
      <w:pPr>
        <w:jc w:val="both"/>
        <w:ind w:left="580" w:hanging="286"/>
        <w:spacing w:after="0" w:line="280" w:lineRule="auto"/>
        <w:tabs>
          <w:tab w:leader="none" w:pos="5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On January 12, 2015, the Company entered into a Securities Purchase Agreement with certain accredited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84" w:lineRule="exact"/>
        <w:rPr>
          <w:rFonts w:ascii="Arial" w:cs="Arial" w:eastAsia="Arial" w:hAnsi="Arial"/>
          <w:sz w:val="15"/>
          <w:szCs w:val="15"/>
          <w:color w:val="auto"/>
        </w:rPr>
      </w:pPr>
    </w:p>
    <w:p>
      <w:pPr>
        <w:ind w:left="580"/>
        <w:spacing w:after="0" w:line="324" w:lineRule="auto"/>
        <w:rPr>
          <w:rFonts w:ascii="Arial" w:cs="Arial" w:eastAsia="Arial" w:hAnsi="Arial"/>
          <w:sz w:val="15"/>
          <w:szCs w:val="15"/>
          <w:color w:val="auto"/>
        </w:rPr>
      </w:pPr>
      <w:r>
        <w:rPr>
          <w:rFonts w:ascii="Arial" w:cs="Arial" w:eastAsia="Arial" w:hAnsi="Arial"/>
          <w:sz w:val="15"/>
          <w:szCs w:val="15"/>
          <w:color w:val="auto"/>
        </w:rPr>
        <w:t>Pursuant to a placement agent agreement, the Company agreed to issue warrants to purchase an aggregate of up to 5% of the aggregate number of shares of common stock sold in the offering to the placement agents. The placement agent warrants have substantially the same terms as the January 2015 Warrants.</w:t>
      </w:r>
    </w:p>
    <w:p>
      <w:pPr>
        <w:spacing w:after="0" w:line="150" w:lineRule="exact"/>
        <w:rPr>
          <w:rFonts w:ascii="Arial" w:cs="Arial" w:eastAsia="Arial" w:hAnsi="Arial"/>
          <w:sz w:val="15"/>
          <w:szCs w:val="15"/>
          <w:color w:val="auto"/>
        </w:rPr>
      </w:pPr>
    </w:p>
    <w:p>
      <w:pPr>
        <w:jc w:val="both"/>
        <w:ind w:left="580" w:hanging="298"/>
        <w:spacing w:after="0" w:line="263"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March 9,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“March 2015 Warrants”). The March 2015 Warrants have substantially the same terms as the January 2015 Warrants.</w:t>
      </w:r>
    </w:p>
    <w:p>
      <w:pPr>
        <w:spacing w:after="0" w:line="194" w:lineRule="exact"/>
        <w:rPr>
          <w:rFonts w:ascii="Arial" w:cs="Arial" w:eastAsia="Arial" w:hAnsi="Arial"/>
          <w:sz w:val="16"/>
          <w:szCs w:val="16"/>
          <w:color w:val="auto"/>
        </w:rPr>
      </w:pPr>
    </w:p>
    <w:p>
      <w:pPr>
        <w:ind w:left="580"/>
        <w:spacing w:after="0" w:line="324" w:lineRule="auto"/>
        <w:rPr>
          <w:rFonts w:ascii="Arial" w:cs="Arial" w:eastAsia="Arial" w:hAnsi="Arial"/>
          <w:sz w:val="16"/>
          <w:szCs w:val="16"/>
          <w:color w:val="auto"/>
        </w:rPr>
      </w:pPr>
      <w:r>
        <w:rPr>
          <w:rFonts w:ascii="Arial" w:cs="Arial" w:eastAsia="Arial" w:hAnsi="Arial"/>
          <w:sz w:val="15"/>
          <w:szCs w:val="15"/>
          <w:color w:val="auto"/>
        </w:rPr>
        <w:t>Pursuant to a placement agent agreement, the Company agreed to issue warrants to purchase an aggregate of up to 2.5% of the aggregate number of shares of common stock sold in the offering to the placement agents. The placement agent warrants have substantially the same terms as the March 2015 Warrants.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41" w:name="page42"/>
    <w:bookmarkEnd w:id="41"/>
    <w:p>
      <w:pPr>
        <w:ind w:left="1"/>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We have had no disagreements with our principal independent accountants.</w:t>
      </w:r>
    </w:p>
    <w:p>
      <w:pPr>
        <w:spacing w:after="0" w:line="23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ITEM 9A. CONTROLS AND PROCEDURES</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39" w:lineRule="exact"/>
        <w:rPr>
          <w:sz w:val="20"/>
          <w:szCs w:val="20"/>
          <w:color w:val="auto"/>
        </w:rPr>
      </w:pPr>
    </w:p>
    <w:p>
      <w:pPr>
        <w:jc w:val="both"/>
        <w:ind w:left="1"/>
        <w:spacing w:after="0" w:line="26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Principal Executive Officer and Principal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95"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39"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spacing w:after="0" w:line="191"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As of December 31, 2014,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December 31, 2014 such internal controls and procedures were not effective to detect the inappropriate application of US GAAP rules as more fully described below.</w:t>
      </w:r>
    </w:p>
    <w:p>
      <w:pPr>
        <w:spacing w:after="0" w:line="191" w:lineRule="exact"/>
        <w:rPr>
          <w:sz w:val="20"/>
          <w:szCs w:val="20"/>
          <w:color w:val="auto"/>
        </w:rPr>
      </w:pPr>
    </w:p>
    <w:p>
      <w:pPr>
        <w:jc w:val="both"/>
        <w:ind w:left="1"/>
        <w:spacing w:after="0" w:line="299" w:lineRule="auto"/>
        <w:rPr>
          <w:sz w:val="20"/>
          <w:szCs w:val="20"/>
          <w:color w:val="auto"/>
        </w:rPr>
      </w:pPr>
      <w:r>
        <w:rPr>
          <w:rFonts w:ascii="Arial" w:cs="Arial" w:eastAsia="Arial" w:hAnsi="Arial"/>
          <w:sz w:val="14"/>
          <w:szCs w:val="14"/>
          <w:color w:val="auto"/>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the presence of only one of independent member on the current audit committee and the presence of only one outside director on our board of directors; (2) inadequate segregation of duties consistent with control objectives;</w:t>
      </w:r>
    </w:p>
    <w:p>
      <w:pPr>
        <w:spacing w:after="0" w:line="1" w:lineRule="exact"/>
        <w:rPr>
          <w:sz w:val="20"/>
          <w:szCs w:val="20"/>
          <w:color w:val="auto"/>
        </w:rPr>
      </w:pPr>
    </w:p>
    <w:p>
      <w:pPr>
        <w:ind w:left="1" w:hanging="1"/>
        <w:spacing w:after="0" w:line="274" w:lineRule="auto"/>
        <w:tabs>
          <w:tab w:leader="none" w:pos="25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insufficient written policies and procedures for accounting and financial reporting with respect to the requirements and application of US GAAP and SEC disclosure requirements; and (4) ineffective controls over period end financial disclosure and reporting processes.</w:t>
      </w:r>
    </w:p>
    <w:p>
      <w:pPr>
        <w:spacing w:after="0" w:line="185" w:lineRule="exact"/>
        <w:rPr>
          <w:sz w:val="20"/>
          <w:szCs w:val="20"/>
          <w:color w:val="auto"/>
        </w:rPr>
      </w:pPr>
    </w:p>
    <w:p>
      <w:pPr>
        <w:jc w:val="both"/>
        <w:ind w:left="1"/>
        <w:spacing w:after="0" w:line="299" w:lineRule="auto"/>
        <w:rPr>
          <w:sz w:val="20"/>
          <w:szCs w:val="20"/>
          <w:color w:val="auto"/>
        </w:rPr>
      </w:pPr>
      <w:r>
        <w:rPr>
          <w:rFonts w:ascii="Arial" w:cs="Arial" w:eastAsia="Arial" w:hAnsi="Arial"/>
          <w:sz w:val="15"/>
          <w:szCs w:val="15"/>
          <w:color w:val="auto"/>
        </w:rPr>
        <w:t>Management believes that none of the material weaknesses set forth above had a material adverse effect on the Company’s financial results for the fiscal year ended December 31, 2014 but management is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spacing w:after="0" w:line="168" w:lineRule="exact"/>
        <w:rPr>
          <w:sz w:val="20"/>
          <w:szCs w:val="20"/>
          <w:color w:val="auto"/>
        </w:rPr>
      </w:pPr>
    </w:p>
    <w:p>
      <w:pPr>
        <w:jc w:val="both"/>
        <w:ind w:left="1"/>
        <w:spacing w:after="0" w:line="263" w:lineRule="auto"/>
        <w:rPr>
          <w:sz w:val="20"/>
          <w:szCs w:val="20"/>
          <w:color w:val="auto"/>
        </w:rPr>
      </w:pPr>
      <w:r>
        <w:rPr>
          <w:rFonts w:ascii="Arial" w:cs="Arial" w:eastAsia="Arial" w:hAnsi="Arial"/>
          <w:sz w:val="16"/>
          <w:szCs w:val="16"/>
          <w:color w:val="auto"/>
        </w:rPr>
        <w:t>We are committed to improving our financial organization. As part of this commitment, we intend to continue to enhance our internal control over financial reporting by: i) expanding our personnel, ii) improving segregated duties consistent with control objectives, iii) appointing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702" w:right="2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6"/>
          <w:szCs w:val="16"/>
          <w:color w:val="auto"/>
        </w:rPr>
        <w:t>Management believes that the appointment of one or more outside directors, who shall be appointed to a fully functioning audit committee, will remedy the ineffective audit committee. To this end, Sherry Grisewood was appointed to our audit Committee in 2013.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This annual report does not include an attestation report of the Company’s registered public accounting firm regarding internal controls over financial reporting. Management’s report was not subject to attestation by the Company’s registered public accounting firm pursuant to the temporary rules of the SEC that permit the Company to provide only management’s report in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have been no changes in our internal control over financial reporting during our fourth fiscal quarter of our fiscal year ended December 31, 2014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PART III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Our directors and executive officers and their respective ages as of the date of this annual report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Age</w:t>
            </w:r>
          </w:p>
        </w:tc>
        <w:tc>
          <w:tcPr>
            <w:tcW w:w="548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Position with the Company</w:t>
            </w:r>
          </w:p>
        </w:tc>
      </w:tr>
      <w:tr>
        <w:trPr>
          <w:trHeight w:val="185"/>
        </w:trPr>
        <w:tc>
          <w:tcPr>
            <w:tcW w:w="4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Glynn Wilson</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center"/>
              <w:ind w:left="38"/>
              <w:spacing w:after="0"/>
              <w:rPr>
                <w:sz w:val="20"/>
                <w:szCs w:val="20"/>
                <w:color w:val="auto"/>
              </w:rPr>
            </w:pPr>
            <w:r>
              <w:rPr>
                <w:rFonts w:ascii="Arial" w:cs="Arial" w:eastAsia="Arial" w:hAnsi="Arial"/>
                <w:sz w:val="16"/>
                <w:szCs w:val="16"/>
                <w:color w:val="auto"/>
                <w:w w:val="89"/>
              </w:rPr>
              <w:t>68</w:t>
            </w:r>
          </w:p>
        </w:tc>
        <w:tc>
          <w:tcPr>
            <w:tcW w:w="120" w:type="dxa"/>
            <w:vAlign w:val="bottom"/>
          </w:tcPr>
          <w:p>
            <w:pPr>
              <w:spacing w:after="0"/>
              <w:rPr>
                <w:sz w:val="16"/>
                <w:szCs w:val="16"/>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8"/>
              </w:rPr>
              <w:t>Chairman, Chief Executive Officer, Principal Executive Officer and a Director</w:t>
            </w: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Mark Reddish</w:t>
            </w:r>
          </w:p>
        </w:tc>
        <w:tc>
          <w:tcPr>
            <w:tcW w:w="1240" w:type="dxa"/>
            <w:vAlign w:val="bottom"/>
            <w:gridSpan w:val="2"/>
          </w:tcPr>
          <w:p>
            <w:pPr>
              <w:jc w:val="center"/>
              <w:ind w:left="158"/>
              <w:spacing w:after="0"/>
              <w:rPr>
                <w:sz w:val="20"/>
                <w:szCs w:val="20"/>
                <w:color w:val="auto"/>
              </w:rPr>
            </w:pPr>
            <w:r>
              <w:rPr>
                <w:rFonts w:ascii="Arial" w:cs="Arial" w:eastAsia="Arial" w:hAnsi="Arial"/>
                <w:sz w:val="16"/>
                <w:szCs w:val="16"/>
                <w:color w:val="auto"/>
                <w:w w:val="89"/>
              </w:rPr>
              <w:t>60</w:t>
            </w:r>
          </w:p>
        </w:tc>
        <w:tc>
          <w:tcPr>
            <w:tcW w:w="5480" w:type="dxa"/>
            <w:vAlign w:val="bottom"/>
            <w:gridSpan w:val="2"/>
          </w:tcPr>
          <w:p>
            <w:pPr>
              <w:ind w:left="120"/>
              <w:spacing w:after="0"/>
              <w:rPr>
                <w:sz w:val="20"/>
                <w:szCs w:val="20"/>
                <w:color w:val="auto"/>
              </w:rPr>
            </w:pPr>
            <w:r>
              <w:rPr>
                <w:rFonts w:ascii="Arial" w:cs="Arial" w:eastAsia="Arial" w:hAnsi="Arial"/>
                <w:sz w:val="16"/>
                <w:szCs w:val="16"/>
                <w:color w:val="auto"/>
              </w:rPr>
              <w:t>Vice President Development</w:t>
            </w: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Sherry Grisewood</w:t>
            </w:r>
          </w:p>
        </w:tc>
        <w:tc>
          <w:tcPr>
            <w:tcW w:w="1240" w:type="dxa"/>
            <w:vAlign w:val="bottom"/>
            <w:gridSpan w:val="2"/>
          </w:tcPr>
          <w:p>
            <w:pPr>
              <w:jc w:val="center"/>
              <w:ind w:left="158"/>
              <w:spacing w:after="0"/>
              <w:rPr>
                <w:sz w:val="20"/>
                <w:szCs w:val="20"/>
                <w:color w:val="auto"/>
              </w:rPr>
            </w:pPr>
            <w:r>
              <w:rPr>
                <w:rFonts w:ascii="Arial" w:cs="Arial" w:eastAsia="Arial" w:hAnsi="Arial"/>
                <w:sz w:val="16"/>
                <w:szCs w:val="16"/>
                <w:color w:val="auto"/>
                <w:w w:val="89"/>
              </w:rPr>
              <w:t>62</w:t>
            </w:r>
          </w:p>
        </w:tc>
        <w:tc>
          <w:tcPr>
            <w:tcW w:w="5480" w:type="dxa"/>
            <w:vAlign w:val="bottom"/>
            <w:gridSpan w:val="2"/>
          </w:tcPr>
          <w:p>
            <w:pPr>
              <w:ind w:left="120"/>
              <w:spacing w:after="0"/>
              <w:rPr>
                <w:sz w:val="20"/>
                <w:szCs w:val="20"/>
                <w:color w:val="auto"/>
              </w:rPr>
            </w:pPr>
            <w:r>
              <w:rPr>
                <w:rFonts w:ascii="Arial" w:cs="Arial" w:eastAsia="Arial" w:hAnsi="Arial"/>
                <w:sz w:val="16"/>
                <w:szCs w:val="16"/>
                <w:color w:val="auto"/>
              </w:rPr>
              <w:t>Independent Board Member</w:t>
            </w:r>
          </w:p>
        </w:tc>
      </w:tr>
      <w:tr>
        <w:trPr>
          <w:trHeight w:val="208"/>
        </w:trPr>
        <w:tc>
          <w:tcPr>
            <w:tcW w:w="4700" w:type="dxa"/>
            <w:vAlign w:val="bottom"/>
          </w:tcPr>
          <w:p>
            <w:pPr>
              <w:spacing w:after="0"/>
              <w:rPr>
                <w:sz w:val="20"/>
                <w:szCs w:val="20"/>
                <w:color w:val="auto"/>
              </w:rPr>
            </w:pPr>
            <w:r>
              <w:rPr>
                <w:rFonts w:ascii="Arial" w:cs="Arial" w:eastAsia="Arial" w:hAnsi="Arial"/>
                <w:sz w:val="16"/>
                <w:szCs w:val="16"/>
                <w:color w:val="auto"/>
              </w:rPr>
              <w:t>David Laskow-Pooley</w:t>
            </w:r>
          </w:p>
        </w:tc>
        <w:tc>
          <w:tcPr>
            <w:tcW w:w="1240" w:type="dxa"/>
            <w:vAlign w:val="bottom"/>
            <w:gridSpan w:val="2"/>
          </w:tcPr>
          <w:p>
            <w:pPr>
              <w:jc w:val="center"/>
              <w:ind w:left="138"/>
              <w:spacing w:after="0"/>
              <w:rPr>
                <w:sz w:val="20"/>
                <w:szCs w:val="20"/>
                <w:color w:val="auto"/>
              </w:rPr>
            </w:pPr>
            <w:r>
              <w:rPr>
                <w:rFonts w:ascii="Arial" w:cs="Arial" w:eastAsia="Arial" w:hAnsi="Arial"/>
                <w:sz w:val="16"/>
                <w:szCs w:val="16"/>
                <w:color w:val="auto"/>
              </w:rPr>
              <w:t>[--]</w:t>
            </w:r>
          </w:p>
        </w:tc>
        <w:tc>
          <w:tcPr>
            <w:tcW w:w="5480" w:type="dxa"/>
            <w:vAlign w:val="bottom"/>
            <w:gridSpan w:val="2"/>
          </w:tcPr>
          <w:p>
            <w:pPr>
              <w:ind w:left="120"/>
              <w:spacing w:after="0"/>
              <w:rPr>
                <w:sz w:val="20"/>
                <w:szCs w:val="20"/>
                <w:color w:val="auto"/>
              </w:rPr>
            </w:pPr>
            <w:r>
              <w:rPr>
                <w:rFonts w:ascii="Arial" w:cs="Arial" w:eastAsia="Arial" w:hAnsi="Arial"/>
                <w:sz w:val="16"/>
                <w:szCs w:val="16"/>
                <w:color w:val="auto"/>
              </w:rPr>
              <w:t>Independent Board Member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business experience of each of our directors and executive officers, including other directorships held in reporting companies: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Glynn Wilson, Ph.D., Chief Executive Officer and Chairman</w:t>
      </w: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Dr. Wilson brings an extensive background of success in corporate management and product development with tenures in both major multinational pharmaceutical companies and start-up pharmaceutical/biotech organizations. Dr. Wilson's former positions include Head of Drug Delivery at SmithKline Beecham Pharmaceuticals, Research Area Head in Advanced Drug Delivery at Ciba-Geigy Pharmaceuticals, and President and co-founder of Auriga Pharmaceuticals. As Executive Vice President of R&amp;D at Tacora Corporation he was responsible for merging the Company with Access Pharmaceuticals. He is a recognized leader in the development of drug delivery systems and has been involved in taking lead products &amp; technologies from concept to commercialization. Glynn has a Ph.D. in Biochemistry and conducted medical research at The Rockefeller University, New York. He has been on the Board of TapImmune for 5 years.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Mark Reddish, Director</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Mark was formerly Vice President of Product Development and Principal Investigator, Biodefense at ID Biomedical, Bothell, WA, prior to the acquisition of the company by Glaxo SmithKline for $1.6 billion. At Biomira Inc, (renamed Oncothyreon) he was responsible for preclinical development of their cancer vaccines program where he led the early research and clinical development of Stimuvax, which is currently in late Stage 3 clinical trials under a partnership with Merck KGa. Mark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Sherry Grisewood, Director</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Sherry Grisewood, CFA, has over 25 years securities industry experience in a range of investment banking, advisory and research-related activities. She is currently associated with Dawson James Securities Inc in a senior banking analytical role. Prior to joining Dawson James, she most recently inaugurated a Lifesciences specialty practice as Managing Director, Lifesciences and Technology Banking for Tripoint Global Equities. Prior to Tripoint, Ms. Grisewood served as Senior Life Sciences Banker at Jesup &amp; Lamont Securities Corp. and as an independent strategic advisor and consultant for several investment banks over the prior 12 year period. She has participated in over 50 transaction-related projects involving initial public offerings, secondary offerings, PIPE’s, private equity, M&amp;A and licensing transactions. These deals and projects represented US, Canadian, Scandinavian, UK, Chinese and Australian clients with advanced technologies and the development of nucleic acid therapeutics and delivery systems in the life sciences such as those addressing nucleic acid therapeutics, regenerative medicine, CNS diseases, or leading edge technologies for lifescience special situations. Prior to consulting for investment banks, Ms. Grisewood served as Director of Research for several mid-tier brokerage companies and a leading independent investment research company.</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Ms. Grisewood holds a Bachelor of Science degree (Highest Honors, 4.0GPA) in Life Science from Ramapo College of New Jersey. She is a member of the American Society of Gene and Cell Therapy, the Tissue Engineering and Regenerative Medicine Society International, the Society of Biomaterials, the CFA Institute and the NY Society of Security Analysts.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David Laskow-Pooley</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Mr. Laskow-Pooley is currently CEO of LondonPharma Ltd, a clinical stage company re-purposing approved drugs through novel drug delivery technologies and is the Co-founder of Pharmafor Ltd. He was formerly Managing Director (UK) of Nasdaq- listed drug discovery platform company, OSI, and was part of the corporate team that developed and launched Tarceva for the treatment of lung cancer with marketing partners Roche and Genentech. He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of Office</w:t>
      </w:r>
    </w:p>
    <w:p>
      <w:pPr>
        <w:spacing w:after="0" w:line="23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Employees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On December 31, 2014 we had 1 full-time employee and a number of management and scientific consultants.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Board of Directors has established an Audit Committee which functions pursuant to a written charter adopted by our Board of Directors in March 2004. The members of our Audit Committee as of December 31, 2014 were Dr. Wilson, Mr. Reddish and Ms. Grisewood.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44" w:name="page45"/>
    <w:bookmarkEnd w:id="44"/>
    <w:p>
      <w:pPr>
        <w:ind w:left="1"/>
        <w:spacing w:after="0"/>
        <w:rPr>
          <w:sz w:val="20"/>
          <w:szCs w:val="20"/>
          <w:color w:val="auto"/>
        </w:rPr>
      </w:pPr>
      <w:r>
        <w:rPr>
          <w:rFonts w:ascii="Arial" w:cs="Arial" w:eastAsia="Arial" w:hAnsi="Arial"/>
          <w:sz w:val="15"/>
          <w:szCs w:val="15"/>
          <w:color w:val="auto"/>
        </w:rPr>
        <w:t>Our Board of Directors has determined that our Audit Committee does not have a member that qualifies as an “audit committee financial expert” as defined in Item 407(d)(5)</w:t>
      </w:r>
    </w:p>
    <w:p>
      <w:pPr>
        <w:spacing w:after="0" w:line="36" w:lineRule="exact"/>
        <w:rPr>
          <w:sz w:val="20"/>
          <w:szCs w:val="20"/>
          <w:color w:val="auto"/>
        </w:rPr>
      </w:pPr>
    </w:p>
    <w:p>
      <w:pPr>
        <w:jc w:val="both"/>
        <w:ind w:left="1" w:hanging="1"/>
        <w:spacing w:after="0" w:line="262" w:lineRule="auto"/>
        <w:tabs>
          <w:tab w:leader="none" w:pos="2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 Regulation S-K. Our Board of Directors believes that it is capable of analyzing and evaluating our financial statements and understanding internal controls and procedures for financial reporting and that retaining an independent director who would qualify as an “audit committee financial expert” would be overly costly and burdensome at this time. In March 2013, the Company appointed Sherry Grisewood to the Board of Directors. Ms. Grisewood has over 25 years of securities industry experience in a range of investment banking, advisory and research-related activities. Ms. Grisewood is leading the audit committee.</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Compensation Committee</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Dr. Wilson and Ms. Grisewood serve on our compensation committee, which is now led by Ms. Grisewood.</w:t>
      </w:r>
    </w:p>
    <w:p>
      <w:pPr>
        <w:spacing w:after="0" w:line="23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Scientific Advisory Board</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5"/>
          <w:szCs w:val="15"/>
          <w:color w:val="auto"/>
        </w:rPr>
        <w:t>On March 19, 2014, we established the scientific advisory board. Also, on that date, Dr. Keith Knutson was appointed as chairman of the Scientific Advisory Board.</w:t>
      </w:r>
    </w:p>
    <w:p>
      <w:pPr>
        <w:spacing w:after="0" w:line="24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Involvement in Certain Legal Proceedings</w:t>
      </w:r>
    </w:p>
    <w:p>
      <w:pPr>
        <w:spacing w:after="0" w:line="239" w:lineRule="exact"/>
        <w:rPr>
          <w:sz w:val="20"/>
          <w:szCs w:val="20"/>
          <w:color w:val="auto"/>
        </w:rPr>
      </w:pPr>
    </w:p>
    <w:p>
      <w:pPr>
        <w:jc w:val="both"/>
        <w:ind w:left="1"/>
        <w:spacing w:after="0" w:line="262" w:lineRule="auto"/>
        <w:rPr>
          <w:sz w:val="20"/>
          <w:szCs w:val="20"/>
          <w:color w:val="auto"/>
        </w:rPr>
      </w:pPr>
      <w:r>
        <w:rPr>
          <w:rFonts w:ascii="Arial" w:cs="Arial" w:eastAsia="Arial" w:hAnsi="Arial"/>
          <w:sz w:val="16"/>
          <w:szCs w:val="16"/>
          <w:color w:val="auto"/>
        </w:rPr>
        <w:t>None of our directors, executive officers or control persons has been involved in any of the following events during the past five years: (i) any bankruptcy petition filed by or against any business of which such person was a general partner or executive officer either at the time of the bankruptcy or within two years prior to that time; (ii) any conviction in a criminal proceeding or being subject to a pending criminal proceeding (excluding traffic violations and other minor offences); (iii)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or (iv) 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Code of Conduct</w:t>
      </w:r>
    </w:p>
    <w:p>
      <w:pPr>
        <w:spacing w:after="0" w:line="239" w:lineRule="exact"/>
        <w:rPr>
          <w:sz w:val="20"/>
          <w:szCs w:val="20"/>
          <w:color w:val="auto"/>
        </w:rPr>
      </w:pPr>
    </w:p>
    <w:p>
      <w:pPr>
        <w:jc w:val="both"/>
        <w:ind w:left="1"/>
        <w:spacing w:after="0" w:line="272" w:lineRule="auto"/>
        <w:rPr>
          <w:sz w:val="20"/>
          <w:szCs w:val="20"/>
          <w:color w:val="auto"/>
        </w:rPr>
      </w:pPr>
      <w:r>
        <w:rPr>
          <w:rFonts w:ascii="Arial" w:cs="Arial" w:eastAsia="Arial" w:hAnsi="Arial"/>
          <w:sz w:val="16"/>
          <w:szCs w:val="16"/>
          <w:color w:val="auto"/>
        </w:rPr>
        <w:t>We have adopted a Code of Conduct policy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of Conduct can be viewed on our website at the following URL: http://www.tapimmune.com/investors/corporate_info/</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Compliance with Section 16(a) of the Exchange Act</w:t>
      </w:r>
    </w:p>
    <w:p>
      <w:pPr>
        <w:spacing w:after="0" w:line="239"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Section 16(a) of the Exchange Act requires our directors and officers, and the persons who beneficially own more than 10% of our common stock, to file reports of ownership and changes in ownership with the SEC. Copies of all filed reports are required to be furnished to us pursuant to Rule 16a-3 promulgated under the Exchange Act. Based solely on the reports received by us and on the representations of the reporting persons, we believe that these persons have complied with all applicable filing requirements during the Year Ended December 31, 2014.</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706" w:right="239" w:bottom="1440" w:gutter="0" w:footer="0" w:header="0"/>
        </w:sectPr>
      </w:pPr>
    </w:p>
    <w:bookmarkStart w:id="45" w:name="page46"/>
    <w:bookmarkEnd w:id="45"/>
    <w:p>
      <w:pPr>
        <w:ind w:left="1"/>
        <w:spacing w:after="0"/>
        <w:tabs>
          <w:tab w:leader="none" w:pos="861" w:val="left"/>
        </w:tabs>
        <w:rPr>
          <w:sz w:val="20"/>
          <w:szCs w:val="20"/>
          <w:color w:val="auto"/>
        </w:rPr>
      </w:pPr>
      <w:r>
        <w:rPr>
          <w:rFonts w:ascii="Arial" w:cs="Arial" w:eastAsia="Arial" w:hAnsi="Arial"/>
          <w:sz w:val="16"/>
          <w:szCs w:val="16"/>
          <w:b w:val="1"/>
          <w:bCs w:val="1"/>
          <w:color w:val="auto"/>
        </w:rPr>
        <w:t>ITEM 11.</w:t>
        <w:tab/>
        <w:t>EXECUTIVE COMPENSATION</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following table sets forth the compensation paid to our executive officers for their services as executive officers during our fiscal years ended December 31, 2014 and</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6"/>
          <w:szCs w:val="16"/>
          <w:color w:val="auto"/>
        </w:rPr>
        <w:t>December 31, 2013: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Compensation Table</w:t>
      </w:r>
    </w:p>
    <w:p>
      <w:pPr>
        <w:spacing w:after="0" w:line="28" w:lineRule="exact"/>
        <w:rPr>
          <w:sz w:val="20"/>
          <w:szCs w:val="20"/>
          <w:color w:val="auto"/>
        </w:rPr>
      </w:pPr>
    </w:p>
    <w:tbl>
      <w:tblPr>
        <w:tblLayout w:type="fixed"/>
        <w:tblInd w:w="1" w:type="dxa"/>
        <w:tblCellMar>
          <w:top w:w="0" w:type="dxa"/>
          <w:left w:w="0" w:type="dxa"/>
          <w:bottom w:w="0" w:type="dxa"/>
          <w:right w:w="0" w:type="dxa"/>
        </w:tblCellMar>
      </w:tblPr>
      <w:tr>
        <w:trPr>
          <w:trHeight w:val="187"/>
        </w:trPr>
        <w:tc>
          <w:tcPr>
            <w:tcW w:w="29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Stock</w:t>
            </w:r>
          </w:p>
        </w:tc>
        <w:tc>
          <w:tcPr>
            <w:tcW w:w="1220" w:type="dxa"/>
            <w:vAlign w:val="bottom"/>
            <w:tcBorders>
              <w:top w:val="single" w:sz="8" w:color="auto"/>
            </w:tcBorders>
          </w:tcPr>
          <w:p>
            <w:pPr>
              <w:jc w:val="center"/>
              <w:ind w:left="38"/>
              <w:spacing w:after="0"/>
              <w:rPr>
                <w:sz w:val="20"/>
                <w:szCs w:val="20"/>
                <w:color w:val="auto"/>
              </w:rPr>
            </w:pPr>
            <w:r>
              <w:rPr>
                <w:rFonts w:ascii="Arial" w:cs="Arial" w:eastAsia="Arial" w:hAnsi="Arial"/>
                <w:sz w:val="16"/>
                <w:szCs w:val="16"/>
                <w:b w:val="1"/>
                <w:bCs w:val="1"/>
                <w:color w:val="auto"/>
                <w:w w:val="96"/>
              </w:rPr>
              <w:t>Option</w:t>
            </w: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160" w:type="dxa"/>
            <w:vAlign w:val="bottom"/>
            <w:tcBorders>
              <w:top w:val="single" w:sz="8" w:color="auto"/>
            </w:tcBorders>
          </w:tcPr>
          <w:p>
            <w:pPr>
              <w:spacing w:after="0"/>
              <w:rPr>
                <w:sz w:val="16"/>
                <w:szCs w:val="16"/>
                <w:color w:val="auto"/>
              </w:rPr>
            </w:pPr>
          </w:p>
        </w:tc>
      </w:tr>
      <w:tr>
        <w:trPr>
          <w:trHeight w:val="197"/>
        </w:trPr>
        <w:tc>
          <w:tcPr>
            <w:tcW w:w="2900" w:type="dxa"/>
            <w:vAlign w:val="bottom"/>
          </w:tcPr>
          <w:p>
            <w:pPr>
              <w:spacing w:after="0"/>
              <w:rPr>
                <w:sz w:val="20"/>
                <w:szCs w:val="20"/>
                <w:color w:val="auto"/>
              </w:rPr>
            </w:pPr>
            <w:r>
              <w:rPr>
                <w:rFonts w:ascii="Arial" w:cs="Arial" w:eastAsia="Arial" w:hAnsi="Arial"/>
                <w:sz w:val="16"/>
                <w:szCs w:val="16"/>
                <w:b w:val="1"/>
                <w:bCs w:val="1"/>
                <w:color w:val="auto"/>
              </w:rPr>
              <w:t>Name and Principal</w:t>
            </w:r>
          </w:p>
        </w:tc>
        <w:tc>
          <w:tcPr>
            <w:tcW w:w="820" w:type="dxa"/>
            <w:vAlign w:val="bottom"/>
          </w:tcPr>
          <w:p>
            <w:pPr>
              <w:spacing w:after="0"/>
              <w:rPr>
                <w:sz w:val="17"/>
                <w:szCs w:val="17"/>
                <w:color w:val="auto"/>
              </w:rPr>
            </w:pPr>
          </w:p>
        </w:tc>
        <w:tc>
          <w:tcPr>
            <w:tcW w:w="1180" w:type="dxa"/>
            <w:vAlign w:val="bottom"/>
          </w:tcPr>
          <w:p>
            <w:pPr>
              <w:ind w:left="340"/>
              <w:spacing w:after="0"/>
              <w:rPr>
                <w:sz w:val="20"/>
                <w:szCs w:val="20"/>
                <w:color w:val="auto"/>
              </w:rPr>
            </w:pPr>
            <w:r>
              <w:rPr>
                <w:rFonts w:ascii="Arial" w:cs="Arial" w:eastAsia="Arial" w:hAnsi="Arial"/>
                <w:sz w:val="16"/>
                <w:szCs w:val="16"/>
                <w:b w:val="1"/>
                <w:bCs w:val="1"/>
                <w:color w:val="auto"/>
              </w:rPr>
              <w:t>Salary</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Bonus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Awards</w:t>
            </w:r>
          </w:p>
        </w:tc>
        <w:tc>
          <w:tcPr>
            <w:tcW w:w="1220" w:type="dxa"/>
            <w:vAlign w:val="bottom"/>
          </w:tcPr>
          <w:p>
            <w:pPr>
              <w:jc w:val="center"/>
              <w:ind w:left="38"/>
              <w:spacing w:after="0"/>
              <w:rPr>
                <w:sz w:val="20"/>
                <w:szCs w:val="20"/>
                <w:color w:val="auto"/>
              </w:rPr>
            </w:pPr>
            <w:r>
              <w:rPr>
                <w:rFonts w:ascii="Arial" w:cs="Arial" w:eastAsia="Arial" w:hAnsi="Arial"/>
                <w:sz w:val="16"/>
                <w:szCs w:val="16"/>
                <w:b w:val="1"/>
                <w:bCs w:val="1"/>
                <w:color w:val="auto"/>
                <w:w w:val="93"/>
              </w:rPr>
              <w:t>Awards</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Compen-sation</w:t>
            </w:r>
          </w:p>
        </w:tc>
        <w:tc>
          <w:tcPr>
            <w:tcW w:w="1160" w:type="dxa"/>
            <w:vAlign w:val="bottom"/>
          </w:tcPr>
          <w:p>
            <w:pPr>
              <w:ind w:left="340"/>
              <w:spacing w:after="0"/>
              <w:rPr>
                <w:sz w:val="20"/>
                <w:szCs w:val="20"/>
                <w:color w:val="auto"/>
              </w:rPr>
            </w:pPr>
            <w:r>
              <w:rPr>
                <w:rFonts w:ascii="Arial" w:cs="Arial" w:eastAsia="Arial" w:hAnsi="Arial"/>
                <w:sz w:val="16"/>
                <w:szCs w:val="16"/>
                <w:b w:val="1"/>
                <w:bCs w:val="1"/>
                <w:color w:val="auto"/>
              </w:rPr>
              <w:t>Total</w:t>
            </w:r>
          </w:p>
        </w:tc>
      </w:tr>
      <w:tr>
        <w:trPr>
          <w:trHeight w:val="218"/>
        </w:trPr>
        <w:tc>
          <w:tcPr>
            <w:tcW w:w="2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w:t>
            </w: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Year</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220" w:type="dxa"/>
            <w:vAlign w:val="bottom"/>
            <w:tcBorders>
              <w:bottom w:val="single" w:sz="8" w:color="auto"/>
            </w:tcBorders>
          </w:tcPr>
          <w:p>
            <w:pPr>
              <w:jc w:val="center"/>
              <w:ind w:left="38"/>
              <w:spacing w:after="0"/>
              <w:rPr>
                <w:sz w:val="20"/>
                <w:szCs w:val="20"/>
                <w:color w:val="auto"/>
              </w:rPr>
            </w:pPr>
            <w:r>
              <w:rPr>
                <w:rFonts w:ascii="Arial" w:cs="Arial" w:eastAsia="Arial" w:hAnsi="Arial"/>
                <w:sz w:val="16"/>
                <w:szCs w:val="16"/>
                <w:b w:val="1"/>
                <w:bCs w:val="1"/>
                <w:color w:val="auto"/>
                <w:w w:val="91"/>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16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rPr>
              <w:t>($)</w:t>
            </w:r>
          </w:p>
        </w:tc>
      </w:tr>
      <w:tr>
        <w:trPr>
          <w:trHeight w:val="185"/>
        </w:trPr>
        <w:tc>
          <w:tcPr>
            <w:tcW w:w="2900" w:type="dxa"/>
            <w:vAlign w:val="bottom"/>
          </w:tcPr>
          <w:p>
            <w:pPr>
              <w:spacing w:after="0"/>
              <w:rPr>
                <w:sz w:val="20"/>
                <w:szCs w:val="20"/>
                <w:color w:val="auto"/>
              </w:rPr>
            </w:pPr>
            <w:r>
              <w:rPr>
                <w:rFonts w:ascii="Arial" w:cs="Arial" w:eastAsia="Arial" w:hAnsi="Arial"/>
                <w:sz w:val="16"/>
                <w:szCs w:val="16"/>
                <w:color w:val="auto"/>
              </w:rPr>
              <w:t>Glynn Wilson</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7"/>
        </w:trPr>
        <w:tc>
          <w:tcPr>
            <w:tcW w:w="2900" w:type="dxa"/>
            <w:vAlign w:val="bottom"/>
          </w:tcPr>
          <w:p>
            <w:pPr>
              <w:spacing w:after="0"/>
              <w:rPr>
                <w:sz w:val="20"/>
                <w:szCs w:val="20"/>
                <w:color w:val="auto"/>
              </w:rPr>
            </w:pPr>
            <w:r>
              <w:rPr>
                <w:rFonts w:ascii="Arial" w:cs="Arial" w:eastAsia="Arial" w:hAnsi="Arial"/>
                <w:sz w:val="16"/>
                <w:szCs w:val="16"/>
                <w:i w:val="1"/>
                <w:iCs w:val="1"/>
                <w:color w:val="auto"/>
              </w:rPr>
              <w:t>Chairman, CEO and Principal Executive</w:t>
            </w:r>
          </w:p>
        </w:tc>
        <w:tc>
          <w:tcPr>
            <w:tcW w:w="820" w:type="dxa"/>
            <w:vAlign w:val="bottom"/>
          </w:tcPr>
          <w:p>
            <w:pPr>
              <w:ind w:left="220"/>
              <w:spacing w:after="0"/>
              <w:rPr>
                <w:sz w:val="20"/>
                <w:szCs w:val="20"/>
                <w:color w:val="auto"/>
              </w:rPr>
            </w:pPr>
            <w:r>
              <w:rPr>
                <w:rFonts w:ascii="Arial" w:cs="Arial" w:eastAsia="Arial" w:hAnsi="Arial"/>
                <w:sz w:val="16"/>
                <w:szCs w:val="16"/>
                <w:color w:val="auto"/>
              </w:rPr>
              <w:t>2014</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200" w:type="dxa"/>
            <w:vAlign w:val="bottom"/>
          </w:tcPr>
          <w:p>
            <w:pPr>
              <w:jc w:val="center"/>
              <w:spacing w:after="0"/>
              <w:rPr>
                <w:sz w:val="20"/>
                <w:szCs w:val="20"/>
                <w:color w:val="auto"/>
              </w:rPr>
            </w:pPr>
            <w:r>
              <w:rPr>
                <w:rFonts w:ascii="Arial" w:cs="Arial" w:eastAsia="Arial" w:hAnsi="Arial"/>
                <w:sz w:val="16"/>
                <w:szCs w:val="16"/>
                <w:color w:val="auto"/>
              </w:rPr>
              <w:t>Nil</w:t>
            </w:r>
          </w:p>
        </w:tc>
        <w:tc>
          <w:tcPr>
            <w:tcW w:w="1360" w:type="dxa"/>
            <w:vAlign w:val="bottom"/>
          </w:tcPr>
          <w:p>
            <w:pPr>
              <w:jc w:val="center"/>
              <w:spacing w:after="0"/>
              <w:rPr>
                <w:sz w:val="20"/>
                <w:szCs w:val="20"/>
                <w:color w:val="auto"/>
              </w:rPr>
            </w:pPr>
            <w:r>
              <w:rPr>
                <w:rFonts w:ascii="Arial" w:cs="Arial" w:eastAsia="Arial" w:hAnsi="Arial"/>
                <w:sz w:val="16"/>
                <w:szCs w:val="16"/>
                <w:color w:val="auto"/>
              </w:rPr>
              <w:t>Nil</w:t>
            </w:r>
          </w:p>
        </w:tc>
        <w:tc>
          <w:tcPr>
            <w:tcW w:w="1220" w:type="dxa"/>
            <w:vAlign w:val="bottom"/>
          </w:tcPr>
          <w:p>
            <w:pPr>
              <w:jc w:val="center"/>
              <w:ind w:left="38"/>
              <w:spacing w:after="0"/>
              <w:rPr>
                <w:sz w:val="20"/>
                <w:szCs w:val="20"/>
                <w:color w:val="auto"/>
              </w:rPr>
            </w:pPr>
            <w:r>
              <w:rPr>
                <w:rFonts w:ascii="Arial" w:cs="Arial" w:eastAsia="Arial" w:hAnsi="Arial"/>
                <w:sz w:val="16"/>
                <w:szCs w:val="16"/>
                <w:color w:val="auto"/>
              </w:rPr>
              <w:t>Nil</w:t>
            </w:r>
          </w:p>
        </w:tc>
        <w:tc>
          <w:tcPr>
            <w:tcW w:w="1580" w:type="dxa"/>
            <w:vAlign w:val="bottom"/>
          </w:tcPr>
          <w:p>
            <w:pPr>
              <w:jc w:val="center"/>
              <w:spacing w:after="0"/>
              <w:rPr>
                <w:sz w:val="20"/>
                <w:szCs w:val="20"/>
                <w:color w:val="auto"/>
              </w:rPr>
            </w:pPr>
            <w:r>
              <w:rPr>
                <w:rFonts w:ascii="Arial" w:cs="Arial" w:eastAsia="Arial" w:hAnsi="Arial"/>
                <w:sz w:val="16"/>
                <w:szCs w:val="16"/>
                <w:color w:val="auto"/>
              </w:rPr>
              <w:t>Nil</w:t>
            </w:r>
          </w:p>
        </w:tc>
        <w:tc>
          <w:tcPr>
            <w:tcW w:w="1160" w:type="dxa"/>
            <w:vAlign w:val="bottom"/>
          </w:tcPr>
          <w:p>
            <w:pPr>
              <w:jc w:val="center"/>
              <w:ind w:right="38"/>
              <w:spacing w:after="0"/>
              <w:rPr>
                <w:sz w:val="20"/>
                <w:szCs w:val="20"/>
                <w:color w:val="auto"/>
              </w:rPr>
            </w:pPr>
            <w:r>
              <w:rPr>
                <w:rFonts w:ascii="Arial" w:cs="Arial" w:eastAsia="Arial" w:hAnsi="Arial"/>
                <w:sz w:val="16"/>
                <w:szCs w:val="16"/>
                <w:color w:val="auto"/>
                <w:w w:val="89"/>
              </w:rPr>
              <w:t>180,000</w:t>
            </w:r>
          </w:p>
        </w:tc>
      </w:tr>
      <w:tr>
        <w:trPr>
          <w:trHeight w:val="197"/>
        </w:trPr>
        <w:tc>
          <w:tcPr>
            <w:tcW w:w="2900" w:type="dxa"/>
            <w:vAlign w:val="bottom"/>
          </w:tcPr>
          <w:p>
            <w:pPr>
              <w:spacing w:after="0"/>
              <w:rPr>
                <w:sz w:val="20"/>
                <w:szCs w:val="20"/>
                <w:color w:val="auto"/>
              </w:rPr>
            </w:pPr>
            <w:r>
              <w:rPr>
                <w:rFonts w:ascii="Arial" w:cs="Arial" w:eastAsia="Arial" w:hAnsi="Arial"/>
                <w:sz w:val="16"/>
                <w:szCs w:val="16"/>
                <w:i w:val="1"/>
                <w:iCs w:val="1"/>
                <w:color w:val="auto"/>
              </w:rPr>
              <w:t>Officer and Acting Principal Accounting</w:t>
            </w:r>
          </w:p>
        </w:tc>
        <w:tc>
          <w:tcPr>
            <w:tcW w:w="820" w:type="dxa"/>
            <w:vAlign w:val="bottom"/>
          </w:tcPr>
          <w:p>
            <w:pPr>
              <w:ind w:left="220"/>
              <w:spacing w:after="0"/>
              <w:rPr>
                <w:sz w:val="20"/>
                <w:szCs w:val="20"/>
                <w:color w:val="auto"/>
              </w:rPr>
            </w:pPr>
            <w:r>
              <w:rPr>
                <w:rFonts w:ascii="Arial" w:cs="Arial" w:eastAsia="Arial" w:hAnsi="Arial"/>
                <w:sz w:val="16"/>
                <w:szCs w:val="16"/>
                <w:color w:val="auto"/>
              </w:rPr>
              <w:t>2013</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200" w:type="dxa"/>
            <w:vAlign w:val="bottom"/>
          </w:tcPr>
          <w:p>
            <w:pPr>
              <w:jc w:val="center"/>
              <w:spacing w:after="0"/>
              <w:rPr>
                <w:sz w:val="20"/>
                <w:szCs w:val="20"/>
                <w:color w:val="auto"/>
              </w:rPr>
            </w:pPr>
            <w:r>
              <w:rPr>
                <w:rFonts w:ascii="Arial" w:cs="Arial" w:eastAsia="Arial" w:hAnsi="Arial"/>
                <w:sz w:val="16"/>
                <w:szCs w:val="16"/>
                <w:color w:val="auto"/>
              </w:rPr>
              <w:t>Nil</w:t>
            </w:r>
          </w:p>
        </w:tc>
        <w:tc>
          <w:tcPr>
            <w:tcW w:w="1360" w:type="dxa"/>
            <w:vAlign w:val="bottom"/>
          </w:tcPr>
          <w:p>
            <w:pPr>
              <w:jc w:val="center"/>
              <w:spacing w:after="0"/>
              <w:rPr>
                <w:sz w:val="20"/>
                <w:szCs w:val="20"/>
                <w:color w:val="auto"/>
              </w:rPr>
            </w:pPr>
            <w:r>
              <w:rPr>
                <w:rFonts w:ascii="Arial" w:cs="Arial" w:eastAsia="Arial" w:hAnsi="Arial"/>
                <w:sz w:val="16"/>
                <w:szCs w:val="16"/>
                <w:color w:val="auto"/>
              </w:rPr>
              <w:t>Nil</w:t>
            </w:r>
          </w:p>
        </w:tc>
        <w:tc>
          <w:tcPr>
            <w:tcW w:w="1220" w:type="dxa"/>
            <w:vAlign w:val="bottom"/>
          </w:tcPr>
          <w:p>
            <w:pPr>
              <w:jc w:val="center"/>
              <w:ind w:left="38"/>
              <w:spacing w:after="0"/>
              <w:rPr>
                <w:sz w:val="20"/>
                <w:szCs w:val="20"/>
                <w:color w:val="auto"/>
              </w:rPr>
            </w:pPr>
            <w:r>
              <w:rPr>
                <w:rFonts w:ascii="Arial" w:cs="Arial" w:eastAsia="Arial" w:hAnsi="Arial"/>
                <w:sz w:val="16"/>
                <w:szCs w:val="16"/>
                <w:color w:val="auto"/>
              </w:rPr>
              <w:t>Nil</w:t>
            </w:r>
          </w:p>
        </w:tc>
        <w:tc>
          <w:tcPr>
            <w:tcW w:w="1580" w:type="dxa"/>
            <w:vAlign w:val="bottom"/>
          </w:tcPr>
          <w:p>
            <w:pPr>
              <w:jc w:val="center"/>
              <w:spacing w:after="0"/>
              <w:rPr>
                <w:sz w:val="20"/>
                <w:szCs w:val="20"/>
                <w:color w:val="auto"/>
              </w:rPr>
            </w:pPr>
            <w:r>
              <w:rPr>
                <w:rFonts w:ascii="Arial" w:cs="Arial" w:eastAsia="Arial" w:hAnsi="Arial"/>
                <w:sz w:val="16"/>
                <w:szCs w:val="16"/>
                <w:color w:val="auto"/>
              </w:rPr>
              <w:t>Nil</w:t>
            </w:r>
          </w:p>
        </w:tc>
        <w:tc>
          <w:tcPr>
            <w:tcW w:w="1160" w:type="dxa"/>
            <w:vAlign w:val="bottom"/>
          </w:tcPr>
          <w:p>
            <w:pPr>
              <w:jc w:val="center"/>
              <w:ind w:right="38"/>
              <w:spacing w:after="0"/>
              <w:rPr>
                <w:sz w:val="20"/>
                <w:szCs w:val="20"/>
                <w:color w:val="auto"/>
              </w:rPr>
            </w:pPr>
            <w:r>
              <w:rPr>
                <w:rFonts w:ascii="Arial" w:cs="Arial" w:eastAsia="Arial" w:hAnsi="Arial"/>
                <w:sz w:val="16"/>
                <w:szCs w:val="16"/>
                <w:color w:val="auto"/>
                <w:w w:val="89"/>
              </w:rPr>
              <w:t>180,000</w:t>
            </w:r>
          </w:p>
        </w:tc>
      </w:tr>
      <w:tr>
        <w:trPr>
          <w:trHeight w:val="208"/>
        </w:trPr>
        <w:tc>
          <w:tcPr>
            <w:tcW w:w="2900" w:type="dxa"/>
            <w:vAlign w:val="bottom"/>
          </w:tcPr>
          <w:p>
            <w:pPr>
              <w:spacing w:after="0"/>
              <w:rPr>
                <w:sz w:val="20"/>
                <w:szCs w:val="20"/>
                <w:color w:val="auto"/>
              </w:rPr>
            </w:pPr>
            <w:r>
              <w:rPr>
                <w:rFonts w:ascii="Arial" w:cs="Arial" w:eastAsia="Arial" w:hAnsi="Arial"/>
                <w:sz w:val="16"/>
                <w:szCs w:val="16"/>
                <w:i w:val="1"/>
                <w:iCs w:val="1"/>
                <w:color w:val="auto"/>
              </w:rPr>
              <w:t>Officer</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83"/>
        </w:trPr>
        <w:tc>
          <w:tcPr>
            <w:tcW w:w="2900" w:type="dxa"/>
            <w:vAlign w:val="bottom"/>
          </w:tcPr>
          <w:p>
            <w:pPr>
              <w:spacing w:after="0"/>
              <w:rPr>
                <w:sz w:val="20"/>
                <w:szCs w:val="20"/>
                <w:color w:val="auto"/>
              </w:rPr>
            </w:pPr>
            <w:r>
              <w:rPr>
                <w:rFonts w:ascii="Arial" w:cs="Arial" w:eastAsia="Arial" w:hAnsi="Arial"/>
                <w:sz w:val="16"/>
                <w:szCs w:val="16"/>
                <w:color w:val="auto"/>
              </w:rPr>
              <w:t>Mark Reddish</w:t>
            </w:r>
          </w:p>
        </w:tc>
        <w:tc>
          <w:tcPr>
            <w:tcW w:w="820" w:type="dxa"/>
            <w:vAlign w:val="bottom"/>
          </w:tcPr>
          <w:p>
            <w:pPr>
              <w:ind w:left="220"/>
              <w:spacing w:after="0"/>
              <w:rPr>
                <w:sz w:val="20"/>
                <w:szCs w:val="20"/>
                <w:color w:val="auto"/>
              </w:rPr>
            </w:pPr>
            <w:r>
              <w:rPr>
                <w:rFonts w:ascii="Arial" w:cs="Arial" w:eastAsia="Arial" w:hAnsi="Arial"/>
                <w:sz w:val="16"/>
                <w:szCs w:val="16"/>
                <w:color w:val="auto"/>
              </w:rPr>
              <w:t>2014</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15,000</w:t>
            </w:r>
          </w:p>
        </w:tc>
        <w:tc>
          <w:tcPr>
            <w:tcW w:w="1200" w:type="dxa"/>
            <w:vAlign w:val="bottom"/>
          </w:tcPr>
          <w:p>
            <w:pPr>
              <w:jc w:val="center"/>
              <w:spacing w:after="0"/>
              <w:rPr>
                <w:sz w:val="20"/>
                <w:szCs w:val="20"/>
                <w:color w:val="auto"/>
              </w:rPr>
            </w:pPr>
            <w:r>
              <w:rPr>
                <w:rFonts w:ascii="Arial" w:cs="Arial" w:eastAsia="Arial" w:hAnsi="Arial"/>
                <w:sz w:val="16"/>
                <w:szCs w:val="16"/>
                <w:color w:val="auto"/>
              </w:rPr>
              <w:t>Nil</w:t>
            </w:r>
          </w:p>
        </w:tc>
        <w:tc>
          <w:tcPr>
            <w:tcW w:w="1360" w:type="dxa"/>
            <w:vAlign w:val="bottom"/>
          </w:tcPr>
          <w:p>
            <w:pPr>
              <w:jc w:val="center"/>
              <w:spacing w:after="0"/>
              <w:rPr>
                <w:sz w:val="20"/>
                <w:szCs w:val="20"/>
                <w:color w:val="auto"/>
              </w:rPr>
            </w:pPr>
            <w:r>
              <w:rPr>
                <w:rFonts w:ascii="Arial" w:cs="Arial" w:eastAsia="Arial" w:hAnsi="Arial"/>
                <w:sz w:val="16"/>
                <w:szCs w:val="16"/>
                <w:color w:val="auto"/>
              </w:rPr>
              <w:t>Nil</w:t>
            </w:r>
          </w:p>
        </w:tc>
        <w:tc>
          <w:tcPr>
            <w:tcW w:w="1220" w:type="dxa"/>
            <w:vAlign w:val="bottom"/>
          </w:tcPr>
          <w:p>
            <w:pPr>
              <w:jc w:val="center"/>
              <w:ind w:left="38"/>
              <w:spacing w:after="0"/>
              <w:rPr>
                <w:sz w:val="20"/>
                <w:szCs w:val="20"/>
                <w:color w:val="auto"/>
              </w:rPr>
            </w:pPr>
            <w:r>
              <w:rPr>
                <w:rFonts w:ascii="Arial" w:cs="Arial" w:eastAsia="Arial" w:hAnsi="Arial"/>
                <w:sz w:val="16"/>
                <w:szCs w:val="16"/>
                <w:color w:val="auto"/>
              </w:rPr>
              <w:t>Nil</w:t>
            </w:r>
          </w:p>
        </w:tc>
        <w:tc>
          <w:tcPr>
            <w:tcW w:w="1580" w:type="dxa"/>
            <w:vAlign w:val="bottom"/>
          </w:tcPr>
          <w:p>
            <w:pPr>
              <w:jc w:val="center"/>
              <w:spacing w:after="0"/>
              <w:rPr>
                <w:sz w:val="20"/>
                <w:szCs w:val="20"/>
                <w:color w:val="auto"/>
              </w:rPr>
            </w:pPr>
            <w:r>
              <w:rPr>
                <w:rFonts w:ascii="Arial" w:cs="Arial" w:eastAsia="Arial" w:hAnsi="Arial"/>
                <w:sz w:val="16"/>
                <w:szCs w:val="16"/>
                <w:color w:val="auto"/>
              </w:rPr>
              <w:t>Nil</w:t>
            </w:r>
          </w:p>
        </w:tc>
        <w:tc>
          <w:tcPr>
            <w:tcW w:w="1160" w:type="dxa"/>
            <w:vAlign w:val="bottom"/>
          </w:tcPr>
          <w:p>
            <w:pPr>
              <w:jc w:val="center"/>
              <w:ind w:right="38"/>
              <w:spacing w:after="0"/>
              <w:rPr>
                <w:sz w:val="20"/>
                <w:szCs w:val="20"/>
                <w:color w:val="auto"/>
              </w:rPr>
            </w:pPr>
            <w:r>
              <w:rPr>
                <w:rFonts w:ascii="Arial" w:cs="Arial" w:eastAsia="Arial" w:hAnsi="Arial"/>
                <w:sz w:val="16"/>
                <w:szCs w:val="16"/>
                <w:color w:val="auto"/>
                <w:w w:val="89"/>
              </w:rPr>
              <w:t>15,000</w:t>
            </w:r>
          </w:p>
        </w:tc>
      </w:tr>
      <w:tr>
        <w:trPr>
          <w:trHeight w:val="208"/>
        </w:trPr>
        <w:tc>
          <w:tcPr>
            <w:tcW w:w="2900" w:type="dxa"/>
            <w:vAlign w:val="bottom"/>
          </w:tcPr>
          <w:p>
            <w:pPr>
              <w:spacing w:after="0"/>
              <w:rPr>
                <w:sz w:val="20"/>
                <w:szCs w:val="20"/>
                <w:color w:val="auto"/>
              </w:rPr>
            </w:pPr>
            <w:r>
              <w:rPr>
                <w:rFonts w:ascii="Arial" w:cs="Arial" w:eastAsia="Arial" w:hAnsi="Arial"/>
                <w:sz w:val="16"/>
                <w:szCs w:val="16"/>
                <w:i w:val="1"/>
                <w:iCs w:val="1"/>
                <w:color w:val="auto"/>
              </w:rPr>
              <w:t>VP Development</w:t>
            </w:r>
          </w:p>
        </w:tc>
        <w:tc>
          <w:tcPr>
            <w:tcW w:w="820" w:type="dxa"/>
            <w:vAlign w:val="bottom"/>
          </w:tcPr>
          <w:p>
            <w:pPr>
              <w:ind w:left="220"/>
              <w:spacing w:after="0"/>
              <w:rPr>
                <w:sz w:val="20"/>
                <w:szCs w:val="20"/>
                <w:color w:val="auto"/>
              </w:rPr>
            </w:pPr>
            <w:r>
              <w:rPr>
                <w:rFonts w:ascii="Arial" w:cs="Arial" w:eastAsia="Arial" w:hAnsi="Arial"/>
                <w:sz w:val="16"/>
                <w:szCs w:val="16"/>
                <w:color w:val="auto"/>
              </w:rPr>
              <w:t>2013</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60,000</w:t>
            </w:r>
          </w:p>
        </w:tc>
        <w:tc>
          <w:tcPr>
            <w:tcW w:w="1200" w:type="dxa"/>
            <w:vAlign w:val="bottom"/>
          </w:tcPr>
          <w:p>
            <w:pPr>
              <w:jc w:val="center"/>
              <w:spacing w:after="0"/>
              <w:rPr>
                <w:sz w:val="20"/>
                <w:szCs w:val="20"/>
                <w:color w:val="auto"/>
              </w:rPr>
            </w:pPr>
            <w:r>
              <w:rPr>
                <w:rFonts w:ascii="Arial" w:cs="Arial" w:eastAsia="Arial" w:hAnsi="Arial"/>
                <w:sz w:val="16"/>
                <w:szCs w:val="16"/>
                <w:color w:val="auto"/>
              </w:rPr>
              <w:t>Nil</w:t>
            </w:r>
          </w:p>
        </w:tc>
        <w:tc>
          <w:tcPr>
            <w:tcW w:w="1360" w:type="dxa"/>
            <w:vAlign w:val="bottom"/>
          </w:tcPr>
          <w:p>
            <w:pPr>
              <w:jc w:val="center"/>
              <w:spacing w:after="0"/>
              <w:rPr>
                <w:sz w:val="20"/>
                <w:szCs w:val="20"/>
                <w:color w:val="auto"/>
              </w:rPr>
            </w:pPr>
            <w:r>
              <w:rPr>
                <w:rFonts w:ascii="Arial" w:cs="Arial" w:eastAsia="Arial" w:hAnsi="Arial"/>
                <w:sz w:val="16"/>
                <w:szCs w:val="16"/>
                <w:color w:val="auto"/>
              </w:rPr>
              <w:t>Nil</w:t>
            </w:r>
          </w:p>
        </w:tc>
        <w:tc>
          <w:tcPr>
            <w:tcW w:w="1220" w:type="dxa"/>
            <w:vAlign w:val="bottom"/>
          </w:tcPr>
          <w:p>
            <w:pPr>
              <w:jc w:val="center"/>
              <w:ind w:left="38"/>
              <w:spacing w:after="0"/>
              <w:rPr>
                <w:sz w:val="20"/>
                <w:szCs w:val="20"/>
                <w:color w:val="auto"/>
              </w:rPr>
            </w:pPr>
            <w:r>
              <w:rPr>
                <w:rFonts w:ascii="Arial" w:cs="Arial" w:eastAsia="Arial" w:hAnsi="Arial"/>
                <w:sz w:val="16"/>
                <w:szCs w:val="16"/>
                <w:color w:val="auto"/>
              </w:rPr>
              <w:t>Nil</w:t>
            </w:r>
          </w:p>
        </w:tc>
        <w:tc>
          <w:tcPr>
            <w:tcW w:w="1580" w:type="dxa"/>
            <w:vAlign w:val="bottom"/>
          </w:tcPr>
          <w:p>
            <w:pPr>
              <w:jc w:val="center"/>
              <w:spacing w:after="0"/>
              <w:rPr>
                <w:sz w:val="20"/>
                <w:szCs w:val="20"/>
                <w:color w:val="auto"/>
              </w:rPr>
            </w:pPr>
            <w:r>
              <w:rPr>
                <w:rFonts w:ascii="Arial" w:cs="Arial" w:eastAsia="Arial" w:hAnsi="Arial"/>
                <w:sz w:val="16"/>
                <w:szCs w:val="16"/>
                <w:color w:val="auto"/>
              </w:rPr>
              <w:t>Nil</w:t>
            </w:r>
          </w:p>
        </w:tc>
        <w:tc>
          <w:tcPr>
            <w:tcW w:w="1160" w:type="dxa"/>
            <w:vAlign w:val="bottom"/>
          </w:tcPr>
          <w:p>
            <w:pPr>
              <w:jc w:val="center"/>
              <w:ind w:right="38"/>
              <w:spacing w:after="0"/>
              <w:rPr>
                <w:sz w:val="20"/>
                <w:szCs w:val="20"/>
                <w:color w:val="auto"/>
              </w:rPr>
            </w:pPr>
            <w:r>
              <w:rPr>
                <w:rFonts w:ascii="Arial" w:cs="Arial" w:eastAsia="Arial" w:hAnsi="Arial"/>
                <w:sz w:val="16"/>
                <w:szCs w:val="16"/>
                <w:color w:val="auto"/>
                <w:w w:val="89"/>
              </w:rPr>
              <w:t>60,000</w:t>
            </w:r>
          </w:p>
        </w:tc>
      </w:tr>
      <w:tr>
        <w:trPr>
          <w:trHeight w:val="203"/>
        </w:trPr>
        <w:tc>
          <w:tcPr>
            <w:tcW w:w="29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bl>
    <w:p>
      <w:pPr>
        <w:spacing w:after="0" w:line="209" w:lineRule="exact"/>
        <w:rPr>
          <w:sz w:val="20"/>
          <w:szCs w:val="20"/>
          <w:color w:val="auto"/>
        </w:rPr>
      </w:pPr>
    </w:p>
    <w:p>
      <w:pPr>
        <w:jc w:val="both"/>
        <w:ind w:left="1"/>
        <w:spacing w:after="0" w:line="272" w:lineRule="auto"/>
        <w:rPr>
          <w:sz w:val="20"/>
          <w:szCs w:val="20"/>
          <w:color w:val="auto"/>
        </w:rPr>
      </w:pPr>
      <w:r>
        <w:rPr>
          <w:rFonts w:ascii="Arial" w:cs="Arial" w:eastAsia="Arial" w:hAnsi="Arial"/>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sets forth information as at December 31, 2014 relating to outstanding equity awards for each Named Executive Officer: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Outstanding Equity Awards at Year End Table</w:t>
      </w:r>
    </w:p>
    <w:p>
      <w:pPr>
        <w:spacing w:after="0" w:line="28" w:lineRule="exact"/>
        <w:rPr>
          <w:sz w:val="20"/>
          <w:szCs w:val="20"/>
          <w:color w:val="auto"/>
        </w:rPr>
      </w:pPr>
    </w:p>
    <w:tbl>
      <w:tblPr>
        <w:tblLayout w:type="fixed"/>
        <w:tblInd w:w="1" w:type="dxa"/>
        <w:tblCellMar>
          <w:top w:w="0" w:type="dxa"/>
          <w:left w:w="0" w:type="dxa"/>
          <w:bottom w:w="0" w:type="dxa"/>
          <w:right w:w="0" w:type="dxa"/>
        </w:tblCellMar>
      </w:tblPr>
      <w:tr>
        <w:trPr>
          <w:trHeight w:val="187"/>
        </w:trPr>
        <w:tc>
          <w:tcPr>
            <w:tcW w:w="36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center"/>
              <w:ind w:left="18"/>
              <w:spacing w:after="0"/>
              <w:rPr>
                <w:sz w:val="20"/>
                <w:szCs w:val="20"/>
                <w:color w:val="auto"/>
              </w:rPr>
            </w:pPr>
            <w:r>
              <w:rPr>
                <w:rFonts w:ascii="Arial" w:cs="Arial" w:eastAsia="Arial" w:hAnsi="Arial"/>
                <w:sz w:val="16"/>
                <w:szCs w:val="16"/>
                <w:b w:val="1"/>
                <w:bCs w:val="1"/>
                <w:color w:val="auto"/>
                <w:w w:val="94"/>
              </w:rPr>
              <w:t>Number of</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3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197"/>
        </w:trPr>
        <w:tc>
          <w:tcPr>
            <w:tcW w:w="3680" w:type="dxa"/>
            <w:vAlign w:val="bottom"/>
          </w:tcPr>
          <w:p>
            <w:pPr>
              <w:spacing w:after="0"/>
              <w:rPr>
                <w:sz w:val="17"/>
                <w:szCs w:val="17"/>
                <w:color w:val="auto"/>
              </w:rPr>
            </w:pPr>
          </w:p>
        </w:tc>
        <w:tc>
          <w:tcPr>
            <w:tcW w:w="1700" w:type="dxa"/>
            <w:vAlign w:val="bottom"/>
          </w:tcPr>
          <w:p>
            <w:pPr>
              <w:jc w:val="center"/>
              <w:ind w:left="18"/>
              <w:spacing w:after="0"/>
              <w:rPr>
                <w:sz w:val="20"/>
                <w:szCs w:val="20"/>
                <w:color w:val="auto"/>
              </w:rPr>
            </w:pPr>
            <w:r>
              <w:rPr>
                <w:rFonts w:ascii="Arial" w:cs="Arial" w:eastAsia="Arial" w:hAnsi="Arial"/>
                <w:sz w:val="16"/>
                <w:szCs w:val="16"/>
                <w:b w:val="1"/>
                <w:bCs w:val="1"/>
                <w:color w:val="auto"/>
                <w:w w:val="88"/>
              </w:rPr>
              <w:t>Securities</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3680" w:type="dxa"/>
            <w:vAlign w:val="bottom"/>
          </w:tcPr>
          <w:p>
            <w:pPr>
              <w:spacing w:after="0"/>
              <w:rPr>
                <w:sz w:val="17"/>
                <w:szCs w:val="17"/>
                <w:color w:val="auto"/>
              </w:rPr>
            </w:pPr>
          </w:p>
        </w:tc>
        <w:tc>
          <w:tcPr>
            <w:tcW w:w="1700" w:type="dxa"/>
            <w:vAlign w:val="bottom"/>
          </w:tcPr>
          <w:p>
            <w:pPr>
              <w:jc w:val="center"/>
              <w:ind w:left="18"/>
              <w:spacing w:after="0"/>
              <w:rPr>
                <w:sz w:val="20"/>
                <w:szCs w:val="20"/>
                <w:color w:val="auto"/>
              </w:rPr>
            </w:pPr>
            <w:r>
              <w:rPr>
                <w:rFonts w:ascii="Arial" w:cs="Arial" w:eastAsia="Arial" w:hAnsi="Arial"/>
                <w:sz w:val="16"/>
                <w:szCs w:val="16"/>
                <w:b w:val="1"/>
                <w:bCs w:val="1"/>
                <w:color w:val="auto"/>
                <w:w w:val="95"/>
              </w:rPr>
              <w:t>Underlying</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5"/>
              </w:rPr>
              <w:t>Underlying</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368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Unexercised</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Unexercised</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6"/>
              </w:rPr>
              <w:t>Option</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r>
      <w:tr>
        <w:trPr>
          <w:trHeight w:val="197"/>
        </w:trPr>
        <w:tc>
          <w:tcPr>
            <w:tcW w:w="3680" w:type="dxa"/>
            <w:vAlign w:val="bottom"/>
          </w:tcPr>
          <w:p>
            <w:pPr>
              <w:spacing w:after="0"/>
              <w:rPr>
                <w:sz w:val="17"/>
                <w:szCs w:val="17"/>
                <w:color w:val="auto"/>
              </w:rPr>
            </w:pPr>
          </w:p>
        </w:tc>
        <w:tc>
          <w:tcPr>
            <w:tcW w:w="1700" w:type="dxa"/>
            <w:vAlign w:val="bottom"/>
          </w:tcPr>
          <w:p>
            <w:pPr>
              <w:jc w:val="center"/>
              <w:ind w:left="18"/>
              <w:spacing w:after="0"/>
              <w:rPr>
                <w:sz w:val="20"/>
                <w:szCs w:val="20"/>
                <w:color w:val="auto"/>
              </w:rPr>
            </w:pPr>
            <w:r>
              <w:rPr>
                <w:rFonts w:ascii="Arial" w:cs="Arial" w:eastAsia="Arial" w:hAnsi="Arial"/>
                <w:sz w:val="16"/>
                <w:szCs w:val="16"/>
                <w:b w:val="1"/>
                <w:bCs w:val="1"/>
                <w:color w:val="auto"/>
                <w:w w:val="92"/>
              </w:rPr>
              <w:t>Options</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Exercise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7"/>
              </w:rPr>
              <w:t>Expiration</w:t>
            </w:r>
          </w:p>
        </w:tc>
      </w:tr>
      <w:tr>
        <w:trPr>
          <w:trHeight w:val="218"/>
        </w:trPr>
        <w:tc>
          <w:tcPr>
            <w:tcW w:w="368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Name</w:t>
            </w:r>
          </w:p>
        </w:tc>
        <w:tc>
          <w:tcPr>
            <w:tcW w:w="1700" w:type="dxa"/>
            <w:vAlign w:val="bottom"/>
            <w:tcBorders>
              <w:bottom w:val="single" w:sz="8" w:color="auto"/>
            </w:tcBorders>
          </w:tcPr>
          <w:p>
            <w:pPr>
              <w:jc w:val="center"/>
              <w:ind w:left="18"/>
              <w:spacing w:after="0"/>
              <w:rPr>
                <w:sz w:val="20"/>
                <w:szCs w:val="20"/>
                <w:color w:val="auto"/>
              </w:rPr>
            </w:pPr>
            <w:r>
              <w:rPr>
                <w:rFonts w:ascii="Arial" w:cs="Arial" w:eastAsia="Arial" w:hAnsi="Arial"/>
                <w:sz w:val="16"/>
                <w:szCs w:val="16"/>
                <w:b w:val="1"/>
                <w:bCs w:val="1"/>
                <w:color w:val="auto"/>
                <w:w w:val="89"/>
              </w:rPr>
              <w:t>(exercisable)</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(unexercisable)</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183"/>
        </w:trPr>
        <w:tc>
          <w:tcPr>
            <w:tcW w:w="3680" w:type="dxa"/>
            <w:vAlign w:val="bottom"/>
          </w:tcPr>
          <w:p>
            <w:pPr>
              <w:spacing w:after="0"/>
              <w:rPr>
                <w:sz w:val="15"/>
                <w:szCs w:val="15"/>
                <w:color w:val="auto"/>
              </w:rPr>
            </w:pPr>
          </w:p>
        </w:tc>
        <w:tc>
          <w:tcPr>
            <w:tcW w:w="1700" w:type="dxa"/>
            <w:vAlign w:val="bottom"/>
          </w:tcPr>
          <w:p>
            <w:pPr>
              <w:jc w:val="center"/>
              <w:ind w:left="58"/>
              <w:spacing w:after="0"/>
              <w:rPr>
                <w:sz w:val="20"/>
                <w:szCs w:val="20"/>
                <w:color w:val="auto"/>
              </w:rPr>
            </w:pPr>
            <w:r>
              <w:rPr>
                <w:rFonts w:ascii="Arial" w:cs="Arial" w:eastAsia="Arial" w:hAnsi="Arial"/>
                <w:sz w:val="16"/>
                <w:szCs w:val="16"/>
                <w:color w:val="auto"/>
                <w:w w:val="89"/>
              </w:rPr>
              <w:t>400</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rPr>
              <w:t>Nil</w:t>
            </w:r>
          </w:p>
        </w:tc>
        <w:tc>
          <w:tcPr>
            <w:tcW w:w="1300" w:type="dxa"/>
            <w:vAlign w:val="bottom"/>
          </w:tcPr>
          <w:p>
            <w:pPr>
              <w:jc w:val="right"/>
              <w:ind w:right="218"/>
              <w:spacing w:after="0" w:line="184" w:lineRule="exact"/>
              <w:rPr>
                <w:sz w:val="20"/>
                <w:szCs w:val="20"/>
                <w:color w:val="auto"/>
              </w:rPr>
            </w:pPr>
            <w:r>
              <w:rPr>
                <w:rFonts w:ascii="Arial" w:cs="Arial" w:eastAsia="Arial" w:hAnsi="Arial"/>
                <w:sz w:val="16"/>
                <w:szCs w:val="16"/>
                <w:color w:val="auto"/>
              </w:rPr>
              <w:t>$17.00</w:t>
            </w:r>
            <w:r>
              <w:rPr>
                <w:rFonts w:ascii="Arial" w:cs="Arial" w:eastAsia="Arial" w:hAnsi="Arial"/>
                <w:sz w:val="21"/>
                <w:szCs w:val="21"/>
                <w:color w:val="auto"/>
                <w:vertAlign w:val="superscript"/>
              </w:rPr>
              <w:t>(2)</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07/06/17</w:t>
            </w:r>
          </w:p>
        </w:tc>
      </w:tr>
      <w:tr>
        <w:trPr>
          <w:trHeight w:val="197"/>
        </w:trPr>
        <w:tc>
          <w:tcPr>
            <w:tcW w:w="3680" w:type="dxa"/>
            <w:vAlign w:val="bottom"/>
          </w:tcPr>
          <w:p>
            <w:pPr>
              <w:spacing w:after="0"/>
              <w:rPr>
                <w:sz w:val="17"/>
                <w:szCs w:val="17"/>
                <w:color w:val="auto"/>
              </w:rPr>
            </w:pPr>
          </w:p>
        </w:tc>
        <w:tc>
          <w:tcPr>
            <w:tcW w:w="1700" w:type="dxa"/>
            <w:vAlign w:val="bottom"/>
          </w:tcPr>
          <w:p>
            <w:pPr>
              <w:jc w:val="center"/>
              <w:spacing w:after="0" w:line="197" w:lineRule="exact"/>
              <w:rPr>
                <w:sz w:val="20"/>
                <w:szCs w:val="20"/>
                <w:color w:val="auto"/>
              </w:rPr>
            </w:pPr>
            <w:r>
              <w:rPr>
                <w:rFonts w:ascii="Arial" w:cs="Arial" w:eastAsia="Arial" w:hAnsi="Arial"/>
                <w:sz w:val="16"/>
                <w:szCs w:val="16"/>
                <w:color w:val="auto"/>
                <w:w w:val="86"/>
              </w:rPr>
              <w:t>16,000</w:t>
            </w:r>
            <w:r>
              <w:rPr>
                <w:rFonts w:ascii="Arial" w:cs="Arial" w:eastAsia="Arial" w:hAnsi="Arial"/>
                <w:sz w:val="22"/>
                <w:szCs w:val="22"/>
                <w:color w:val="auto"/>
                <w:w w:val="86"/>
                <w:vertAlign w:val="superscript"/>
              </w:rPr>
              <w:t>(1)</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rPr>
              <w:t>Nil</w:t>
            </w:r>
          </w:p>
        </w:tc>
        <w:tc>
          <w:tcPr>
            <w:tcW w:w="1300" w:type="dxa"/>
            <w:vAlign w:val="bottom"/>
          </w:tcPr>
          <w:p>
            <w:pPr>
              <w:jc w:val="right"/>
              <w:ind w:right="218"/>
              <w:spacing w:after="0" w:line="197" w:lineRule="exact"/>
              <w:rPr>
                <w:sz w:val="20"/>
                <w:szCs w:val="20"/>
                <w:color w:val="auto"/>
              </w:rPr>
            </w:pPr>
            <w:r>
              <w:rPr>
                <w:rFonts w:ascii="Arial" w:cs="Arial" w:eastAsia="Arial" w:hAnsi="Arial"/>
                <w:sz w:val="16"/>
                <w:szCs w:val="16"/>
                <w:color w:val="auto"/>
              </w:rPr>
              <w:t>$17.00</w:t>
            </w:r>
            <w:r>
              <w:rPr>
                <w:rFonts w:ascii="Arial" w:cs="Arial" w:eastAsia="Arial" w:hAnsi="Arial"/>
                <w:sz w:val="22"/>
                <w:szCs w:val="22"/>
                <w:color w:val="auto"/>
                <w:vertAlign w:val="superscript"/>
              </w:rPr>
              <w:t>(2)</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10/14/19</w:t>
            </w:r>
          </w:p>
        </w:tc>
      </w:tr>
      <w:tr>
        <w:trPr>
          <w:trHeight w:val="197"/>
        </w:trPr>
        <w:tc>
          <w:tcPr>
            <w:tcW w:w="3680" w:type="dxa"/>
            <w:vAlign w:val="bottom"/>
          </w:tcPr>
          <w:p>
            <w:pPr>
              <w:spacing w:after="0"/>
              <w:rPr>
                <w:sz w:val="20"/>
                <w:szCs w:val="20"/>
                <w:color w:val="auto"/>
              </w:rPr>
            </w:pPr>
            <w:r>
              <w:rPr>
                <w:rFonts w:ascii="Arial" w:cs="Arial" w:eastAsia="Arial" w:hAnsi="Arial"/>
                <w:sz w:val="16"/>
                <w:szCs w:val="16"/>
                <w:color w:val="auto"/>
              </w:rPr>
              <w:t>Glynn Wilson</w:t>
            </w:r>
          </w:p>
        </w:tc>
        <w:tc>
          <w:tcPr>
            <w:tcW w:w="1700" w:type="dxa"/>
            <w:vAlign w:val="bottom"/>
          </w:tcPr>
          <w:p>
            <w:pPr>
              <w:jc w:val="right"/>
              <w:ind w:right="418"/>
              <w:spacing w:after="0" w:line="197" w:lineRule="exact"/>
              <w:rPr>
                <w:sz w:val="20"/>
                <w:szCs w:val="20"/>
                <w:color w:val="auto"/>
              </w:rPr>
            </w:pPr>
            <w:r>
              <w:rPr>
                <w:rFonts w:ascii="Arial" w:cs="Arial" w:eastAsia="Arial" w:hAnsi="Arial"/>
                <w:sz w:val="16"/>
                <w:szCs w:val="16"/>
                <w:color w:val="auto"/>
              </w:rPr>
              <w:t>1,600</w:t>
            </w:r>
            <w:r>
              <w:rPr>
                <w:rFonts w:ascii="Arial" w:cs="Arial" w:eastAsia="Arial" w:hAnsi="Arial"/>
                <w:sz w:val="22"/>
                <w:szCs w:val="22"/>
                <w:color w:val="auto"/>
                <w:vertAlign w:val="superscript"/>
              </w:rPr>
              <w:t>(1)</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rPr>
              <w:t>Nil</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$17.00</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02/16/21</w:t>
            </w:r>
          </w:p>
        </w:tc>
      </w:tr>
      <w:tr>
        <w:trPr>
          <w:trHeight w:val="300"/>
        </w:trPr>
        <w:tc>
          <w:tcPr>
            <w:tcW w:w="3680" w:type="dxa"/>
            <w:vAlign w:val="bottom"/>
          </w:tcPr>
          <w:p>
            <w:pPr>
              <w:spacing w:after="0"/>
              <w:rPr>
                <w:sz w:val="20"/>
                <w:szCs w:val="20"/>
                <w:color w:val="auto"/>
              </w:rPr>
            </w:pPr>
            <w:r>
              <w:rPr>
                <w:rFonts w:ascii="Arial" w:cs="Arial" w:eastAsia="Arial" w:hAnsi="Arial"/>
                <w:sz w:val="16"/>
                <w:szCs w:val="16"/>
                <w:i w:val="1"/>
                <w:iCs w:val="1"/>
                <w:color w:val="auto"/>
              </w:rPr>
              <w:t>Chairman, CEO and Principal Executive Officer</w:t>
            </w:r>
          </w:p>
        </w:tc>
        <w:tc>
          <w:tcPr>
            <w:tcW w:w="1700" w:type="dxa"/>
            <w:vAlign w:val="bottom"/>
          </w:tcPr>
          <w:p>
            <w:pPr>
              <w:jc w:val="right"/>
              <w:ind w:right="418"/>
              <w:spacing w:after="0"/>
              <w:rPr>
                <w:sz w:val="20"/>
                <w:szCs w:val="20"/>
                <w:color w:val="auto"/>
              </w:rPr>
            </w:pPr>
            <w:r>
              <w:rPr>
                <w:rFonts w:ascii="Arial" w:cs="Arial" w:eastAsia="Arial" w:hAnsi="Arial"/>
                <w:sz w:val="16"/>
                <w:szCs w:val="16"/>
                <w:color w:val="auto"/>
              </w:rPr>
              <w:t>20,000</w:t>
            </w:r>
            <w:r>
              <w:rPr>
                <w:rFonts w:ascii="Arial" w:cs="Arial" w:eastAsia="Arial" w:hAnsi="Arial"/>
                <w:sz w:val="22"/>
                <w:szCs w:val="22"/>
                <w:color w:val="auto"/>
                <w:vertAlign w:val="superscript"/>
              </w:rPr>
              <w:t>(1)</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rPr>
              <w:t>Nil</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$19.00</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03/16/16</w:t>
            </w:r>
          </w:p>
        </w:tc>
      </w:tr>
      <w:tr>
        <w:trPr>
          <w:trHeight w:val="293"/>
        </w:trPr>
        <w:tc>
          <w:tcPr>
            <w:tcW w:w="3680" w:type="dxa"/>
            <w:vAlign w:val="bottom"/>
          </w:tcPr>
          <w:p>
            <w:pPr>
              <w:spacing w:after="0"/>
              <w:rPr>
                <w:sz w:val="20"/>
                <w:szCs w:val="20"/>
                <w:color w:val="auto"/>
              </w:rPr>
            </w:pPr>
            <w:r>
              <w:rPr>
                <w:rFonts w:ascii="Arial" w:cs="Arial" w:eastAsia="Arial" w:hAnsi="Arial"/>
                <w:sz w:val="16"/>
                <w:szCs w:val="16"/>
                <w:color w:val="auto"/>
              </w:rPr>
              <w:t>Mark Reddish</w:t>
            </w:r>
          </w:p>
        </w:tc>
        <w:tc>
          <w:tcPr>
            <w:tcW w:w="1700" w:type="dxa"/>
            <w:vAlign w:val="bottom"/>
          </w:tcPr>
          <w:p>
            <w:pPr>
              <w:jc w:val="right"/>
              <w:ind w:right="538"/>
              <w:spacing w:after="0"/>
              <w:rPr>
                <w:sz w:val="20"/>
                <w:szCs w:val="20"/>
                <w:color w:val="auto"/>
              </w:rPr>
            </w:pPr>
            <w:r>
              <w:rPr>
                <w:rFonts w:ascii="Arial" w:cs="Arial" w:eastAsia="Arial" w:hAnsi="Arial"/>
                <w:sz w:val="16"/>
                <w:szCs w:val="16"/>
                <w:color w:val="auto"/>
              </w:rPr>
              <w:t>2,000</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rPr>
              <w:t>Nil</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$17.00</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02/16/21</w:t>
            </w:r>
          </w:p>
        </w:tc>
      </w:tr>
      <w:tr>
        <w:trPr>
          <w:trHeight w:val="209"/>
        </w:trPr>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VP Development</w:t>
            </w:r>
          </w:p>
        </w:tc>
        <w:tc>
          <w:tcPr>
            <w:tcW w:w="170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color w:val="auto"/>
              </w:rPr>
              <w:t>2,500</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Nil</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$18.00</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04/30/22</w:t>
            </w: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ind w:left="301" w:hanging="301"/>
        <w:spacing w:after="0" w:line="256" w:lineRule="auto"/>
        <w:tabs>
          <w:tab w:leader="none" w:pos="3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plan under which these shares were issued was approved by the Board of Directors and the shareholders in 2009 but did not come into effect until February 22, 2010.</w:t>
      </w:r>
    </w:p>
    <w:p>
      <w:pPr>
        <w:ind w:left="301" w:hanging="301"/>
        <w:spacing w:after="0"/>
        <w:tabs>
          <w:tab w:leader="none" w:pos="3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Effective February 16, 2011, the option exercise price was reduced to $17.00.</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sectPr>
      </w:pPr>
    </w:p>
    <w:bookmarkStart w:id="46" w:name="page47"/>
    <w:bookmarkEnd w:id="46"/>
    <w:p>
      <w:pPr>
        <w:jc w:val="both"/>
        <w:spacing w:after="0" w:line="288" w:lineRule="auto"/>
        <w:rPr>
          <w:sz w:val="20"/>
          <w:szCs w:val="20"/>
          <w:color w:val="auto"/>
        </w:rPr>
      </w:pPr>
      <w:r>
        <w:rPr>
          <w:rFonts w:ascii="Arial" w:cs="Arial" w:eastAsia="Arial" w:hAnsi="Arial"/>
          <w:sz w:val="16"/>
          <w:szCs w:val="16"/>
          <w:color w:val="auto"/>
        </w:rPr>
        <w:t>The following table sets forth information relating to compensation paid to our directors for their services as directors in the fiscal year ended December 31, 2014, and excludes compensation paid to our directors for their services as executive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 Compensation Table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6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tcPr>
          <w:p>
            <w:pPr>
              <w:jc w:val="center"/>
              <w:ind w:left="658"/>
              <w:spacing w:after="0"/>
              <w:rPr>
                <w:sz w:val="20"/>
                <w:szCs w:val="20"/>
                <w:color w:val="auto"/>
              </w:rPr>
            </w:pPr>
            <w:r>
              <w:rPr>
                <w:rFonts w:ascii="Arial" w:cs="Arial" w:eastAsia="Arial" w:hAnsi="Arial"/>
                <w:sz w:val="16"/>
                <w:szCs w:val="16"/>
                <w:b w:val="1"/>
                <w:bCs w:val="1"/>
                <w:color w:val="auto"/>
                <w:w w:val="87"/>
              </w:rPr>
              <w:t>Fees</w:t>
            </w:r>
          </w:p>
        </w:tc>
        <w:tc>
          <w:tcPr>
            <w:tcW w:w="15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197"/>
        </w:trPr>
        <w:tc>
          <w:tcPr>
            <w:tcW w:w="2660" w:type="dxa"/>
            <w:vAlign w:val="bottom"/>
          </w:tcPr>
          <w:p>
            <w:pPr>
              <w:spacing w:after="0"/>
              <w:rPr>
                <w:sz w:val="17"/>
                <w:szCs w:val="17"/>
                <w:color w:val="auto"/>
              </w:rPr>
            </w:pPr>
          </w:p>
        </w:tc>
        <w:tc>
          <w:tcPr>
            <w:tcW w:w="2420" w:type="dxa"/>
            <w:vAlign w:val="bottom"/>
          </w:tcPr>
          <w:p>
            <w:pPr>
              <w:jc w:val="center"/>
              <w:ind w:left="658"/>
              <w:spacing w:after="0"/>
              <w:rPr>
                <w:sz w:val="20"/>
                <w:szCs w:val="20"/>
                <w:color w:val="auto"/>
              </w:rPr>
            </w:pPr>
            <w:r>
              <w:rPr>
                <w:rFonts w:ascii="Arial" w:cs="Arial" w:eastAsia="Arial" w:hAnsi="Arial"/>
                <w:sz w:val="16"/>
                <w:szCs w:val="16"/>
                <w:b w:val="1"/>
                <w:bCs w:val="1"/>
                <w:color w:val="auto"/>
                <w:w w:val="96"/>
              </w:rPr>
              <w:t>Earned or</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1480" w:type="dxa"/>
            <w:vAlign w:val="bottom"/>
          </w:tcPr>
          <w:p>
            <w:pPr>
              <w:jc w:val="center"/>
              <w:ind w:left="58"/>
              <w:spacing w:after="0"/>
              <w:rPr>
                <w:sz w:val="20"/>
                <w:szCs w:val="20"/>
                <w:color w:val="auto"/>
              </w:rPr>
            </w:pPr>
            <w:r>
              <w:rPr>
                <w:rFonts w:ascii="Arial" w:cs="Arial" w:eastAsia="Arial" w:hAnsi="Arial"/>
                <w:sz w:val="16"/>
                <w:szCs w:val="16"/>
                <w:b w:val="1"/>
                <w:bCs w:val="1"/>
                <w:color w:val="auto"/>
                <w:w w:val="96"/>
              </w:rPr>
              <w:t>Option</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420" w:type="dxa"/>
            <w:vAlign w:val="bottom"/>
          </w:tcPr>
          <w:p>
            <w:pPr>
              <w:spacing w:after="0"/>
              <w:rPr>
                <w:sz w:val="17"/>
                <w:szCs w:val="17"/>
                <w:color w:val="auto"/>
              </w:rPr>
            </w:pPr>
          </w:p>
        </w:tc>
      </w:tr>
      <w:tr>
        <w:trPr>
          <w:trHeight w:val="197"/>
        </w:trPr>
        <w:tc>
          <w:tcPr>
            <w:tcW w:w="2660" w:type="dxa"/>
            <w:vAlign w:val="bottom"/>
          </w:tcPr>
          <w:p>
            <w:pPr>
              <w:spacing w:after="0"/>
              <w:rPr>
                <w:sz w:val="17"/>
                <w:szCs w:val="17"/>
                <w:color w:val="auto"/>
              </w:rPr>
            </w:pPr>
          </w:p>
        </w:tc>
        <w:tc>
          <w:tcPr>
            <w:tcW w:w="2420" w:type="dxa"/>
            <w:vAlign w:val="bottom"/>
          </w:tcPr>
          <w:p>
            <w:pPr>
              <w:jc w:val="center"/>
              <w:ind w:left="678"/>
              <w:spacing w:after="0"/>
              <w:rPr>
                <w:sz w:val="20"/>
                <w:szCs w:val="20"/>
                <w:color w:val="auto"/>
              </w:rPr>
            </w:pPr>
            <w:r>
              <w:rPr>
                <w:rFonts w:ascii="Arial" w:cs="Arial" w:eastAsia="Arial" w:hAnsi="Arial"/>
                <w:sz w:val="16"/>
                <w:szCs w:val="16"/>
                <w:b w:val="1"/>
                <w:bCs w:val="1"/>
                <w:color w:val="auto"/>
                <w:w w:val="95"/>
              </w:rPr>
              <w:t>Paid in</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3"/>
              </w:rPr>
              <w:t>Awards</w:t>
            </w:r>
          </w:p>
        </w:tc>
        <w:tc>
          <w:tcPr>
            <w:tcW w:w="1480" w:type="dxa"/>
            <w:vAlign w:val="bottom"/>
          </w:tcPr>
          <w:p>
            <w:pPr>
              <w:jc w:val="center"/>
              <w:ind w:left="58"/>
              <w:spacing w:after="0"/>
              <w:rPr>
                <w:sz w:val="20"/>
                <w:szCs w:val="20"/>
                <w:color w:val="auto"/>
              </w:rPr>
            </w:pPr>
            <w:r>
              <w:rPr>
                <w:rFonts w:ascii="Arial" w:cs="Arial" w:eastAsia="Arial" w:hAnsi="Arial"/>
                <w:sz w:val="16"/>
                <w:szCs w:val="16"/>
                <w:b w:val="1"/>
                <w:bCs w:val="1"/>
                <w:color w:val="auto"/>
                <w:w w:val="93"/>
              </w:rPr>
              <w:t>Awards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1"/>
              </w:rPr>
              <w:t>Compensation</w:t>
            </w:r>
          </w:p>
        </w:tc>
        <w:tc>
          <w:tcPr>
            <w:tcW w:w="1420" w:type="dxa"/>
            <w:vAlign w:val="bottom"/>
          </w:tcPr>
          <w:p>
            <w:pPr>
              <w:jc w:val="center"/>
              <w:ind w:right="98"/>
              <w:spacing w:after="0"/>
              <w:rPr>
                <w:sz w:val="20"/>
                <w:szCs w:val="20"/>
                <w:color w:val="auto"/>
              </w:rPr>
            </w:pPr>
            <w:r>
              <w:rPr>
                <w:rFonts w:ascii="Arial" w:cs="Arial" w:eastAsia="Arial" w:hAnsi="Arial"/>
                <w:sz w:val="16"/>
                <w:szCs w:val="16"/>
                <w:b w:val="1"/>
                <w:bCs w:val="1"/>
                <w:color w:val="auto"/>
                <w:w w:val="94"/>
              </w:rPr>
              <w:t>Total</w:t>
            </w:r>
          </w:p>
        </w:tc>
      </w:tr>
      <w:tr>
        <w:trPr>
          <w:trHeight w:val="218"/>
        </w:trPr>
        <w:tc>
          <w:tcPr>
            <w:tcW w:w="266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Name</w:t>
            </w:r>
          </w:p>
        </w:tc>
        <w:tc>
          <w:tcPr>
            <w:tcW w:w="2420" w:type="dxa"/>
            <w:vAlign w:val="bottom"/>
            <w:tcBorders>
              <w:bottom w:val="single" w:sz="8" w:color="auto"/>
            </w:tcBorders>
          </w:tcPr>
          <w:p>
            <w:pPr>
              <w:jc w:val="center"/>
              <w:ind w:left="658"/>
              <w:spacing w:after="0"/>
              <w:rPr>
                <w:sz w:val="20"/>
                <w:szCs w:val="20"/>
                <w:color w:val="auto"/>
              </w:rPr>
            </w:pPr>
            <w:r>
              <w:rPr>
                <w:rFonts w:ascii="Arial" w:cs="Arial" w:eastAsia="Arial" w:hAnsi="Arial"/>
                <w:sz w:val="16"/>
                <w:szCs w:val="16"/>
                <w:b w:val="1"/>
                <w:bCs w:val="1"/>
                <w:color w:val="auto"/>
                <w:w w:val="91"/>
              </w:rPr>
              <w:t>Cash</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480" w:type="dxa"/>
            <w:vAlign w:val="bottom"/>
            <w:tcBorders>
              <w:bottom w:val="single" w:sz="8" w:color="auto"/>
            </w:tcBorders>
          </w:tcPr>
          <w:p>
            <w:pPr>
              <w:jc w:val="center"/>
              <w:ind w:left="58"/>
              <w:spacing w:after="0"/>
              <w:rPr>
                <w:sz w:val="20"/>
                <w:szCs w:val="20"/>
                <w:color w:val="auto"/>
              </w:rPr>
            </w:pPr>
            <w:r>
              <w:rPr>
                <w:rFonts w:ascii="Arial" w:cs="Arial" w:eastAsia="Arial" w:hAnsi="Arial"/>
                <w:sz w:val="16"/>
                <w:szCs w:val="16"/>
                <w:b w:val="1"/>
                <w:bCs w:val="1"/>
                <w:color w:val="auto"/>
                <w:w w:val="91"/>
              </w:rPr>
              <w:t>($)</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91"/>
              </w:rPr>
              <w:t>($)</w:t>
            </w:r>
          </w:p>
        </w:tc>
      </w:tr>
      <w:tr>
        <w:trPr>
          <w:trHeight w:val="208"/>
        </w:trPr>
        <w:tc>
          <w:tcPr>
            <w:tcW w:w="2660" w:type="dxa"/>
            <w:vAlign w:val="bottom"/>
          </w:tcPr>
          <w:p>
            <w:pPr>
              <w:spacing w:after="0"/>
              <w:rPr>
                <w:sz w:val="20"/>
                <w:szCs w:val="20"/>
                <w:color w:val="auto"/>
              </w:rPr>
            </w:pPr>
            <w:r>
              <w:rPr>
                <w:rFonts w:ascii="Arial" w:cs="Arial" w:eastAsia="Arial" w:hAnsi="Arial"/>
                <w:sz w:val="16"/>
                <w:szCs w:val="16"/>
                <w:color w:val="auto"/>
              </w:rPr>
              <w:t>Glynn Wilson</w:t>
            </w:r>
          </w:p>
        </w:tc>
        <w:tc>
          <w:tcPr>
            <w:tcW w:w="2420" w:type="dxa"/>
            <w:vAlign w:val="bottom"/>
          </w:tcPr>
          <w:p>
            <w:pPr>
              <w:jc w:val="center"/>
              <w:ind w:left="658"/>
              <w:spacing w:after="0"/>
              <w:rPr>
                <w:sz w:val="20"/>
                <w:szCs w:val="20"/>
                <w:color w:val="auto"/>
              </w:rPr>
            </w:pPr>
            <w:r>
              <w:rPr>
                <w:rFonts w:ascii="Arial" w:cs="Arial" w:eastAsia="Arial" w:hAnsi="Arial"/>
                <w:sz w:val="16"/>
                <w:szCs w:val="16"/>
                <w:color w:val="auto"/>
              </w:rPr>
              <w:t>Nil</w:t>
            </w:r>
          </w:p>
        </w:tc>
        <w:tc>
          <w:tcPr>
            <w:tcW w:w="1540" w:type="dxa"/>
            <w:vAlign w:val="bottom"/>
          </w:tcPr>
          <w:p>
            <w:pPr>
              <w:jc w:val="center"/>
              <w:spacing w:after="0"/>
              <w:rPr>
                <w:sz w:val="20"/>
                <w:szCs w:val="20"/>
                <w:color w:val="auto"/>
              </w:rPr>
            </w:pPr>
            <w:r>
              <w:rPr>
                <w:rFonts w:ascii="Arial" w:cs="Arial" w:eastAsia="Arial" w:hAnsi="Arial"/>
                <w:sz w:val="16"/>
                <w:szCs w:val="16"/>
                <w:color w:val="auto"/>
              </w:rPr>
              <w:t>Nil</w:t>
            </w:r>
          </w:p>
        </w:tc>
        <w:tc>
          <w:tcPr>
            <w:tcW w:w="1480" w:type="dxa"/>
            <w:vAlign w:val="bottom"/>
          </w:tcPr>
          <w:p>
            <w:pPr>
              <w:jc w:val="center"/>
              <w:ind w:left="58"/>
              <w:spacing w:after="0"/>
              <w:rPr>
                <w:sz w:val="20"/>
                <w:szCs w:val="20"/>
                <w:color w:val="auto"/>
              </w:rPr>
            </w:pPr>
            <w:r>
              <w:rPr>
                <w:rFonts w:ascii="Arial" w:cs="Arial" w:eastAsia="Arial" w:hAnsi="Arial"/>
                <w:sz w:val="16"/>
                <w:szCs w:val="16"/>
                <w:color w:val="auto"/>
              </w:rPr>
              <w:t>Nil</w:t>
            </w:r>
          </w:p>
        </w:tc>
        <w:tc>
          <w:tcPr>
            <w:tcW w:w="1900" w:type="dxa"/>
            <w:vAlign w:val="bottom"/>
          </w:tcPr>
          <w:p>
            <w:pPr>
              <w:jc w:val="center"/>
              <w:spacing w:after="0"/>
              <w:rPr>
                <w:sz w:val="20"/>
                <w:szCs w:val="20"/>
                <w:color w:val="auto"/>
              </w:rPr>
            </w:pPr>
            <w:r>
              <w:rPr>
                <w:rFonts w:ascii="Arial" w:cs="Arial" w:eastAsia="Arial" w:hAnsi="Arial"/>
                <w:sz w:val="16"/>
                <w:szCs w:val="16"/>
                <w:color w:val="auto"/>
              </w:rPr>
              <w:t>Nil</w:t>
            </w:r>
          </w:p>
        </w:tc>
        <w:tc>
          <w:tcPr>
            <w:tcW w:w="1420" w:type="dxa"/>
            <w:vAlign w:val="bottom"/>
          </w:tcPr>
          <w:p>
            <w:pPr>
              <w:jc w:val="center"/>
              <w:ind w:right="78"/>
              <w:spacing w:after="0"/>
              <w:rPr>
                <w:sz w:val="20"/>
                <w:szCs w:val="20"/>
                <w:color w:val="auto"/>
              </w:rPr>
            </w:pPr>
            <w:r>
              <w:rPr>
                <w:rFonts w:ascii="Arial" w:cs="Arial" w:eastAsia="Arial" w:hAnsi="Arial"/>
                <w:sz w:val="16"/>
                <w:szCs w:val="16"/>
                <w:color w:val="auto"/>
              </w:rPr>
              <w:t>Nil</w:t>
            </w:r>
          </w:p>
        </w:tc>
      </w:tr>
      <w:tr>
        <w:trPr>
          <w:trHeight w:val="382"/>
        </w:trPr>
        <w:tc>
          <w:tcPr>
            <w:tcW w:w="2660" w:type="dxa"/>
            <w:vAlign w:val="bottom"/>
          </w:tcPr>
          <w:p>
            <w:pPr>
              <w:spacing w:after="0"/>
              <w:rPr>
                <w:sz w:val="20"/>
                <w:szCs w:val="20"/>
                <w:color w:val="auto"/>
              </w:rPr>
            </w:pPr>
            <w:r>
              <w:rPr>
                <w:rFonts w:ascii="Arial" w:cs="Arial" w:eastAsia="Arial" w:hAnsi="Arial"/>
                <w:sz w:val="16"/>
                <w:szCs w:val="16"/>
                <w:color w:val="auto"/>
              </w:rPr>
              <w:t>Sherry Grisewood</w:t>
            </w:r>
          </w:p>
        </w:tc>
        <w:tc>
          <w:tcPr>
            <w:tcW w:w="2420" w:type="dxa"/>
            <w:vAlign w:val="bottom"/>
          </w:tcPr>
          <w:p>
            <w:pPr>
              <w:jc w:val="center"/>
              <w:ind w:left="658"/>
              <w:spacing w:after="0"/>
              <w:rPr>
                <w:sz w:val="20"/>
                <w:szCs w:val="20"/>
                <w:color w:val="auto"/>
              </w:rPr>
            </w:pPr>
            <w:r>
              <w:rPr>
                <w:rFonts w:ascii="Arial" w:cs="Arial" w:eastAsia="Arial" w:hAnsi="Arial"/>
                <w:sz w:val="16"/>
                <w:szCs w:val="16"/>
                <w:color w:val="auto"/>
              </w:rPr>
              <w:t>Nil</w:t>
            </w:r>
          </w:p>
        </w:tc>
        <w:tc>
          <w:tcPr>
            <w:tcW w:w="1540" w:type="dxa"/>
            <w:vAlign w:val="bottom"/>
          </w:tcPr>
          <w:p>
            <w:pPr>
              <w:jc w:val="center"/>
              <w:spacing w:after="0"/>
              <w:rPr>
                <w:sz w:val="20"/>
                <w:szCs w:val="20"/>
                <w:color w:val="auto"/>
              </w:rPr>
            </w:pPr>
            <w:r>
              <w:rPr>
                <w:rFonts w:ascii="Arial" w:cs="Arial" w:eastAsia="Arial" w:hAnsi="Arial"/>
                <w:sz w:val="16"/>
                <w:szCs w:val="16"/>
                <w:color w:val="auto"/>
              </w:rPr>
              <w:t>Nil</w:t>
            </w:r>
          </w:p>
        </w:tc>
        <w:tc>
          <w:tcPr>
            <w:tcW w:w="1480" w:type="dxa"/>
            <w:vAlign w:val="bottom"/>
          </w:tcPr>
          <w:p>
            <w:pPr>
              <w:jc w:val="center"/>
              <w:ind w:left="58"/>
              <w:spacing w:after="0"/>
              <w:rPr>
                <w:sz w:val="20"/>
                <w:szCs w:val="20"/>
                <w:color w:val="auto"/>
              </w:rPr>
            </w:pPr>
            <w:r>
              <w:rPr>
                <w:rFonts w:ascii="Arial" w:cs="Arial" w:eastAsia="Arial" w:hAnsi="Arial"/>
                <w:sz w:val="16"/>
                <w:szCs w:val="16"/>
                <w:color w:val="auto"/>
              </w:rPr>
              <w:t>Nil</w:t>
            </w:r>
          </w:p>
        </w:tc>
        <w:tc>
          <w:tcPr>
            <w:tcW w:w="1900" w:type="dxa"/>
            <w:vAlign w:val="bottom"/>
          </w:tcPr>
          <w:p>
            <w:pPr>
              <w:jc w:val="center"/>
              <w:spacing w:after="0"/>
              <w:rPr>
                <w:sz w:val="20"/>
                <w:szCs w:val="20"/>
                <w:color w:val="auto"/>
              </w:rPr>
            </w:pPr>
            <w:r>
              <w:rPr>
                <w:rFonts w:ascii="Arial" w:cs="Arial" w:eastAsia="Arial" w:hAnsi="Arial"/>
                <w:sz w:val="16"/>
                <w:szCs w:val="16"/>
                <w:color w:val="auto"/>
              </w:rPr>
              <w:t>Nil</w:t>
            </w:r>
          </w:p>
        </w:tc>
        <w:tc>
          <w:tcPr>
            <w:tcW w:w="1420" w:type="dxa"/>
            <w:vAlign w:val="bottom"/>
          </w:tcPr>
          <w:p>
            <w:pPr>
              <w:jc w:val="center"/>
              <w:ind w:right="78"/>
              <w:spacing w:after="0"/>
              <w:rPr>
                <w:sz w:val="20"/>
                <w:szCs w:val="20"/>
                <w:color w:val="auto"/>
              </w:rPr>
            </w:pPr>
            <w:r>
              <w:rPr>
                <w:rFonts w:ascii="Arial" w:cs="Arial" w:eastAsia="Arial" w:hAnsi="Arial"/>
                <w:sz w:val="16"/>
                <w:szCs w:val="16"/>
                <w:color w:val="auto"/>
              </w:rPr>
              <w:t>Nil</w:t>
            </w:r>
          </w:p>
        </w:tc>
      </w:tr>
      <w:tr>
        <w:trPr>
          <w:trHeight w:val="394"/>
        </w:trPr>
        <w:tc>
          <w:tcPr>
            <w:tcW w:w="2660" w:type="dxa"/>
            <w:vAlign w:val="bottom"/>
          </w:tcPr>
          <w:p>
            <w:pPr>
              <w:spacing w:after="0"/>
              <w:rPr>
                <w:sz w:val="20"/>
                <w:szCs w:val="20"/>
                <w:color w:val="auto"/>
              </w:rPr>
            </w:pPr>
            <w:r>
              <w:rPr>
                <w:rFonts w:ascii="Arial" w:cs="Arial" w:eastAsia="Arial" w:hAnsi="Arial"/>
                <w:sz w:val="16"/>
                <w:szCs w:val="16"/>
                <w:color w:val="auto"/>
              </w:rPr>
              <w:t>Mark Reddish</w:t>
            </w:r>
          </w:p>
        </w:tc>
        <w:tc>
          <w:tcPr>
            <w:tcW w:w="2420" w:type="dxa"/>
            <w:vAlign w:val="bottom"/>
          </w:tcPr>
          <w:p>
            <w:pPr>
              <w:jc w:val="center"/>
              <w:ind w:left="658"/>
              <w:spacing w:after="0"/>
              <w:rPr>
                <w:sz w:val="20"/>
                <w:szCs w:val="20"/>
                <w:color w:val="auto"/>
              </w:rPr>
            </w:pPr>
            <w:r>
              <w:rPr>
                <w:rFonts w:ascii="Arial" w:cs="Arial" w:eastAsia="Arial" w:hAnsi="Arial"/>
                <w:sz w:val="16"/>
                <w:szCs w:val="16"/>
                <w:color w:val="auto"/>
              </w:rPr>
              <w:t>Nil</w:t>
            </w:r>
          </w:p>
        </w:tc>
        <w:tc>
          <w:tcPr>
            <w:tcW w:w="1540" w:type="dxa"/>
            <w:vAlign w:val="bottom"/>
          </w:tcPr>
          <w:p>
            <w:pPr>
              <w:jc w:val="center"/>
              <w:spacing w:after="0"/>
              <w:rPr>
                <w:sz w:val="20"/>
                <w:szCs w:val="20"/>
                <w:color w:val="auto"/>
              </w:rPr>
            </w:pPr>
            <w:r>
              <w:rPr>
                <w:rFonts w:ascii="Arial" w:cs="Arial" w:eastAsia="Arial" w:hAnsi="Arial"/>
                <w:sz w:val="16"/>
                <w:szCs w:val="16"/>
                <w:color w:val="auto"/>
              </w:rPr>
              <w:t>Nil</w:t>
            </w:r>
          </w:p>
        </w:tc>
        <w:tc>
          <w:tcPr>
            <w:tcW w:w="1480" w:type="dxa"/>
            <w:vAlign w:val="bottom"/>
          </w:tcPr>
          <w:p>
            <w:pPr>
              <w:jc w:val="center"/>
              <w:ind w:left="58"/>
              <w:spacing w:after="0"/>
              <w:rPr>
                <w:sz w:val="20"/>
                <w:szCs w:val="20"/>
                <w:color w:val="auto"/>
              </w:rPr>
            </w:pPr>
            <w:r>
              <w:rPr>
                <w:rFonts w:ascii="Arial" w:cs="Arial" w:eastAsia="Arial" w:hAnsi="Arial"/>
                <w:sz w:val="16"/>
                <w:szCs w:val="16"/>
                <w:color w:val="auto"/>
              </w:rPr>
              <w:t>Nil</w:t>
            </w:r>
          </w:p>
        </w:tc>
        <w:tc>
          <w:tcPr>
            <w:tcW w:w="1900" w:type="dxa"/>
            <w:vAlign w:val="bottom"/>
          </w:tcPr>
          <w:p>
            <w:pPr>
              <w:jc w:val="center"/>
              <w:spacing w:after="0"/>
              <w:rPr>
                <w:sz w:val="20"/>
                <w:szCs w:val="20"/>
                <w:color w:val="auto"/>
              </w:rPr>
            </w:pPr>
            <w:r>
              <w:rPr>
                <w:rFonts w:ascii="Arial" w:cs="Arial" w:eastAsia="Arial" w:hAnsi="Arial"/>
                <w:sz w:val="16"/>
                <w:szCs w:val="16"/>
                <w:color w:val="auto"/>
              </w:rPr>
              <w:t>Nil</w:t>
            </w:r>
          </w:p>
        </w:tc>
        <w:tc>
          <w:tcPr>
            <w:tcW w:w="1420" w:type="dxa"/>
            <w:vAlign w:val="bottom"/>
          </w:tcPr>
          <w:p>
            <w:pPr>
              <w:jc w:val="center"/>
              <w:ind w:right="78"/>
              <w:spacing w:after="0"/>
              <w:rPr>
                <w:sz w:val="20"/>
                <w:szCs w:val="20"/>
                <w:color w:val="auto"/>
              </w:rPr>
            </w:pPr>
            <w:r>
              <w:rPr>
                <w:rFonts w:ascii="Arial" w:cs="Arial" w:eastAsia="Arial" w:hAnsi="Arial"/>
                <w:sz w:val="16"/>
                <w:szCs w:val="16"/>
                <w:color w:val="auto"/>
              </w:rPr>
              <w:t>Nil</w:t>
            </w:r>
          </w:p>
        </w:tc>
      </w:tr>
      <w:tr>
        <w:trPr>
          <w:trHeight w:val="198"/>
        </w:trPr>
        <w:tc>
          <w:tcPr>
            <w:tcW w:w="26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Consulting and Services Agreements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November 2013, the Company entered into an advisory agreement with a consultant to provide expertise in the areas of finance, corporate restructuring and corporate development to the management and board of TapImmune for a one year term. The advisory agreement provides for an advisory fee of $10,000 per month from November 2013 to May 2014 for six months, extended for additional six months. The advisory agreement has been renewed for another 12 months expiring December 31, 2015. The Company also granted 250,000 shares to the consultant (his company) post restructuring of the Company’s debt.</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a compensation committee that is comprised of Dr. Wilson and Ms. Grisewood. All compensation is recommended and resolved by the compensation committee and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Principal Executive Officer and (iv) all of our executive officers and directors as a group. Unless otherwise indicated, the address of each person shown is c/o TapImmune Inc., 1551 Eastlake Avenue East, Suite 100, Seattle, Washington, 98102. Beneficial ownership, for purposes of this table, includes options to purchase common stock that are either currently exercisable or will be exercisable within 60 days of the date of this annual report.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5"/>
        </w:trPr>
        <w:tc>
          <w:tcPr>
            <w:tcW w:w="86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4"/>
              </w:rPr>
              <w:t>Amount and</w:t>
            </w: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197"/>
        </w:trPr>
        <w:tc>
          <w:tcPr>
            <w:tcW w:w="8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Nature of</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7"/>
        </w:trPr>
        <w:tc>
          <w:tcPr>
            <w:tcW w:w="8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Beneficial</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8"/>
        </w:trPr>
        <w:tc>
          <w:tcPr>
            <w:tcW w:w="8620" w:type="dxa"/>
            <w:vAlign w:val="bottom"/>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20" w:type="dxa"/>
            <w:vAlign w:val="bottom"/>
          </w:tcPr>
          <w:p>
            <w:pPr>
              <w:spacing w:after="0"/>
              <w:rPr>
                <w:sz w:val="18"/>
                <w:szCs w:val="18"/>
                <w:color w:val="auto"/>
              </w:rPr>
            </w:pPr>
          </w:p>
        </w:tc>
        <w:tc>
          <w:tcPr>
            <w:tcW w:w="1380" w:type="dxa"/>
            <w:vAlign w:val="bottom"/>
            <w:gridSpan w:val="2"/>
          </w:tcPr>
          <w:p>
            <w:pPr>
              <w:jc w:val="center"/>
              <w:ind w:right="280"/>
              <w:spacing w:after="0" w:line="213" w:lineRule="exact"/>
              <w:rPr>
                <w:sz w:val="20"/>
                <w:szCs w:val="20"/>
                <w:color w:val="auto"/>
              </w:rPr>
            </w:pPr>
            <w:r>
              <w:rPr>
                <w:rFonts w:ascii="Arial" w:cs="Arial" w:eastAsia="Arial" w:hAnsi="Arial"/>
                <w:sz w:val="16"/>
                <w:szCs w:val="16"/>
                <w:b w:val="1"/>
                <w:bCs w:val="1"/>
                <w:color w:val="auto"/>
                <w:w w:val="91"/>
              </w:rPr>
              <w:t>Owner</w:t>
            </w:r>
            <w:r>
              <w:rPr>
                <w:rFonts w:ascii="Arial" w:cs="Arial" w:eastAsia="Arial" w:hAnsi="Arial"/>
                <w:sz w:val="22"/>
                <w:szCs w:val="22"/>
                <w:color w:val="auto"/>
                <w:w w:val="91"/>
                <w:vertAlign w:val="superscript"/>
              </w:rPr>
              <w:t>(1)</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87"/>
              </w:rPr>
              <w:t>Percent of Class</w:t>
            </w:r>
          </w:p>
        </w:tc>
      </w:tr>
      <w:tr>
        <w:trPr>
          <w:trHeight w:val="185"/>
        </w:trPr>
        <w:tc>
          <w:tcPr>
            <w:tcW w:w="86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Directors and Officers:</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97"/>
        </w:trPr>
        <w:tc>
          <w:tcPr>
            <w:tcW w:w="8620" w:type="dxa"/>
            <w:vAlign w:val="bottom"/>
          </w:tcPr>
          <w:p>
            <w:pPr>
              <w:spacing w:after="0"/>
              <w:rPr>
                <w:sz w:val="20"/>
                <w:szCs w:val="20"/>
                <w:color w:val="auto"/>
              </w:rPr>
            </w:pPr>
            <w:r>
              <w:rPr>
                <w:rFonts w:ascii="Arial" w:cs="Arial" w:eastAsia="Arial" w:hAnsi="Arial"/>
                <w:sz w:val="16"/>
                <w:szCs w:val="16"/>
                <w:color w:val="auto"/>
              </w:rPr>
              <w:t>Glynn Wilson</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8"/>
        </w:trPr>
        <w:tc>
          <w:tcPr>
            <w:tcW w:w="8620" w:type="dxa"/>
            <w:vAlign w:val="bottom"/>
          </w:tcPr>
          <w:p>
            <w:pPr>
              <w:spacing w:after="0"/>
              <w:rPr>
                <w:sz w:val="20"/>
                <w:szCs w:val="20"/>
                <w:color w:val="auto"/>
              </w:rPr>
            </w:pPr>
            <w:r>
              <w:rPr>
                <w:rFonts w:ascii="Arial" w:cs="Arial" w:eastAsia="Arial" w:hAnsi="Arial"/>
                <w:sz w:val="16"/>
                <w:szCs w:val="16"/>
                <w:color w:val="auto"/>
              </w:rPr>
              <w:t>1551 Eastlake Avenue East, Suite 100, Seattle, Washington</w:t>
            </w:r>
          </w:p>
        </w:tc>
        <w:tc>
          <w:tcPr>
            <w:tcW w:w="1500" w:type="dxa"/>
            <w:vAlign w:val="bottom"/>
            <w:gridSpan w:val="3"/>
          </w:tcPr>
          <w:p>
            <w:pPr>
              <w:jc w:val="right"/>
              <w:ind w:right="120"/>
              <w:spacing w:after="0"/>
              <w:rPr>
                <w:sz w:val="20"/>
                <w:szCs w:val="20"/>
                <w:color w:val="auto"/>
              </w:rPr>
            </w:pPr>
            <w:r>
              <w:rPr>
                <w:rFonts w:ascii="Arial" w:cs="Arial" w:eastAsia="Arial" w:hAnsi="Arial"/>
                <w:sz w:val="16"/>
                <w:szCs w:val="16"/>
                <w:color w:val="auto"/>
              </w:rPr>
              <w:t>844,970</w:t>
            </w:r>
            <w:r>
              <w:rPr>
                <w:rFonts w:ascii="Arial" w:cs="Arial" w:eastAsia="Arial" w:hAnsi="Arial"/>
                <w:sz w:val="11"/>
                <w:szCs w:val="11"/>
                <w:color w:val="auto"/>
              </w:rPr>
              <w:t>(2)</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2.59%</w:t>
            </w:r>
          </w:p>
        </w:tc>
      </w:tr>
      <w:tr>
        <w:trPr>
          <w:trHeight w:val="383"/>
        </w:trPr>
        <w:tc>
          <w:tcPr>
            <w:tcW w:w="8620" w:type="dxa"/>
            <w:vAlign w:val="bottom"/>
          </w:tcPr>
          <w:p>
            <w:pPr>
              <w:spacing w:after="0"/>
              <w:rPr>
                <w:sz w:val="20"/>
                <w:szCs w:val="20"/>
                <w:color w:val="auto"/>
              </w:rPr>
            </w:pPr>
            <w:r>
              <w:rPr>
                <w:rFonts w:ascii="Arial" w:cs="Arial" w:eastAsia="Arial" w:hAnsi="Arial"/>
                <w:sz w:val="16"/>
                <w:szCs w:val="16"/>
                <w:color w:val="auto"/>
              </w:rPr>
              <w:t>Mark Reddish, VP Development</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7"/>
        </w:trPr>
        <w:tc>
          <w:tcPr>
            <w:tcW w:w="8620" w:type="dxa"/>
            <w:vAlign w:val="bottom"/>
          </w:tcPr>
          <w:p>
            <w:pPr>
              <w:spacing w:after="0"/>
              <w:rPr>
                <w:sz w:val="20"/>
                <w:szCs w:val="20"/>
                <w:color w:val="auto"/>
              </w:rPr>
            </w:pPr>
            <w:r>
              <w:rPr>
                <w:rFonts w:ascii="Arial" w:cs="Arial" w:eastAsia="Arial" w:hAnsi="Arial"/>
                <w:sz w:val="16"/>
                <w:szCs w:val="16"/>
                <w:color w:val="auto"/>
              </w:rPr>
              <w:t>1551 Eastlake Avenue East, Suite 100, Seattle, Washington</w:t>
            </w:r>
          </w:p>
        </w:tc>
        <w:tc>
          <w:tcPr>
            <w:tcW w:w="1500" w:type="dxa"/>
            <w:vAlign w:val="bottom"/>
            <w:gridSpan w:val="3"/>
          </w:tcPr>
          <w:p>
            <w:pPr>
              <w:jc w:val="right"/>
              <w:ind w:right="120"/>
              <w:spacing w:after="0"/>
              <w:rPr>
                <w:sz w:val="20"/>
                <w:szCs w:val="20"/>
                <w:color w:val="auto"/>
              </w:rPr>
            </w:pPr>
            <w:r>
              <w:rPr>
                <w:rFonts w:ascii="Arial" w:cs="Arial" w:eastAsia="Arial" w:hAnsi="Arial"/>
                <w:sz w:val="16"/>
                <w:szCs w:val="16"/>
                <w:color w:val="auto"/>
              </w:rPr>
              <w:t>229,500</w:t>
            </w:r>
            <w:r>
              <w:rPr>
                <w:rFonts w:ascii="Arial" w:cs="Arial" w:eastAsia="Arial" w:hAnsi="Arial"/>
                <w:sz w:val="11"/>
                <w:szCs w:val="11"/>
                <w:color w:val="auto"/>
              </w:rPr>
              <w:t>(3)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&lt;1.00 %</w:t>
            </w:r>
          </w:p>
        </w:tc>
      </w:tr>
      <w:tr>
        <w:trPr>
          <w:trHeight w:val="197"/>
        </w:trPr>
        <w:tc>
          <w:tcPr>
            <w:tcW w:w="8620" w:type="dxa"/>
            <w:vAlign w:val="bottom"/>
          </w:tcPr>
          <w:p>
            <w:pPr>
              <w:spacing w:after="0"/>
              <w:rPr>
                <w:sz w:val="20"/>
                <w:szCs w:val="20"/>
                <w:color w:val="auto"/>
              </w:rPr>
            </w:pPr>
            <w:r>
              <w:rPr>
                <w:rFonts w:ascii="Arial" w:cs="Arial" w:eastAsia="Arial" w:hAnsi="Arial"/>
                <w:sz w:val="16"/>
                <w:szCs w:val="16"/>
                <w:color w:val="auto"/>
              </w:rPr>
              <w:t>Sherry Grisewood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7"/>
        </w:trPr>
        <w:tc>
          <w:tcPr>
            <w:tcW w:w="8620" w:type="dxa"/>
            <w:vAlign w:val="bottom"/>
          </w:tcPr>
          <w:p>
            <w:pPr>
              <w:spacing w:after="0"/>
              <w:rPr>
                <w:sz w:val="20"/>
                <w:szCs w:val="20"/>
                <w:color w:val="auto"/>
              </w:rPr>
            </w:pPr>
            <w:r>
              <w:rPr>
                <w:rFonts w:ascii="Arial" w:cs="Arial" w:eastAsia="Arial" w:hAnsi="Arial"/>
                <w:sz w:val="16"/>
                <w:szCs w:val="16"/>
                <w:color w:val="auto"/>
              </w:rPr>
              <w:t>1551 Eastlake Avenue East, Suite 100, Seattle, Washington</w:t>
            </w:r>
          </w:p>
        </w:tc>
        <w:tc>
          <w:tcPr>
            <w:tcW w:w="1500" w:type="dxa"/>
            <w:vAlign w:val="bottom"/>
            <w:gridSpan w:val="3"/>
          </w:tcPr>
          <w:p>
            <w:pPr>
              <w:jc w:val="right"/>
              <w:ind w:right="260"/>
              <w:spacing w:after="0"/>
              <w:rPr>
                <w:sz w:val="20"/>
                <w:szCs w:val="20"/>
                <w:color w:val="auto"/>
              </w:rPr>
            </w:pPr>
            <w:r>
              <w:rPr>
                <w:rFonts w:ascii="Arial" w:cs="Arial" w:eastAsia="Arial" w:hAnsi="Arial"/>
                <w:sz w:val="16"/>
                <w:szCs w:val="16"/>
                <w:color w:val="auto"/>
              </w:rPr>
              <w:t>28,329</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&lt;1.0%</w:t>
            </w:r>
          </w:p>
        </w:tc>
      </w:tr>
      <w:tr>
        <w:trPr>
          <w:trHeight w:val="208"/>
        </w:trPr>
        <w:tc>
          <w:tcPr>
            <w:tcW w:w="8620" w:type="dxa"/>
            <w:vAlign w:val="bottom"/>
          </w:tcPr>
          <w:p>
            <w:pPr>
              <w:spacing w:after="0"/>
              <w:rPr>
                <w:sz w:val="20"/>
                <w:szCs w:val="20"/>
                <w:color w:val="auto"/>
              </w:rPr>
            </w:pPr>
            <w:r>
              <w:rPr>
                <w:rFonts w:ascii="Arial" w:cs="Arial" w:eastAsia="Arial" w:hAnsi="Arial"/>
                <w:sz w:val="16"/>
                <w:szCs w:val="16"/>
                <w:color w:val="auto"/>
              </w:rPr>
              <w:t>All executive officers and directors as a group (3 persons)</w:t>
            </w:r>
          </w:p>
        </w:tc>
        <w:tc>
          <w:tcPr>
            <w:tcW w:w="1500" w:type="dxa"/>
            <w:vAlign w:val="bottom"/>
            <w:gridSpan w:val="3"/>
          </w:tcPr>
          <w:p>
            <w:pPr>
              <w:jc w:val="right"/>
              <w:ind w:right="260"/>
              <w:spacing w:after="0"/>
              <w:rPr>
                <w:sz w:val="20"/>
                <w:szCs w:val="20"/>
                <w:color w:val="auto"/>
              </w:rPr>
            </w:pPr>
            <w:r>
              <w:rPr>
                <w:rFonts w:ascii="Arial" w:cs="Arial" w:eastAsia="Arial" w:hAnsi="Arial"/>
                <w:sz w:val="16"/>
                <w:szCs w:val="16"/>
                <w:color w:val="auto"/>
              </w:rPr>
              <w:t>1,102,799</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3.38%</w:t>
            </w:r>
          </w:p>
        </w:tc>
      </w:tr>
      <w:tr>
        <w:trPr>
          <w:trHeight w:val="383"/>
        </w:trPr>
        <w:tc>
          <w:tcPr>
            <w:tcW w:w="8620" w:type="dxa"/>
            <w:vAlign w:val="bottom"/>
          </w:tcPr>
          <w:p>
            <w:pPr>
              <w:spacing w:after="0"/>
              <w:rPr>
                <w:sz w:val="20"/>
                <w:szCs w:val="20"/>
                <w:color w:val="auto"/>
              </w:rPr>
            </w:pPr>
            <w:r>
              <w:rPr>
                <w:rFonts w:ascii="Arial" w:cs="Arial" w:eastAsia="Arial" w:hAnsi="Arial"/>
                <w:sz w:val="16"/>
                <w:szCs w:val="16"/>
                <w:b w:val="1"/>
                <w:bCs w:val="1"/>
                <w:color w:val="auto"/>
              </w:rPr>
              <w:t>Major Stockholders: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7"/>
        </w:trPr>
        <w:tc>
          <w:tcPr>
            <w:tcW w:w="8620" w:type="dxa"/>
            <w:vAlign w:val="bottom"/>
          </w:tcPr>
          <w:p>
            <w:pPr>
              <w:spacing w:after="0"/>
              <w:rPr>
                <w:sz w:val="20"/>
                <w:szCs w:val="20"/>
                <w:color w:val="auto"/>
              </w:rPr>
            </w:pPr>
            <w:r>
              <w:rPr>
                <w:rFonts w:ascii="Arial" w:cs="Arial" w:eastAsia="Arial" w:hAnsi="Arial"/>
                <w:sz w:val="16"/>
                <w:szCs w:val="16"/>
                <w:color w:val="auto"/>
              </w:rPr>
              <w:t>Eastern Capital Limited</w:t>
            </w:r>
          </w:p>
        </w:tc>
        <w:tc>
          <w:tcPr>
            <w:tcW w:w="1500" w:type="dxa"/>
            <w:vAlign w:val="bottom"/>
            <w:gridSpan w:val="3"/>
          </w:tcPr>
          <w:p>
            <w:pPr>
              <w:jc w:val="right"/>
              <w:ind w:right="120"/>
              <w:spacing w:after="0"/>
              <w:rPr>
                <w:sz w:val="20"/>
                <w:szCs w:val="20"/>
                <w:color w:val="auto"/>
              </w:rPr>
            </w:pPr>
            <w:r>
              <w:rPr>
                <w:rFonts w:ascii="Arial" w:cs="Arial" w:eastAsia="Arial" w:hAnsi="Arial"/>
                <w:sz w:val="16"/>
                <w:szCs w:val="16"/>
                <w:color w:val="auto"/>
              </w:rPr>
              <w:t>30,000,000</w:t>
            </w:r>
            <w:r>
              <w:rPr>
                <w:rFonts w:ascii="Arial" w:cs="Arial" w:eastAsia="Arial" w:hAnsi="Arial"/>
                <w:sz w:val="11"/>
                <w:szCs w:val="11"/>
                <w:color w:val="auto"/>
              </w:rPr>
              <w:t>(4)</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52.0%</w:t>
            </w:r>
          </w:p>
        </w:tc>
      </w:tr>
      <w:tr>
        <w:trPr>
          <w:trHeight w:val="197"/>
        </w:trPr>
        <w:tc>
          <w:tcPr>
            <w:tcW w:w="8620" w:type="dxa"/>
            <w:vAlign w:val="bottom"/>
          </w:tcPr>
          <w:p>
            <w:pPr>
              <w:spacing w:after="0"/>
              <w:rPr>
                <w:sz w:val="20"/>
                <w:szCs w:val="20"/>
                <w:color w:val="auto"/>
              </w:rPr>
            </w:pPr>
            <w:r>
              <w:rPr>
                <w:rFonts w:ascii="Arial" w:cs="Arial" w:eastAsia="Arial" w:hAnsi="Arial"/>
                <w:sz w:val="16"/>
                <w:szCs w:val="16"/>
                <w:color w:val="auto"/>
              </w:rPr>
              <w:t>Empery Asset Management</w:t>
            </w:r>
          </w:p>
        </w:tc>
        <w:tc>
          <w:tcPr>
            <w:tcW w:w="1500" w:type="dxa"/>
            <w:vAlign w:val="bottom"/>
            <w:gridSpan w:val="3"/>
          </w:tcPr>
          <w:p>
            <w:pPr>
              <w:jc w:val="right"/>
              <w:ind w:right="120"/>
              <w:spacing w:after="0"/>
              <w:rPr>
                <w:sz w:val="20"/>
                <w:szCs w:val="20"/>
                <w:color w:val="auto"/>
              </w:rPr>
            </w:pPr>
            <w:r>
              <w:rPr>
                <w:rFonts w:ascii="Arial" w:cs="Arial" w:eastAsia="Arial" w:hAnsi="Arial"/>
                <w:sz w:val="16"/>
                <w:szCs w:val="16"/>
                <w:color w:val="auto"/>
              </w:rPr>
              <w:t>3,622,099</w:t>
            </w:r>
            <w:r>
              <w:rPr>
                <w:rFonts w:ascii="Arial" w:cs="Arial" w:eastAsia="Arial" w:hAnsi="Arial"/>
                <w:sz w:val="11"/>
                <w:szCs w:val="11"/>
                <w:color w:val="auto"/>
              </w:rPr>
              <w:t>(5)</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9.99%</w:t>
            </w:r>
          </w:p>
        </w:tc>
      </w:tr>
      <w:tr>
        <w:trPr>
          <w:trHeight w:val="197"/>
        </w:trPr>
        <w:tc>
          <w:tcPr>
            <w:tcW w:w="8620" w:type="dxa"/>
            <w:vAlign w:val="bottom"/>
          </w:tcPr>
          <w:p>
            <w:pPr>
              <w:spacing w:after="0"/>
              <w:rPr>
                <w:sz w:val="20"/>
                <w:szCs w:val="20"/>
                <w:color w:val="auto"/>
              </w:rPr>
            </w:pPr>
            <w:r>
              <w:rPr>
                <w:rFonts w:ascii="Arial" w:cs="Arial" w:eastAsia="Arial" w:hAnsi="Arial"/>
                <w:sz w:val="16"/>
                <w:szCs w:val="16"/>
                <w:color w:val="auto"/>
              </w:rPr>
              <w:t>Brio Capital Master Fund</w:t>
            </w:r>
          </w:p>
        </w:tc>
        <w:tc>
          <w:tcPr>
            <w:tcW w:w="1500" w:type="dxa"/>
            <w:vAlign w:val="bottom"/>
            <w:gridSpan w:val="3"/>
          </w:tcPr>
          <w:p>
            <w:pPr>
              <w:jc w:val="right"/>
              <w:ind w:right="120"/>
              <w:spacing w:after="0"/>
              <w:rPr>
                <w:sz w:val="20"/>
                <w:szCs w:val="20"/>
                <w:color w:val="auto"/>
              </w:rPr>
            </w:pPr>
            <w:r>
              <w:rPr>
                <w:rFonts w:ascii="Arial" w:cs="Arial" w:eastAsia="Arial" w:hAnsi="Arial"/>
                <w:sz w:val="16"/>
                <w:szCs w:val="16"/>
                <w:color w:val="auto"/>
              </w:rPr>
              <w:t>30,000,000</w:t>
            </w:r>
            <w:r>
              <w:rPr>
                <w:rFonts w:ascii="Arial" w:cs="Arial" w:eastAsia="Arial" w:hAnsi="Arial"/>
                <w:sz w:val="11"/>
                <w:szCs w:val="11"/>
                <w:color w:val="auto"/>
              </w:rPr>
              <w:t>(4)</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52.0%</w:t>
            </w:r>
          </w:p>
        </w:tc>
      </w:tr>
      <w:tr>
        <w:trPr>
          <w:trHeight w:val="209"/>
        </w:trPr>
        <w:tc>
          <w:tcPr>
            <w:tcW w:w="8620" w:type="dxa"/>
            <w:vAlign w:val="bottom"/>
          </w:tcPr>
          <w:p>
            <w:pPr>
              <w:spacing w:after="0"/>
              <w:rPr>
                <w:sz w:val="20"/>
                <w:szCs w:val="20"/>
                <w:color w:val="auto"/>
              </w:rPr>
            </w:pPr>
            <w:r>
              <w:rPr>
                <w:rFonts w:ascii="Arial" w:cs="Arial" w:eastAsia="Arial" w:hAnsi="Arial"/>
                <w:sz w:val="16"/>
                <w:szCs w:val="16"/>
                <w:color w:val="auto"/>
              </w:rPr>
              <w:t>Iroquios Capital Management</w:t>
            </w:r>
          </w:p>
        </w:tc>
        <w:tc>
          <w:tcPr>
            <w:tcW w:w="1500" w:type="dxa"/>
            <w:vAlign w:val="bottom"/>
            <w:gridSpan w:val="3"/>
          </w:tcPr>
          <w:p>
            <w:pPr>
              <w:jc w:val="right"/>
              <w:ind w:right="120"/>
              <w:spacing w:after="0"/>
              <w:rPr>
                <w:sz w:val="20"/>
                <w:szCs w:val="20"/>
                <w:color w:val="auto"/>
              </w:rPr>
            </w:pPr>
            <w:r>
              <w:rPr>
                <w:rFonts w:ascii="Arial" w:cs="Arial" w:eastAsia="Arial" w:hAnsi="Arial"/>
                <w:sz w:val="16"/>
                <w:szCs w:val="16"/>
                <w:color w:val="auto"/>
              </w:rPr>
              <w:t>3,622,099</w:t>
            </w:r>
            <w:r>
              <w:rPr>
                <w:rFonts w:ascii="Arial" w:cs="Arial" w:eastAsia="Arial" w:hAnsi="Arial"/>
                <w:sz w:val="11"/>
                <w:szCs w:val="11"/>
                <w:color w:val="auto"/>
              </w:rPr>
              <w:t>(5)</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9.99%</w:t>
            </w:r>
          </w:p>
        </w:tc>
      </w:tr>
      <w:tr>
        <w:trPr>
          <w:trHeight w:val="20"/>
        </w:trPr>
        <w:tc>
          <w:tcPr>
            <w:tcW w:w="8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Brio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1210" cy="311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31115"/>
                    </a:xfrm>
                    <a:prstGeom prst="rect">
                      <a:avLst/>
                    </a:prstGeom>
                    <a:noFill/>
                  </pic:spPr>
                </pic:pic>
              </a:graphicData>
            </a:graphic>
          </wp:anchor>
        </w:drawing>
      </w:r>
    </w:p>
    <w:p>
      <w:pPr>
        <w:spacing w:after="0" w:line="252" w:lineRule="exact"/>
        <w:rPr>
          <w:sz w:val="20"/>
          <w:szCs w:val="20"/>
          <w:color w:val="auto"/>
        </w:rPr>
      </w:pPr>
    </w:p>
    <w:p>
      <w:pPr>
        <w:ind w:left="240" w:right="140" w:hanging="192"/>
        <w:spacing w:after="0" w:line="258" w:lineRule="auto"/>
        <w:rPr>
          <w:sz w:val="20"/>
          <w:szCs w:val="20"/>
          <w:color w:val="auto"/>
        </w:rPr>
      </w:pPr>
      <w:r>
        <w:rPr>
          <w:rFonts w:ascii="Arial" w:cs="Arial" w:eastAsia="Arial" w:hAnsi="Arial"/>
          <w:sz w:val="16"/>
          <w:szCs w:val="16"/>
          <w:color w:val="auto"/>
        </w:rPr>
        <w:t>(1)Under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the date of this Annual Report, there were 32,638,810 shares of common stock issued and outstanding.</w:t>
      </w:r>
    </w:p>
    <w:p>
      <w:pPr>
        <w:spacing w:after="0" w:line="5" w:lineRule="exact"/>
        <w:rPr>
          <w:sz w:val="20"/>
          <w:szCs w:val="20"/>
          <w:color w:val="auto"/>
        </w:rPr>
      </w:pPr>
    </w:p>
    <w:p>
      <w:pPr>
        <w:jc w:val="both"/>
        <w:ind w:left="240" w:hanging="192"/>
        <w:spacing w:after="0" w:line="186" w:lineRule="auto"/>
        <w:rPr>
          <w:sz w:val="20"/>
          <w:szCs w:val="20"/>
          <w:color w:val="auto"/>
        </w:rPr>
      </w:pPr>
      <w:r>
        <w:rPr>
          <w:rFonts w:ascii="Arial" w:cs="Arial" w:eastAsia="Arial" w:hAnsi="Arial"/>
          <w:sz w:val="29"/>
          <w:szCs w:val="29"/>
          <w:color w:val="auto"/>
          <w:vertAlign w:val="subscript"/>
        </w:rPr>
        <w:t>(2)</w:t>
      </w:r>
      <w:r>
        <w:rPr>
          <w:rFonts w:ascii="Arial" w:cs="Arial" w:eastAsia="Arial" w:hAnsi="Arial"/>
          <w:sz w:val="15"/>
          <w:szCs w:val="15"/>
          <w:color w:val="auto"/>
        </w:rPr>
        <w:t>This figure includes (i) 806,970 shares of common stock; and (ii) 18,000 options to acquire an equivalent number of common shares at $17 for 5 years and 20,000 options to acquire an equivalent number of common shares at $19 for 5 years.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(3)This figure includes (i) 225,000 shares of common stock; and (ii) 2,000 vested options exercisable at $17 and 2,500 vested options exercisable at $18.</w:t>
      </w:r>
    </w:p>
    <w:p>
      <w:pPr>
        <w:spacing w:after="0" w:line="13" w:lineRule="exact"/>
        <w:rPr>
          <w:sz w:val="20"/>
          <w:szCs w:val="20"/>
          <w:color w:val="auto"/>
        </w:rPr>
      </w:pPr>
    </w:p>
    <w:p>
      <w:pPr>
        <w:jc w:val="both"/>
        <w:ind w:left="240" w:hanging="192"/>
        <w:spacing w:after="0" w:line="274" w:lineRule="auto"/>
        <w:rPr>
          <w:sz w:val="20"/>
          <w:szCs w:val="20"/>
          <w:color w:val="auto"/>
        </w:rPr>
      </w:pPr>
      <w:r>
        <w:rPr>
          <w:rFonts w:ascii="Arial" w:cs="Arial" w:eastAsia="Arial" w:hAnsi="Arial"/>
          <w:sz w:val="15"/>
          <w:szCs w:val="15"/>
          <w:color w:val="auto"/>
        </w:rPr>
        <w:t>(4)This figure includes 5,000,000 shares of common stock issued to Eastern Capital Limited in March 2015 (we have not verified that Eastern Capital Limited still holds these shares) and 5,000,000 shares underlying warrants exercisable at $0.40, 5,000,000 shares underlying warrants exercisable at $0.75, 5,000,000 shares underlying warrants exercisable at $1.00, 5,000,000 shares underlying warrants exercisable at $1.25 and 5,000,000 shares underlying warrants exercisable at $1.50.</w:t>
      </w:r>
    </w:p>
    <w:p>
      <w:pPr>
        <w:jc w:val="both"/>
        <w:ind w:left="240" w:hanging="192"/>
        <w:spacing w:after="0" w:line="257" w:lineRule="auto"/>
        <w:rPr>
          <w:sz w:val="20"/>
          <w:szCs w:val="20"/>
          <w:color w:val="auto"/>
        </w:rPr>
      </w:pPr>
      <w:r>
        <w:rPr>
          <w:rFonts w:ascii="Arial" w:cs="Arial" w:eastAsia="Arial" w:hAnsi="Arial"/>
          <w:sz w:val="16"/>
          <w:szCs w:val="16"/>
          <w:color w:val="auto"/>
        </w:rPr>
        <w:t>(5)This figure includes 1,434,453 shares of common stock issued to this shareholder in January 2015 (we have not verified that this shareholder still holds these shares, and we have assumed that the shareholder no longer holds shares issued to it in August 2014) and 2,187,646 shares underlying Series B and Series C Warrants. The Series B and Series C warrants held by this shareholder are subject to a 9.9% “blocker” such that at no time may it exercise any such warrants if that exercise would increase its beneficial ownership over 9.99%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jc w:val="both"/>
        <w:ind w:left="240" w:hanging="192"/>
        <w:spacing w:after="0" w:line="274" w:lineRule="auto"/>
        <w:rPr>
          <w:sz w:val="20"/>
          <w:szCs w:val="20"/>
          <w:color w:val="auto"/>
        </w:rPr>
      </w:pPr>
      <w:r>
        <w:rPr>
          <w:rFonts w:ascii="Arial" w:cs="Arial" w:eastAsia="Arial" w:hAnsi="Arial"/>
          <w:sz w:val="15"/>
          <w:szCs w:val="15"/>
          <w:color w:val="auto"/>
        </w:rPr>
        <w:t>(6)This figure includes 2,500,000 shares of common stock issued to this shareholder in January 2015 (we have not verified that this shareholder still holds these shares) and 1,137,646 shares underlying Series B and Series C Warrants. The Series B and Series C warrants held by this shareholder are subject to a 9.9% “blocker” such that at no time may it exercise any such warrants if that exercise would increase its beneficial ownership over 9.99%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blockers in warrants held by this shareholder.</w:t>
      </w:r>
    </w:p>
    <w:p>
      <w:pPr>
        <w:spacing w:after="0" w:line="1" w:lineRule="exact"/>
        <w:rPr>
          <w:sz w:val="20"/>
          <w:szCs w:val="20"/>
          <w:color w:val="auto"/>
        </w:rPr>
      </w:pPr>
    </w:p>
    <w:p>
      <w:pPr>
        <w:jc w:val="both"/>
        <w:ind w:left="240" w:hanging="192"/>
        <w:spacing w:after="0" w:line="282" w:lineRule="auto"/>
        <w:rPr>
          <w:sz w:val="20"/>
          <w:szCs w:val="20"/>
          <w:color w:val="auto"/>
        </w:rPr>
      </w:pPr>
      <w:r>
        <w:rPr>
          <w:rFonts w:ascii="Arial" w:cs="Arial" w:eastAsia="Arial" w:hAnsi="Arial"/>
          <w:sz w:val="15"/>
          <w:szCs w:val="15"/>
          <w:color w:val="auto"/>
        </w:rPr>
        <w:t>(7)This figure includes 1,250,000 shares of common stock issued to Iroquois Master Fund Ltd. in January 2015 (we have not verified that this shareholder still holds these shares) and 2,362,646 shares underlying Series B and Series C Warrants. The Series B and Series C warrants held by this shareholder are subject to a 9.9% “blocker” such that at no time may it exercise any such warrants if that exercise would increase its beneficial ownership over 9.99%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blockers in warrants held by this shareholder.</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48" w:name="page49"/>
    <w:bookmarkEnd w:id="48"/>
    <w:p>
      <w:pPr>
        <w:spacing w:after="0" w:line="288" w:lineRule="auto"/>
        <w:rPr>
          <w:sz w:val="20"/>
          <w:szCs w:val="20"/>
          <w:color w:val="auto"/>
        </w:rPr>
      </w:pPr>
      <w:r>
        <w:rPr>
          <w:rFonts w:ascii="Arial" w:cs="Arial" w:eastAsia="Arial" w:hAnsi="Arial"/>
          <w:sz w:val="16"/>
          <w:szCs w:val="16"/>
          <w:color w:val="auto"/>
        </w:rPr>
        <w:t>There are no arrangements or understanding among the parties set out above or their respective associates or affiliates concerning election of directors or any other matters which may require shareholder approval.</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A description of the Company’s equity compensation plan is provided in Part II, Item 5 of this Form 10-K and is hereby incorporated by reference into this Item 12.</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Control</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We are unaware of any contract, or other arrangement or provision, the operation of which may at a subsequent date result in a change of control of our Company.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2013, the Company entered into transactions with certain officers and directors of the Company as follows:</w:t>
      </w:r>
    </w:p>
    <w:p>
      <w:pPr>
        <w:spacing w:after="0" w:line="235" w:lineRule="exact"/>
        <w:rPr>
          <w:sz w:val="20"/>
          <w:szCs w:val="20"/>
          <w:color w:val="auto"/>
        </w:rPr>
      </w:pPr>
    </w:p>
    <w:p>
      <w:pPr>
        <w:ind w:left="880" w:hanging="586"/>
        <w:spacing w:after="0" w:line="288"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incurred $69,000 (2013 - $330,500) in management and consulting fees and $90,000 (2013 - $168,000) in research and development services paid to officers and directors during the year;</w:t>
      </w:r>
    </w:p>
    <w:p>
      <w:pPr>
        <w:spacing w:after="0" w:line="174" w:lineRule="exact"/>
        <w:rPr>
          <w:rFonts w:ascii="Arial" w:cs="Arial" w:eastAsia="Arial" w:hAnsi="Arial"/>
          <w:sz w:val="16"/>
          <w:szCs w:val="16"/>
          <w:color w:val="auto"/>
        </w:rPr>
      </w:pPr>
    </w:p>
    <w:p>
      <w:pPr>
        <w:ind w:left="880" w:hanging="586"/>
        <w:spacing w:after="0" w:line="288"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recorded $15,000 (2013 - $46,988) in stock based compensation for the fair value of options granted to management that were granted and or vested during the year;</w:t>
      </w:r>
    </w:p>
    <w:p>
      <w:pPr>
        <w:spacing w:after="0" w:line="174" w:lineRule="exact"/>
        <w:rPr>
          <w:rFonts w:ascii="Arial" w:cs="Arial" w:eastAsia="Arial" w:hAnsi="Arial"/>
          <w:sz w:val="16"/>
          <w:szCs w:val="16"/>
          <w:color w:val="auto"/>
        </w:rPr>
      </w:pPr>
    </w:p>
    <w:p>
      <w:pPr>
        <w:ind w:left="880" w:hanging="586"/>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converted $459,345 (2013 - $nil) of debt due to related parties during the year, which was settled with shares.</w:t>
      </w:r>
    </w:p>
    <w:p>
      <w:pPr>
        <w:spacing w:after="0" w:line="234" w:lineRule="exact"/>
        <w:rPr>
          <w:rFonts w:ascii="Arial" w:cs="Arial" w:eastAsia="Arial" w:hAnsi="Arial"/>
          <w:sz w:val="16"/>
          <w:szCs w:val="16"/>
          <w:color w:val="auto"/>
        </w:rPr>
      </w:pPr>
    </w:p>
    <w:p>
      <w:pPr>
        <w:ind w:left="880" w:hanging="586"/>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Repaid $15,000 (2013 - $nil) in promissory notes to an officer and director of the Company (Note 8).</w:t>
      </w:r>
    </w:p>
    <w:p>
      <w:pPr>
        <w:spacing w:after="0" w:line="234" w:lineRule="exact"/>
        <w:rPr>
          <w:rFonts w:ascii="Arial" w:cs="Arial" w:eastAsia="Arial" w:hAnsi="Arial"/>
          <w:sz w:val="16"/>
          <w:szCs w:val="16"/>
          <w:color w:val="auto"/>
        </w:rPr>
      </w:pPr>
    </w:p>
    <w:p>
      <w:pPr>
        <w:ind w:left="880" w:hanging="586"/>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Borrowed $nil (2013 - $2,200) as a loan from an officer and director of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Marcum LLP served as our independent registered public accounting firm and audited our financial statements for the fiscal year ended December 31, 2014.</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Dale Matheson Carr-Hilton LaBonte LLP served as our independent registered public accounting firm and audited our financial statements for the fiscal year ended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Aggregate fees for professional services rendered to us by our auditor are set forth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2"/>
              </w:rPr>
              <w:t>Year Ended</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6"/>
                <w:szCs w:val="16"/>
                <w:color w:val="auto"/>
                <w:w w:val="89"/>
              </w:rPr>
              <w:t>Year Ended</w:t>
            </w:r>
          </w:p>
        </w:tc>
      </w:tr>
      <w:tr>
        <w:trPr>
          <w:trHeight w:val="197"/>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31,</w:t>
            </w:r>
          </w:p>
        </w:tc>
      </w:tr>
      <w:tr>
        <w:trPr>
          <w:trHeight w:val="214"/>
        </w:trPr>
        <w:tc>
          <w:tcPr>
            <w:tcW w:w="8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2013</w:t>
            </w:r>
          </w:p>
        </w:tc>
        <w:tc>
          <w:tcPr>
            <w:tcW w:w="100" w:type="dxa"/>
            <w:vAlign w:val="bottom"/>
          </w:tcPr>
          <w:p>
            <w:pPr>
              <w:spacing w:after="0"/>
              <w:rPr>
                <w:sz w:val="18"/>
                <w:szCs w:val="18"/>
                <w:color w:val="auto"/>
              </w:rPr>
            </w:pPr>
          </w:p>
        </w:tc>
      </w:tr>
      <w:tr>
        <w:trPr>
          <w:trHeight w:val="382"/>
        </w:trPr>
        <w:tc>
          <w:tcPr>
            <w:tcW w:w="8700" w:type="dxa"/>
            <w:vAlign w:val="bottom"/>
          </w:tcPr>
          <w:p>
            <w:pPr>
              <w:spacing w:after="0"/>
              <w:rPr>
                <w:sz w:val="20"/>
                <w:szCs w:val="20"/>
                <w:color w:val="auto"/>
              </w:rPr>
            </w:pPr>
            <w:r>
              <w:rPr>
                <w:rFonts w:ascii="Arial" w:cs="Arial" w:eastAsia="Arial" w:hAnsi="Arial"/>
                <w:sz w:val="16"/>
                <w:szCs w:val="16"/>
                <w:color w:val="auto"/>
              </w:rPr>
              <w:t>Audit Fees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75,000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60,000</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Audit Related Fees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45,500</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Tax Fees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Nil</w:t>
            </w:r>
          </w:p>
        </w:tc>
        <w:tc>
          <w:tcPr>
            <w:tcW w:w="100" w:type="dxa"/>
            <w:vAlign w:val="bottom"/>
          </w:tcPr>
          <w:p>
            <w:pPr>
              <w:spacing w:after="0"/>
              <w:rPr>
                <w:sz w:val="17"/>
                <w:szCs w:val="17"/>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Nil</w:t>
            </w:r>
          </w:p>
        </w:tc>
      </w:tr>
      <w:tr>
        <w:trPr>
          <w:trHeight w:val="214"/>
        </w:trPr>
        <w:tc>
          <w:tcPr>
            <w:tcW w:w="8700" w:type="dxa"/>
            <w:vAlign w:val="bottom"/>
          </w:tcPr>
          <w:p>
            <w:pPr>
              <w:spacing w:after="0"/>
              <w:rPr>
                <w:sz w:val="20"/>
                <w:szCs w:val="20"/>
                <w:color w:val="auto"/>
              </w:rPr>
            </w:pPr>
            <w:r>
              <w:rPr>
                <w:rFonts w:ascii="Arial" w:cs="Arial" w:eastAsia="Arial" w:hAnsi="Arial"/>
                <w:sz w:val="16"/>
                <w:szCs w:val="16"/>
                <w:color w:val="auto"/>
              </w:rPr>
              <w:t>All Other Fees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Nil</w:t>
            </w:r>
          </w:p>
        </w:tc>
        <w:tc>
          <w:tcPr>
            <w:tcW w:w="10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Nil</w:t>
            </w:r>
          </w:p>
        </w:tc>
      </w:tr>
      <w:tr>
        <w:trPr>
          <w:trHeight w:val="197"/>
        </w:trPr>
        <w:tc>
          <w:tcPr>
            <w:tcW w:w="87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125,000</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105,500</w:t>
            </w:r>
          </w:p>
        </w:tc>
        <w:tc>
          <w:tcPr>
            <w:tcW w:w="100" w:type="dxa"/>
            <w:vAlign w:val="bottom"/>
          </w:tcPr>
          <w:p>
            <w:pPr>
              <w:spacing w:after="0"/>
              <w:rPr>
                <w:sz w:val="17"/>
                <w:szCs w:val="17"/>
                <w:color w:val="auto"/>
              </w:rPr>
            </w:pPr>
          </w:p>
        </w:tc>
      </w:tr>
      <w:tr>
        <w:trPr>
          <w:trHeight w:val="20"/>
        </w:trPr>
        <w:tc>
          <w:tcPr>
            <w:tcW w:w="8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Fees</w:t>
      </w:r>
    </w:p>
    <w:p>
      <w:pPr>
        <w:spacing w:after="0" w:line="2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Audit fees are the aggregate fees billed for professional services rendered by our independent auditors for the audit of our annual financial statements, the review of the financial statements included in each of our quarterly reports and services provided in connection with statutory and regulatory filings or engagements.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Related Fees</w:t>
      </w:r>
    </w:p>
    <w:p>
      <w:pPr>
        <w:spacing w:after="0" w:line="2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Audit related fees are the aggregate fees billed by our independent auditors for assurance and related services that are reasonably related to the performance of the audit or review of our financial statements and are not described in the preceding category.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Fees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Tax fees are billed by our independent auditors for tax compliance, tax advice and tax planning.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All Other Fees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All other fees include fees billed by our independent auditors for products or services other than as described in the immediately preceding three categories.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on Pre-Approval of Services Performed by Independent Auditors</w:t>
      </w:r>
    </w:p>
    <w:p>
      <w:pPr>
        <w:spacing w:after="0" w:line="2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It is our audit committee’s policy to pre-approve all audit and permissible non-audit services performed by the independent auditors. We approved all services that our independent accountants provided to us in the past two fiscal years.</w:t>
      </w:r>
    </w:p>
    <w:p>
      <w:pPr>
        <w:spacing w:after="0" w:line="181"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15.</w:t>
        <w:tab/>
        <w:t>EXHIBITS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as part of this registration statement. Exhibit numbers correspond to the exhibit requirements of Regulation S-K.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4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Exhibit No.</w:t>
            </w:r>
          </w:p>
        </w:tc>
        <w:tc>
          <w:tcPr>
            <w:tcW w:w="280" w:type="dxa"/>
            <w:vAlign w:val="bottom"/>
          </w:tcPr>
          <w:p>
            <w:pPr>
              <w:spacing w:after="0"/>
              <w:rPr>
                <w:sz w:val="18"/>
                <w:szCs w:val="18"/>
                <w:color w:val="auto"/>
              </w:rPr>
            </w:pPr>
          </w:p>
        </w:tc>
        <w:tc>
          <w:tcPr>
            <w:tcW w:w="8800" w:type="dxa"/>
            <w:vAlign w:val="bottom"/>
            <w:tcBorders>
              <w:bottom w:val="single" w:sz="8" w:color="auto"/>
            </w:tcBorders>
          </w:tcPr>
          <w:p>
            <w:pPr>
              <w:ind w:left="40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340" w:type="dxa"/>
            <w:vAlign w:val="bottom"/>
          </w:tcPr>
          <w:p>
            <w:pPr>
              <w:spacing w:after="0" w:line="175" w:lineRule="exact"/>
              <w:rPr>
                <w:sz w:val="20"/>
                <w:szCs w:val="20"/>
                <w:color w:val="auto"/>
              </w:rPr>
            </w:pPr>
            <w:r>
              <w:rPr>
                <w:rFonts w:ascii="Arial" w:cs="Arial" w:eastAsia="Arial" w:hAnsi="Arial"/>
                <w:sz w:val="16"/>
                <w:szCs w:val="16"/>
                <w:color w:val="auto"/>
              </w:rPr>
              <w:t>3.1</w:t>
            </w:r>
          </w:p>
        </w:tc>
        <w:tc>
          <w:tcPr>
            <w:tcW w:w="280" w:type="dxa"/>
            <w:vAlign w:val="bottom"/>
            <w:vMerge w:val="continue"/>
          </w:tcPr>
          <w:p>
            <w:pPr>
              <w:spacing w:after="0"/>
              <w:rPr>
                <w:sz w:val="15"/>
                <w:szCs w:val="15"/>
                <w:color w:val="auto"/>
              </w:rPr>
            </w:pPr>
          </w:p>
        </w:tc>
        <w:tc>
          <w:tcPr>
            <w:tcW w:w="8800" w:type="dxa"/>
            <w:vAlign w:val="bottom"/>
          </w:tcPr>
          <w:p>
            <w:pPr>
              <w:spacing w:after="0" w:line="175" w:lineRule="exact"/>
              <w:rPr>
                <w:sz w:val="20"/>
                <w:szCs w:val="20"/>
                <w:color w:val="auto"/>
              </w:rPr>
            </w:pPr>
            <w:r>
              <w:rPr>
                <w:rFonts w:ascii="Arial" w:cs="Arial" w:eastAsia="Arial" w:hAnsi="Arial"/>
                <w:sz w:val="16"/>
                <w:szCs w:val="16"/>
                <w:color w:val="auto"/>
              </w:rPr>
              <w:t>Amended Articles of Incorporation dated February 3, 2009 as filed as Exhibit 3.1 to Form 8-K filed on February 6, 2009 and</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incorporated herein by 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3.2</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5"/>
              </w:rPr>
              <w:t>Amended Articles of Incorporation dated May 19, 1999 as filed as Exhibit 2.1 to the Registration Statement filed on Form 10-SB on</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September 3, 1999 and incorporated herein by 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3.3</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5"/>
              </w:rPr>
              <w:t>Amended and Restated Bylaws of the Company dated May 10, 2004 as filed as Exhibit 3.1 to the Company’s Quarterly Report on</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Form 10-QSB as filed on May 20, 2004 and incorporated herein by 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4.1</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4"/>
              </w:rPr>
              <w:t>Securities Purchase Agreement, dated May 17, 2010, as filed as Exhibit 10.1 to our Current Report on Form 8-K as filed on May 18,</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2010 and incorporated herein by 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4.2</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4"/>
              </w:rPr>
              <w:t>Registration Rights Agreement, dated May 24, 2010, as filed as Exhibit 10.4 to our Current Report on Form 8-K as filed on May 18,</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2010 and incorporated herein by 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4.3</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5"/>
              </w:rPr>
              <w:t>Security Agreement, dated May 24, 2010, as filed as Exhibit 10.3 to our Current Report on Form 8-K as filed on May 18, 2010 and</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incorporated herein by 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4.4</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5"/>
              </w:rPr>
              <w:t>Form of Senior Secured Convertible Note, as filed as Exhibit 10.2 to our Current Report on Form 8-K as filed on May 18, 2010 and</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incorporated herein by 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4.5</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6"/>
              </w:rPr>
              <w:t>Form of Series A Warrants, as filed as Exhibit 10.5 to our Current Report on Form 8-K as filed on May 18, 2010 and incorporated</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herein by 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4.6</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6"/>
              </w:rPr>
              <w:t>Form of Series B Warrants, as filed as Exhibit 10.6 to our Current Report on Form 8-K as filed on May 18, 2010 and incorporated</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herein by 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4.7</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6"/>
              </w:rPr>
              <w:t>Form of Series C Warrants, as filed as Exhibit 10.7 to our Current Report on Form 8-K as filed on May 18, 2010 and incorporated</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herein by 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4.8</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7"/>
              </w:rPr>
              <w:t>Securities Purchase Agreement, dated February 24, 2011, as filed as Exhibit 10.1 to our Current Report on Form 8-K as filed on</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March 2, 2011 and incorporated herein by 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4.9</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6"/>
              </w:rPr>
              <w:t>Form of Convertible Note, as filed as Exhibit 10.2 to our Current Report on Form 8-K as filed on March 2, 2011 and incorporated</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herein by 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4.10</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4"/>
              </w:rPr>
              <w:t>Security Agreement, dated February 24, 2011, as filed as Exhibit 10.3 to our Current Report on Form 8-K as filed on March 2, 2011</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and incorporated herein by 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4.11</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6"/>
              </w:rPr>
              <w:t>Form of Warrant, as filed as Exhibit 10.4 to our Current Report on Form 8-K as filed on March 2, 2011 and incorporated herein by</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4.12</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5"/>
              </w:rPr>
              <w:t>Form of Convertible Note in connection with the sale of same on April 12, 2011 filed as an Exhibit to the Company’s Annual Report</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on Form 10-K as filed on April 18, 2011 and incorporated by reference herein.</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4.13</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7"/>
              </w:rPr>
              <w:t>Security Agreement, dated April 12, 2011 filed as an Exhibit to the Company’s Annual Report on Form 10-K as filed on April 18,</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2011 and incorporated by reference herein.</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4.14</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5"/>
              </w:rPr>
              <w:t>Form of Securities Purchase Agreement in connection with the sale of Units on April 14, 2011 filed as an Exhibit to the Company’s</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Annual Report on Form 10-K as filed on April 18, 2011 and incorporated by reference herein.</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4.15</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w w:val="99"/>
              </w:rPr>
              <w:t>Form of Warrant in connection with Securities Purchase Agreement dated April 14, 2011 filed as an Exhibit to the Company’s</w:t>
            </w: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Annual Report on Form 10-K as filed on April 18, 2011 and incorporated by reference herein.</w:t>
            </w:r>
          </w:p>
        </w:tc>
        <w:tc>
          <w:tcPr>
            <w:tcW w:w="0" w:type="dxa"/>
            <w:vAlign w:val="bottom"/>
          </w:tcPr>
          <w:p>
            <w:pPr>
              <w:spacing w:after="0"/>
              <w:rPr>
                <w:sz w:val="1"/>
                <w:szCs w:val="1"/>
                <w:color w:val="auto"/>
              </w:rPr>
            </w:pPr>
          </w:p>
        </w:tc>
      </w:tr>
      <w:tr>
        <w:trPr>
          <w:trHeight w:val="208"/>
        </w:trPr>
        <w:tc>
          <w:tcPr>
            <w:tcW w:w="2340" w:type="dxa"/>
            <w:vAlign w:val="bottom"/>
          </w:tcPr>
          <w:p>
            <w:pPr>
              <w:spacing w:after="0"/>
              <w:rPr>
                <w:sz w:val="20"/>
                <w:szCs w:val="20"/>
                <w:color w:val="auto"/>
              </w:rPr>
            </w:pPr>
            <w:r>
              <w:rPr>
                <w:rFonts w:ascii="Arial" w:cs="Arial" w:eastAsia="Arial" w:hAnsi="Arial"/>
                <w:sz w:val="16"/>
                <w:szCs w:val="16"/>
                <w:color w:val="auto"/>
              </w:rPr>
              <w:t>4.16</w:t>
            </w:r>
          </w:p>
        </w:tc>
        <w:tc>
          <w:tcPr>
            <w:tcW w:w="9080" w:type="dxa"/>
            <w:vAlign w:val="bottom"/>
            <w:gridSpan w:val="2"/>
          </w:tcPr>
          <w:p>
            <w:pPr>
              <w:ind w:left="280"/>
              <w:spacing w:after="0"/>
              <w:rPr>
                <w:sz w:val="20"/>
                <w:szCs w:val="20"/>
                <w:color w:val="auto"/>
              </w:rPr>
            </w:pPr>
            <w:r>
              <w:rPr>
                <w:rFonts w:ascii="Arial" w:cs="Arial" w:eastAsia="Arial" w:hAnsi="Arial"/>
                <w:sz w:val="16"/>
                <w:szCs w:val="16"/>
                <w:color w:val="auto"/>
              </w:rPr>
              <w:t>Form of Warrants issued in November 2009 private placements</w:t>
            </w:r>
          </w:p>
        </w:tc>
        <w:tc>
          <w:tcPr>
            <w:tcW w:w="0" w:type="dxa"/>
            <w:vAlign w:val="bottom"/>
          </w:tcPr>
          <w:p>
            <w:pPr>
              <w:spacing w:after="0"/>
              <w:rPr>
                <w:sz w:val="1"/>
                <w:szCs w:val="1"/>
                <w:color w:val="auto"/>
              </w:rPr>
            </w:pPr>
          </w:p>
        </w:tc>
      </w:tr>
      <w:tr>
        <w:trPr>
          <w:trHeight w:val="554"/>
        </w:trPr>
        <w:tc>
          <w:tcPr>
            <w:tcW w:w="2340" w:type="dxa"/>
            <w:vAlign w:val="bottom"/>
          </w:tcPr>
          <w:p>
            <w:pPr>
              <w:spacing w:after="0"/>
              <w:rPr>
                <w:sz w:val="24"/>
                <w:szCs w:val="24"/>
                <w:color w:val="auto"/>
              </w:rPr>
            </w:pPr>
          </w:p>
        </w:tc>
        <w:tc>
          <w:tcPr>
            <w:tcW w:w="9080" w:type="dxa"/>
            <w:vAlign w:val="bottom"/>
            <w:gridSpan w:val="2"/>
          </w:tcPr>
          <w:p>
            <w:pPr>
              <w:jc w:val="right"/>
              <w:ind w:right="5538"/>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08"/>
        </w:trPr>
        <w:tc>
          <w:tcPr>
            <w:tcW w:w="23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10.1</w:t>
            </w:r>
          </w:p>
        </w:tc>
        <w:tc>
          <w:tcPr>
            <w:tcW w:w="9600" w:type="dxa"/>
            <w:vAlign w:val="bottom"/>
          </w:tcPr>
          <w:p>
            <w:pPr>
              <w:ind w:left="800"/>
              <w:spacing w:after="0"/>
              <w:rPr>
                <w:sz w:val="20"/>
                <w:szCs w:val="20"/>
                <w:color w:val="auto"/>
              </w:rPr>
            </w:pPr>
            <w:r>
              <w:rPr>
                <w:rFonts w:ascii="Arial" w:cs="Arial" w:eastAsia="Arial" w:hAnsi="Arial"/>
                <w:sz w:val="16"/>
                <w:szCs w:val="16"/>
                <w:color w:val="auto"/>
              </w:rPr>
              <w:t>Executive Services Agreement with Denis Corin as filed as Exhibit 10.1 to our Quarterly Report on Form 10-QSB as filed on</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rPr>
              <w:t>November 14, 2007 and incorporated herein by reference.</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10.2</w:t>
            </w:r>
          </w:p>
        </w:tc>
        <w:tc>
          <w:tcPr>
            <w:tcW w:w="9600" w:type="dxa"/>
            <w:vAlign w:val="bottom"/>
          </w:tcPr>
          <w:p>
            <w:pPr>
              <w:ind w:left="800"/>
              <w:spacing w:after="0"/>
              <w:rPr>
                <w:sz w:val="20"/>
                <w:szCs w:val="20"/>
                <w:color w:val="auto"/>
              </w:rPr>
            </w:pPr>
            <w:r>
              <w:rPr>
                <w:rFonts w:ascii="Arial" w:cs="Arial" w:eastAsia="Arial" w:hAnsi="Arial"/>
                <w:sz w:val="16"/>
                <w:szCs w:val="16"/>
                <w:color w:val="auto"/>
                <w:w w:val="94"/>
              </w:rPr>
              <w:t>Amended Executive Services Agreement with Denis Corin as filed as Exhibit 10.2 to our Quarterly Report on Form 10-QSB as filed</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rPr>
              <w:t>on November 14, 2007 and incorporated herein by reference.</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10.3</w:t>
            </w:r>
          </w:p>
        </w:tc>
        <w:tc>
          <w:tcPr>
            <w:tcW w:w="9600" w:type="dxa"/>
            <w:vAlign w:val="bottom"/>
          </w:tcPr>
          <w:p>
            <w:pPr>
              <w:ind w:left="800"/>
              <w:spacing w:after="0"/>
              <w:rPr>
                <w:sz w:val="20"/>
                <w:szCs w:val="20"/>
                <w:color w:val="auto"/>
              </w:rPr>
            </w:pPr>
            <w:r>
              <w:rPr>
                <w:rFonts w:ascii="Arial" w:cs="Arial" w:eastAsia="Arial" w:hAnsi="Arial"/>
                <w:sz w:val="16"/>
                <w:szCs w:val="16"/>
                <w:color w:val="auto"/>
                <w:w w:val="96"/>
              </w:rPr>
              <w:t>License Agreement made March 6, 2000 between GeneMax Pharmaceuticals, UBC and Dr. Jefferies as filed as an Exhibit to our</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w w:val="97"/>
              </w:rPr>
              <w:t>Annual Report on Form 10-KSB for the year ended December 31, 2004 as filed on April 15, 2005 and incorporated by reference</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rPr>
              <w:t>herein.</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10.4</w:t>
            </w:r>
          </w:p>
        </w:tc>
        <w:tc>
          <w:tcPr>
            <w:tcW w:w="9600" w:type="dxa"/>
            <w:vAlign w:val="bottom"/>
          </w:tcPr>
          <w:p>
            <w:pPr>
              <w:ind w:left="800"/>
              <w:spacing w:after="0"/>
              <w:rPr>
                <w:sz w:val="20"/>
                <w:szCs w:val="20"/>
                <w:color w:val="auto"/>
              </w:rPr>
            </w:pPr>
            <w:r>
              <w:rPr>
                <w:rFonts w:ascii="Arial" w:cs="Arial" w:eastAsia="Arial" w:hAnsi="Arial"/>
                <w:sz w:val="16"/>
                <w:szCs w:val="16"/>
                <w:color w:val="auto"/>
                <w:w w:val="91"/>
              </w:rPr>
              <w:t>Collaborative Research Agreement made September 1, 2000 between GeneMax Pharmaceuticals, GeneMax Pharmaceuticals Inc. and</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w w:val="95"/>
              </w:rPr>
              <w:t>UBC as filed as an Exhibit to our Annual Report on Form 10-KSB for the year ended December 31, 2004 as filed on April 15, 2005</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rPr>
              <w:t>and incorporated by reference herein.</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10.5</w:t>
            </w:r>
          </w:p>
        </w:tc>
        <w:tc>
          <w:tcPr>
            <w:tcW w:w="9600" w:type="dxa"/>
            <w:vAlign w:val="bottom"/>
          </w:tcPr>
          <w:p>
            <w:pPr>
              <w:ind w:left="800"/>
              <w:spacing w:after="0"/>
              <w:rPr>
                <w:sz w:val="20"/>
                <w:szCs w:val="20"/>
                <w:color w:val="auto"/>
              </w:rPr>
            </w:pPr>
            <w:r>
              <w:rPr>
                <w:rFonts w:ascii="Arial" w:cs="Arial" w:eastAsia="Arial" w:hAnsi="Arial"/>
                <w:sz w:val="16"/>
                <w:szCs w:val="16"/>
                <w:color w:val="auto"/>
                <w:w w:val="95"/>
              </w:rPr>
              <w:t>Production Services Agreement made March 18, 2003 between the Company and Molecular Medicine as filed as an Exhibit to our</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w w:val="97"/>
              </w:rPr>
              <w:t>Annual Report on Form 10-KSB for the year ended December 31, 2004 as filed on April 15, 2005 and incorporated by reference</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rPr>
              <w:t>herein.</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10.6</w:t>
            </w:r>
          </w:p>
        </w:tc>
        <w:tc>
          <w:tcPr>
            <w:tcW w:w="9600" w:type="dxa"/>
            <w:vAlign w:val="bottom"/>
          </w:tcPr>
          <w:p>
            <w:pPr>
              <w:ind w:left="800"/>
              <w:spacing w:after="0"/>
              <w:rPr>
                <w:sz w:val="20"/>
                <w:szCs w:val="20"/>
                <w:color w:val="auto"/>
              </w:rPr>
            </w:pPr>
            <w:r>
              <w:rPr>
                <w:rFonts w:ascii="Arial" w:cs="Arial" w:eastAsia="Arial" w:hAnsi="Arial"/>
                <w:sz w:val="16"/>
                <w:szCs w:val="16"/>
                <w:color w:val="auto"/>
                <w:w w:val="94"/>
              </w:rPr>
              <w:t>Biological Materials Transfer Agreement made October 21, 2003 between the Company and National Institutes of Health as filed as</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w w:val="94"/>
              </w:rPr>
              <w:t>an Exhibit to our Annual Report on Form 10-KSB for the year ended December 31, 2004 as filed on April 15, 2005 and incorporated</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rPr>
              <w:t>by reference herein.</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10.7</w:t>
            </w:r>
          </w:p>
        </w:tc>
        <w:tc>
          <w:tcPr>
            <w:tcW w:w="9600" w:type="dxa"/>
            <w:vAlign w:val="bottom"/>
          </w:tcPr>
          <w:p>
            <w:pPr>
              <w:ind w:left="800"/>
              <w:spacing w:after="0"/>
              <w:rPr>
                <w:sz w:val="20"/>
                <w:szCs w:val="20"/>
                <w:color w:val="auto"/>
              </w:rPr>
            </w:pPr>
            <w:r>
              <w:rPr>
                <w:rFonts w:ascii="Arial" w:cs="Arial" w:eastAsia="Arial" w:hAnsi="Arial"/>
                <w:sz w:val="16"/>
                <w:szCs w:val="16"/>
                <w:color w:val="auto"/>
                <w:w w:val="92"/>
              </w:rPr>
              <w:t>Option and Settlement Agreement made January 23, 2006 between GeneMax Pharmaceuticals, GeneMax Pharmaceuticals Inc., UBC</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w w:val="94"/>
              </w:rPr>
              <w:t>and Dr. Jefferies as filed as an Exhibit to the Company’s Current Report on Form 8-K as filed on January 24, 2006 and incorporated</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rPr>
              <w:t>by reference herein.</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10.8</w:t>
            </w:r>
          </w:p>
        </w:tc>
        <w:tc>
          <w:tcPr>
            <w:tcW w:w="9600" w:type="dxa"/>
            <w:vAlign w:val="bottom"/>
          </w:tcPr>
          <w:p>
            <w:pPr>
              <w:ind w:left="800"/>
              <w:spacing w:after="0"/>
              <w:rPr>
                <w:sz w:val="20"/>
                <w:szCs w:val="20"/>
                <w:color w:val="auto"/>
              </w:rPr>
            </w:pPr>
            <w:r>
              <w:rPr>
                <w:rFonts w:ascii="Arial" w:cs="Arial" w:eastAsia="Arial" w:hAnsi="Arial"/>
                <w:sz w:val="16"/>
                <w:szCs w:val="16"/>
                <w:color w:val="auto"/>
                <w:w w:val="95"/>
              </w:rPr>
              <w:t>2009 Stock Incentive Plan as filed as Exhibit B to our Information Statement filed on Definitive Schedule 14-C on January 29, 2010</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rPr>
              <w:t>and incorporated herein by reference.</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10.9</w:t>
            </w:r>
          </w:p>
        </w:tc>
        <w:tc>
          <w:tcPr>
            <w:tcW w:w="9600" w:type="dxa"/>
            <w:vAlign w:val="bottom"/>
          </w:tcPr>
          <w:p>
            <w:pPr>
              <w:ind w:left="800"/>
              <w:spacing w:after="0"/>
              <w:rPr>
                <w:sz w:val="20"/>
                <w:szCs w:val="20"/>
                <w:color w:val="auto"/>
              </w:rPr>
            </w:pPr>
            <w:r>
              <w:rPr>
                <w:rFonts w:ascii="Arial" w:cs="Arial" w:eastAsia="Arial" w:hAnsi="Arial"/>
                <w:sz w:val="16"/>
                <w:szCs w:val="16"/>
                <w:color w:val="auto"/>
                <w:w w:val="93"/>
              </w:rPr>
              <w:t>Technology Option Agreement, dated June 1, 2010, between TapImmune Inc. and Mayo Foundation for Education and Research as</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w w:val="97"/>
              </w:rPr>
              <w:t>filed as an Exhibit to the Company’s Current Report on Form 8-K as filed on June 4, 2010 and incorporated by reference herein.</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10.10</w:t>
            </w:r>
          </w:p>
        </w:tc>
        <w:tc>
          <w:tcPr>
            <w:tcW w:w="9600" w:type="dxa"/>
            <w:vAlign w:val="bottom"/>
          </w:tcPr>
          <w:p>
            <w:pPr>
              <w:ind w:left="800"/>
              <w:spacing w:after="0"/>
              <w:rPr>
                <w:sz w:val="20"/>
                <w:szCs w:val="20"/>
                <w:color w:val="auto"/>
              </w:rPr>
            </w:pPr>
            <w:r>
              <w:rPr>
                <w:rFonts w:ascii="Arial" w:cs="Arial" w:eastAsia="Arial" w:hAnsi="Arial"/>
                <w:sz w:val="16"/>
                <w:szCs w:val="16"/>
                <w:color w:val="auto"/>
                <w:w w:val="96"/>
              </w:rPr>
              <w:t>Employment Agreement between Dr. Glynn Wilson and the Company dated March 16, 2011 filed as an Exhibit to the Company’s</w:t>
            </w:r>
          </w:p>
        </w:tc>
      </w:tr>
      <w:tr>
        <w:trPr>
          <w:trHeight w:val="197"/>
        </w:trPr>
        <w:tc>
          <w:tcPr>
            <w:tcW w:w="1820" w:type="dxa"/>
            <w:vAlign w:val="bottom"/>
          </w:tcPr>
          <w:p>
            <w:pPr>
              <w:spacing w:after="0"/>
              <w:rPr>
                <w:sz w:val="17"/>
                <w:szCs w:val="17"/>
                <w:color w:val="auto"/>
              </w:rPr>
            </w:pPr>
          </w:p>
        </w:tc>
        <w:tc>
          <w:tcPr>
            <w:tcW w:w="9600" w:type="dxa"/>
            <w:vAlign w:val="bottom"/>
          </w:tcPr>
          <w:p>
            <w:pPr>
              <w:ind w:left="800"/>
              <w:spacing w:after="0"/>
              <w:rPr>
                <w:sz w:val="20"/>
                <w:szCs w:val="20"/>
                <w:color w:val="auto"/>
              </w:rPr>
            </w:pPr>
            <w:r>
              <w:rPr>
                <w:rFonts w:ascii="Arial" w:cs="Arial" w:eastAsia="Arial" w:hAnsi="Arial"/>
                <w:sz w:val="16"/>
                <w:szCs w:val="16"/>
                <w:color w:val="auto"/>
              </w:rPr>
              <w:t>Annual Report on Form 10-K as filed on April 18, 2011 and incorporated by reference herein.</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21.1</w:t>
            </w:r>
          </w:p>
        </w:tc>
        <w:tc>
          <w:tcPr>
            <w:tcW w:w="9600" w:type="dxa"/>
            <w:vAlign w:val="bottom"/>
          </w:tcPr>
          <w:p>
            <w:pPr>
              <w:ind w:left="860"/>
              <w:spacing w:after="0"/>
              <w:rPr>
                <w:sz w:val="20"/>
                <w:szCs w:val="20"/>
                <w:color w:val="auto"/>
              </w:rPr>
            </w:pPr>
            <w:r>
              <w:rPr>
                <w:rFonts w:ascii="Arial" w:cs="Arial" w:eastAsia="Arial" w:hAnsi="Arial"/>
                <w:sz w:val="16"/>
                <w:szCs w:val="16"/>
                <w:color w:val="auto"/>
                <w:w w:val="96"/>
              </w:rPr>
              <w:t>Subsidiaries of TapImmune Inc. filed as an Exhibit to the Company’s Annual Report on Form 10-K as filed on April 18, 2011 and</w:t>
            </w:r>
          </w:p>
        </w:tc>
      </w:tr>
      <w:tr>
        <w:trPr>
          <w:trHeight w:val="197"/>
        </w:trPr>
        <w:tc>
          <w:tcPr>
            <w:tcW w:w="1820" w:type="dxa"/>
            <w:vAlign w:val="bottom"/>
          </w:tcPr>
          <w:p>
            <w:pPr>
              <w:spacing w:after="0"/>
              <w:rPr>
                <w:sz w:val="17"/>
                <w:szCs w:val="17"/>
                <w:color w:val="auto"/>
              </w:rPr>
            </w:pPr>
          </w:p>
        </w:tc>
        <w:tc>
          <w:tcPr>
            <w:tcW w:w="9600" w:type="dxa"/>
            <w:vAlign w:val="bottom"/>
          </w:tcPr>
          <w:p>
            <w:pPr>
              <w:ind w:left="860"/>
              <w:spacing w:after="0"/>
              <w:rPr>
                <w:sz w:val="20"/>
                <w:szCs w:val="20"/>
                <w:color w:val="auto"/>
              </w:rPr>
            </w:pPr>
            <w:r>
              <w:rPr>
                <w:rFonts w:ascii="Arial" w:cs="Arial" w:eastAsia="Arial" w:hAnsi="Arial"/>
                <w:sz w:val="16"/>
                <w:szCs w:val="16"/>
                <w:color w:val="auto"/>
              </w:rPr>
              <w:t>incorporated by reference herein.</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31.1</w:t>
            </w:r>
          </w:p>
        </w:tc>
        <w:tc>
          <w:tcPr>
            <w:tcW w:w="9600" w:type="dxa"/>
            <w:vAlign w:val="bottom"/>
          </w:tcPr>
          <w:p>
            <w:pPr>
              <w:ind w:left="840"/>
              <w:spacing w:after="0"/>
              <w:rPr>
                <w:sz w:val="20"/>
                <w:szCs w:val="20"/>
                <w:color w:val="auto"/>
              </w:rPr>
            </w:pPr>
            <w:r>
              <w:rPr>
                <w:rFonts w:ascii="Arial" w:cs="Arial" w:eastAsia="Arial" w:hAnsi="Arial"/>
                <w:sz w:val="16"/>
                <w:szCs w:val="16"/>
                <w:color w:val="auto"/>
                <w:w w:val="97"/>
              </w:rPr>
              <w:t>Certification of Principal Executive Officer and Acting Principal Accounting Officer pursuant to Securities Exchange Act of 1934</w:t>
            </w:r>
          </w:p>
        </w:tc>
      </w:tr>
      <w:tr>
        <w:trPr>
          <w:trHeight w:val="197"/>
        </w:trPr>
        <w:tc>
          <w:tcPr>
            <w:tcW w:w="1820" w:type="dxa"/>
            <w:vAlign w:val="bottom"/>
          </w:tcPr>
          <w:p>
            <w:pPr>
              <w:spacing w:after="0"/>
              <w:rPr>
                <w:sz w:val="17"/>
                <w:szCs w:val="17"/>
                <w:color w:val="auto"/>
              </w:rPr>
            </w:pPr>
          </w:p>
        </w:tc>
        <w:tc>
          <w:tcPr>
            <w:tcW w:w="9600" w:type="dxa"/>
            <w:vAlign w:val="bottom"/>
          </w:tcPr>
          <w:p>
            <w:pPr>
              <w:ind w:left="840"/>
              <w:spacing w:after="0"/>
              <w:rPr>
                <w:sz w:val="20"/>
                <w:szCs w:val="20"/>
                <w:color w:val="auto"/>
              </w:rPr>
            </w:pPr>
            <w:r>
              <w:rPr>
                <w:rFonts w:ascii="Arial" w:cs="Arial" w:eastAsia="Arial" w:hAnsi="Arial"/>
                <w:sz w:val="16"/>
                <w:szCs w:val="16"/>
                <w:color w:val="auto"/>
              </w:rPr>
              <w:t>Rule 13a-14(a) or 15d-14(a).*</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32.1</w:t>
            </w:r>
          </w:p>
        </w:tc>
        <w:tc>
          <w:tcPr>
            <w:tcW w:w="9600" w:type="dxa"/>
            <w:vAlign w:val="bottom"/>
          </w:tcPr>
          <w:p>
            <w:pPr>
              <w:ind w:left="860"/>
              <w:spacing w:after="0"/>
              <w:rPr>
                <w:sz w:val="20"/>
                <w:szCs w:val="20"/>
                <w:color w:val="auto"/>
              </w:rPr>
            </w:pPr>
            <w:r>
              <w:rPr>
                <w:rFonts w:ascii="Arial" w:cs="Arial" w:eastAsia="Arial" w:hAnsi="Arial"/>
                <w:sz w:val="16"/>
                <w:szCs w:val="16"/>
                <w:color w:val="auto"/>
              </w:rPr>
              <w:t>Certification of Principal Executive Officer and Acting Principal Accounting Officer pursuant to 18 U.S.C. Section 1350.*</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101.INS</w:t>
            </w:r>
          </w:p>
        </w:tc>
        <w:tc>
          <w:tcPr>
            <w:tcW w:w="9600" w:type="dxa"/>
            <w:vAlign w:val="bottom"/>
          </w:tcPr>
          <w:p>
            <w:pPr>
              <w:ind w:left="820"/>
              <w:spacing w:after="0"/>
              <w:rPr>
                <w:sz w:val="20"/>
                <w:szCs w:val="20"/>
                <w:color w:val="auto"/>
              </w:rPr>
            </w:pPr>
            <w:r>
              <w:rPr>
                <w:rFonts w:ascii="Arial" w:cs="Arial" w:eastAsia="Arial" w:hAnsi="Arial"/>
                <w:sz w:val="16"/>
                <w:szCs w:val="16"/>
                <w:color w:val="auto"/>
              </w:rPr>
              <w:t>XBRL Instance Document*</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101.SCH</w:t>
            </w:r>
          </w:p>
        </w:tc>
        <w:tc>
          <w:tcPr>
            <w:tcW w:w="9600" w:type="dxa"/>
            <w:vAlign w:val="bottom"/>
          </w:tcPr>
          <w:p>
            <w:pPr>
              <w:ind w:left="820"/>
              <w:spacing w:after="0"/>
              <w:rPr>
                <w:sz w:val="20"/>
                <w:szCs w:val="20"/>
                <w:color w:val="auto"/>
              </w:rPr>
            </w:pPr>
            <w:r>
              <w:rPr>
                <w:rFonts w:ascii="Arial" w:cs="Arial" w:eastAsia="Arial" w:hAnsi="Arial"/>
                <w:sz w:val="16"/>
                <w:szCs w:val="16"/>
                <w:color w:val="auto"/>
              </w:rPr>
              <w:t>XBRL Taxonomy Extension Schema Document*</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101.CAL</w:t>
            </w:r>
          </w:p>
        </w:tc>
        <w:tc>
          <w:tcPr>
            <w:tcW w:w="9600" w:type="dxa"/>
            <w:vAlign w:val="bottom"/>
          </w:tcPr>
          <w:p>
            <w:pPr>
              <w:ind w:left="820"/>
              <w:spacing w:after="0"/>
              <w:rPr>
                <w:sz w:val="20"/>
                <w:szCs w:val="20"/>
                <w:color w:val="auto"/>
              </w:rPr>
            </w:pPr>
            <w:r>
              <w:rPr>
                <w:rFonts w:ascii="Arial" w:cs="Arial" w:eastAsia="Arial" w:hAnsi="Arial"/>
                <w:sz w:val="16"/>
                <w:szCs w:val="16"/>
                <w:color w:val="auto"/>
              </w:rPr>
              <w:t>XBRL Taxonomy Extension Calculation Linkbase Document*</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101.DEF</w:t>
            </w:r>
          </w:p>
        </w:tc>
        <w:tc>
          <w:tcPr>
            <w:tcW w:w="9600" w:type="dxa"/>
            <w:vAlign w:val="bottom"/>
          </w:tcPr>
          <w:p>
            <w:pPr>
              <w:ind w:left="820"/>
              <w:spacing w:after="0"/>
              <w:rPr>
                <w:sz w:val="20"/>
                <w:szCs w:val="20"/>
                <w:color w:val="auto"/>
              </w:rPr>
            </w:pPr>
            <w:r>
              <w:rPr>
                <w:rFonts w:ascii="Arial" w:cs="Arial" w:eastAsia="Arial" w:hAnsi="Arial"/>
                <w:sz w:val="16"/>
                <w:szCs w:val="16"/>
                <w:color w:val="auto"/>
              </w:rPr>
              <w:t>XBRL Taxonomy Extension Definition Linkbase Document*</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101.LAB</w:t>
            </w:r>
          </w:p>
        </w:tc>
        <w:tc>
          <w:tcPr>
            <w:tcW w:w="9600" w:type="dxa"/>
            <w:vAlign w:val="bottom"/>
          </w:tcPr>
          <w:p>
            <w:pPr>
              <w:ind w:left="820"/>
              <w:spacing w:after="0"/>
              <w:rPr>
                <w:sz w:val="20"/>
                <w:szCs w:val="20"/>
                <w:color w:val="auto"/>
              </w:rPr>
            </w:pPr>
            <w:r>
              <w:rPr>
                <w:rFonts w:ascii="Arial" w:cs="Arial" w:eastAsia="Arial" w:hAnsi="Arial"/>
                <w:sz w:val="16"/>
                <w:szCs w:val="16"/>
                <w:color w:val="auto"/>
              </w:rPr>
              <w:t>XBRL Taxonomy Extension Label Linkbase Document*</w:t>
            </w:r>
          </w:p>
        </w:tc>
      </w:tr>
      <w:tr>
        <w:trPr>
          <w:trHeight w:val="197"/>
        </w:trPr>
        <w:tc>
          <w:tcPr>
            <w:tcW w:w="1820" w:type="dxa"/>
            <w:vAlign w:val="bottom"/>
          </w:tcPr>
          <w:p>
            <w:pPr>
              <w:spacing w:after="0"/>
              <w:rPr>
                <w:sz w:val="20"/>
                <w:szCs w:val="20"/>
                <w:color w:val="auto"/>
              </w:rPr>
            </w:pPr>
            <w:r>
              <w:rPr>
                <w:rFonts w:ascii="Arial" w:cs="Arial" w:eastAsia="Arial" w:hAnsi="Arial"/>
                <w:sz w:val="16"/>
                <w:szCs w:val="16"/>
                <w:color w:val="auto"/>
              </w:rPr>
              <w:t>101.PRE</w:t>
            </w:r>
          </w:p>
        </w:tc>
        <w:tc>
          <w:tcPr>
            <w:tcW w:w="9600" w:type="dxa"/>
            <w:vAlign w:val="bottom"/>
          </w:tcPr>
          <w:p>
            <w:pPr>
              <w:ind w:left="82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08"/>
        </w:trPr>
        <w:tc>
          <w:tcPr>
            <w:tcW w:w="1820" w:type="dxa"/>
            <w:vAlign w:val="bottom"/>
          </w:tcPr>
          <w:p>
            <w:pPr>
              <w:spacing w:after="0"/>
              <w:rPr>
                <w:sz w:val="20"/>
                <w:szCs w:val="20"/>
                <w:color w:val="auto"/>
              </w:rPr>
            </w:pPr>
            <w:r>
              <w:rPr>
                <w:rFonts w:ascii="Arial" w:cs="Arial" w:eastAsia="Arial" w:hAnsi="Arial"/>
                <w:sz w:val="16"/>
                <w:szCs w:val="16"/>
                <w:color w:val="auto"/>
              </w:rPr>
              <w:t>*Filed herewith</w:t>
            </w:r>
          </w:p>
        </w:tc>
        <w:tc>
          <w:tcPr>
            <w:tcW w:w="9600" w:type="dxa"/>
            <w:vAlign w:val="bottom"/>
          </w:tcPr>
          <w:p>
            <w:pPr>
              <w:spacing w:after="0"/>
              <w:rPr>
                <w:sz w:val="18"/>
                <w:szCs w:val="18"/>
                <w:color w:val="auto"/>
              </w:rPr>
            </w:pPr>
          </w:p>
        </w:tc>
      </w:tr>
      <w:tr>
        <w:trPr>
          <w:trHeight w:val="554"/>
        </w:trPr>
        <w:tc>
          <w:tcPr>
            <w:tcW w:w="1820" w:type="dxa"/>
            <w:vAlign w:val="bottom"/>
          </w:tcPr>
          <w:p>
            <w:pPr>
              <w:spacing w:after="0"/>
              <w:rPr>
                <w:sz w:val="24"/>
                <w:szCs w:val="24"/>
                <w:color w:val="auto"/>
              </w:rPr>
            </w:pPr>
          </w:p>
        </w:tc>
        <w:tc>
          <w:tcPr>
            <w:tcW w:w="9600" w:type="dxa"/>
            <w:vAlign w:val="bottom"/>
          </w:tcPr>
          <w:p>
            <w:pPr>
              <w:ind w:left="3820"/>
              <w:spacing w:after="0"/>
              <w:rPr>
                <w:sz w:val="20"/>
                <w:szCs w:val="20"/>
                <w:color w:val="auto"/>
              </w:rPr>
            </w:pPr>
            <w:r>
              <w:rPr>
                <w:rFonts w:ascii="Arial" w:cs="Arial" w:eastAsia="Arial" w:hAnsi="Arial"/>
                <w:sz w:val="16"/>
                <w:szCs w:val="16"/>
                <w:color w:val="auto"/>
              </w:rPr>
              <w:t>30</w:t>
            </w:r>
          </w:p>
        </w:tc>
      </w:tr>
      <w:tr>
        <w:trPr>
          <w:trHeight w:val="108"/>
        </w:trPr>
        <w:tc>
          <w:tcPr>
            <w:tcW w:w="1820" w:type="dxa"/>
            <w:vAlign w:val="bottom"/>
            <w:tcBorders>
              <w:bottom w:val="single" w:sz="8" w:color="808080"/>
            </w:tcBorders>
          </w:tcPr>
          <w:p>
            <w:pPr>
              <w:spacing w:after="0"/>
              <w:rPr>
                <w:sz w:val="9"/>
                <w:szCs w:val="9"/>
                <w:color w:val="auto"/>
              </w:rPr>
            </w:pPr>
          </w:p>
        </w:tc>
        <w:tc>
          <w:tcPr>
            <w:tcW w:w="96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b w:val="1"/>
          <w:bCs w:val="1"/>
          <w:color w:val="auto"/>
        </w:rPr>
        <w:t>SIGNATURES</w:t>
      </w:r>
    </w:p>
    <w:p>
      <w:pPr>
        <w:spacing w:after="0" w:line="2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Pursuant to the requirements of Section 13 and 15 (d)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TAPIMMUNE INC.</w:t>
      </w:r>
    </w:p>
    <w:p>
      <w:pPr>
        <w:spacing w:after="0" w:line="239" w:lineRule="exact"/>
        <w:rPr>
          <w:sz w:val="20"/>
          <w:szCs w:val="20"/>
          <w:color w:val="auto"/>
        </w:rPr>
      </w:pPr>
    </w:p>
    <w:p>
      <w:pPr>
        <w:ind w:left="2940"/>
        <w:spacing w:after="0"/>
        <w:tabs>
          <w:tab w:leader="none" w:pos="34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u w:val="single" w:color="auto"/>
          <w:color w:val="auto"/>
        </w:rPr>
        <w:t>/s/ Glynn Wilson</w:t>
      </w:r>
    </w:p>
    <w:p>
      <w:pPr>
        <w:spacing w:after="0" w:line="24"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Glynn Wilson</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Chairman, Chief Executive Officer,</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Principal Executive Officer and Acting Principal Accounting</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Officer</w:t>
      </w:r>
    </w:p>
    <w:p>
      <w:pPr>
        <w:spacing w:after="0" w:line="199"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Date: April 15, 2015</w:t>
      </w:r>
    </w:p>
    <w:p>
      <w:pPr>
        <w:spacing w:after="0" w:line="235" w:lineRule="exact"/>
        <w:rPr>
          <w:sz w:val="20"/>
          <w:szCs w:val="20"/>
          <w:color w:val="auto"/>
        </w:rPr>
      </w:pPr>
    </w:p>
    <w:p>
      <w:pPr>
        <w:ind w:right="540"/>
        <w:spacing w:after="0" w:line="288"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960" w:type="dxa"/>
        <w:tblCellMar>
          <w:top w:w="0" w:type="dxa"/>
          <w:left w:w="0" w:type="dxa"/>
          <w:bottom w:w="0" w:type="dxa"/>
          <w:right w:w="0" w:type="dxa"/>
        </w:tblCellMar>
      </w:tblPr>
      <w:tr>
        <w:trPr>
          <w:trHeight w:val="184"/>
        </w:trPr>
        <w:tc>
          <w:tcPr>
            <w:tcW w:w="640" w:type="dxa"/>
            <w:vAlign w:val="bottom"/>
          </w:tcPr>
          <w:p>
            <w:pPr>
              <w:spacing w:after="0"/>
              <w:rPr>
                <w:sz w:val="20"/>
                <w:szCs w:val="20"/>
                <w:color w:val="auto"/>
              </w:rPr>
            </w:pPr>
            <w:r>
              <w:rPr>
                <w:rFonts w:ascii="Arial" w:cs="Arial" w:eastAsia="Arial" w:hAnsi="Arial"/>
                <w:sz w:val="16"/>
                <w:szCs w:val="16"/>
                <w:color w:val="auto"/>
              </w:rPr>
              <w:t>By:</w:t>
            </w:r>
          </w:p>
        </w:tc>
        <w:tc>
          <w:tcPr>
            <w:tcW w:w="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/s/ Glynn Wilson</w:t>
            </w:r>
          </w:p>
        </w:tc>
        <w:tc>
          <w:tcPr>
            <w:tcW w:w="560" w:type="dxa"/>
            <w:vAlign w:val="bottom"/>
            <w:gridSpan w:val="2"/>
          </w:tcPr>
          <w:p>
            <w:pPr>
              <w:spacing w:after="0"/>
              <w:rPr>
                <w:sz w:val="16"/>
                <w:szCs w:val="16"/>
                <w:color w:val="auto"/>
              </w:rPr>
            </w:pPr>
          </w:p>
        </w:tc>
      </w:tr>
      <w:tr>
        <w:trPr>
          <w:trHeight w:val="202"/>
        </w:trPr>
        <w:tc>
          <w:tcPr>
            <w:tcW w:w="2360" w:type="dxa"/>
            <w:vAlign w:val="bottom"/>
            <w:gridSpan w:val="5"/>
          </w:tcPr>
          <w:p>
            <w:pPr>
              <w:spacing w:after="0"/>
              <w:rPr>
                <w:sz w:val="20"/>
                <w:szCs w:val="20"/>
                <w:color w:val="auto"/>
              </w:rPr>
            </w:pPr>
            <w:r>
              <w:rPr>
                <w:rFonts w:ascii="Arial" w:cs="Arial" w:eastAsia="Arial" w:hAnsi="Arial"/>
                <w:sz w:val="16"/>
                <w:szCs w:val="16"/>
                <w:color w:val="auto"/>
              </w:rPr>
              <w:t>Glynn Wilson, Director</w:t>
            </w:r>
          </w:p>
        </w:tc>
      </w:tr>
      <w:tr>
        <w:trPr>
          <w:trHeight w:val="208"/>
        </w:trPr>
        <w:tc>
          <w:tcPr>
            <w:tcW w:w="2360" w:type="dxa"/>
            <w:vAlign w:val="bottom"/>
            <w:gridSpan w:val="5"/>
          </w:tcPr>
          <w:p>
            <w:pPr>
              <w:spacing w:after="0"/>
              <w:rPr>
                <w:sz w:val="20"/>
                <w:szCs w:val="20"/>
                <w:color w:val="auto"/>
              </w:rPr>
            </w:pPr>
            <w:r>
              <w:rPr>
                <w:rFonts w:ascii="Arial" w:cs="Arial" w:eastAsia="Arial" w:hAnsi="Arial"/>
                <w:sz w:val="16"/>
                <w:szCs w:val="16"/>
                <w:color w:val="auto"/>
              </w:rPr>
              <w:t>April 15, 2015</w:t>
            </w:r>
          </w:p>
        </w:tc>
      </w:tr>
      <w:tr>
        <w:trPr>
          <w:trHeight w:val="827"/>
        </w:trPr>
        <w:tc>
          <w:tcPr>
            <w:tcW w:w="640" w:type="dxa"/>
            <w:vAlign w:val="bottom"/>
          </w:tcPr>
          <w:p>
            <w:pPr>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2"/>
              </w:rPr>
              <w:t>/s/ Sherry Grisewood</w:t>
            </w:r>
          </w:p>
        </w:tc>
        <w:tc>
          <w:tcPr>
            <w:tcW w:w="280" w:type="dxa"/>
            <w:vAlign w:val="bottom"/>
          </w:tcPr>
          <w:p>
            <w:pPr>
              <w:spacing w:after="0"/>
              <w:rPr>
                <w:sz w:val="24"/>
                <w:szCs w:val="24"/>
                <w:color w:val="auto"/>
              </w:rPr>
            </w:pPr>
          </w:p>
        </w:tc>
      </w:tr>
      <w:tr>
        <w:trPr>
          <w:trHeight w:val="202"/>
        </w:trPr>
        <w:tc>
          <w:tcPr>
            <w:tcW w:w="2360" w:type="dxa"/>
            <w:vAlign w:val="bottom"/>
            <w:gridSpan w:val="5"/>
          </w:tcPr>
          <w:p>
            <w:pPr>
              <w:spacing w:after="0"/>
              <w:rPr>
                <w:sz w:val="20"/>
                <w:szCs w:val="20"/>
                <w:color w:val="auto"/>
              </w:rPr>
            </w:pPr>
            <w:r>
              <w:rPr>
                <w:rFonts w:ascii="Arial" w:cs="Arial" w:eastAsia="Arial" w:hAnsi="Arial"/>
                <w:sz w:val="16"/>
                <w:szCs w:val="16"/>
                <w:color w:val="auto"/>
              </w:rPr>
              <w:t>Sherry Grisewood, Director</w:t>
            </w:r>
          </w:p>
        </w:tc>
      </w:tr>
      <w:tr>
        <w:trPr>
          <w:trHeight w:val="208"/>
        </w:trPr>
        <w:tc>
          <w:tcPr>
            <w:tcW w:w="2360" w:type="dxa"/>
            <w:vAlign w:val="bottom"/>
            <w:gridSpan w:val="5"/>
          </w:tcPr>
          <w:p>
            <w:pPr>
              <w:spacing w:after="0"/>
              <w:rPr>
                <w:sz w:val="20"/>
                <w:szCs w:val="20"/>
                <w:color w:val="auto"/>
              </w:rPr>
            </w:pPr>
            <w:r>
              <w:rPr>
                <w:rFonts w:ascii="Arial" w:cs="Arial" w:eastAsia="Arial" w:hAnsi="Arial"/>
                <w:sz w:val="16"/>
                <w:szCs w:val="16"/>
                <w:color w:val="auto"/>
              </w:rPr>
              <w:t>April 15, 2015</w:t>
            </w:r>
          </w:p>
        </w:tc>
      </w:tr>
      <w:tr>
        <w:trPr>
          <w:trHeight w:val="605"/>
        </w:trPr>
        <w:tc>
          <w:tcPr>
            <w:tcW w:w="640" w:type="dxa"/>
            <w:vAlign w:val="bottom"/>
          </w:tcPr>
          <w:p>
            <w:pPr>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24"/>
                <w:szCs w:val="24"/>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4"/>
              </w:rPr>
              <w:t>/s/ David Laskow-Pooley</w:t>
            </w:r>
          </w:p>
        </w:tc>
      </w:tr>
    </w:tbl>
    <w:p>
      <w:pPr>
        <w:spacing w:after="0" w:line="12" w:lineRule="exact"/>
        <w:rPr>
          <w:sz w:val="20"/>
          <w:szCs w:val="20"/>
          <w:color w:val="auto"/>
        </w:rPr>
      </w:pPr>
    </w:p>
    <w:p>
      <w:pPr>
        <w:jc w:val="center"/>
        <w:ind w:right="3420"/>
        <w:spacing w:after="0"/>
        <w:rPr>
          <w:sz w:val="20"/>
          <w:szCs w:val="20"/>
          <w:color w:val="auto"/>
        </w:rPr>
      </w:pPr>
      <w:r>
        <w:rPr>
          <w:rFonts w:ascii="Arial" w:cs="Arial" w:eastAsia="Arial" w:hAnsi="Arial"/>
          <w:sz w:val="16"/>
          <w:szCs w:val="16"/>
          <w:color w:val="auto"/>
        </w:rPr>
        <w:t>David Laskow-Pooley, Director</w:t>
      </w:r>
    </w:p>
    <w:p>
      <w:pPr>
        <w:spacing w:after="0" w:line="24" w:lineRule="exact"/>
        <w:rPr>
          <w:sz w:val="20"/>
          <w:szCs w:val="20"/>
          <w:color w:val="auto"/>
        </w:rPr>
      </w:pPr>
    </w:p>
    <w:p>
      <w:pPr>
        <w:jc w:val="center"/>
        <w:ind w:right="3360"/>
        <w:spacing w:after="0"/>
        <w:rPr>
          <w:sz w:val="20"/>
          <w:szCs w:val="20"/>
          <w:color w:val="auto"/>
        </w:rPr>
      </w:pPr>
      <w:r>
        <w:rPr>
          <w:rFonts w:ascii="Arial" w:cs="Arial" w:eastAsia="Arial" w:hAnsi="Arial"/>
          <w:sz w:val="16"/>
          <w:szCs w:val="16"/>
          <w:color w:val="auto"/>
        </w:rPr>
        <w:t>April 15, 2015</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-65405</wp:posOffset>
            </wp:positionV>
            <wp:extent cx="726376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4127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328930</wp:posOffset>
            </wp:positionV>
            <wp:extent cx="7263765" cy="3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36195"/>
                    </a:xfrm>
                    <a:prstGeom prst="rect">
                      <a:avLst/>
                    </a:prstGeom>
                    <a:noFill/>
                  </pic:spPr>
                </pic:pic>
              </a:graphicData>
            </a:graphic>
          </wp:anchor>
        </w:drawing>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302 OF SARBANES-OXLEY ACT OF 2002</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I, Glynn Wilson, certify that:</w:t>
      </w:r>
    </w:p>
    <w:p>
      <w:pPr>
        <w:spacing w:after="0" w:line="235" w:lineRule="exact"/>
        <w:rPr>
          <w:sz w:val="20"/>
          <w:szCs w:val="20"/>
          <w:color w:val="auto"/>
        </w:rPr>
      </w:pPr>
    </w:p>
    <w:p>
      <w:pPr>
        <w:ind w:left="301" w:hanging="301"/>
        <w:spacing w:after="0"/>
        <w:tabs>
          <w:tab w:leader="none" w:pos="3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TapImmune Inc.;</w:t>
      </w:r>
    </w:p>
    <w:p>
      <w:pPr>
        <w:spacing w:after="0" w:line="234" w:lineRule="exact"/>
        <w:rPr>
          <w:rFonts w:ascii="Arial" w:cs="Arial" w:eastAsia="Arial" w:hAnsi="Arial"/>
          <w:sz w:val="16"/>
          <w:szCs w:val="16"/>
          <w:color w:val="auto"/>
        </w:rPr>
      </w:pPr>
    </w:p>
    <w:p>
      <w:pPr>
        <w:ind w:left="301" w:hanging="301"/>
        <w:spacing w:after="0" w:line="288" w:lineRule="auto"/>
        <w:tabs>
          <w:tab w:leader="none" w:pos="3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left="301" w:hanging="301"/>
        <w:spacing w:after="0" w:line="288" w:lineRule="auto"/>
        <w:tabs>
          <w:tab w:leader="none" w:pos="3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301" w:hanging="301"/>
        <w:spacing w:after="0"/>
        <w:tabs>
          <w:tab w:leader="none" w:pos="301"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w:t>
      </w:r>
    </w:p>
    <w:p>
      <w:pPr>
        <w:spacing w:after="0" w:line="35" w:lineRule="exact"/>
        <w:rPr>
          <w:rFonts w:ascii="Arial" w:cs="Arial" w:eastAsia="Arial" w:hAnsi="Arial"/>
          <w:sz w:val="15"/>
          <w:szCs w:val="15"/>
          <w:color w:val="auto"/>
        </w:rPr>
      </w:pPr>
    </w:p>
    <w:p>
      <w:pPr>
        <w:ind w:left="301"/>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223" w:lineRule="exact"/>
        <w:rPr>
          <w:rFonts w:ascii="Arial" w:cs="Arial" w:eastAsia="Arial" w:hAnsi="Arial"/>
          <w:sz w:val="15"/>
          <w:szCs w:val="15"/>
          <w:color w:val="auto"/>
        </w:rPr>
      </w:pPr>
    </w:p>
    <w:p>
      <w:pPr>
        <w:jc w:val="both"/>
        <w:ind w:left="581" w:hanging="286"/>
        <w:spacing w:after="0" w:line="272" w:lineRule="auto"/>
        <w:tabs>
          <w:tab w:leader="none" w:pos="5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6"/>
          <w:szCs w:val="16"/>
          <w:color w:val="auto"/>
        </w:rPr>
      </w:pPr>
    </w:p>
    <w:p>
      <w:pPr>
        <w:jc w:val="both"/>
        <w:ind w:left="581" w:hanging="286"/>
        <w:spacing w:after="0" w:line="272" w:lineRule="auto"/>
        <w:tabs>
          <w:tab w:leader="none" w:pos="5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7" w:lineRule="exact"/>
        <w:rPr>
          <w:rFonts w:ascii="Arial" w:cs="Arial" w:eastAsia="Arial" w:hAnsi="Arial"/>
          <w:sz w:val="16"/>
          <w:szCs w:val="16"/>
          <w:color w:val="auto"/>
        </w:rPr>
      </w:pPr>
    </w:p>
    <w:p>
      <w:pPr>
        <w:ind w:left="581" w:hanging="286"/>
        <w:spacing w:after="0" w:line="288" w:lineRule="auto"/>
        <w:tabs>
          <w:tab w:leader="none" w:pos="5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4" w:lineRule="exact"/>
        <w:rPr>
          <w:rFonts w:ascii="Arial" w:cs="Arial" w:eastAsia="Arial" w:hAnsi="Arial"/>
          <w:sz w:val="16"/>
          <w:szCs w:val="16"/>
          <w:color w:val="auto"/>
        </w:rPr>
      </w:pPr>
    </w:p>
    <w:p>
      <w:pPr>
        <w:jc w:val="both"/>
        <w:ind w:left="581" w:hanging="286"/>
        <w:spacing w:after="0" w:line="272" w:lineRule="auto"/>
        <w:tabs>
          <w:tab w:leader="none" w:pos="5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6"/>
          <w:szCs w:val="16"/>
          <w:color w:val="auto"/>
        </w:rPr>
      </w:pPr>
    </w:p>
    <w:p>
      <w:pPr>
        <w:ind w:left="301" w:hanging="301"/>
        <w:spacing w:after="0" w:line="288" w:lineRule="auto"/>
        <w:tabs>
          <w:tab w:leader="none" w:pos="3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ind w:left="581" w:hanging="286"/>
        <w:spacing w:after="0" w:line="288" w:lineRule="auto"/>
        <w:tabs>
          <w:tab w:leader="none" w:pos="5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581" w:hanging="286"/>
        <w:spacing w:after="0" w:line="288" w:lineRule="auto"/>
        <w:tabs>
          <w:tab w:leader="none" w:pos="5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6"/>
          <w:szCs w:val="16"/>
          <w:color w:val="auto"/>
        </w:rPr>
        <w:t>Date: April 15, 2015</w:t>
      </w:r>
    </w:p>
    <w:p>
      <w:pPr>
        <w:spacing w:after="0" w:line="235" w:lineRule="exact"/>
        <w:rPr>
          <w:sz w:val="20"/>
          <w:szCs w:val="20"/>
          <w:color w:val="auto"/>
        </w:rPr>
      </w:pPr>
    </w:p>
    <w:p>
      <w:pPr>
        <w:ind w:left="1"/>
        <w:spacing w:after="0"/>
        <w:tabs>
          <w:tab w:leader="none" w:pos="461"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u w:val="single" w:color="auto"/>
          <w:color w:val="auto"/>
        </w:rPr>
        <w:t>/s/ Glynn Wilson</w:t>
      </w:r>
      <w:r>
        <w:rPr>
          <w:rFonts w:ascii="Arial" w:cs="Arial" w:eastAsia="Arial" w:hAnsi="Arial"/>
          <w:sz w:val="16"/>
          <w:szCs w:val="16"/>
          <w:i w:val="1"/>
          <w:iCs w:val="1"/>
          <w:color w:val="auto"/>
        </w:rPr>
        <w:t>__</w:t>
      </w:r>
    </w:p>
    <w:p>
      <w:pPr>
        <w:spacing w:after="0" w:line="24" w:lineRule="exact"/>
        <w:rPr>
          <w:sz w:val="20"/>
          <w:szCs w:val="20"/>
          <w:color w:val="auto"/>
        </w:rPr>
      </w:pPr>
    </w:p>
    <w:p>
      <w:pPr>
        <w:ind w:left="1"/>
        <w:spacing w:after="0"/>
        <w:rPr>
          <w:sz w:val="20"/>
          <w:szCs w:val="20"/>
          <w:color w:val="auto"/>
        </w:rPr>
      </w:pPr>
      <w:r>
        <w:rPr>
          <w:rFonts w:ascii="Arial" w:cs="Arial" w:eastAsia="Arial" w:hAnsi="Arial"/>
          <w:sz w:val="16"/>
          <w:szCs w:val="16"/>
          <w:color w:val="auto"/>
        </w:rPr>
        <w:t>Glynn Wilson</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6"/>
          <w:szCs w:val="16"/>
          <w:color w:val="auto"/>
        </w:rPr>
        <w:t>Chief Executive Officer, Principal Executive Officer</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6"/>
          <w:szCs w:val="16"/>
          <w:color w:val="auto"/>
        </w:rPr>
        <w:t>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26376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41275"/>
                    </a:xfrm>
                    <a:prstGeom prst="rect">
                      <a:avLst/>
                    </a:prstGeom>
                    <a:noFill/>
                  </pic:spPr>
                </pic:pic>
              </a:graphicData>
            </a:graphic>
          </wp:anchor>
        </w:drawing>
      </w:r>
    </w:p>
    <w:p>
      <w:pPr>
        <w:sectPr>
          <w:pgSz w:w="11900" w:h="16838" w:orient="portrait"/>
          <w:cols w:equalWidth="0" w:num="1">
            <w:col w:w="11421"/>
          </w:cols>
          <w:pgMar w:left="239" w:top="64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328930</wp:posOffset>
            </wp:positionV>
            <wp:extent cx="7263765" cy="36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36195"/>
                    </a:xfrm>
                    <a:prstGeom prst="rect">
                      <a:avLst/>
                    </a:prstGeom>
                    <a:noFill/>
                  </pic:spPr>
                </pic:pic>
              </a:graphicData>
            </a:graphic>
          </wp:anchor>
        </w:drawing>
        <w:t>Exhibit 32.1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undersigned, Glynn Wilson, the Chief Executive Officer and Acting Principal Accounting Officer of TapImmune Inc. (the “Company”), hereby certifies, pursuant to 18 U.S.C. Section 1350, as adopted pursuant to Section 906 of the Sarbanes-Oxley Act of 2002, that, to his knowledge, the Annual Report on Form 10-K for the Year Ended December 31, 2014 fully complies with the requirements of Section 13(a) or 15(d) of the Securities Exchange Act of 1934, as amended, and that the information contained in the Annual Report on Form 10-K, as amended,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Date: April 15, 2015</w:t>
      </w:r>
    </w:p>
    <w:p>
      <w:pPr>
        <w:spacing w:after="0" w:line="235"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u w:val="single" w:color="auto"/>
          <w:color w:val="auto"/>
        </w:rPr>
        <w:t>/s/ Glynn Wilson</w:t>
      </w:r>
      <w:r>
        <w:rPr>
          <w:rFonts w:ascii="Arial" w:cs="Arial" w:eastAsia="Arial" w:hAnsi="Arial"/>
          <w:sz w:val="16"/>
          <w:szCs w:val="16"/>
          <w:i w:val="1"/>
          <w:iCs w:val="1"/>
          <w:color w:val="auto"/>
        </w:rPr>
        <w:t>_</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Glynn Wilson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Principal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358775</wp:posOffset>
            </wp:positionV>
            <wp:extent cx="726376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41275"/>
                    </a:xfrm>
                    <a:prstGeom prst="rect">
                      <a:avLst/>
                    </a:prstGeom>
                    <a:noFill/>
                  </pic:spPr>
                </pic:pic>
              </a:graphicData>
            </a:graphic>
          </wp:anchor>
        </w:drawing>
      </w:r>
    </w:p>
    <w:sectPr>
      <w:pgSz w:w="11900" w:h="16838" w:orient="portrait"/>
      <w:cols w:equalWidth="0" w:num="1">
        <w:col w:w="11420"/>
      </w:cols>
      <w:pgMar w:left="240" w:top="10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lvl w:ilvl="1">
      <w:lvlJc w:val="left"/>
      <w:lvlText w:val="•"/>
      <w:numFmt w:val="bullet"/>
      <w:start w:val="1"/>
    </w:lvl>
  </w:abstractNum>
  <w:abstractNum w:abstractNumId="7">
    <w:nsid w:val="140E0F76"/>
    <w:multiLevelType w:val="hybridMultilevel"/>
    <w:lvl w:ilvl="0">
      <w:lvlJc w:val="left"/>
      <w:lvlText w:val="·"/>
      <w:numFmt w:val="bullet"/>
      <w:start w:val="1"/>
    </w:lvl>
    <w:lvl w:ilvl="1">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lvl w:ilvl="1">
      <w:lvlJc w:val="left"/>
      <w:lvlText w:val="%2."/>
      <w:numFmt w:val="decimal"/>
      <w:start w:val="1"/>
    </w:lvl>
  </w:abstractNum>
  <w:abstractNum w:abstractNumId="11">
    <w:nsid w:val="7FDCC233"/>
    <w:multiLevelType w:val="hybridMultilevel"/>
    <w:lvl w:ilvl="0">
      <w:lvlJc w:val="left"/>
      <w:lvlText w:val="%1."/>
      <w:numFmt w:val="decimal"/>
      <w:start w:val="2"/>
    </w:lvl>
    <w:lvl w:ilvl="1">
      <w:lvlJc w:val="left"/>
      <w:lvlText w:val="%2"/>
      <w:numFmt w:val="decimal"/>
      <w:start w:val="1"/>
    </w:lvl>
  </w:abstractNum>
  <w:abstractNum w:abstractNumId="12">
    <w:nsid w:val="1BEFD79F"/>
    <w:multiLevelType w:val="hybridMultilevel"/>
    <w:lvl w:ilvl="0">
      <w:lvlJc w:val="left"/>
      <w:lvlText w:val="(%1)"/>
      <w:numFmt w:val="decimal"/>
      <w:start w:val="3"/>
    </w:lvl>
  </w:abstractNum>
  <w:abstractNum w:abstractNumId="13">
    <w:nsid w:val="41A7C4C9"/>
    <w:multiLevelType w:val="hybridMultilevel"/>
    <w:lvl w:ilvl="0">
      <w:lvlJc w:val="left"/>
      <w:lvlText w:val="(%1)"/>
      <w:numFmt w:val="lowerRoman"/>
      <w:start w:val="2"/>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2020-01-23T03:16:25Z</dcterms:created>
  <dcterms:modified xsi:type="dcterms:W3CDTF">2020-01-23T03:16:25Z</dcterms:modified>
</cp:coreProperties>
</file>