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 C. 20549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9" w:lineRule="exact"/>
        <w:rPr>
          <w:sz w:val="24"/>
          <w:szCs w:val="24"/>
          <w:color w:val="auto"/>
        </w:rPr>
      </w:pPr>
    </w:p>
    <w:p>
      <w:pPr>
        <w:ind w:left="660" w:right="2080" w:hanging="652"/>
        <w:spacing w:after="0" w:line="528"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-19685</wp:posOffset>
            </wp:positionV>
            <wp:extent cx="146621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TAPIMMUNE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0"/>
              </w:rPr>
              <w:t>Nevada</w:t>
            </w:r>
          </w:p>
        </w:tc>
        <w:tc>
          <w:tcPr>
            <w:tcW w:w="26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001-37939</w:t>
            </w:r>
          </w:p>
        </w:tc>
        <w:tc>
          <w:tcPr>
            <w:tcW w:w="1740" w:type="dxa"/>
            <w:vAlign w:val="bottom"/>
          </w:tcPr>
          <w:p>
            <w:pPr>
              <w:spacing w:after="0"/>
              <w:rPr>
                <w:sz w:val="17"/>
                <w:szCs w:val="17"/>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80" w:type="dxa"/>
            <w:vAlign w:val="bottom"/>
            <w:gridSpan w:val="5"/>
          </w:tcPr>
          <w:p>
            <w:pPr>
              <w:jc w:val="center"/>
              <w:ind w:right="220"/>
              <w:spacing w:after="0"/>
              <w:rPr>
                <w:sz w:val="20"/>
                <w:szCs w:val="20"/>
                <w:color w:val="auto"/>
              </w:rPr>
            </w:pPr>
            <w:r>
              <w:rPr>
                <w:rFonts w:ascii="Arial" w:cs="Arial" w:eastAsia="Arial" w:hAnsi="Arial"/>
                <w:sz w:val="18"/>
                <w:szCs w:val="18"/>
                <w:color w:val="auto"/>
                <w:w w:val="93"/>
              </w:rPr>
              <w:t>(State or other jurisdiction of</w:t>
            </w:r>
          </w:p>
        </w:tc>
        <w:tc>
          <w:tcPr>
            <w:tcW w:w="4360" w:type="dxa"/>
            <w:vAlign w:val="bottom"/>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282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00" w:type="dxa"/>
            <w:vAlign w:val="bottom"/>
          </w:tcPr>
          <w:p>
            <w:pPr>
              <w:spacing w:after="0"/>
              <w:rPr>
                <w:sz w:val="20"/>
                <w:szCs w:val="20"/>
                <w:color w:val="auto"/>
              </w:rPr>
            </w:pPr>
          </w:p>
        </w:tc>
        <w:tc>
          <w:tcPr>
            <w:tcW w:w="2280" w:type="dxa"/>
            <w:vAlign w:val="bottom"/>
            <w:gridSpan w:val="4"/>
          </w:tcPr>
          <w:p>
            <w:pPr>
              <w:jc w:val="center"/>
              <w:ind w:right="1020"/>
              <w:spacing w:after="0"/>
              <w:rPr>
                <w:sz w:val="20"/>
                <w:szCs w:val="20"/>
                <w:color w:val="auto"/>
              </w:rPr>
            </w:pPr>
            <w:r>
              <w:rPr>
                <w:rFonts w:ascii="Arial" w:cs="Arial" w:eastAsia="Arial" w:hAnsi="Arial"/>
                <w:sz w:val="18"/>
                <w:szCs w:val="18"/>
                <w:color w:val="auto"/>
                <w:w w:val="92"/>
              </w:rPr>
              <w:t>incorporation)</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5 W. Forsyth Street, Suite 200</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2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30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08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904-516-5436</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(Registrant’s telephone number, including area code)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 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u w:val="single" w:color="auto"/>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of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 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large accelerated filer, an accelerated filer, a non-accelerated filer, or a smaller reporting company.</w:t>
      </w:r>
    </w:p>
    <w:p>
      <w:pPr>
        <w:sectPr>
          <w:pgSz w:w="11900" w:h="16838" w:orient="portrait"/>
          <w:cols w:equalWidth="0" w:num="1">
            <w:col w:w="11420"/>
          </w:cols>
          <w:pgMar w:left="240" w:top="760" w:right="239" w:bottom="152" w:gutter="0" w:footer="0" w:header="0"/>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80"/>
          </w:cols>
          <w:pgMar w:left="240" w:top="760" w:right="239" w:bottom="152"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80"/>
          </w:cols>
          <w:pgMar w:left="240" w:top="760" w:right="239" w:bottom="152" w:gutter="0" w:footer="0" w:header="0"/>
          <w:type w:val="continuous"/>
        </w:sectPr>
      </w:pPr>
    </w:p>
    <w:p>
      <w:pPr>
        <w:spacing w:after="0" w:line="48" w:lineRule="exact"/>
        <w:rPr>
          <w:sz w:val="24"/>
          <w:szCs w:val="24"/>
          <w:color w:val="auto"/>
        </w:rPr>
      </w:pPr>
    </w:p>
    <w:p>
      <w:pPr>
        <w:ind w:left="74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60" w:right="239" w:bottom="152" w:gutter="0" w:footer="0" w:header="0"/>
          <w:type w:val="continuous"/>
        </w:sectPr>
      </w:pPr>
    </w:p>
    <w:p>
      <w:pPr>
        <w:spacing w:after="0" w:line="281"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ectPr>
          <w:pgSz w:w="11900" w:h="16838" w:orient="portrait"/>
          <w:cols w:equalWidth="0" w:num="1">
            <w:col w:w="11420"/>
          </w:cols>
          <w:pgMar w:left="240" w:top="760" w:right="239" w:bottom="152" w:gutter="0" w:footer="0" w:header="0"/>
          <w:type w:val="continuous"/>
        </w:sectPr>
      </w:pPr>
    </w:p>
    <w:bookmarkStart w:id="1" w:name="page2"/>
    <w:bookmarkEnd w:id="1"/>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was approximately $30,500,000 computed by reference to the price per share ($3.88) at which the registrant’s common equity was last sold, as of June 30, 2017 (the last day of the registrant’s most recently completed second fiscal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10,626,140 shares of common stock outstanding as of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gridSpan w:val="11"/>
          </w:tcPr>
          <w:p>
            <w:pPr>
              <w:ind w:left="4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7"/>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1B.</w:t>
              </w:r>
            </w:hyperlink>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420" w:type="dxa"/>
            <w:vAlign w:val="bottom"/>
            <w:tcBorders>
              <w:top w:val="single" w:sz="8" w:color="CCEEFF"/>
            </w:tcBorders>
            <w:gridSpan w:val="2"/>
          </w:tcPr>
          <w:p>
            <w:pPr>
              <w:spacing w:after="0"/>
              <w:rPr>
                <w:sz w:val="15"/>
                <w:szCs w:val="15"/>
                <w:color w:val="auto"/>
              </w:rPr>
            </w:pPr>
          </w:p>
        </w:tc>
        <w:tc>
          <w:tcPr>
            <w:tcW w:w="28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7260" w:type="dxa"/>
            <w:vAlign w:val="bottom"/>
            <w:tcBorders>
              <w:top w:val="single" w:sz="8" w:color="CCEEFF"/>
            </w:tcBorders>
            <w:gridSpan w:val="13"/>
          </w:tcPr>
          <w:p>
            <w:pPr>
              <w:spacing w:after="0"/>
              <w:rPr>
                <w:sz w:val="15"/>
                <w:szCs w:val="15"/>
                <w:color w:val="auto"/>
              </w:rPr>
            </w:pPr>
          </w:p>
        </w:tc>
        <w:tc>
          <w:tcPr>
            <w:tcW w:w="180" w:type="dxa"/>
            <w:vAlign w:val="bottom"/>
            <w:tcBorders>
              <w:top w:val="single" w:sz="8" w:color="0000EE"/>
            </w:tcBorders>
            <w:gridSpan w:val="3"/>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w:t>
              </w:r>
            </w:hyperlink>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ITEM 5.</w:t>
              </w:r>
            </w:hyperlink>
          </w:p>
        </w:tc>
        <w:tc>
          <w:tcPr>
            <w:tcW w:w="500" w:type="dxa"/>
            <w:vAlign w:val="bottom"/>
            <w:tcBorders>
              <w:top w:val="single" w:sz="8" w:color="CCEEFF"/>
            </w:tcBorders>
            <w:gridSpan w:val="4"/>
          </w:tcPr>
          <w:p>
            <w:pPr>
              <w:spacing w:after="0"/>
              <w:rPr>
                <w:sz w:val="15"/>
                <w:szCs w:val="15"/>
                <w:color w:val="auto"/>
              </w:rPr>
            </w:pPr>
          </w:p>
        </w:tc>
        <w:tc>
          <w:tcPr>
            <w:tcW w:w="10080" w:type="dxa"/>
            <w:vAlign w:val="bottom"/>
            <w:tcBorders>
              <w:top w:val="single" w:sz="8" w:color="CCEEFF"/>
            </w:tcBorders>
            <w:gridSpan w:val="26"/>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STOCKHOLDER MATTERS AND ISSUER</w:t>
              </w:r>
            </w:hyperlink>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PURCHASES OF EQUITY SECURITIES</w:t>
              </w:r>
            </w:hyperlink>
          </w:p>
        </w:tc>
        <w:tc>
          <w:tcPr>
            <w:tcW w:w="1820" w:type="dxa"/>
            <w:vAlign w:val="bottom"/>
            <w:gridSpan w:val="2"/>
          </w:tcPr>
          <w:p>
            <w:pPr>
              <w:spacing w:after="0"/>
              <w:rPr>
                <w:sz w:val="17"/>
                <w:szCs w:val="17"/>
                <w:color w:val="auto"/>
              </w:rPr>
            </w:pPr>
          </w:p>
        </w:tc>
        <w:tc>
          <w:tcPr>
            <w:tcW w:w="200" w:type="dxa"/>
            <w:vAlign w:val="bottom"/>
            <w:gridSpan w:val="4"/>
          </w:tcPr>
          <w:p>
            <w:pPr>
              <w:jc w:val="right"/>
              <w:ind w:right="20"/>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7.</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ITEM 7A.</w:t>
              </w:r>
            </w:hyperlink>
          </w:p>
        </w:tc>
        <w:tc>
          <w:tcPr>
            <w:tcW w:w="400" w:type="dxa"/>
            <w:vAlign w:val="bottom"/>
            <w:tcBorders>
              <w:bottom w:val="single" w:sz="8" w:color="CCEEFF"/>
            </w:tcBorders>
            <w:shd w:val="clear" w:color="auto" w:fill="CCEEFF"/>
          </w:tcPr>
          <w:p>
            <w:pPr>
              <w:spacing w:after="0"/>
              <w:rPr>
                <w:sz w:val="17"/>
                <w:szCs w:val="17"/>
                <w:color w:val="auto"/>
              </w:rPr>
            </w:pPr>
          </w:p>
        </w:tc>
        <w:tc>
          <w:tcPr>
            <w:tcW w:w="61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QUANTITATIVE AND QUALITATIVE DISCLOSURES ABOUT MARKET RISK</w:t>
              </w:r>
            </w:hyperlink>
          </w:p>
        </w:tc>
        <w:tc>
          <w:tcPr>
            <w:tcW w:w="3900" w:type="dxa"/>
            <w:vAlign w:val="bottom"/>
            <w:tcBorders>
              <w:bottom w:val="single" w:sz="8" w:color="CCEEFF"/>
            </w:tcBorders>
            <w:gridSpan w:val="6"/>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8.</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FINANCIAL STATEMENTS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9.</w:t>
              </w:r>
            </w:hyperlink>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DISCLOSURE</w:t>
              </w:r>
            </w:hyperlink>
          </w:p>
        </w:tc>
        <w:tc>
          <w:tcPr>
            <w:tcW w:w="678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21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80" w:type="dxa"/>
            <w:vAlign w:val="bottom"/>
            <w:tcBorders>
              <w:top w:val="single" w:sz="8" w:color="CCEEFF"/>
              <w:bottom w:val="single" w:sz="8" w:color="0000EE"/>
            </w:tcBorders>
            <w:gridSpan w:val="3"/>
            <w:shd w:val="clear" w:color="auto" w:fill="CCEEFF"/>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9A.</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9B.</w:t>
              </w:r>
            </w:hyperlink>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180" w:type="dxa"/>
            <w:vAlign w:val="bottom"/>
            <w:gridSpan w:val="3"/>
            <w:shd w:val="clear" w:color="auto" w:fill="CCEEFF"/>
          </w:tcPr>
          <w:p>
            <w:pPr>
              <w:jc w:val="right"/>
              <w:spacing w:after="0" w:line="17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420" w:type="dxa"/>
            <w:vAlign w:val="bottom"/>
            <w:tcBorders>
              <w:top w:val="single" w:sz="8" w:color="CCEEFF"/>
            </w:tcBorders>
            <w:gridSpan w:val="2"/>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ITEM 10.</w:t>
              </w:r>
            </w:hyperlink>
          </w:p>
        </w:tc>
        <w:tc>
          <w:tcPr>
            <w:tcW w:w="440" w:type="dxa"/>
            <w:vAlign w:val="bottom"/>
            <w:tcBorders>
              <w:bottom w:val="single" w:sz="8" w:color="CCEEFF"/>
            </w:tcBorders>
            <w:gridSpan w:val="3"/>
            <w:shd w:val="clear" w:color="auto" w:fill="CCEEFF"/>
          </w:tcPr>
          <w:p>
            <w:pPr>
              <w:spacing w:after="0"/>
              <w:rPr>
                <w:sz w:val="17"/>
                <w:szCs w:val="17"/>
                <w:color w:val="auto"/>
              </w:rPr>
            </w:pPr>
          </w:p>
        </w:tc>
        <w:tc>
          <w:tcPr>
            <w:tcW w:w="58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DIRECTORS, EXECUTIVE OFFICERS AND CORPORATE GOVERNANCE</w:t>
              </w:r>
            </w:hyperlink>
          </w:p>
        </w:tc>
        <w:tc>
          <w:tcPr>
            <w:tcW w:w="4240" w:type="dxa"/>
            <w:vAlign w:val="bottom"/>
            <w:tcBorders>
              <w:bottom w:val="single" w:sz="8" w:color="CCEEFF"/>
            </w:tcBorders>
            <w:gridSpan w:val="7"/>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11.</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4"/>
            <w:shd w:val="clear" w:color="auto" w:fill="CCEEFF"/>
          </w:tcPr>
          <w:p>
            <w:pPr>
              <w:spacing w:after="0" w:line="17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ITEM 12.</w:t>
              </w:r>
            </w:hyperlink>
          </w:p>
        </w:tc>
        <w:tc>
          <w:tcPr>
            <w:tcW w:w="440" w:type="dxa"/>
            <w:vAlign w:val="bottom"/>
            <w:gridSpan w:val="3"/>
            <w:shd w:val="clear" w:color="auto" w:fill="CCEEFF"/>
          </w:tcPr>
          <w:p>
            <w:pPr>
              <w:spacing w:after="0"/>
              <w:rPr>
                <w:sz w:val="15"/>
                <w:szCs w:val="15"/>
                <w:color w:val="auto"/>
              </w:rPr>
            </w:pPr>
          </w:p>
        </w:tc>
        <w:tc>
          <w:tcPr>
            <w:tcW w:w="10080" w:type="dxa"/>
            <w:vAlign w:val="bottom"/>
            <w:gridSpan w:val="26"/>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22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STOCKHOLDER MATTERS</w:t>
              </w:r>
            </w:hyperlink>
          </w:p>
        </w:tc>
        <w:tc>
          <w:tcPr>
            <w:tcW w:w="578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20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0000EE"/>
            </w:tcBorders>
            <w:gridSpan w:val="3"/>
            <w:shd w:val="clear" w:color="auto" w:fill="CCEEFF"/>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13.</w:t>
              </w:r>
            </w:hyperlink>
          </w:p>
        </w:tc>
        <w:tc>
          <w:tcPr>
            <w:tcW w:w="10080" w:type="dxa"/>
            <w:vAlign w:val="bottom"/>
            <w:gridSpan w:val="26"/>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 AND DIRECTOR INDEPENDENCE</w:t>
              </w:r>
            </w:hyperlink>
          </w:p>
        </w:tc>
        <w:tc>
          <w:tcPr>
            <w:tcW w:w="180" w:type="dxa"/>
            <w:vAlign w:val="bottom"/>
            <w:gridSpan w:val="3"/>
          </w:tcPr>
          <w:p>
            <w:pPr>
              <w:jc w:val="right"/>
              <w:spacing w:after="0" w:line="17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ITEM 14.</w:t>
              </w:r>
            </w:hyperlink>
          </w:p>
        </w:tc>
        <w:tc>
          <w:tcPr>
            <w:tcW w:w="440" w:type="dxa"/>
            <w:vAlign w:val="bottom"/>
            <w:tcBorders>
              <w:bottom w:val="single" w:sz="8" w:color="CCEEFF"/>
            </w:tcBorders>
            <w:gridSpan w:val="3"/>
            <w:shd w:val="clear" w:color="auto" w:fill="CCEEFF"/>
          </w:tcPr>
          <w:p>
            <w:pPr>
              <w:spacing w:after="0"/>
              <w:rPr>
                <w:sz w:val="17"/>
                <w:szCs w:val="17"/>
                <w:color w:val="auto"/>
              </w:rPr>
            </w:pPr>
          </w:p>
        </w:tc>
        <w:tc>
          <w:tcPr>
            <w:tcW w:w="39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PRINCIPAL ACCOUNTING FEES AND SERVICES</w:t>
              </w:r>
            </w:hyperlink>
          </w:p>
        </w:tc>
        <w:tc>
          <w:tcPr>
            <w:tcW w:w="6100" w:type="dxa"/>
            <w:vAlign w:val="bottom"/>
            <w:tcBorders>
              <w:bottom w:val="single" w:sz="8" w:color="CCEEFF"/>
            </w:tcBorders>
            <w:gridSpan w:val="9"/>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7"/>
          </w:tcPr>
          <w:p>
            <w:pPr>
              <w:spacing w:after="0" w:line="176"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IV</w:t>
              </w:r>
            </w:hyperlink>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ITEM 15.</w:t>
              </w:r>
            </w:hyperlink>
          </w:p>
        </w:tc>
        <w:tc>
          <w:tcPr>
            <w:tcW w:w="440" w:type="dxa"/>
            <w:vAlign w:val="bottom"/>
            <w:tcBorders>
              <w:bottom w:val="single" w:sz="8" w:color="CCEEFF"/>
            </w:tcBorders>
            <w:gridSpan w:val="3"/>
            <w:shd w:val="clear" w:color="auto" w:fill="CCEEFF"/>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EXHIBITS</w:t>
              </w:r>
            </w:hyperlink>
          </w:p>
        </w:tc>
        <w:tc>
          <w:tcPr>
            <w:tcW w:w="9260" w:type="dxa"/>
            <w:vAlign w:val="bottom"/>
            <w:tcBorders>
              <w:bottom w:val="single" w:sz="8" w:color="CCEEFF"/>
            </w:tcBorders>
            <w:gridSpan w:val="2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00" w:type="dxa"/>
            <w:vAlign w:val="bottom"/>
            <w:tcBorders>
              <w:bottom w:val="single" w:sz="8" w:color="0000EE"/>
            </w:tcBorders>
            <w:gridSpan w:val="4"/>
          </w:tcPr>
          <w:p>
            <w:pPr>
              <w:spacing w:after="0" w:line="17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ITEM 16.</w:t>
              </w:r>
            </w:hyperlink>
          </w:p>
        </w:tc>
        <w:tc>
          <w:tcPr>
            <w:tcW w:w="440" w:type="dxa"/>
            <w:vAlign w:val="bottom"/>
            <w:gridSpan w:val="3"/>
          </w:tcPr>
          <w:p>
            <w:pPr>
              <w:spacing w:after="0"/>
              <w:rPr>
                <w:sz w:val="15"/>
                <w:szCs w:val="15"/>
                <w:color w:val="auto"/>
              </w:rPr>
            </w:pPr>
          </w:p>
        </w:tc>
        <w:tc>
          <w:tcPr>
            <w:tcW w:w="1920" w:type="dxa"/>
            <w:vAlign w:val="bottom"/>
            <w:tcBorders>
              <w:bottom w:val="single" w:sz="8" w:color="0000EE"/>
            </w:tcBorders>
            <w:gridSpan w:val="6"/>
          </w:tcPr>
          <w:p>
            <w:pPr>
              <w:spacing w:after="0" w:line="176"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FORM 10-K SUMMARY</w:t>
              </w:r>
            </w:hyperlink>
          </w:p>
        </w:tc>
        <w:tc>
          <w:tcPr>
            <w:tcW w:w="8160" w:type="dxa"/>
            <w:vAlign w:val="bottom"/>
            <w:gridSpan w:val="20"/>
          </w:tcPr>
          <w:p>
            <w:pPr>
              <w:spacing w:after="0"/>
              <w:rPr>
                <w:sz w:val="15"/>
                <w:szCs w:val="15"/>
                <w:color w:val="auto"/>
              </w:rPr>
            </w:pPr>
          </w:p>
        </w:tc>
        <w:tc>
          <w:tcPr>
            <w:tcW w:w="180" w:type="dxa"/>
            <w:vAlign w:val="bottom"/>
            <w:tcBorders>
              <w:bottom w:val="single" w:sz="8" w:color="0000EE"/>
            </w:tcBorders>
            <w:gridSpan w:val="3"/>
          </w:tcPr>
          <w:p>
            <w:pPr>
              <w:jc w:val="right"/>
              <w:spacing w:after="0" w:line="17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statements as to:</w:t>
      </w:r>
    </w:p>
    <w:p>
      <w:pPr>
        <w:spacing w:after="0" w:line="19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and clinical trial liability and other insurance coverage;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 this report all references to (i) “TapImmune” “we,” “us,” “our” or the “Company” mean TapImmune Inc. </w:t>
      </w:r>
      <w:r>
        <w:rPr>
          <w:rFonts w:ascii="Arial" w:cs="Arial" w:eastAsia="Arial" w:hAnsi="Arial"/>
          <w:sz w:val="17"/>
          <w:szCs w:val="17"/>
          <w:color w:val="auto"/>
        </w:rPr>
        <w:t>; (ii) “SEC” refers to the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Commission; (iii) “Securities Act” refers to the United States </w:t>
      </w:r>
      <w:r>
        <w:rPr>
          <w:rFonts w:ascii="Arial" w:cs="Arial" w:eastAsia="Arial" w:hAnsi="Arial"/>
          <w:sz w:val="17"/>
          <w:szCs w:val="17"/>
          <w:i w:val="1"/>
          <w:iCs w:val="1"/>
          <w:color w:val="auto"/>
        </w:rPr>
        <w:t>Securities Act of 1933</w:t>
      </w:r>
      <w:r>
        <w:rPr>
          <w:rFonts w:ascii="Arial" w:cs="Arial" w:eastAsia="Arial" w:hAnsi="Arial"/>
          <w:sz w:val="17"/>
          <w:szCs w:val="17"/>
          <w:color w:val="auto"/>
        </w:rPr>
        <w:t xml:space="preserve">, as amended; (iv) “Exchange Act” refers to the United States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as amended; and (v) all dollar amounts refer to United States dollars unless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Aggregate Market Value of Non-Affiliate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calculating the aggregate market value of shares of our common stock held by non-affiliates as set forth on the cover page of this Annual Report on Form 10-K, we have assumed that all outstanding shares are held by non-affiliates, except for shares held by each of our executive officers, directors and 5% or greater stockholders. In the case of 5% or greater stockholders, we have not deemed such stockholders to be affiliates, other than Eastern Capital Limited, unless there are facts and circumstances which would indicate that such stockholders exercise any control over our company. These assumptions should not be deemed to constitute an admission that all executive officers, directors and 5% or greater stockholders are, in fact, affiliates of our company, or that there are no other persons who may be deemed to be affiliates of our company. Further information concerning shareholdings of our executive officers, directors and principal stockholders can be located in Part III, Item 12 of this Annual Report on Form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immuno-oncology company specializing in the development of innovative peptide and gene-based immunotherapeutics and vaccines for the treatment of cancer and metastatic disease. We are actively advancing our clinical programs by expanding our Folate Receptor Alpha program (TPIV200) for breast and ovarian cancers and our HER2/neu+ peptide antigen program (TPIV100/110) in Phase II clinical trials. In parallel, we are developing a proprietary DNA expression technology named PolyStart™ to improve the ability of the cellular immune system to recognize and destroy diseased cells. We plan to complete the pre-clinical development of our PolyStart™ vaccine and move it into the clinic as an integral component of a prime-boost vaccine methodology.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firstLine="8"/>
        <w:spacing w:after="0" w:line="277" w:lineRule="auto"/>
        <w:tabs>
          <w:tab w:leader="none" w:pos="20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peptide-based vaccine compositions and methods of use for the treatment of HER2/neu+ breast cancer that overexpresses Human Epidermal Growth Factor Receptor 2 (HER2/neu+) (TPIV100/110),</w:t>
      </w:r>
    </w:p>
    <w:p>
      <w:pPr>
        <w:spacing w:after="0" w:line="170" w:lineRule="exact"/>
        <w:rPr>
          <w:sz w:val="20"/>
          <w:szCs w:val="20"/>
          <w:color w:val="auto"/>
        </w:rPr>
      </w:pPr>
    </w:p>
    <w:p>
      <w:pPr>
        <w:ind w:firstLine="8"/>
        <w:spacing w:after="0" w:line="277" w:lineRule="auto"/>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exclusively licensed peptide-based vaccine compositions and methods of use for treating breast and ovarian cancers that overexpress Folate Receptor Alpha (TPIV200), and</w:t>
      </w:r>
    </w:p>
    <w:p>
      <w:pPr>
        <w:spacing w:after="0" w:line="170" w:lineRule="exact"/>
        <w:rPr>
          <w:rFonts w:ascii="Arial" w:cs="Arial" w:eastAsia="Arial" w:hAnsi="Arial"/>
          <w:sz w:val="18"/>
          <w:szCs w:val="18"/>
          <w:color w:val="auto"/>
        </w:rPr>
      </w:pPr>
    </w:p>
    <w:p>
      <w:pPr>
        <w:ind w:right="20" w:firstLine="8"/>
        <w:spacing w:after="0" w:line="277" w:lineRule="auto"/>
        <w:tabs>
          <w:tab w:leader="none" w:pos="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wholly-owned DNA nucleic acid-based vaccine compositions and methods of use technology (PolyStart™) for treatment of various cancers or infectious disease.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enhance stockholder value and taking into account development timelines, we plan to focus on advancing our clinical programs including our Folate Receptor Alpha peptide antigen program for breast and ovarian cancer and our HER2/neu+ peptide antigen program into Phase II clinical trials. In parallel, we plan to complete the preclinical development of our PolyStart™ technology as an integral component of our prime-and-boost vaccine methodology.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 Candidate</w:t>
            </w:r>
          </w:p>
        </w:tc>
        <w:tc>
          <w:tcPr>
            <w:tcW w:w="240" w:type="dxa"/>
            <w:vAlign w:val="bottom"/>
          </w:tcPr>
          <w:p>
            <w:pPr>
              <w:spacing w:after="0"/>
              <w:rPr>
                <w:sz w:val="20"/>
                <w:szCs w:val="20"/>
                <w:color w:val="auto"/>
              </w:rPr>
            </w:pPr>
          </w:p>
        </w:tc>
        <w:tc>
          <w:tcPr>
            <w:tcW w:w="19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0"/>
                <w:szCs w:val="20"/>
                <w:color w:val="auto"/>
              </w:rPr>
            </w:pPr>
          </w:p>
        </w:tc>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Application</w:t>
            </w:r>
          </w:p>
        </w:tc>
        <w:tc>
          <w:tcPr>
            <w:tcW w:w="220" w:type="dxa"/>
            <w:vAlign w:val="bottom"/>
          </w:tcPr>
          <w:p>
            <w:pPr>
              <w:spacing w:after="0"/>
              <w:rPr>
                <w:sz w:val="20"/>
                <w:szCs w:val="20"/>
                <w:color w:val="auto"/>
              </w:rPr>
            </w:pPr>
          </w:p>
        </w:tc>
        <w:tc>
          <w:tcPr>
            <w:tcW w:w="26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Status</w:t>
            </w:r>
          </w:p>
        </w:tc>
      </w:tr>
      <w:tr>
        <w:trPr>
          <w:trHeight w:val="411"/>
        </w:trPr>
        <w:tc>
          <w:tcPr>
            <w:tcW w:w="2880" w:type="dxa"/>
            <w:vAlign w:val="bottom"/>
            <w:gridSpan w:val="2"/>
          </w:tcPr>
          <w:p>
            <w:pPr>
              <w:spacing w:after="0"/>
              <w:rPr>
                <w:sz w:val="20"/>
                <w:szCs w:val="20"/>
                <w:color w:val="auto"/>
              </w:rPr>
            </w:pPr>
            <w:r>
              <w:rPr>
                <w:rFonts w:ascii="Arial" w:cs="Arial" w:eastAsia="Arial" w:hAnsi="Arial"/>
                <w:sz w:val="18"/>
                <w:szCs w:val="18"/>
                <w:color w:val="auto"/>
              </w:rPr>
              <w:t>TPIV100/110 HER2/neu+ Breast</w:t>
            </w:r>
          </w:p>
        </w:tc>
        <w:tc>
          <w:tcPr>
            <w:tcW w:w="1940" w:type="dxa"/>
            <w:vAlign w:val="bottom"/>
          </w:tcPr>
          <w:p>
            <w:pPr>
              <w:spacing w:after="0"/>
              <w:rPr>
                <w:sz w:val="20"/>
                <w:szCs w:val="20"/>
                <w:color w:val="auto"/>
              </w:rPr>
            </w:pPr>
            <w:r>
              <w:rPr>
                <w:rFonts w:ascii="Arial" w:cs="Arial" w:eastAsia="Arial" w:hAnsi="Arial"/>
                <w:sz w:val="18"/>
                <w:szCs w:val="18"/>
                <w:color w:val="auto"/>
              </w:rPr>
              <w:t>Peptide Vaccine</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Treatment of HER2/neu+ Breast Cancer</w:t>
            </w:r>
          </w:p>
        </w:tc>
        <w:tc>
          <w:tcPr>
            <w:tcW w:w="2620" w:type="dxa"/>
            <w:vAlign w:val="bottom"/>
          </w:tcPr>
          <w:p>
            <w:pPr>
              <w:spacing w:after="0"/>
              <w:rPr>
                <w:sz w:val="20"/>
                <w:szCs w:val="20"/>
                <w:color w:val="auto"/>
              </w:rPr>
            </w:pPr>
            <w:r>
              <w:rPr>
                <w:rFonts w:ascii="Arial" w:cs="Arial" w:eastAsia="Arial" w:hAnsi="Arial"/>
                <w:sz w:val="18"/>
                <w:szCs w:val="18"/>
                <w:color w:val="auto"/>
              </w:rPr>
              <w:t>Phase I trial completed</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Cancer Vaccine</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Phase I(b) trial to start in 2018</w:t>
            </w: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2"/>
              </w:rPr>
              <w:t>Phase I/II to start in 2018(TPIV110)</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TPIV200 Folate Receptor Alpha</w:t>
            </w:r>
          </w:p>
        </w:tc>
        <w:tc>
          <w:tcPr>
            <w:tcW w:w="1940" w:type="dxa"/>
            <w:vAlign w:val="bottom"/>
          </w:tcPr>
          <w:p>
            <w:pPr>
              <w:spacing w:after="0"/>
              <w:rPr>
                <w:sz w:val="20"/>
                <w:szCs w:val="20"/>
                <w:color w:val="auto"/>
              </w:rPr>
            </w:pPr>
            <w:r>
              <w:rPr>
                <w:rFonts w:ascii="Arial" w:cs="Arial" w:eastAsia="Arial" w:hAnsi="Arial"/>
                <w:sz w:val="18"/>
                <w:szCs w:val="18"/>
                <w:color w:val="auto"/>
              </w:rPr>
              <w:t>Peptide Vaccine</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Treatment of Folate Alpha/Triple-Negative</w:t>
            </w:r>
          </w:p>
        </w:tc>
        <w:tc>
          <w:tcPr>
            <w:tcW w:w="2620" w:type="dxa"/>
            <w:vAlign w:val="bottom"/>
          </w:tcPr>
          <w:p>
            <w:pPr>
              <w:spacing w:after="0"/>
              <w:rPr>
                <w:sz w:val="20"/>
                <w:szCs w:val="20"/>
                <w:color w:val="auto"/>
              </w:rPr>
            </w:pPr>
            <w:r>
              <w:rPr>
                <w:rFonts w:ascii="Arial" w:cs="Arial" w:eastAsia="Arial" w:hAnsi="Arial"/>
                <w:sz w:val="18"/>
                <w:szCs w:val="18"/>
                <w:color w:val="auto"/>
              </w:rPr>
              <w:t>Phase I trial completed</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Vaccine</w:t>
            </w:r>
          </w:p>
        </w:tc>
        <w:tc>
          <w:tcPr>
            <w:tcW w:w="1940" w:type="dxa"/>
            <w:vAlign w:val="bottom"/>
          </w:tcPr>
          <w:p>
            <w:pPr>
              <w:spacing w:after="0"/>
              <w:rPr>
                <w:sz w:val="18"/>
                <w:szCs w:val="18"/>
                <w:color w:val="auto"/>
              </w:rPr>
            </w:pP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Breast and Ovarian Cancer</w:t>
            </w:r>
          </w:p>
        </w:tc>
        <w:tc>
          <w:tcPr>
            <w:tcW w:w="2620" w:type="dxa"/>
            <w:vAlign w:val="bottom"/>
          </w:tcPr>
          <w:p>
            <w:pPr>
              <w:spacing w:after="0"/>
              <w:rPr>
                <w:sz w:val="20"/>
                <w:szCs w:val="20"/>
                <w:color w:val="auto"/>
              </w:rPr>
            </w:pPr>
            <w:r>
              <w:rPr>
                <w:rFonts w:ascii="Arial" w:cs="Arial" w:eastAsia="Arial" w:hAnsi="Arial"/>
                <w:sz w:val="18"/>
                <w:szCs w:val="18"/>
                <w:color w:val="auto"/>
              </w:rPr>
              <w:t>Multiple Phase II trials started in</w:t>
            </w: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2016 and 2017</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PolyStart™</w:t>
            </w:r>
          </w:p>
        </w:tc>
        <w:tc>
          <w:tcPr>
            <w:tcW w:w="1940" w:type="dxa"/>
            <w:vAlign w:val="bottom"/>
          </w:tcPr>
          <w:p>
            <w:pPr>
              <w:spacing w:after="0"/>
              <w:rPr>
                <w:sz w:val="20"/>
                <w:szCs w:val="20"/>
                <w:color w:val="auto"/>
              </w:rPr>
            </w:pPr>
            <w:r>
              <w:rPr>
                <w:rFonts w:ascii="Arial" w:cs="Arial" w:eastAsia="Arial" w:hAnsi="Arial"/>
                <w:sz w:val="18"/>
                <w:szCs w:val="18"/>
                <w:color w:val="auto"/>
              </w:rPr>
              <w:t>Nucleic acid expression</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Broad Application to “Prime”- and- “Boost”</w:t>
            </w:r>
          </w:p>
        </w:tc>
        <w:tc>
          <w:tcPr>
            <w:tcW w:w="262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CLINICAL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 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HER2/neu+ Breast Cancer – Mayo Foundation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Minnesota for clinical development of a new HER2/neu+ breast cancer vaccine technology. An Investigational New Drug (“IND”) application for Phase I human clinical trial on the HER2/neu+ cancer vaccine in collaboration with the Mayo Foundation was allowed by the Food and Drug Administration (“FDA”) in July 2011 and the Mayo Institutional Review Board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comprising four class II peptides, was well tolerated with mild adverse effects. In addition, 19 out of 20 evaluable patients showed robust T-cell immune responses to the antigens in the vaccine composition (Source: The Journal of Immunology: January 1, 2013 190:479-488). These results provided the rationale for advancement into Phase II</w:t>
      </w:r>
      <w:r>
        <w:rPr>
          <w:rFonts w:ascii="Arial" w:cs="Arial" w:eastAsia="Arial" w:hAnsi="Arial"/>
          <w:sz w:val="16"/>
          <w:szCs w:val="16"/>
          <w:b w:val="1"/>
          <w:bCs w:val="1"/>
          <w:color w:val="auto"/>
        </w:rPr>
        <w:t>.</w:t>
      </w:r>
      <w:r>
        <w:rPr>
          <w:rFonts w:ascii="Arial" w:cs="Arial" w:eastAsia="Arial" w:hAnsi="Arial"/>
          <w:sz w:val="16"/>
          <w:szCs w:val="16"/>
          <w:color w:val="auto"/>
        </w:rPr>
        <w:t xml:space="preserve"> An additional secondary endpoint incorporated into this Phase I Trial was a two-year follow on recording time to disease recurrence in the participating breast cancer patients. A second trial is being started in 2018 that uses a novel vaccine strategy in patients with DCIS to eliminate disease and protect from recurrence.</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Folate Alpha Breast and Ovarian Cancer – Mayo Foundation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triple-negative breast cancer patients newly diagnosed every year.</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completed a 21-patient Phase I clinical trial for the Folate Receptor Alpha Vaccine. Twenty-one patients with breast or ovarian cancer, who had undergone standard surgery and adjuvant treatment, were treated with one cycle of cyclophosphamide (given days 1-7 and 15-22 of 28). Following this, patients were vaccinated intradermally at three sites with a mixture of the five class II FRa peptides on day one of a 28-day cycle for a maximum of six vaccination cycles. The vaccine was well-tolerated and safe and 20 out of 21 evaluable patients showed positive immune responses, providing a strong rationale for progressing to Phase II trials. Further, the data showed that 16 out of 16 patients in the observation stage still showed immune responses (Source: Data published in Journal of Clinical Oncology at ASCO in Chicago May 2015). We have developed a commercial quality lyophilized formulation of the vaccine in a single vial for reconstitution and injection. Good Manufacturing Practice (“GMP”) manufacturing of initial batch for initial Phase II trials has been completed.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triple-negative breast and ovarian cancer in combination with other immunotherapeutics. This Phase II study of TPIV200 in the treatment of triple-negative breast cancer began enrolling patients in late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 cells.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FDA designated the investigation of multiple-epitope Folate Receptor Alpha Peptide Vaccine (TPIV200) with GM-CSF adjuvant for maintenance therapy in subjects with platinum-sensitive advanced ovarian cancer who achieved stable disease or partial response following completion of standard-of-care chemotherapy, as a Fast Track Development Program. We began enrolling a Phase II study in this indication in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multiple clinical sites and have completed enrollment of patients in a Phase II trial of our Folate Receptor Alpha cancer vaccine, TPIV200,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participation in an ovarian cancer study sponsored by Memorial Sloan Kettering Cancer Center in New York City in collaboration with AstraZeneca Pharmaceuticals in ovarian cancer patients who are not responsive to platinum, a commonly used chemotherapy for ovarian cancer. This study, a Phase II study of TPIV200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TPIV200 has received Orphan Drug designation for use in the treatment of ovarian cancer. Although we have no business relationship with AstraZeneca, we are paying for one-half of the costs of the clinical study in addition to providing our TPIV200 for the study.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Company-sponsored Phase II study in platinum-sensitive ovarian cancer patients was initiated in 2017. This study is designed to evaluate TPIV200 with GM-CSF in a randomized, placebo-controlled fashion during the first maintenance period after primary surgery and chemotherapy. Patients at this stage of their treatment have the highest potential for an immunotherapeutic effect and no other approved treatment options. The study will enroll up to 120 patients over the next year and a half, with an interim analysis planned in the first quarter of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parallel with the above completed Phase I clinical trials and upcoming Phase II trials, we plan to complete preclinical development of the PolyStart™ technology as an integral component of our “Prime”-and- “Boost” vaccine methodology. Unlike other vaccine technologies that narrowly address the initiation of an immune response, our “Prime”-and- “Boost” approach broadly stimulates the cellular immune system by enhancing the function of killer T-cells (CD8+) and helper T-cells (CD4+). Our peptide immunotherapeutic approach may be coupled with our developed in-house PolyStart™ nucleic acid-based technology designed to enhance T-cell antigen presentation on the surface of appropriate populations of presenting cells. Our PolyStart™ technology directs the translation and subsequent endogenous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CD8+ killer or Class II CD4+ helper T-cell antigenic epitopes. The nucleic acid-based platform may also represent a second stand-alone vaccine technology.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 The PolyStart™ technology composition can be administered in the form of a plasmid deoxyribonucleic acid (“DNA”) or incorporated into a viral delivery system via ribonucleic acid (“RNA”) or DNA. The PolyStart™ technology comprises two portions, one supporting high level of expression and the other a T-cell peptide antigen array (“PAA”). The antigens making up the PAA are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prime-plus-boost vaccination methodology. 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PolyStart™ may have broad use for infectious disease vaccines but any development in this area will rely on collaboration with others having specific expertise and the use of non-dilutive funding”. We are actively seeking business development and out-licensing opportunities with this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Patent &amp; Know-How License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25, 2012, we entered into a Patent &amp; Know-How License Agreement with the Mayo Foundation pursuant to which we acquired certain intellectual property rights from the Mayo Foundation for the development and commercialization of certain products, methods and processes property relating to a proprietary HER2/neu+ technology.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prophylactic and therapeutic use. This license is an exclusive license for products that are based on the intellectual property and non-exclusive for products that are based on Mayo Foundation know–how and materials. The intellectual property that is being licensed includes U.S. provisional patent application number 61600480 (titled “Methods and materials for generating CD8+ T-cells having the ability to recognize cancer cells expressing a HER2/neu+ polypeptide”), and provisionals, divisionals, continuations and continuations-in-part.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this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controls the prosecution and maintenance of the Patent Rights in consultation with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302" w:lineRule="auto"/>
        <w:rPr>
          <w:sz w:val="20"/>
          <w:szCs w:val="20"/>
          <w:color w:val="auto"/>
        </w:rPr>
      </w:pPr>
      <w:r>
        <w:rPr>
          <w:rFonts w:ascii="Arial" w:cs="Arial" w:eastAsia="Arial" w:hAnsi="Arial"/>
          <w:sz w:val="16"/>
          <w:szCs w:val="16"/>
          <w:color w:val="auto"/>
        </w:rPr>
        <w:t>The Mayo Foundation granted this license in exchange for an upfront payment of $250,000 that we paid in three installments. In addition to the upfront payment, we are to pay an annual license maintenance fee, milestone fees, royalty fees (which will be subject to a minimum annual royalty fee once royalty fees are due), and a $500,000 diligence fee had a Phase I clinical trial for a Licensed Product not been initiated prior to the fifth anniversary of the agreement and a $2,000,000 diligence fee if we fail to initial a Phase II clinical trial for a Licensed Product prior to the eighth anniversary of the agreement.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any affiliate, or any sub-licensee; (ii) research, development, design, manufacture, distribution, use, sale, importation, exportation or other disposition of Licensed Products; (iii) our, any affiliates, or any sub-licensee’s act or omission; and (iv) third party suits for patent infringement involving a Licensed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this agreement runs from March 25, 2012 until the date of the last to expire of the Valid Claims (as defined in the agreement), provided that Mayo Foundation may terminate the agreement if, among other matters, (i) 45 days after providing us with notice of a material breach of this agreement, we fail to cure such breach, (ii) we fail to) initiate a Phase III clinical trial for a Licensed Product prior to the tenth anniversary of the agreement, and (iii) we cease to conduct business in the normal event of operations or become insolvent or bankrupt. We may voluntarily terminate the agreement at any time upon written notice to Mayo Foundation.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4, 2016, we entered into a License and Assignment Agreement with Mayo Foundation (“Mayo Foundation HER2/neu+ License”) pursuant to which we acquired certain intellectual property rights from the Mayo Foundation for the development and commercialization of certain products, methods and processes property relating to any cancer indication in which the HER2/neu+ antigen is overexpressed. The Mayo Foundation HER2/neu+ License resulted from our exercise of an option that was issued pursuant to a Technology Option Agreement that we entered into with the Mayo Foundation on May 25, 2010.</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w:t>
      </w:r>
    </w:p>
    <w:p>
      <w:pPr>
        <w:ind w:firstLine="8"/>
        <w:spacing w:after="0" w:line="261" w:lineRule="auto"/>
        <w:tabs>
          <w:tab w:leader="none" w:pos="238"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application numbers 12/740,562 and 14/480,365, divisionals, continuations and continuations in part, and (ii) U.S. provisional application 60/984,646 and PCT/US2008/081799.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Mayo Foundation HER2/neu+ License, and subject to certain exceptions, we are responsible for, among other things, developing the technology under the Patent Rights to bring Licensed Products (both as defined in the Mayo Foundation HER2/neu+ License) to market and costs of filing, prosecution and maintenance of the Patent Rights. Mayo Foundation has sole control over the protection, defense, enforcement, maintenance abandonment and other handling of the Know-How (as defined in the Mayo Foundation HER2/neu+ License) and Materials (as defined in the Mayo Foundation HER2/neu+ License).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Mayo Foundation granted this license in exchange for an initial payment of $300,000.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 involving a Licensed Product.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FRa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FRa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13/202,263, (ii) U.S. patent number 8,486,412 and 8,858,952 and provisionals, (iii) divisionals including 13/917,410 and (iv) continuations including 14/484,057.</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Mayo Foundation FRa License, and subject to certain exceptions, we are responsible for, among other things, developing the technology under the Patent Rights to bring Licensed Products (both as defined in the Mayo Foundation FRa License) to market and costs of filing, prosecution and maintenance of the Patent Rights. Mayo Foundation has sole control over the protection, defense, enforcement, maintenance abandonment and other handling of the Know-How (as defined in the Mayo Foundation FRa License) and Materials (as defined in the Mayo Foundation FRa License).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FRa License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 involving a Licensed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FRa License and, once initiated, keep current on all of our Phase II funding obligations and (b) initiate a Phase IIB or III clinical trial for a Licensed Product prior to the 5th anniversary of the Mayo Foundation FRa License, (iii) we fail to make a sale of a Licensed Product by July 21, 2025 and (iv) we cease to conduct business in the normal event of operations or become insolvent or bankrupt. We may voluntarily terminate the Mayo Foundation FRa License at any time upon written notice to Mayo Foundation.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History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were incorporated under the laws of the State of Nevada in 1991. We have one wholly-owned and dormant subsidiary named GeneMax Pharmaceuticals Inc. (“GeneMax Pharmaceuticals”). Our common stock is currently listed for trading on the Nasdaq Capital Market under the symbol “TPIV.”</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we moved our corporate headquarters to Jacksonville, Florida, to be in closer proximity to our collaborators at Mayo Clinic in Jacksonville, Florida, and our strategic and medical advisors who live in Florida. In July 2017, we moved our corporate headquarters to 5 West Forsyth Street, Jacksonville Florida. We continue to lease a single office at Eastlake Avenue in Seattle, Washington, for the purposes of continuing to develop and patent our PolyStart™ technology.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three years,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(CD8+) and T-helper cells (CD4+)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Histocompatibility Class (“MHC”)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may also pursue the development of prophylactic vaccines against infectious microbes by partnering with other vaccine developers in the infectious disease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TapImmune’s Target Market and Strategy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 strategy in cancer is to take products through Phase II clinical trials and then assess whether to partner with pharmaceutical marketing organizations ahead of Phase III trials or to seek commercialization after Phase II.</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global market for cancer immunotherapy is estimated to grow to more than $80 billion by 2020 according to ResearchandMarkets.com.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Efforts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Helper and CD8+ Killer).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rely upon a combination of licenses, patents, trade secrets, know-how, and licensing opportunities to develop our business. Our future prospects depend on our ability to protect our intellectual property. We also need to operate without infringing the proprietary rights of third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As of December 2017, we held seven U.S. issued patents (two owned, five licensed or option to license), six patent applications pending (two owned, four licensed or option to license), 12 foreign issued/allowed patents, and ten foreign patent applications pending (eight owned, two licensed or option to license).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the information disclosed elsewhere in this annual report under “Risk Factors”. We reassess the value of each patent at the time maintenance fees are due, and in cases where maintaining the patent is judged to be of no significant strategic value we decline to pay the maintenance fee.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December 31, 2017 on each issued patent currently held or licensed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Jurisdiction</w:t>
            </w:r>
          </w:p>
        </w:tc>
      </w:tr>
      <w:tr>
        <w:trPr>
          <w:trHeight w:val="216"/>
        </w:trPr>
        <w:tc>
          <w:tcPr>
            <w:tcW w:w="3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Where</w:t>
            </w:r>
          </w:p>
        </w:tc>
      </w:tr>
      <w:tr>
        <w:trPr>
          <w:trHeight w:val="234"/>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Patent No.</w:t>
            </w:r>
          </w:p>
        </w:tc>
        <w:tc>
          <w:tcPr>
            <w:tcW w:w="20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Expiration</w:t>
            </w:r>
          </w:p>
        </w:tc>
        <w:tc>
          <w:tcPr>
            <w:tcW w:w="26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Title</w:t>
            </w:r>
          </w:p>
        </w:tc>
        <w:tc>
          <w:tcPr>
            <w:tcW w:w="1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Ownership</w:t>
            </w:r>
          </w:p>
        </w:tc>
        <w:tc>
          <w:tcPr>
            <w:tcW w:w="17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Granted/Filed</w:t>
            </w:r>
          </w:p>
        </w:tc>
      </w:tr>
      <w:tr>
        <w:trPr>
          <w:trHeight w:val="228"/>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Peptide Based Vaccine (Folate Receptor Alpha, Breast and Ovarian Cancer)</w:t>
            </w:r>
          </w:p>
        </w:tc>
        <w:tc>
          <w:tcPr>
            <w:tcW w:w="18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3020" w:type="dxa"/>
            <w:vAlign w:val="bottom"/>
          </w:tcPr>
          <w:p>
            <w:pPr>
              <w:spacing w:after="0"/>
              <w:rPr>
                <w:sz w:val="20"/>
                <w:szCs w:val="20"/>
                <w:color w:val="auto"/>
              </w:rPr>
            </w:pPr>
            <w:r>
              <w:rPr>
                <w:rFonts w:ascii="Arial" w:cs="Arial" w:eastAsia="Arial" w:hAnsi="Arial"/>
                <w:sz w:val="18"/>
                <w:szCs w:val="18"/>
                <w:color w:val="auto"/>
              </w:rPr>
              <w:t>Patent No. 8,486,412</w:t>
            </w:r>
          </w:p>
        </w:tc>
        <w:tc>
          <w:tcPr>
            <w:tcW w:w="2080" w:type="dxa"/>
            <w:vAlign w:val="bottom"/>
          </w:tcPr>
          <w:p>
            <w:pPr>
              <w:ind w:left="820"/>
              <w:spacing w:after="0"/>
              <w:rPr>
                <w:sz w:val="20"/>
                <w:szCs w:val="20"/>
                <w:color w:val="auto"/>
              </w:rPr>
            </w:pPr>
            <w:r>
              <w:rPr>
                <w:rFonts w:ascii="Arial" w:cs="Arial" w:eastAsia="Arial" w:hAnsi="Arial"/>
                <w:sz w:val="18"/>
                <w:szCs w:val="18"/>
                <w:color w:val="auto"/>
              </w:rPr>
              <w:t>Expires 2027</w:t>
            </w:r>
          </w:p>
        </w:tc>
        <w:tc>
          <w:tcPr>
            <w:tcW w:w="2680" w:type="dxa"/>
            <w:vAlign w:val="bottom"/>
          </w:tcPr>
          <w:p>
            <w:pPr>
              <w:ind w:left="300"/>
              <w:spacing w:after="0"/>
              <w:rPr>
                <w:sz w:val="20"/>
                <w:szCs w:val="20"/>
                <w:color w:val="auto"/>
              </w:rPr>
            </w:pPr>
            <w:r>
              <w:rPr>
                <w:rFonts w:ascii="Arial" w:cs="Arial" w:eastAsia="Arial" w:hAnsi="Arial"/>
                <w:sz w:val="18"/>
                <w:szCs w:val="18"/>
                <w:color w:val="auto"/>
              </w:rPr>
              <w:t>Immunity to Folate Receptors</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92"/>
              </w:rPr>
              <w:t>Exclusive License</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7"/>
              </w:rPr>
              <w:t>USA</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Patent No. 9,243,033</w:t>
            </w:r>
          </w:p>
        </w:tc>
        <w:tc>
          <w:tcPr>
            <w:tcW w:w="2080" w:type="dxa"/>
            <w:vAlign w:val="bottom"/>
          </w:tcPr>
          <w:p>
            <w:pPr>
              <w:ind w:left="820"/>
              <w:spacing w:after="0"/>
              <w:rPr>
                <w:sz w:val="20"/>
                <w:szCs w:val="20"/>
                <w:color w:val="auto"/>
              </w:rPr>
            </w:pPr>
            <w:r>
              <w:rPr>
                <w:rFonts w:ascii="Arial" w:cs="Arial" w:eastAsia="Arial" w:hAnsi="Arial"/>
                <w:sz w:val="18"/>
                <w:szCs w:val="18"/>
                <w:color w:val="auto"/>
              </w:rPr>
              <w:t>Expires 2027</w:t>
            </w:r>
          </w:p>
        </w:tc>
        <w:tc>
          <w:tcPr>
            <w:tcW w:w="2680" w:type="dxa"/>
            <w:vAlign w:val="bottom"/>
          </w:tcPr>
          <w:p>
            <w:pPr>
              <w:ind w:left="300"/>
              <w:spacing w:after="0"/>
              <w:rPr>
                <w:sz w:val="20"/>
                <w:szCs w:val="20"/>
                <w:color w:val="auto"/>
              </w:rPr>
            </w:pPr>
            <w:r>
              <w:rPr>
                <w:rFonts w:ascii="Arial" w:cs="Arial" w:eastAsia="Arial" w:hAnsi="Arial"/>
                <w:sz w:val="18"/>
                <w:szCs w:val="18"/>
                <w:color w:val="auto"/>
              </w:rPr>
              <w:t>Immunity to Folate Receptors</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92"/>
              </w:rPr>
              <w:t>Exclusive License</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7"/>
              </w:rPr>
              <w:t>USA</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Received Notice of Allowance</w:t>
            </w:r>
          </w:p>
        </w:tc>
        <w:tc>
          <w:tcPr>
            <w:tcW w:w="2080" w:type="dxa"/>
            <w:vAlign w:val="bottom"/>
          </w:tcPr>
          <w:p>
            <w:pPr>
              <w:ind w:left="820"/>
              <w:spacing w:after="0"/>
              <w:rPr>
                <w:sz w:val="20"/>
                <w:szCs w:val="20"/>
                <w:color w:val="auto"/>
              </w:rPr>
            </w:pPr>
            <w:r>
              <w:rPr>
                <w:rFonts w:ascii="Arial" w:cs="Arial" w:eastAsia="Arial" w:hAnsi="Arial"/>
                <w:sz w:val="18"/>
                <w:szCs w:val="18"/>
                <w:color w:val="auto"/>
              </w:rPr>
              <w:t>Expires 2027</w:t>
            </w:r>
          </w:p>
        </w:tc>
        <w:tc>
          <w:tcPr>
            <w:tcW w:w="2680" w:type="dxa"/>
            <w:vAlign w:val="bottom"/>
          </w:tcPr>
          <w:p>
            <w:pPr>
              <w:ind w:left="300"/>
              <w:spacing w:after="0"/>
              <w:rPr>
                <w:sz w:val="20"/>
                <w:szCs w:val="20"/>
                <w:color w:val="auto"/>
              </w:rPr>
            </w:pPr>
            <w:r>
              <w:rPr>
                <w:rFonts w:ascii="Arial" w:cs="Arial" w:eastAsia="Arial" w:hAnsi="Arial"/>
                <w:sz w:val="18"/>
                <w:szCs w:val="18"/>
                <w:color w:val="auto"/>
              </w:rPr>
              <w:t>Immunity to Folate Receptors</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92"/>
              </w:rPr>
              <w:t>Exclusive License</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7"/>
              </w:rPr>
              <w:t>USA</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Patent No. 2,685,300</w:t>
            </w:r>
          </w:p>
        </w:tc>
        <w:tc>
          <w:tcPr>
            <w:tcW w:w="2080" w:type="dxa"/>
            <w:vAlign w:val="bottom"/>
          </w:tcPr>
          <w:p>
            <w:pPr>
              <w:ind w:left="820"/>
              <w:spacing w:after="0"/>
              <w:rPr>
                <w:sz w:val="20"/>
                <w:szCs w:val="20"/>
                <w:color w:val="auto"/>
              </w:rPr>
            </w:pPr>
            <w:r>
              <w:rPr>
                <w:rFonts w:ascii="Arial" w:cs="Arial" w:eastAsia="Arial" w:hAnsi="Arial"/>
                <w:sz w:val="18"/>
                <w:szCs w:val="18"/>
                <w:color w:val="auto"/>
              </w:rPr>
              <w:t>Expires 2027</w:t>
            </w:r>
          </w:p>
        </w:tc>
        <w:tc>
          <w:tcPr>
            <w:tcW w:w="2680" w:type="dxa"/>
            <w:vAlign w:val="bottom"/>
          </w:tcPr>
          <w:p>
            <w:pPr>
              <w:ind w:left="300"/>
              <w:spacing w:after="0"/>
              <w:rPr>
                <w:sz w:val="20"/>
                <w:szCs w:val="20"/>
                <w:color w:val="auto"/>
              </w:rPr>
            </w:pPr>
            <w:r>
              <w:rPr>
                <w:rFonts w:ascii="Arial" w:cs="Arial" w:eastAsia="Arial" w:hAnsi="Arial"/>
                <w:sz w:val="18"/>
                <w:szCs w:val="18"/>
                <w:color w:val="auto"/>
              </w:rPr>
              <w:t>Immunity to Folate Receptors</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92"/>
              </w:rPr>
              <w:t>Exclusive License</w:t>
            </w: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Canada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Jurisdiction</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Where</w:t>
            </w:r>
          </w:p>
        </w:tc>
      </w:t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Patent No.</w:t>
            </w:r>
          </w:p>
        </w:tc>
        <w:tc>
          <w:tcPr>
            <w:tcW w:w="1920" w:type="dxa"/>
            <w:vAlign w:val="bottom"/>
          </w:tcPr>
          <w:p>
            <w:pPr>
              <w:ind w:left="740"/>
              <w:spacing w:after="0"/>
              <w:rPr>
                <w:sz w:val="20"/>
                <w:szCs w:val="20"/>
                <w:color w:val="auto"/>
              </w:rPr>
            </w:pPr>
            <w:r>
              <w:rPr>
                <w:rFonts w:ascii="Arial" w:cs="Arial" w:eastAsia="Arial" w:hAnsi="Arial"/>
                <w:sz w:val="18"/>
                <w:szCs w:val="18"/>
                <w:b w:val="1"/>
                <w:bCs w:val="1"/>
                <w:color w:val="auto"/>
              </w:rPr>
              <w:t>Expiration</w:t>
            </w:r>
          </w:p>
        </w:tc>
        <w:tc>
          <w:tcPr>
            <w:tcW w:w="2740" w:type="dxa"/>
            <w:vAlign w:val="bottom"/>
            <w:gridSpan w:val="2"/>
          </w:tcPr>
          <w:p>
            <w:pPr>
              <w:ind w:left="1220"/>
              <w:spacing w:after="0"/>
              <w:rPr>
                <w:sz w:val="20"/>
                <w:szCs w:val="20"/>
                <w:color w:val="auto"/>
              </w:rPr>
            </w:pPr>
            <w:r>
              <w:rPr>
                <w:rFonts w:ascii="Arial" w:cs="Arial" w:eastAsia="Arial" w:hAnsi="Arial"/>
                <w:sz w:val="18"/>
                <w:szCs w:val="18"/>
                <w:b w:val="1"/>
                <w:bCs w:val="1"/>
                <w:color w:val="auto"/>
              </w:rPr>
              <w:t>Title</w:t>
            </w:r>
          </w:p>
        </w:tc>
        <w:tc>
          <w:tcPr>
            <w:tcW w:w="1800" w:type="dxa"/>
            <w:vAlign w:val="bottom"/>
            <w:gridSpan w:val="2"/>
          </w:tcPr>
          <w:p>
            <w:pPr>
              <w:ind w:left="400"/>
              <w:spacing w:after="0"/>
              <w:rPr>
                <w:sz w:val="20"/>
                <w:szCs w:val="20"/>
                <w:color w:val="auto"/>
              </w:rPr>
            </w:pPr>
            <w:r>
              <w:rPr>
                <w:rFonts w:ascii="Arial" w:cs="Arial" w:eastAsia="Arial" w:hAnsi="Arial"/>
                <w:sz w:val="18"/>
                <w:szCs w:val="18"/>
                <w:b w:val="1"/>
                <w:bCs w:val="1"/>
                <w:color w:val="auto"/>
              </w:rPr>
              <w:t>Ownership</w:t>
            </w:r>
          </w:p>
        </w:tc>
        <w:tc>
          <w:tcPr>
            <w:tcW w:w="1940" w:type="dxa"/>
            <w:vAlign w:val="bottom"/>
          </w:tcPr>
          <w:p>
            <w:pPr>
              <w:ind w:left="440"/>
              <w:spacing w:after="0"/>
              <w:rPr>
                <w:sz w:val="20"/>
                <w:szCs w:val="20"/>
                <w:color w:val="auto"/>
              </w:rPr>
            </w:pPr>
            <w:r>
              <w:rPr>
                <w:rFonts w:ascii="Arial" w:cs="Arial" w:eastAsia="Arial" w:hAnsi="Arial"/>
                <w:sz w:val="18"/>
                <w:szCs w:val="18"/>
                <w:b w:val="1"/>
                <w:bCs w:val="1"/>
                <w:color w:val="auto"/>
              </w:rPr>
              <w:t>Granted/Filed</w:t>
            </w:r>
          </w:p>
        </w:tc>
      </w:tr>
      <w:tr>
        <w:trPr>
          <w:trHeight w:val="195"/>
        </w:trPr>
        <w:tc>
          <w:tcPr>
            <w:tcW w:w="20" w:type="dxa"/>
            <w:vAlign w:val="bottom"/>
          </w:tcPr>
          <w:p>
            <w:pPr>
              <w:spacing w:after="0"/>
              <w:rPr>
                <w:sz w:val="16"/>
                <w:szCs w:val="16"/>
                <w:color w:val="auto"/>
              </w:rPr>
            </w:pPr>
          </w:p>
        </w:tc>
        <w:tc>
          <w:tcPr>
            <w:tcW w:w="4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Peptide Based Vaccine (HER2/neu+ Breast Cancer)</w:t>
            </w:r>
          </w:p>
        </w:tc>
        <w:tc>
          <w:tcPr>
            <w:tcW w:w="2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8,858,952</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2031</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Methods and Materials for</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50"/>
              <w:spacing w:after="0"/>
              <w:rPr>
                <w:sz w:val="20"/>
                <w:szCs w:val="20"/>
                <w:color w:val="auto"/>
              </w:rPr>
            </w:pPr>
            <w:r>
              <w:rPr>
                <w:rFonts w:ascii="Arial" w:cs="Arial" w:eastAsia="Arial" w:hAnsi="Arial"/>
                <w:sz w:val="18"/>
                <w:szCs w:val="18"/>
                <w:color w:val="auto"/>
                <w:w w:val="97"/>
              </w:rPr>
              <w:t>USA</w:t>
            </w: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Generating T Cells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18"/>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2013221309</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2033</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Methods and Materials for</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30"/>
              <w:spacing w:after="0"/>
              <w:rPr>
                <w:sz w:val="20"/>
                <w:szCs w:val="20"/>
                <w:color w:val="auto"/>
              </w:rPr>
            </w:pPr>
            <w:r>
              <w:rPr>
                <w:rFonts w:ascii="Arial" w:cs="Arial" w:eastAsia="Arial" w:hAnsi="Arial"/>
                <w:sz w:val="18"/>
                <w:szCs w:val="18"/>
                <w:color w:val="auto"/>
                <w:w w:val="94"/>
              </w:rPr>
              <w:t>Australia</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Generating CD8+ T Cells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Having the Ability to Recognize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Cancer Cells Expressing a</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HER2/neu+ Polypeptide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ZL2013380019913.1</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2033</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Same as above</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50"/>
              <w:spacing w:after="0"/>
              <w:rPr>
                <w:sz w:val="20"/>
                <w:szCs w:val="20"/>
                <w:color w:val="auto"/>
              </w:rPr>
            </w:pPr>
            <w:r>
              <w:rPr>
                <w:rFonts w:ascii="Arial" w:cs="Arial" w:eastAsia="Arial" w:hAnsi="Arial"/>
                <w:sz w:val="18"/>
                <w:szCs w:val="18"/>
                <w:color w:val="auto"/>
                <w:w w:val="93"/>
              </w:rPr>
              <w:t>China</w:t>
            </w: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2,814,836</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2033</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Same as above</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50"/>
              <w:spacing w:after="0"/>
              <w:rPr>
                <w:sz w:val="20"/>
                <w:szCs w:val="20"/>
                <w:color w:val="auto"/>
              </w:rPr>
            </w:pPr>
            <w:r>
              <w:rPr>
                <w:rFonts w:ascii="Arial" w:cs="Arial" w:eastAsia="Arial" w:hAnsi="Arial"/>
                <w:sz w:val="18"/>
                <w:szCs w:val="18"/>
                <w:color w:val="auto"/>
                <w:w w:val="89"/>
              </w:rPr>
              <w:t>Europe</w:t>
            </w: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6,170,076</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2033</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Same as above</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50"/>
              <w:spacing w:after="0"/>
              <w:rPr>
                <w:sz w:val="20"/>
                <w:szCs w:val="20"/>
                <w:color w:val="auto"/>
              </w:rPr>
            </w:pPr>
            <w:r>
              <w:rPr>
                <w:rFonts w:ascii="Arial" w:cs="Arial" w:eastAsia="Arial" w:hAnsi="Arial"/>
                <w:sz w:val="18"/>
                <w:szCs w:val="18"/>
                <w:color w:val="auto"/>
                <w:w w:val="81"/>
              </w:rPr>
              <w:t>Japan</w:t>
            </w: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9,814,767</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2033</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Same as above</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50"/>
              <w:spacing w:after="0"/>
              <w:rPr>
                <w:sz w:val="20"/>
                <w:szCs w:val="20"/>
                <w:color w:val="auto"/>
              </w:rPr>
            </w:pPr>
            <w:r>
              <w:rPr>
                <w:rFonts w:ascii="Arial" w:cs="Arial" w:eastAsia="Arial" w:hAnsi="Arial"/>
                <w:sz w:val="18"/>
                <w:szCs w:val="18"/>
                <w:color w:val="auto"/>
                <w:w w:val="97"/>
              </w:rPr>
              <w:t>USA</w:t>
            </w:r>
          </w:p>
        </w:tc>
      </w:tr>
      <w:tr>
        <w:trPr>
          <w:trHeight w:val="418"/>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ZL200890124030.6</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2028</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HLA-DR Binding Peptides and</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50"/>
              <w:spacing w:after="0"/>
              <w:rPr>
                <w:sz w:val="20"/>
                <w:szCs w:val="20"/>
                <w:color w:val="auto"/>
              </w:rPr>
            </w:pPr>
            <w:r>
              <w:rPr>
                <w:rFonts w:ascii="Arial" w:cs="Arial" w:eastAsia="Arial" w:hAnsi="Arial"/>
                <w:sz w:val="18"/>
                <w:szCs w:val="18"/>
                <w:color w:val="auto"/>
                <w:w w:val="93"/>
              </w:rPr>
              <w:t>China</w:t>
            </w: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Their Uses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color w:val="auto"/>
              </w:rPr>
              <w:t>Patent No. 2,704,397</w:t>
            </w:r>
          </w:p>
        </w:tc>
        <w:tc>
          <w:tcPr>
            <w:tcW w:w="1920" w:type="dxa"/>
            <w:vAlign w:val="bottom"/>
          </w:tcPr>
          <w:p>
            <w:pPr>
              <w:ind w:left="700"/>
              <w:spacing w:after="0"/>
              <w:rPr>
                <w:sz w:val="20"/>
                <w:szCs w:val="20"/>
                <w:color w:val="auto"/>
              </w:rPr>
            </w:pPr>
            <w:r>
              <w:rPr>
                <w:rFonts w:ascii="Arial" w:cs="Arial" w:eastAsia="Arial" w:hAnsi="Arial"/>
                <w:sz w:val="18"/>
                <w:szCs w:val="18"/>
                <w:color w:val="auto"/>
              </w:rPr>
              <w:t>Expires 2033</w:t>
            </w:r>
          </w:p>
        </w:tc>
        <w:tc>
          <w:tcPr>
            <w:tcW w:w="274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Same as above</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Exclusive License</w:t>
            </w:r>
          </w:p>
        </w:tc>
        <w:tc>
          <w:tcPr>
            <w:tcW w:w="1940" w:type="dxa"/>
            <w:vAlign w:val="bottom"/>
          </w:tcPr>
          <w:p>
            <w:pPr>
              <w:jc w:val="center"/>
              <w:ind w:left="30"/>
              <w:spacing w:after="0"/>
              <w:rPr>
                <w:sz w:val="20"/>
                <w:szCs w:val="20"/>
                <w:color w:val="auto"/>
              </w:rPr>
            </w:pPr>
            <w:r>
              <w:rPr>
                <w:rFonts w:ascii="Arial" w:cs="Arial" w:eastAsia="Arial" w:hAnsi="Arial"/>
                <w:sz w:val="18"/>
                <w:szCs w:val="18"/>
                <w:color w:val="auto"/>
                <w:w w:val="85"/>
              </w:rPr>
              <w:t>Canada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Nucleic Acid Based Vaccine (PolyStart™; infectious disease, breast and ovarian Cancer)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Patent No. 9,364,523</w:t>
            </w:r>
          </w:p>
        </w:tc>
        <w:tc>
          <w:tcPr>
            <w:tcW w:w="2060" w:type="dxa"/>
            <w:vAlign w:val="bottom"/>
          </w:tcPr>
          <w:p>
            <w:pPr>
              <w:ind w:left="840"/>
              <w:spacing w:after="0"/>
              <w:rPr>
                <w:sz w:val="20"/>
                <w:szCs w:val="20"/>
                <w:color w:val="auto"/>
              </w:rPr>
            </w:pPr>
            <w:r>
              <w:rPr>
                <w:rFonts w:ascii="Arial" w:cs="Arial" w:eastAsia="Arial" w:hAnsi="Arial"/>
                <w:sz w:val="18"/>
                <w:szCs w:val="18"/>
                <w:color w:val="auto"/>
              </w:rPr>
              <w:t>Expires 2035</w:t>
            </w:r>
          </w:p>
        </w:tc>
        <w:tc>
          <w:tcPr>
            <w:tcW w:w="2760" w:type="dxa"/>
            <w:vAlign w:val="bottom"/>
          </w:tcPr>
          <w:p>
            <w:pPr>
              <w:jc w:val="center"/>
              <w:ind w:left="10"/>
              <w:spacing w:after="0"/>
              <w:rPr>
                <w:sz w:val="20"/>
                <w:szCs w:val="20"/>
                <w:color w:val="auto"/>
              </w:rPr>
            </w:pPr>
            <w:r>
              <w:rPr>
                <w:rFonts w:ascii="Arial" w:cs="Arial" w:eastAsia="Arial" w:hAnsi="Arial"/>
                <w:sz w:val="18"/>
                <w:szCs w:val="18"/>
                <w:color w:val="auto"/>
                <w:w w:val="94"/>
              </w:rPr>
              <w:t>Chimeric Nucleic Acid</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1"/>
              </w:rPr>
              <w:t>Owned</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7"/>
              </w:rPr>
              <w:t>USA</w:t>
            </w:r>
          </w:p>
        </w:tc>
      </w:tr>
      <w:tr>
        <w:trPr>
          <w:trHeight w:val="230"/>
        </w:trPr>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95"/>
              </w:rPr>
              <w:t>Molecules with Non-AUG</w:t>
            </w:r>
          </w:p>
        </w:tc>
        <w:tc>
          <w:tcPr>
            <w:tcW w:w="18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Patent No. 9,655,956</w:t>
            </w:r>
          </w:p>
        </w:tc>
        <w:tc>
          <w:tcPr>
            <w:tcW w:w="2060" w:type="dxa"/>
            <w:vAlign w:val="bottom"/>
          </w:tcPr>
          <w:p>
            <w:pPr>
              <w:ind w:left="840"/>
              <w:spacing w:after="0"/>
              <w:rPr>
                <w:sz w:val="20"/>
                <w:szCs w:val="20"/>
                <w:color w:val="auto"/>
              </w:rPr>
            </w:pPr>
            <w:r>
              <w:rPr>
                <w:rFonts w:ascii="Arial" w:cs="Arial" w:eastAsia="Arial" w:hAnsi="Arial"/>
                <w:sz w:val="18"/>
                <w:szCs w:val="18"/>
                <w:color w:val="auto"/>
              </w:rPr>
              <w:t>Expires 2035</w:t>
            </w:r>
          </w:p>
        </w:tc>
        <w:tc>
          <w:tcPr>
            <w:tcW w:w="2760" w:type="dxa"/>
            <w:vAlign w:val="bottom"/>
          </w:tcPr>
          <w:p>
            <w:pPr>
              <w:jc w:val="center"/>
              <w:ind w:left="10"/>
              <w:spacing w:after="0"/>
              <w:rPr>
                <w:sz w:val="20"/>
                <w:szCs w:val="20"/>
                <w:color w:val="auto"/>
              </w:rPr>
            </w:pPr>
            <w:r>
              <w:rPr>
                <w:rFonts w:ascii="Arial" w:cs="Arial" w:eastAsia="Arial" w:hAnsi="Arial"/>
                <w:sz w:val="18"/>
                <w:szCs w:val="18"/>
                <w:color w:val="auto"/>
                <w:w w:val="91"/>
              </w:rPr>
              <w:t>Translation Initiation Sequences</w:t>
            </w: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1"/>
              </w:rPr>
              <w:t>Owned</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7"/>
              </w:rPr>
              <w:t>USA</w:t>
            </w:r>
          </w:p>
        </w:tc>
      </w:tr>
      <w:tr>
        <w:trPr>
          <w:trHeight w:val="230"/>
        </w:trPr>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60" w:type="dxa"/>
            <w:vAlign w:val="bottom"/>
          </w:tcPr>
          <w:p>
            <w:pPr>
              <w:jc w:val="center"/>
              <w:ind w:left="10"/>
              <w:spacing w:after="0"/>
              <w:rPr>
                <w:sz w:val="20"/>
                <w:szCs w:val="20"/>
                <w:color w:val="auto"/>
              </w:rPr>
            </w:pPr>
            <w:r>
              <w:rPr>
                <w:rFonts w:ascii="Arial" w:cs="Arial" w:eastAsia="Arial" w:hAnsi="Arial"/>
                <w:sz w:val="18"/>
                <w:szCs w:val="18"/>
                <w:color w:val="auto"/>
                <w:w w:val="87"/>
              </w:rPr>
              <w:t>and uses thereof</w:t>
            </w:r>
          </w:p>
        </w:tc>
        <w:tc>
          <w:tcPr>
            <w:tcW w:w="18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HLA DR Peptide Vaccines</w:t>
            </w:r>
          </w:p>
        </w:tc>
        <w:tc>
          <w:tcPr>
            <w:tcW w:w="2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Patent No. 6,006,265</w:t>
            </w:r>
          </w:p>
        </w:tc>
        <w:tc>
          <w:tcPr>
            <w:tcW w:w="2060" w:type="dxa"/>
            <w:vAlign w:val="bottom"/>
          </w:tcPr>
          <w:p>
            <w:pPr>
              <w:ind w:left="840"/>
              <w:spacing w:after="0"/>
              <w:rPr>
                <w:sz w:val="20"/>
                <w:szCs w:val="20"/>
                <w:color w:val="auto"/>
              </w:rPr>
            </w:pPr>
            <w:r>
              <w:rPr>
                <w:rFonts w:ascii="Arial" w:cs="Arial" w:eastAsia="Arial" w:hAnsi="Arial"/>
                <w:sz w:val="18"/>
                <w:szCs w:val="18"/>
                <w:color w:val="auto"/>
              </w:rPr>
              <w:t>Expires 2028</w:t>
            </w:r>
          </w:p>
        </w:tc>
        <w:tc>
          <w:tcPr>
            <w:tcW w:w="2760" w:type="dxa"/>
            <w:vAlign w:val="bottom"/>
          </w:tcPr>
          <w:p>
            <w:pPr>
              <w:jc w:val="center"/>
              <w:spacing w:after="0"/>
              <w:rPr>
                <w:sz w:val="20"/>
                <w:szCs w:val="20"/>
                <w:color w:val="auto"/>
              </w:rPr>
            </w:pPr>
            <w:r>
              <w:rPr>
                <w:rFonts w:ascii="Arial" w:cs="Arial" w:eastAsia="Arial" w:hAnsi="Arial"/>
                <w:sz w:val="18"/>
                <w:szCs w:val="18"/>
                <w:color w:val="auto"/>
                <w:w w:val="94"/>
              </w:rPr>
              <w:t>HLA-DR Binding Peptides</w:t>
            </w:r>
          </w:p>
        </w:tc>
        <w:tc>
          <w:tcPr>
            <w:tcW w:w="1840" w:type="dxa"/>
            <w:vAlign w:val="bottom"/>
          </w:tcPr>
          <w:p>
            <w:pPr>
              <w:jc w:val="center"/>
              <w:ind w:right="90"/>
              <w:spacing w:after="0"/>
              <w:rPr>
                <w:sz w:val="20"/>
                <w:szCs w:val="20"/>
                <w:color w:val="auto"/>
              </w:rPr>
            </w:pPr>
            <w:r>
              <w:rPr>
                <w:rFonts w:ascii="Arial" w:cs="Arial" w:eastAsia="Arial" w:hAnsi="Arial"/>
                <w:sz w:val="18"/>
                <w:szCs w:val="18"/>
                <w:color w:val="auto"/>
                <w:w w:val="90"/>
              </w:rPr>
              <w:t>Exclusive License</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81"/>
              </w:rPr>
              <w:t>Japan</w:t>
            </w:r>
          </w:p>
        </w:tc>
      </w:tr>
      <w:tr>
        <w:trPr>
          <w:trHeight w:val="230"/>
        </w:trPr>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60" w:type="dxa"/>
            <w:vAlign w:val="bottom"/>
          </w:tcPr>
          <w:p>
            <w:pPr>
              <w:jc w:val="center"/>
              <w:ind w:left="10"/>
              <w:spacing w:after="0"/>
              <w:rPr>
                <w:sz w:val="20"/>
                <w:szCs w:val="20"/>
                <w:color w:val="auto"/>
              </w:rPr>
            </w:pPr>
            <w:r>
              <w:rPr>
                <w:rFonts w:ascii="Arial" w:cs="Arial" w:eastAsia="Arial" w:hAnsi="Arial"/>
                <w:sz w:val="18"/>
                <w:szCs w:val="18"/>
                <w:color w:val="auto"/>
                <w:w w:val="91"/>
              </w:rPr>
              <w:t>And Their Uses</w:t>
            </w:r>
          </w:p>
        </w:tc>
        <w:tc>
          <w:tcPr>
            <w:tcW w:w="18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Patent No. 2,215,111</w:t>
            </w:r>
          </w:p>
        </w:tc>
        <w:tc>
          <w:tcPr>
            <w:tcW w:w="2060" w:type="dxa"/>
            <w:vAlign w:val="bottom"/>
          </w:tcPr>
          <w:p>
            <w:pPr>
              <w:ind w:left="840"/>
              <w:spacing w:after="0"/>
              <w:rPr>
                <w:sz w:val="20"/>
                <w:szCs w:val="20"/>
                <w:color w:val="auto"/>
              </w:rPr>
            </w:pPr>
            <w:r>
              <w:rPr>
                <w:rFonts w:ascii="Arial" w:cs="Arial" w:eastAsia="Arial" w:hAnsi="Arial"/>
                <w:sz w:val="18"/>
                <w:szCs w:val="18"/>
                <w:color w:val="auto"/>
              </w:rPr>
              <w:t>Expires 2028</w:t>
            </w:r>
          </w:p>
        </w:tc>
        <w:tc>
          <w:tcPr>
            <w:tcW w:w="2760" w:type="dxa"/>
            <w:vAlign w:val="bottom"/>
          </w:tcPr>
          <w:p>
            <w:pPr>
              <w:jc w:val="center"/>
              <w:spacing w:after="0"/>
              <w:rPr>
                <w:sz w:val="20"/>
                <w:szCs w:val="20"/>
                <w:color w:val="auto"/>
              </w:rPr>
            </w:pPr>
            <w:r>
              <w:rPr>
                <w:rFonts w:ascii="Arial" w:cs="Arial" w:eastAsia="Arial" w:hAnsi="Arial"/>
                <w:sz w:val="18"/>
                <w:szCs w:val="18"/>
                <w:color w:val="auto"/>
                <w:w w:val="94"/>
              </w:rPr>
              <w:t>HLA-DR Binding Peptides</w:t>
            </w:r>
          </w:p>
        </w:tc>
        <w:tc>
          <w:tcPr>
            <w:tcW w:w="1840" w:type="dxa"/>
            <w:vAlign w:val="bottom"/>
          </w:tcPr>
          <w:p>
            <w:pPr>
              <w:jc w:val="center"/>
              <w:ind w:right="90"/>
              <w:spacing w:after="0"/>
              <w:rPr>
                <w:sz w:val="20"/>
                <w:szCs w:val="20"/>
                <w:color w:val="auto"/>
              </w:rPr>
            </w:pPr>
            <w:r>
              <w:rPr>
                <w:rFonts w:ascii="Arial" w:cs="Arial" w:eastAsia="Arial" w:hAnsi="Arial"/>
                <w:sz w:val="18"/>
                <w:szCs w:val="18"/>
                <w:color w:val="auto"/>
                <w:w w:val="90"/>
              </w:rPr>
              <w:t>Exclusive License</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89"/>
              </w:rPr>
              <w:t>Europe</w:t>
            </w:r>
          </w:p>
        </w:tc>
      </w:tr>
      <w:tr>
        <w:trPr>
          <w:trHeight w:val="230"/>
        </w:trPr>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60" w:type="dxa"/>
            <w:vAlign w:val="bottom"/>
          </w:tcPr>
          <w:p>
            <w:pPr>
              <w:jc w:val="center"/>
              <w:ind w:left="10"/>
              <w:spacing w:after="0"/>
              <w:rPr>
                <w:sz w:val="20"/>
                <w:szCs w:val="20"/>
                <w:color w:val="auto"/>
              </w:rPr>
            </w:pPr>
            <w:r>
              <w:rPr>
                <w:rFonts w:ascii="Arial" w:cs="Arial" w:eastAsia="Arial" w:hAnsi="Arial"/>
                <w:sz w:val="18"/>
                <w:szCs w:val="18"/>
                <w:color w:val="auto"/>
                <w:w w:val="91"/>
              </w:rPr>
              <w:t>And Their Uses</w:t>
            </w:r>
          </w:p>
        </w:tc>
        <w:tc>
          <w:tcPr>
            <w:tcW w:w="1840" w:type="dxa"/>
            <w:vAlign w:val="bottom"/>
          </w:tcPr>
          <w:p>
            <w:pPr>
              <w:spacing w:after="0"/>
              <w:rPr>
                <w:sz w:val="20"/>
                <w:szCs w:val="20"/>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95"/>
              </w:rPr>
              <w:t>(DE, FR, GB, IE)</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On February 7, 2017, we announced that we received a Notice of Allowance from the U.S. Patent and Trademark Office of our patent application titled, “Chimeric nucleic acid molecules with non-AUG initiation sequences and uses thereof.”</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exclusively licensed the intellectual property for our TPIV100/110 HER2/neu+ breast cancer vaccine and TPIV200 folate receptor alpha vaccine product candidates from Mayo Foundation for Medical Education and Research. See “Mayo Foundation for Medical Education and Research Relationships.”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the issued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(i) later-granted patents on processes and intermediates related to the most economical method of manufacture of the active ingredient of such product; (ii) patents relating to the use of such product; (iii) patents relating to novel compositions and formulations; and (iv)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patents, the protection of discoveries in connection with our development activities, our proprietary products, technologies, processes and know-how and all of our intellectual property are important to our business. To achieve a competitive position, we rely on trade secrets, non-patented proprietary know-how and continuing technological innovation, where patent protection is not believed to be appropriate or attainable. In addition, as outlined above, we have a number of patent licenses from third parties, some of which important to our business. See “Mayo Foundation for Medical Education and Research Relationships”. There can be no assurance that any of our patents, licenses or other intellectual property rights will afford us any protection from competition.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trademarks are of material importance to our business. We currently have pending with the U.S. PTO, an application for registration of the mark of POLYSTART™. We received notice of the registration of the mark TAPIMMUNE from the U.S. PTO. We also have rights to use other names essential to our business. Federally registered trademarks have a perpetual life, as long as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Inc., Genzyme Molecular Oncology, Immune Design, Oncothyreon, Celldex, BN Immunotherapeutics, Immunocellular, Galena BioPharma,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(formerly) Kite Pharma, Roche Pharmaceuticals, Merck &amp; Co, Bristol Myers Squibb, AstraZeneca plc and Medimmune, LLC. We believe that our in vivo T-cell therapy approaches will be synergistic with these approaches and might even improve them.</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21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 and maintain products that reach the market first, are technologically superior to and/or are of lower cost than other products in the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(“GLP”) and Good Manufacturing Practice (“GMP”) regulations;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of a New Drug Application (“NDA”) or Biologics License Application (“BLA”) to the FDA for review;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1"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7"/>
          <w:szCs w:val="17"/>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Sponsors wishing to conduct clinical trials in Phases I through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i w:val="1"/>
          <w:iCs w:val="1"/>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seven-year exclusive marketing period.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Manufacturing Process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third-party manufacturers are subject to current Good Manufacturing Practices (“GMP”),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(“PDMA”) which, among other things, imposes various requirements in connection with the distribution of product samples to physicians.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Law Compliance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Healthcare Reform and Reimbursement and Pricing Controls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 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Public and private health 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Payors may require physicians to seek approval from them before a product will be reimbursed or covered, commonly referred to as prior authorization. In particular, many public and private health care payors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of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Manufacturers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that these risks materialize and affect their performance obligations to us, our financial results may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Supplies and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2017 and 2016, we incurred research and development expenses of approximately $5.3 million, and $3.8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Management maintains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seven full-time employees. The management team is comprised of Peter Hoang (President and Chief Executive Officer), Dr. Glynn Wilson (Strategy Advisor), Michael J. Loiacono (Chief Financial Officer), Dr. Robert Florkiewicz (Senior Director of Molecular Biology &amp; Virology) and a Director of Administration. Additionally, we employ a Director of Manufacturing and an Investor Relations Manager.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consulting agreements with a number of leading academic scientists, clinicians and regulatory experts. These individuals serve as key 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Richard Kenney serves as our Acting Medical Director in a consulting capacity.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we have no sources of revenue to provide incoming cash flows to sustain our future operations, our ability to pursue our planned business activities is dependent upon our successful efforts to raise additional capital. As of December 31, 2017, we had cash of approximately $5.1 million. We believe that our cash resources can be sufficient to fund our research efforts and operations into the third quarter of 2018.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us, we may not be able to sustain our future operations and may be required to suspend our research efforts and reduce or cease our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2017 contains an explanatory paragraph raising substantial doubt about our ability to continue as a going concern. Our financial statements do not include any adjustments that may be necessary in the event we are unable to continue as a going concern. We believe our current capital resources are sufficient to support our operations into the third quarter of 2018. Management intends to continue our research efforts and to finance our operations through debt and/or equity financings. Management plans to seek additional debt and/or equity financing through private or public offerings or through a business combination or strategic partnership. There can be no assurance that we will be successful in obtaining additional financing on favorable terms, or at all. These matters raise substantial doubt about our ability to continue as a going concern.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2017, we had an accumulated deficit of approximately $157 million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company through debt and equity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U.S. federal income tax reform could adversely affect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U.S. federal tax legislation, commonly referred to as the Tax Cuts and Jobs Act (TCJA), was signed into law, significantly reforming the U.S. Internal Revenue Code. The TCJA, among other things, includes changes to U.S. federal tax rates, limitation of the deduction for net operating losses to 80% of current year taxable income and elimination of net operating loss carrybacks. We have evaluated the effect of the TCJA on our net operating losses for the quarter and the year ending December 31, 2017. The estimated impact of the TCJA is based on our management’s current knowledge and assumptions and recognized impacts could be materially different from current estimates based on our actual results and our further analysis of the new law. The impact of the TCJA on holders of common shares is uncertain and could be adverse. This Annual Report on Form 10-K does not discuss any such tax legislation or the manner in which it might affect holders of our common stock. Investors should consult with their own tax advisors with respect to such legislation and the potential tax consequences of investing in our common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Since we are required to deliver unlegended registered shares of common stock to certain of the warrant holders acquiring warrants in our 2015, 2016 and 2017 financings upon exercise of such outstanding warrants, we have filed registration statements with the SEC to register such shares. The registration statements permit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a percentage of the product of (A) the aggregate number of shares not issued to the holder on a timely basis and to which the holder is entitled and</w:t>
      </w:r>
    </w:p>
    <w:p>
      <w:pPr>
        <w:spacing w:after="0" w:line="5" w:lineRule="exact"/>
        <w:rPr>
          <w:sz w:val="20"/>
          <w:szCs w:val="20"/>
          <w:color w:val="auto"/>
        </w:rPr>
      </w:pPr>
    </w:p>
    <w:p>
      <w:pPr>
        <w:jc w:val="both"/>
        <w:ind w:firstLine="8"/>
        <w:spacing w:after="0" w:line="268" w:lineRule="auto"/>
        <w:tabs>
          <w:tab w:leader="none" w:pos="2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useable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Food and Drug Administration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4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we have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United States Patent and Trademark Office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world-wide exclusive licenses on (i) a novel set of Class II HER2/neu+ peptide antigens, (ii) a novel Class I HER2/neu+ antigen, and (iii) a novel set of Class II Folate Receptor Alpha peptide antigens. As a result of these in-licenses, we could lose the right to develop each of the technologies if:</w:t>
      </w:r>
    </w:p>
    <w:p>
      <w:pPr>
        <w:spacing w:after="0" w:line="124" w:lineRule="exact"/>
        <w:rPr>
          <w:sz w:val="20"/>
          <w:szCs w:val="20"/>
          <w:color w:val="auto"/>
        </w:rPr>
      </w:pPr>
    </w:p>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our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federal Patient Protection and Affordable Care Act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short-term plans to build our own clinical or commercial scale manufacturing capabilities. We currently rely on third-party Contract Manufacturing Organizations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Current Good Manufacturing Practice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2017, we had seven full-time employees and a number of management and scientific consultants and advisors. 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the efforts and abilities of our Chief Executive Officer, Peter Hoang, our Acting Chief Medical Officer, Dr. Richard Kenney and our Senior Director of Molecular Biology &amp; Virology, Dr. Robert Florkiewicz, as well as the services of several key consultants. The loss or unavailability of the services of either of these individuals, and our inability to find suitable replacements, for any significant period of time could have a material adverse effect on our business, prospects,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Phase II clinical trials.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7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future revenues;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carry products and clinical trial liability insurance. There can be no assurance that future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18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our competitors or peers;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the Nasdaq Capital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Nasdaq Capital Market which would limit the ability of broker-dealers to sell our securities and the ability of stockholders to sell their securities in the secondary market.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Companies listed for trading on the Nasdaq Capital Market must be reporting issuers under Section 12 of the Securities Exchange Act, as amended. If we fail to file such reports in a timely manner, or if we fail to meet any other listing requirements, the shares of our common stock would eventually cease to be listed on the Nasdaq Capital Market, and the market liquidity for our securities could be severely adversely affected by limiting the ability of broker-dealers to sell our securities and the ability of stockholders to sell their securities in the secondary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currently authorized to issue 41.7 million shares of our common stock. As of December 31, 2017, we had 10.6 million shares of our common stock issued and outstanding, excluding shares issuable upon exercise of our outstanding warrants, options and shares of common stock earned but not yet issued under Omnibus Stock Option Plan. Those outstanding shares represent a minority of our authorized shares, meaning that the ownership position of the current stockholders could be diluted significantly were we to issue a large number of additional shares. For example, as of December 31, 2017, we had outstanding warrants and options to purchase an aggregate of approximately 7.0 million shares of our common stock with exercise prices ranging between $1.20 and $204.00 per share that will result in dilution if and when exercised.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2017, the fair value of the derivative liability–warrants was $9,000.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contains provisions which could make it more difficult for a third party to acquire us, even if closing such a transaction would be beneficial to our stockholders. These provisions may discourage certain types of coercive takeover practices and inadequate takeover bids and encourage persons seeking to acquire control of our company to first negotiate with our board. These provisions may delay or prevent someone from acquiring or merging with us, which may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own any real estate or other properties. We lease office space at 5 West Forsyth Street, Suite 200, Jacksonville, Florida 32202, for our principal business office on a five-year agreement due to expire on June 30, 2022. The rent is approximately $8,600 per month. We also rent a single office at 2815 Eastlake Avenue East in Seattle, Washington. The monthly rent is approximately $1,100. Additionally, we rent an office at the Florida Atlantic Research and Development Authority at 3651 FAU Blvd, Boca Raton, Florida on a month by month agreement. The monthly rent for the Boca Raton space is $750 per month. Lastly, we rent a 100 square-foot office in the Innovation Bio Business Center at Mayo Clinic Jacksonville at 4500 San Pablo Road, Jacksonville, Florida 32224. We are currently on a month by month term and the monthly rent is $275.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are not aware of any legal proceedings contemplated by any government authority or any other party involving the Company. As of the date of this annual report, no director, officer or affiliate is (i) a party averse to us in any legal proceeding, or (ii) has an adverse interest to us in any legal proceeding.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for trading on the Nasdaq Capital Market under the symbol “TPIV”. The following table sets forth, for the periods indicated, the high and low sales prices for the common stock since January 1, 2016, as reported on Nasdaq.com.</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2017</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Fourth Quarter</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Fiscal Year 2016</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Third Quarter</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7.15</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 Quarter</w:t>
            </w:r>
          </w:p>
        </w:tc>
        <w:tc>
          <w:tcPr>
            <w:tcW w:w="2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March 16, 2018, we had 515 stockholders of record whom are holding shares. The price of our common stock on March 16, 2018 was $3.65 per share.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recorded the issuances of the following securities during the fourth quarter of 2017 to the named individual pursuant to exemptions under the Securities Act of 1933, including Section 4(2):</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fourth quarter of 2017, 76,667 shares of common stock were issued pursuant to third parties consisting of (i) 50,000 shares to Caro Capital for services pursuant to a vendor agreement; (ii) 16,667 shares to Collision Capital for services pursuant to a vendor agreement; and (iii) 10,000 shares to a shareholder, pursuant to a restricted stock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2017 and December 31, 2016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Cancer Vaccines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cancer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(formerly)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 in Development-Clinical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is expressed in over 80% of triple-negative breast cancers and in addition, over 90% of ovarian cancers, for which the only treatment options are surgery, radiation therapy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TPIV200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Folate Alpha Breast and Ovarian Cancer – Mayo Clinic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21-patient Phase I clinical trial using TPIV200 was completed in 2015. The vaccine is well tolerated and safe and 20 out of 21 evaluable patients showed positive immune responses, which provided a strong rationale for progressing to Phase II trials. Good Manufacturing Practice (“GMP”) for Phase II trials resulted in a commercially viable formulation. On July 27, 2015, we exercised our option agreement with Mayo Clinic with the signing of a worldwide exclusive license agreement to commercialize the proprietary Folate Receptor Alpha Vaccine technology for all cancer indications. As part of this Agreement, the investigational new drug application (“IND”) for Folate Receptor Alpha (“TPIV200”) was transferred from Mayo Clinic to us for amendment to support our Phase II Clinical trials on our lead product.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announced the publication of clinical data from a Phase I trial of TPIV200, our multi-epitope T-cell vaccine targeting Folate Receptor Alpha (“FRa”) in patients with ovarian and breast cancer. The results show that TPIV200 vaccination was well tolerated by all patients and over 90% developed robust and durable antigen-specific immune responses against FRa without regard for HLA type, which aligns with the intended mechanism of action of the vaccine.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triple-negative breast and ovarian cancer in combination with other immunotherapeutics. This Phase II study of TPIV200 in the treatment of triple-negative breast cancer began enrolling patients in late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 cells.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FDA designated the investigation of multiple-epitope Folate Receptor Alpha peptide vaccine (TPIV200) with GM-CSF adjuvant for maintenance therapy in subjects with platinum-sensitive advanced ovarian cancer who achieved stable disease or partial response following completion of standard-of-care chemotherapy, as a Fast Track Development Program. We began enrolling a Phase II study in this indication in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multiple clinical sites and have completed enrollment of patients in a Phase II trial of our Folate Receptor Alpha cancer vaccine, TPIV200,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participation in an ovarian cancer study sponsored by Memorial Sloan Kettering Cancer Center in New York City in collaboration with AstraZeneca Pharmaceuticals in ovarian cancer patients who are not responsive to platinum, a commonly used chemotherapy for ovarian cancer. This study, a Phase II study of TPIV200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TPIV200 has received Orphan Drug designation for use in the treatment of ovarian cancer. Although we have no business relationship with AstraZeneca, we are paying for one-half of the costs of the clinical study in addition to providing our TPIV200 for the study.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Company-sponsored Phase II study in platinum-sensitive ovarian cancer patients was initiated in 2017. This study is designed to evaluate TPIV200 with GM-CSF in a randomized, placebo-controlled fashion during the first maintenance period after primary surgery and chemotherapy. Patients at this stage of their treatment have the highest potential for an immunotherapeutic effect and no other approved treatment options. The study will enroll up to 120 patients over the next year and a half, with an interim analysis planned in the first quarter of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TPIV100/110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Phase I study using TPIV100 (the four-peptide product) was completed in 2015. Final safety analysis on all the patients treated is complete and the product was shown to be safe. In addition, 19 out of 20 evaluable patients showed robust T-cell immune responses to the antigens in the vaccine composition, providing a solid case for advancement to Phase II in 2017. An additional secondary endpoint incorporated into this Phase I Trial was a two-year follow on recording time to disease recurrence in the participating breast cancer patients. A second trial is being started in 2018 that uses a novel vaccine strategy in patients with DCIS to eliminate disease and protect from recurrence.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producing TPIV110 (the five-peptide product). Management believes that the combination of Class I and Class II HER2/neu+ antigens, gives us the leading HER2/neu+ vaccine platform. We plan to amend the IND to incorporate the fifth peptide in the Phase I(b)/II study. Discussions with the FDA have resulted in a pre-clinical development project that should allow us to file the amended IND in the first half of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Products and Technology-Preclinical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State of 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totally funded by a $13.3 million grant from the U.S. Department of Defense to our collaborators at the Mayo Clinic in Jacksonville, Florida. A Company-sponsored trial in triple-negative breast cancer started during the second quarter of 2016 and a Company-sponsored trial in ovarian cancer was started in the fourth quarter of 2017. We believe that our development pipeline is strong and provides us the opportunity to continue to expand on collaborations with leading institutions and corporations.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Triple-Negative Breast Cancer Trials including application for Fast Track &amp;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TapImmune’s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746115" cy="3704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611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for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 We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GMP Manufacturing Scale Up and Second Clinical Lot of TPIV200; to Supply Additional Phase II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a multi-gram production scale-up as well as GMP manufacturing of a second clinical lot of TPIV200. The vaccine supply will be used in the company’s ongoing Phase II study in platinum-sensitive ovarian cancer, as well as the planned 280-patient Phase II study sponsored by the Mayo Clinic and funded by the U.S. Department of Defense for treating triple-negative breast cancer. We also made various improvements to the vaccine manufacturing process, resulting in, what we believe to be, a superior formulation of the vaccine that is more amenable to large-scale manufacturing and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 Pipeline Status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Announcement of Publication of Clinical Trial Results for the TPIV200 Cancer Vaccine in Clinical Cancer Research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announced the publication of clinical data from a Phase I trial of TPIV200, our multi-epitope T-cell vaccine targeting Folate Receptor Alpha (“FRa”) in patients with ovarian and breast cancer. The results show that TPIV200 vaccination was well tolerated by all patients and over 90% developed robust and durable antigen-specific immune responses against FRa without regard for HLA type, which aligns with the intended mechanism of action of the vaccine.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Enrollment Completed: Phase II TPIV200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enrollment and are now treating and following the patients in a Phase II trial of our Folate Receptor Alpha cancer vaccine, TPIV200, in the treatment of triple-negative breast cancer, one of the most difficult cancers to treat, representing a clear unmet medical need. The open-label, 80-patient clinical trial is designed to evaluate dosing regimens, adjuvants, efficacy, and immune responses in women with triple-negative breast cancer. Key data from the trial is expected to be included in a future Biologics License Application submission to the FDA for marketing clearance. This trial is sponsored and conducted by TapImmune.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independent Data Safety Monitoring Board (DSMB) reviews the safety every quarter in this ongoing Phase II study enrolling women with stage I-III triple-negative breast cancer who have completed initial surgery and chemo/radiation therapy. The randomized four-arm study is evaluating two doses of TPIV200 (a high dose and a low dose), each of which will be tested both with and without immune priming with cyclophosphamide prior to vaccination. Safety reviews are conducted quarterly and have shown no safety issues. The study completed enrollment at the end of 2017, with interim data expected in mid-2018. Details regarding this trial can be found at www.clinicaltrials.gov under identifier numbers NCT02593227 and FRV-002.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Enrolling Patients: Phase II TPIV200 Trial in Platinum-Sensitive Ovarian Cancer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opened multiple clinical sites and have enrolled the first 12 patients in a Phase II trial of TPIV200 for a 120-patient study on ovarian cancer patients who are responsive to platinum. We have received the FDA’s Fast Track designation to develop TPIV200 as a maintenance therapy in combination with platinum, in platinum-responsive ovarian cancer patients, including women with Stage III and IV ovarian cancer who are in remission following their first round of successful platinum-based chemotherapy. This multi-center, double-blind efficacy study is sponsored and conducted by TapImmune. We expect to complete enrollment mid-2019. An interim analysis is planned based upon 50% patient enrollment, which we anticipate completing in the first half of 2019. Details regarding this trial can be found at www.clinicaltrials.gov under identifier numbers NCT02978222 and FRV-004.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Mayo Clinic-U.S. DOD Trial of TPIV200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Patients are being enrolled in this Phase II study of TPIV200 in the treatment of triple-negative breast cancer, conducted by the Mayo Clinic and sponsored by the U.S. DOD. The 280-patient study is led by Dr. Keith Knutson of the Mayo Clinic in Jacksonville, Florida. Dr. Knutson is the inventor of the technology and a member of the Scientific Advisory Board at TapImmune. While we are supplying doses of TPIV200 for the trial and being reimbursed for the costs associated with manufacturing, the remaining costs associated with conducting this study will be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TPIV200 in Platinum-Resistant Ovarian Cancer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Phase II study of TPIV200 in ovarian cancer patients who are not responsive to platinum, a commonly used chemotherapy for ovarian cancer, sponsored by Memorial Sloan Kettering Cancer Center (“MSKCC”), and in collaboration with AstraZeneca and TapImmune, has begun enrollment for a 40-patient study. The open-label study is designed to evaluate a combination therapy which includes our TPIV200 T-cell vaccine and AstraZeneca’s checkpoint inhibitor, durvalumab. Because they are unresponsive to platinum, these patients have no real remaining options. If the combination therapy proves effective, we believe it would address a critical unmet need. TPIV200 has received Orphan Drug designation for use in the treatment of ovarian cancer. We successfully completed enrollment of the first safety cohort. This may enable MSKCC to increase the number of patients that can be enrolled and will subsequently increase the study’s enrollment rate. Currently more than 50% of patients have been enrolled. An interim analysis is planned in the first half of 2018. Details regarding this trial can be found at www.clinicaltrials.gov under identifier numbers NCT02764333 and 16-011.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TPIV110 in 2018: Phase II Protocol Now in Preparation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enhanced the formulation of our second cancer vaccine product, TPIV110 (the five-peptide product), following very strong safety and immune responses from a Phase I Mayo Clinic study using TPIV100 (the four-peptide product). TPIV110 targets HER2/neu+, which makes it applicable to breast, ovarian, and colorectal cancers. The enhanced TPIV product adds a fifth antigen which should produce an even more robust immune response activating both CD4+ (helper) and CD8+ (killer) T-cells. We have participated in a pre-Investigational New Drug (“pre-IND”) meeting with the FDA and will file the amended IND containing the fifth peptide early in 2018. The protocol for a Phase II trial of TPIV110 in the treatment of HER2/neu+ positive breast cancer patients is currently under review by our Clinical Advisory Board and collaborators.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Clinic to Vaccinate Women With Ductal Carcinoma In Situ (DCIS) Using TapImmune TPIV100 HER2-targeted T-Cell Vaccine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14, 2017, we announced that our partners at the Mayo Clinic received a grant from the U.S. Department of Defense to conduct a Phase IB study of our HER2-targeted vaccine candidate in an early form of breast cancer called DCIS. This is the second TapImmune vaccine to be tested in a fully funded study sponsored by the Mayo Clinic. Our collaborators at Mayo Clinic announced a $3.8 million grant which we believe would fully fund this trial. If the study is successful, our vaccine may eventually augment or even replace standard surgery and chemotherapy, and potentially could become part of a routine immunization schedule for preventing breast cancer in healthy women. The study is expected to enroll 40-45 women with DCIS and begin to commence such enrollment during early 2018.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Reverse Stock Split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2016, we effected a one-for-twelve reverse split of our common shares. The common shares began trading on a split-adjusted basis on September 16, 2016. The reverse stock split was effected in connection with our intention to apply to list our common stock on the Nasdaq Capital Market. On November 2, 2016, we received notification that our common stock was approved for listing on The Nasdaq Capital Market and it began trading on Tuesday, November 8, 2016 under the ticker symbol “TPIV.”</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Private Placement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2017, we completed private placements of units with certain accredited investors. In the private placement transaction, we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We issued and sold an aggregate of 1,503,567 units for aggregate gross proceeds of $6.2 million. We incurred $0.8 million in agency fees and legal costs. In connection with the offering, we reduced the exercise price for the warrants to purchase an aggregate of 653,187 shares of common stock issued to investors in the private placement that closed in August 2016 from $6.00 per share to $3.97 per share.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issued five-year warrants to the placement agent in the offering providing for the purchase of up to 150,357 shares of our common stock for $3.97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320" w:type="dxa"/>
            <w:vAlign w:val="bottom"/>
          </w:tcPr>
          <w:p>
            <w:pPr>
              <w:jc w:val="center"/>
              <w:ind w:left="79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32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Warrant Shares</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Pre-reduced</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Post-reduced</w:t>
            </w:r>
          </w:p>
        </w:tc>
      </w:tr>
      <w:tr>
        <w:trPr>
          <w:trHeight w:val="234"/>
        </w:trPr>
        <w:tc>
          <w:tcPr>
            <w:tcW w:w="3360" w:type="dxa"/>
            <w:vAlign w:val="bottom"/>
          </w:tcPr>
          <w:p>
            <w:pPr>
              <w:ind w:left="1920"/>
              <w:spacing w:after="0"/>
              <w:rPr>
                <w:sz w:val="20"/>
                <w:szCs w:val="20"/>
                <w:color w:val="auto"/>
              </w:rPr>
            </w:pPr>
            <w:r>
              <w:rPr>
                <w:rFonts w:ascii="Arial" w:cs="Arial" w:eastAsia="Arial" w:hAnsi="Arial"/>
                <w:sz w:val="18"/>
                <w:szCs w:val="18"/>
                <w:b w:val="1"/>
                <w:bCs w:val="1"/>
                <w:color w:val="auto"/>
              </w:rPr>
              <w:t>Series</w:t>
            </w:r>
          </w:p>
        </w:tc>
        <w:tc>
          <w:tcPr>
            <w:tcW w:w="232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Repriced</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Series D</w:t>
            </w:r>
          </w:p>
        </w:tc>
        <w:tc>
          <w:tcPr>
            <w:tcW w:w="2320" w:type="dxa"/>
            <w:vAlign w:val="bottom"/>
          </w:tcPr>
          <w:p>
            <w:pPr>
              <w:jc w:val="right"/>
              <w:spacing w:after="0"/>
              <w:rPr>
                <w:sz w:val="20"/>
                <w:szCs w:val="20"/>
                <w:color w:val="auto"/>
              </w:rPr>
            </w:pPr>
            <w:r>
              <w:rPr>
                <w:rFonts w:ascii="Arial" w:cs="Arial" w:eastAsia="Arial" w:hAnsi="Arial"/>
                <w:sz w:val="18"/>
                <w:szCs w:val="18"/>
                <w:color w:val="auto"/>
              </w:rPr>
              <w:t>312,500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Agent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an agency agreement, dated May 12, 2017, by and between Katalyst Securities LLC and us, Katalyst agreed to act as our placement agent in connection with the June 26, 2017 private placement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agreement, we agreed to pay to Katalyst: (i) an aggregate cash fee for placement agent and financial advisory services equal to 10% of the gross proceeds of the Offering; (ii) a non-accountable expense allowance in the amount of Seventy Thousand Dollars ($70,000); and (iii) five-year warrants to purchase a number of shares of our common stock equal to 10% of the number of shares sold in the offering. The Katalyst Warrants have the same terms as the private placement warrants issued in the offering. Based on the 1,503,567 shares of common stock sold in the private placement, we issued five-year warrants to Katalyst providing for the purchase of up to 150,357 shares of Company common stock for $3.97 per share.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u w:val="single" w:color="auto"/>
          <w:color w:val="auto"/>
        </w:rPr>
        <w:t>Previous Funding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previous funding has come from financings that we conducted in January and March of 2015, from the exercises of stock warrants. In our August 2016 private placement, we completed private placements of units with certain accredited investors. The units consisted of (i) one share of our common stock, par value $0.001 per share and (ii) one five-year warrant to purchase one share of our common stock for $6.00. We issued and sold an aggregate of 653,187 units at a purchase price per unit of $4.80 for an aggregate of $3.1 million. We incurred $0.8 million in agency fees and legal costs. In addition, we issued five-year warrants to the placement agent in the offering providing for the purchase of up to 65,327 shares of our common stock for $4.80 per share. In connection with the August 2016 private placement, holders of an aggregate of 583,333 outstanding Series C Warrants and 416,667 Series C-1 Warrants, each providing for the purchase of one share of our common stock for $6.00 per share, exercised their warrants for an aggregate exercise price of $6.0 million.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Preparation of our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stock-based transactions, the fair value of the components of the convertible notes payable, foreign exchange gains and losses, and accrued liabilities. Matters impacting our ability to continue as a going concern and contingencies also involve the use of estimates and assumptions.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certain of our financial instruments, including cash and cash equivalents, accrued compensation, and other accrued liabilities, approximate cost because of their short maturities. We measure the fair value of certain of our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87" w:lineRule="exact"/>
        <w:rPr>
          <w:sz w:val="20"/>
          <w:szCs w:val="20"/>
          <w:color w:val="auto"/>
        </w:rPr>
      </w:pPr>
    </w:p>
    <w:p>
      <w:pPr>
        <w:ind w:left="1240" w:hanging="192"/>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1040" w:firstLine="8"/>
        <w:spacing w:after="0" w:line="264" w:lineRule="auto"/>
        <w:tabs>
          <w:tab w:leader="none" w:pos="12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1040" w:firstLine="8"/>
        <w:spacing w:after="0" w:line="277" w:lineRule="auto"/>
        <w:tabs>
          <w:tab w:leader="none" w:pos="13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our stock-based awards are expected to be outstanding based on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compute stock price volatility over expected terms based on our historical common stock trading prices.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base the risk-free interest rate on the implied yield available on U. S. Treasury zero-coupon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declared or paid any cash dividends on our common shares and does not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therefore, use an expected dividend yield of zero in our valuation models. We recognize fair value of stock options granted to nonemployees as stock-based compensation expense over the period in which the related services are received.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our convertible debt, options, warrants or other contracts to determine if those contracts or embedded components of those contracts qualify as derivatives to be separately accounted.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twelve months of the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our stock. An entity should use a two-step approach to evaluate whether an equity-linked financial instrument (or embedded feature) is indexed to its own stock, including evaluating the instrument’s contingent exercise and settlement provisions. The application of this exercise affects the accounting for (i) certain freestanding warrants that contain exercise price adjustment features and (ii) convertible notes containing full-ratchet and anti-dilution protections (iii) certain free-standing warrants that contain contingently puttable cash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a net loss of $11.0 million or ($1.16) basic and diluted per share during the year ended December 31, 2017 compared to a net loss of $2.5 million or ($0.36) basic per share and ($0.72) diluted per share during the year ended December 31,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incurred during the fiscal year ended December 31, 2017 were $11.7 million compared to $8.5 million in the prior year. Significant changes and expenditures are outlined as follows:</w:t>
      </w:r>
    </w:p>
    <w:p>
      <w:pPr>
        <w:spacing w:after="0" w:line="170"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Research and development costs during the fiscal year ended December 31, 2017 were $5.3 million compared to $3.8 million during the prior fiscal year. This was due to our increases from prior period for planned expenses relating to our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and administrative expenses increased to $6.4 million during the year ended December 31, 2017 from $4.7 million during the prior period. The increased expenses period over period were attributable to the following:</w:t>
      </w:r>
    </w:p>
    <w:p>
      <w:pPr>
        <w:spacing w:after="0" w:line="170"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stock-based compensation relating to stock grants pursuant to Peter Hoang’s and Glynn Wilson’s employment agreements,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audit and other professional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relating to our shareholder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fair value of warrant liabilities for the year ended December 31, 2017 was $5,500 as compared to $5.9 million for the year ended December 31, 2016. On August 10, 2016, we amended the Series A and A-1, Series C and C-1, Series D and D-1 and Series E and E-1 warrants agreements issued by us in January and March 2015 to remove the clause that caused the warrants to be classified as warrant liabilities, and the variance period over period is due to that reason.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warrant liabilities decreased by $5,500 for the year ended December 31, 2017 and is reflected by a corresponding loss in the condensed consolidated statement of operations. This compares to a decrease in the fair value of derivative liabilities for the year ended December 31, 2016 of $5.9 million. We revalue the derivative liabilities at each balance sheet date to fair value. The fair value is determined using Black-Scholes valuation model using various assumptions. The two most significant changes in the assumptions were the difference in the strike price and the number of warrants with derivative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2003 we entered into a license agreement with a foreign based third-party for certain adenovirus technology. The license agreement was amended several times between inception and 2008 at which time it was amended and restated and had a fixed three-year term expiring in 2011. During such time, we did not pursue the technology and have not undertaken further work in the area covered by the technology license. Neither we nor the third-party took further actions under or pursuant to the license agreement. We carried a historical accrual of approximately $0.5 million under the amended license agreement related to certain obligations provided for in the license agreement. The license agreement was governed by the laws of a foreign jurisdiction. We sought and obtained legal advice related to such accrued obligations under the expired license agreement. We relied upon a judicial conclusion, as opined upon by outside legal counsel in the applicable foreign jurisdiction, that a court in such foreign jurisdiction would grant relief releasing us from liability under the license agreement, and in accordance with Accounting Standards Codification 405 “Extinguishment of Liabilities”, we recorded a debt extinguishment gain of $0.5 million and reduced the liability amount owed to $0 during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2017 and 2016, we received $0.2 million of a grant awarded to Mayo Foundation from the U.S. Department of Defense for the Phase II Clinical Trial of TPIV200. The grant compensated us for our out-of-pocket costs associated with clinical supplies which were manufactured and provided by us for the clinical study.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auto"/>
        </w:rPr>
        <w:t>Shares issued in debt settlement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we incurred $0.1 million loss in connection with shares issued to satisfy outstanding debt agreements from previous years.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number of shares outstanding were 9.5 million basic and diluted for the year ended December 31, 2017 compared to 6.9 million basic and 7.4 million diluted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The following table sets forth our cash and working capital as of December 31, 2017 and 2016:</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20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December 31, 2017</w:t>
            </w:r>
          </w:p>
        </w:tc>
        <w:tc>
          <w:tcPr>
            <w:tcW w:w="1560" w:type="dxa"/>
            <w:vAlign w:val="bottom"/>
            <w:gridSpan w:val="7"/>
          </w:tcPr>
          <w:p>
            <w:pPr>
              <w:spacing w:after="0"/>
              <w:rPr>
                <w:sz w:val="20"/>
                <w:szCs w:val="20"/>
                <w:color w:val="auto"/>
              </w:rPr>
            </w:pPr>
            <w:r>
              <w:rPr>
                <w:rFonts w:ascii="Arial" w:cs="Arial" w:eastAsia="Arial" w:hAnsi="Arial"/>
                <w:sz w:val="18"/>
                <w:szCs w:val="18"/>
                <w:b w:val="1"/>
                <w:bCs w:val="1"/>
                <w:color w:val="auto"/>
                <w:w w:val="94"/>
              </w:rPr>
              <w:t>December 31, 2016</w:t>
            </w: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7,851,000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Working Capital</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3,658,000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6,185,000</w:t>
            </w:r>
          </w:p>
        </w:tc>
        <w:tc>
          <w:tcPr>
            <w:tcW w:w="80" w:type="dxa"/>
            <w:vAlign w:val="bottom"/>
          </w:tcPr>
          <w:p>
            <w:pPr>
              <w:spacing w:after="0"/>
              <w:rPr>
                <w:sz w:val="20"/>
                <w:szCs w:val="20"/>
                <w:color w:val="auto"/>
              </w:rPr>
            </w:pPr>
          </w:p>
        </w:tc>
      </w:tr>
      <w:tr>
        <w:trPr>
          <w:trHeight w:val="418"/>
        </w:trPr>
        <w:tc>
          <w:tcPr>
            <w:tcW w:w="82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The following table summarizes our cash flows for the years ended December 31, 2017 and 2016: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9"/>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8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50"/>
              <w:spacing w:after="0"/>
              <w:rPr>
                <w:sz w:val="20"/>
                <w:szCs w:val="20"/>
                <w:color w:val="auto"/>
              </w:rPr>
            </w:pPr>
            <w:r>
              <w:rPr>
                <w:rFonts w:ascii="Arial" w:cs="Arial" w:eastAsia="Arial" w:hAnsi="Arial"/>
                <w:sz w:val="18"/>
                <w:szCs w:val="18"/>
                <w:color w:val="auto"/>
              </w:rPr>
              <w:t>(8,439,000)</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(6,510,000)</w:t>
            </w:r>
          </w:p>
        </w:tc>
      </w:tr>
      <w:tr>
        <w:trPr>
          <w:trHeight w:val="230"/>
        </w:trPr>
        <w:tc>
          <w:tcPr>
            <w:tcW w:w="8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Financing activities</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5,717,000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7,785,000</w:t>
            </w:r>
          </w:p>
        </w:tc>
        <w:tc>
          <w:tcPr>
            <w:tcW w:w="80" w:type="dxa"/>
            <w:vAlign w:val="bottom"/>
            <w:shd w:val="clear" w:color="auto" w:fill="CCEEFF"/>
          </w:tcPr>
          <w:p>
            <w:pPr>
              <w:spacing w:after="0"/>
              <w:rPr>
                <w:sz w:val="19"/>
                <w:szCs w:val="19"/>
                <w:color w:val="auto"/>
              </w:rPr>
            </w:pPr>
          </w:p>
        </w:tc>
      </w:tr>
      <w:tr>
        <w:trPr>
          <w:trHeight w:val="223"/>
        </w:trPr>
        <w:tc>
          <w:tcPr>
            <w:tcW w:w="8200" w:type="dxa"/>
            <w:vAlign w:val="bottom"/>
          </w:tcPr>
          <w:p>
            <w:pPr>
              <w:ind w:left="5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(2,722,000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2017, we completed private placements of units with certain accredited investors. In the private placement transaction, we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We issued and sold an aggregate of 1,503,567 million units for aggregate gross proceeds of $6.2 million. We incurred $0.8 million in agency fees and legal costs. In connection with the offering, we reduced the exercise price for the warrants to purchase an aggregate of 653,187 shares of common stock issued to investors in the private placement that closed in August 2016 from $6.00 per share to $3.97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Previous Funding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previous funding has come from financings that we conducted in January and March of 2015, from the exercises of stock warrants. In our August 2016 private placement, we completed private placements of units with certain accredited investors. The units consisted of (i) one share of our common stock, par value $0.001 per share and (ii) one five-year warrant to purchase one share of our common stock for $6.00. We issued and sold an aggregate of 653,187 units at a purchase price per unit of $4.80 for an aggregate of $3.1 million. We incurred $0.8 million in agency fees and legal costs. In addition, we issued five-year warrants to the placement agent in the offering providing for the purchase of up to 65,327 shares of our common stock for $4.80 per share. In connection with the August 2016 private placement, holders of an aggregate of 583,333 outstanding Series C Warrants and 416,667 Series C-1 Warrants, each providing for the purchase of one share of our common stock for $6.00 per share, exercised their warrants for an aggregate exercise price of $6.0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we had working capital of $3.8 million, compared to working capital of $6.2 million as of December 31, 2016. We expect our expenses to continue at a similar pace into 2018 primarily to continue funding our in-process Phase II clinical trials. Two of our clinical studies are expected to be funded by a total of $17.1 million of grants made by the DOD to the Mayo Clinic. Our collaborators at Mayo Clinic announced a $3.8 million grant which we expect would fully fund a Phase II clinical trial in DCIS that we had planned for our HER2/neu+ vaccine.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requirements for 2018 and beyond will depend on numerous factors, including the success of our research and development, the resources we devote to develop and support our technologies and our success in pursuing strategic licensing and funded product development collaborations with external partners as well as other strategic initiatives we may determine to pursue. Subject to our ability to raise additional capital, we expect to incur substantial expenditures to further develop our technologies including continued increases in costs related to research, nonclinical testing and clinical studies and trials, as well as costs associated with our capital raising efforts and being a public company.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existing cash will fund our operations into the third quarter of fiscal 2018. We will require substantial additional capital to conduct research and development, to fund nonclinical testing and Phase II clinical trials of our licensed, patented technologies, and to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could generate sufficient resources to ensure continuation of our operations and research and development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could restrict our operations. We also will require additional capital beyond our currently forecasted amounts.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81" w:lineRule="exact"/>
        <w:rPr>
          <w:sz w:val="20"/>
          <w:szCs w:val="20"/>
          <w:color w:val="auto"/>
        </w:rPr>
      </w:pPr>
    </w:p>
    <w:p>
      <w:pPr>
        <w:ind w:left="880" w:hanging="31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880" w:hanging="318"/>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880" w:hanging="31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transactions we may undertake;</w:t>
      </w:r>
    </w:p>
    <w:p>
      <w:pPr>
        <w:spacing w:after="0" w:line="225" w:lineRule="exact"/>
        <w:rPr>
          <w:rFonts w:ascii="Arial" w:cs="Arial" w:eastAsia="Arial" w:hAnsi="Arial"/>
          <w:sz w:val="18"/>
          <w:szCs w:val="18"/>
          <w:color w:val="auto"/>
        </w:rPr>
      </w:pPr>
    </w:p>
    <w:p>
      <w:pPr>
        <w:ind w:left="880" w:hanging="31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and collaborations, licensing or other arrangements and the financial terms of such agreements;</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achieve our milestones under our licensing arrangements and the payment obligations we may have under such agreements;</w:t>
      </w:r>
    </w:p>
    <w:p>
      <w:pPr>
        <w:spacing w:after="0" w:line="236" w:lineRule="exact"/>
        <w:rPr>
          <w:rFonts w:ascii="Arial" w:cs="Arial" w:eastAsia="Arial" w:hAnsi="Arial"/>
          <w:sz w:val="17"/>
          <w:szCs w:val="17"/>
          <w:color w:val="auto"/>
        </w:rPr>
      </w:pPr>
    </w:p>
    <w:p>
      <w:pPr>
        <w:ind w:left="880" w:hanging="318"/>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 However the Company cannot guarantee it will be successful in raising funds in the future.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have approximately $41.7 million of federal and $21.9 million of state Net Operating Loss (“NOL”s) that may be available to offset future taxable income, if any. The federal net operating loss carryforwards, if not utilized, will expire between 2029 and 2037. The state net operating loss carryforwards, if not utilized, will expire in 2037.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and 2016, we recorded a 100% valuation allowance against our deferred tax assets of approximately $16.7 million and $13.8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are incorporated herein by reference to pages F-1 to F-24 at the end of this report and the supplementary data is not applicable.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changes in, or disagreements with our principal independent accountants.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2017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2017. Based on that evaluation, our principal executive officer and principal financial officer concluded that our disclosure controls and procedures were effective as of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Exchange Act Rule 13a15(f). Under the supervision and with the participation of our management, including our principal executive, financial and accounting officer, we conducted an evaluation of the effectiveness of our internal controls over financial reporting as of December 31, 2017. This evaluation was based on the framework in Internal Control-Integrated Framework (2013) issued by the Committee of Sponsoring Organizations of the Treadway Commission ("COSO"). Based on this evaluation, our management concluded that our internal control over financial reporting was effective as of December 31, 2017. The Company’s internal control over financial reporting as of December 31, 2017 has not been audited by the Company’s independent accountants.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2017 and as of the date of this filing, we have completed remediation on the five material weaknesses identified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filed in March 2017. During the year ended December 31, 2017, we:</w:t>
      </w:r>
    </w:p>
    <w:p>
      <w:pPr>
        <w:spacing w:after="0" w:line="211" w:lineRule="exact"/>
        <w:rPr>
          <w:sz w:val="20"/>
          <w:szCs w:val="20"/>
          <w:color w:val="auto"/>
        </w:rPr>
      </w:pPr>
    </w:p>
    <w:p>
      <w:pPr>
        <w:ind w:firstLine="8"/>
        <w:spacing w:after="0" w:line="258"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prepared a comprehensive entity-wide risk assessment to identify, evaluate and ultimately report on risks to financial reporting throughout the organization. Following this assessment, we undertook an action plan to strengthen internal controls and procedures;</w:t>
      </w:r>
    </w:p>
    <w:p>
      <w:pPr>
        <w:spacing w:after="0" w:line="1" w:lineRule="exact"/>
        <w:rPr>
          <w:rFonts w:ascii="Arial" w:cs="Arial" w:eastAsia="Arial" w:hAnsi="Arial"/>
          <w:sz w:val="18"/>
          <w:szCs w:val="18"/>
          <w:color w:val="auto"/>
        </w:rPr>
      </w:pPr>
    </w:p>
    <w:p>
      <w:pPr>
        <w:ind w:firstLine="8"/>
        <w:spacing w:after="0" w:line="250" w:lineRule="auto"/>
        <w:tabs>
          <w:tab w:leader="none" w:pos="6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prepared comprehensive documentation, including process flows, and risk control matrices for key financial processes and tested key controls for design and operating effectiveness;</w:t>
      </w: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further segregated duties within our finance and accounting functions, to ensure that incompatible duties are segregated;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right="20" w:firstLine="8"/>
        <w:spacing w:after="0" w:line="291" w:lineRule="auto"/>
        <w:tabs>
          <w:tab w:leader="none" w:pos="511"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implemented and tested a new process in connection with our year-end financial close to more fully document our identification of related parties and related party transactions, to ensure that all material transactions and developments impacting the financial statements are reflected and properly recorded;</w:t>
      </w:r>
    </w:p>
    <w:p>
      <w:pPr>
        <w:ind w:firstLine="8"/>
        <w:spacing w:after="0" w:line="250" w:lineRule="auto"/>
        <w:tabs>
          <w:tab w:leader="none" w:pos="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implemented and tested new processes to more fully document and test our accounting operations throughout the organization, including the review, supervision and monitoring taking place;</w:t>
      </w:r>
    </w:p>
    <w:p>
      <w:pPr>
        <w:ind w:firstLine="8"/>
        <w:spacing w:after="0" w:line="250" w:lineRule="auto"/>
        <w:tabs>
          <w:tab w:leader="none" w:pos="5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expanded the personnel resources allocated to our internal controls over financial reporting, and the activities performed for us, by contracting two external firms; and</w:t>
      </w:r>
    </w:p>
    <w:p>
      <w:pPr>
        <w:jc w:val="both"/>
        <w:ind w:firstLine="8"/>
        <w:spacing w:after="0" w:line="255"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implemented and tested a whistleblower policy, with a hotline number allowing for anonymous communications, to encourage open and effective channels of information in order to help ensure the accuracy and reliability of our financial statements and disclosures and identification of possible fraudulent activities.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2017 and as of the date of this filing, the Company has completed remediation of the material weaknesses identified in the Company’s annual report on Form 10-K, filed in March 2017. Otherwise, there were no changes in the Company's internal control over financial reporting identified in connection with the evaluation required by paragraph (d) of the Exchange Act Rules 13a-15 or 15d15 that occurred during the quarter ended December 31, 2017 that materially affected, or were reasonably likely to materially affect,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disclosure set forth below is provided in lieu of a separate Form 8-K filing that otherwise would have been required with respect to Item 1.01 Entry into a Material Definitive Agreement of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Directors and Officers</w:t>
      </w:r>
    </w:p>
    <w:p>
      <w:pPr>
        <w:spacing w:after="0" w:line="229"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On March 23, 2018, we entered into indemnification agreements (the “Indemnification Agreements”) with each of our current directors and officers (collectively the “Indemnitees”). The Indemnification Agreements clarify and supplement indemnification provisions already contained in our Bylaws and generally provide that we shall indemnify the Indemnitees to the fullest extent permitted by Nevada law, subject to certain exceptions, against expenses, judgments, fines and other amounts actually and reasonably incurred in connection with their service as a director or officer and also provide for rights to advancement of expenses and contribution. The foregoing description of the Indemnification Agreements is qualified in its entirety by the form of Indemnification Agreement incorporated herein by reference as Exhibit 10.27 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Compensatory Arrangements of Certain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Awards 2017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23, 2018 the Board of Directors approved a discretionary 2017 cash bonus award for Peter Hoang, our Chief Executive Officer in the amount of $11,300.</w:t>
      </w:r>
    </w:p>
    <w:p>
      <w:pPr>
        <w:spacing w:after="0" w:line="163"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On March 23, 2018 the Compensation Committee approved 2017 bonus awards for each of Dr. Wilson, our executive Chairman and strategic advisor and Mr. Loiacono, our Chief Financial Officer for their performance during 2017 in the amounts of $25,600 and $30,000,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annual report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Age</w:t>
            </w:r>
          </w:p>
        </w:tc>
        <w:tc>
          <w:tcPr>
            <w:tcW w:w="1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 with the Company</w:t>
            </w: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Dr. Glynn Wilson</w:t>
            </w:r>
          </w:p>
        </w:tc>
        <w:tc>
          <w:tcPr>
            <w:tcW w:w="1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Chairman of the Board</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Peter L. Hoang</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Chief Executive Officer and a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Sherry Grisewood</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David Laskow-Pooley</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Mark Reddish</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Joshua Silverman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Frederick Wasserman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Michael J. Loiacono</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 and 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Chairman of the Board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Dr. Wilson has served as a director since February 2005 and served as a chairman since July 2009. Dr. Wilson currently serves as a strategic advisor to the Company. Dr. Wilson served as Chief Executive Officer between July 2009 and September 2017 and served as our President between November 2015 and September 2017 (except between July 2016 and April 2017 where a former officer served as President), following which Mr. Hoang was appointed to serve as President and Chief Executive Officer. Prior to joining us, Dr. Wilson was President and Chief Scientific Officer of Auriga Pharmaceuticals, a public specialty pharmaceutical company. Dr. Wilson was Research Area Head, Cell and Molecular Biology in Advanced Drug Delivery at Ciba-Geigy Pharmaceuticals from 1984-1989 and Worldwide Head of Drug Delivery at SmithKline Beecham from 1989 to 1994. He was the Chief Scientific Officer at Tacora Corporation from 1994 to 1997 and was the Vice-President, R&amp;D, at Access Pharmaceuticals from 1997 to 1998. Dr. Wilson was President and Chief Scientific Officer of Auriga Pharmaceuticals, a public specialty pharmaceutical company from 2004 until 2006. He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 President and Chief Executive Officer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Hoang has served as a director since September 2017. Mr. Hoang also serves as our President and Chief Executive Officer, positions which he commenced, September 22, 2017 succeeding Dr. Wilson, who remains as our Chairman. Prior to joining us, Mr. Hoang served as Senior Vice President of Business Development and Strategy at Bellicum Pharmaceuticals from [November 2014 to March 2017, as the Managing Director of Innovations at The University of Texas MD Anderson Cancer Center, where he headed the new venture formation and development effort for the institution from September 2012 to November 2014. Before joining MD Anderson, Mr. Hoang served as a senior investment banker from November 2010 to March 2012, most recently as Managing Director and head of healthcare mergers &amp; acquisitions advisory for CIT Group. Mr. Hoang has also served in the M&amp;A departments at Oppenheimer, J.P. Morgan, Merrill Lynch, and Deutsche Bank. He earned an M.B.A. with high honors distinction from the Anderson School of Management at UCLA and a B.A. from Yale University.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Mr. Hoang brings over twenty years of investment banking, venture capital, immuno-oncology and public company executive management experience to us.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Ms. Grisewood has served as a director since March 2013. Between December 2012 and June 2017, Ms. Grisewood was associated with Dawson James Securities Inc., first as Managing Director, Corporate Finance until September 2015 and most recently as Managing Partner, Life Science Research. Prior to joining Dawson James, over a 12-year period as an investment banker Ms. Grisewood led Lifesciences specialty investment banking practices for two New York-based investment banks and acted as an independent strategic advisor and consultant in life sciences. Prior to consulting for investment banks, Ms. Grisewood served as Director of Research for a mid-tier brokerage company and a leading independent investment research company. She currently serves on the Board of Mobitech Regenerative Medicine, a private medical device company, and has served as a Board member of BRTI Life Sciences and Conception Technology, both private medical device companies. Ms. Grisewood is a member of the American Society of Gene and Cell Therapy, the Tissue Engineering and Regenerative Medicine Society International, Women in Bio and the CFA Institute. Ms. Grisewood holds a Bachelor of Science degree in Life Science from Ramapo College of New Jersey.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Grisewood has over 30 years of securities industry experience in a range of investment banking, advisory and research-related activities and Ms. Grisewood brings a wealth of knowledge about the securities and biomedical industries to us. Ms. Grisewood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leading-edge device technologies for life science special situations.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Laskow-Pooley has served as a director since March 2015. Mr. Laskow-Pooley is currently CEO of LondonPharma Ltd, a clinical stage company re-purposing approved drugs through novel drug delivery technologies, where he has been employed since April 2012. He is also a Co-founder of Pharmafor Ltd, a small company incubator. Mr. Laskow-Pooley was formerly Managing Director (UK) of Nasdaq-listed drug discovery platform company, OSI, where he was employed from 2002 to 2004. Mr. Laskow-Pooley also was part of the corporate team that developed and launched Tarceva for the treatment of lung cancer with marketing partners Roche and Genentech. Mr. Laskow-Pooley is a pharmacist with more than 40 years of experience in the Pharmaceutical, Diagnostic and Device sectors, and has had a distinguished career in multinational pharmaceutical companies including Glaxo SmithKline and Abbott, in addition to Life Technologies (Biotech Life Sciences) and Amersham, now GE Healthcare (Diagnostic Imaging). Mr. Laskow-Pooley currently serves on the boards of directors of Pharmafor Ltd, a UK private company and Neurovive AB, a Swedish and US public company. Mr. Laskow-Pooley attended the Sunderland School of Pharmacy and received his BS degree in Pharmacy.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extensive experience in the pharmaceutical industry, and with start-up and early stage pharmaceutical/biotech organizations, to us.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Reddish, Director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Reddish has served as a director since April 2012. Mr. Reddish joined the Company as Vice-President of Product Development between November 2011, and February 2012. Mr. Reddish previously served as Vice President of Product Development and Principal Investigator, Biodefense at ID Biomedical, Bothell, WA, where he was employed from 1998 to 2005. At Biomira Inc. (renamed Oncothyreon), where he was senior director of Research Immunology from 1991 to 1998, he was responsible for development of their FDA approved tumor marker assays (CA15-3, CA-125, CA19-9, PSA) and lead early research and clinical development of their immunotherapeutic vaccine program. Mr. Reddish has a degree in Biology from Bates College.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Reddish brings thirty-five years of biomedical experience ranging from clinical and academic research to industrial product development and has already brought significant value and insight to us. Mr. Reddish has over 50 publications in the areas of immunology and microbiology and a number of issued and pending patents in the area of vaccine technologies.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Frederick Wasserman, Director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Wasserman has served as a director since January 2016. Mr. Wasserman is a business executive with over 35 years of business experience, having served at various companies in roles including Chief Executive Officer, President, Chief Operating Officer and Chief Financial Officer. Mr. Wasserman is currently the President of FGW Partners LLC, Pennington, NJ, where he has been employed since 2007. Mr. Wasserman currently serves on the boards of directors of DHL Holdings Corp, MAM Software Group, Inc., and SMTC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Silverman has served as a director since November 2016. Mr. Silverman is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 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In the past five years, Mr. Silverman has served on the boards of directors of Neurotrope, Inc., MGT Capital Investments Inc., National Holdings Corporation, Alanco Technologies Inc., Protagenic Therapeutics, Inc. and WPCS International Incorporated. Mr. Silverman received his B.A. from Lehigh University in 1992.</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Silverman brings to our Board extensive public company board experience, and financial and investment experience, including with pre-revenue biotechnology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and Key Employee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led by a team of executives that are chosen by the Board of Directors. Currently, we have three executive officers, set forth below is biographical information for executive officers and certain identified key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 President and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Hoang’s biography is included above under Directors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Loiacono, Chief Financial Officer</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Loiacono has served as our Chief Financial Officer, Secretary and Treasurer since August 25, 2016. Prior to joining us as our Chief Financial Officer, Mr. Loiacono was responsible for the company’s strategic development to include new products and services, new market penetration and maximizing gross and net revenues at FCTI, Inc. Between 2006 and 2013, Mr. Loiacono served as Chief Financial Officer of Global Axcess Corp, a publicly-traded company until it was acquired by FCTI, Inc. At Global Axcess, Michael oversaw the overall financial strategy of the company, including capital raises, mergers &amp; acquisitions, corporate finance, treasury, financial planning and analysis, accounting, investor relations, external auditing and was responsible for Global Axcess’ corporate strategy function. Prior to FCTI/Global Axcess, Michael held various positions of increasing responsibility in finance management through several private and publicly-traded organizations. Michael attended Rutgers University, Business School where he received his B.S. degree.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Michael J. Loiacono has more than 25 years of financial management experience, which includes public company services as a chief financial officer.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Key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T. Florkiewicz</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Dr. Florkiewicz serves as the Company’s Senior Director of Molecular Biology &amp; Virology. Dr. Florkiewicz previously served as a consultant to the Company from September 2014 until January 2017. Dr. Florkiewicz has experience in both academic and biotechnology environments. Most recently he conducted research on human embryonic stem cell-based therapies at the University of Washington. He was the Director of Cellular and Molecular Biology and co-founder of Ciblex Corporation, a spin-out from his laboratory at the Scripps Institute, San Diego. He was a patent agent at Seed Intellectual Law Group in Seattle and at ID Biomedical, where he managed the company’s intellectual property portfolio prior to and through its acquisition by GlaxoSmithKline. As a Research Scientist at Synergen, Inc., he helped establish the viral vector and animal cell expression group, and also discovered novel molecular mechanisms modulating FGF2 gene expression. He has a Ph.D. in Molecular and Development Biology from the University of Arizona (focusing on the molecular biology of various RNA viruses) and was a postdoctoral fellow at the Salk Institute (focusing on the intracellular trafficking of proteins encoded by vesicular stomatitis virus).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property, affairs and business are under the general management of our Board of Directors as provided by the laws of the State of Nevada and our Bylaws. Our bylaws and corporate governance guidelines do not require that our Chairman and Chief Executive Officer positions be separate but such positions are currently separated between Dr. Wilson as our Chairman and Peter Hoang as our Chief Executive Officer and President.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conducts its business through meetings of the full Board and through committees of the Board. The Board of Directors has appointed standing Audit, Compensation and Nominating and Governance Committees of the Board of Directors comprised of independent directors. The independent members of our board meet during board meetings in separate executive session without any member of management present.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periodically reviews the size of the Board and recommends any changes it determines to be appropriate given our needs. Under our Bylaws, the number of members on the Board may be increased or decreased by resolution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a national securities exchange, the Nasdaq Capital Market. Accordingly, in determining whether our directors are independent, we are required to comply with the rules of the Nasdaq Capital Market. We also expect to continue to comply with securities and other laws and regulations regarding the independence of directors, including those adopted under Section 301 of the Sarbanes-Oxley Act and Rule 10A-3 under the Securities and Exchange Act of 1934 with respect to the independence of Audit Committee members. The Nasdaq Capital Market listing standards define an “independent director” as a person other than an executive officer or employee of the company or any other individual having a relationship which, in the opinion of the issuer's board of directors, would interfere with the exercise of independent judgement in carrying out the responsibilities of a director. The Board has affirmatively determined that each of the following directors, constituting a majority of the Board, is independent within the meaning of the Nasdaq Capital Market listing standards: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Sherry Grisewood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Laskow-Pooley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Reddish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Joshua Silverman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Frederick Wasserman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Such independence definition includes a series of objective tests, including that the director is not an executive officer employee of the company and has not engaged in various types of business dealings with the company. In addition, as further required by the Nasdaq Capital Market listing standards, the Board has made a subjective determination as to each independent director that no relationships exist which, in the opinion of the Board, would interfere with the exercise of independent judgment in carrying out the responsibilities of a director.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our board of directors met five times. Our board of directors adopted various resolutions pursuant to five unanimous written consents in lieu of a meeting during the year ended December 31, 2017. Five board members attended 100% of the aggregate of (i) meetings of our board of directors during the year and (ii) the total number of meetings of all committees on our board of directors on which the incumbent directors served. One director attended 80% of the aggregate of (i) the meetings of our board of directors during the year and (ii) the total number of meetings of all committees of our board of directors on which the incumbent directors served. Two directors attended one meeting each, which was 100% of the total number of meeting on which the director served, due to one director leaving the board during the year and one director joining the board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Governance Guidelines provide that our Chief Executive Officer are responsible for establishing effective communications with our shareholders. Our board of directors has implemented a process for shareholders to send communications to our board of directors and to specific individual directors. Any shareholder desiring to communicate with our board of directors, or with specific individual directors, may do so by writing to our Secretary at 5 W. Forsyth Street, Suite 200, Jacksonville, Florida 32202. Our Secretary will promptly forward all such sealed communications to our board of directors or such individual directors,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board of directors has three standing committees – the audit committee, the compensation committee, and the nominating and corporate governance committee. Each of our committees operates pursuant to a written charter which, as in effect from time to time, may be found on our website at </w:t>
      </w:r>
      <w:r>
        <w:rPr>
          <w:rFonts w:ascii="Arial" w:cs="Arial" w:eastAsia="Arial" w:hAnsi="Arial"/>
          <w:sz w:val="18"/>
          <w:szCs w:val="18"/>
          <w:i w:val="1"/>
          <w:iCs w:val="1"/>
          <w:color w:val="auto"/>
        </w:rPr>
        <w:t>www.tapimmune.com</w:t>
      </w:r>
      <w:r>
        <w:rPr>
          <w:rFonts w:ascii="Arial" w:cs="Arial" w:eastAsia="Arial" w:hAnsi="Arial"/>
          <w:sz w:val="18"/>
          <w:szCs w:val="18"/>
          <w:color w:val="auto"/>
        </w:rPr>
        <w:t>. Each of the committees is composed of independent directors, consistent with the independence standards defined by the SEC and</w:t>
      </w:r>
      <w:r>
        <w:rPr>
          <w:rFonts w:ascii="Arial" w:cs="Arial" w:eastAsia="Arial" w:hAnsi="Arial"/>
          <w:sz w:val="18"/>
          <w:szCs w:val="18"/>
          <w:i w:val="1"/>
          <w:iCs w:val="1"/>
          <w:color w:val="auto"/>
        </w:rPr>
        <w:t xml:space="preserve"> </w:t>
      </w:r>
      <w:r>
        <w:rPr>
          <w:rFonts w:ascii="Arial" w:cs="Arial" w:eastAsia="Arial" w:hAnsi="Arial"/>
          <w:sz w:val="18"/>
          <w:szCs w:val="18"/>
          <w:color w:val="auto"/>
        </w:rPr>
        <w:t>NASDAQ. Each committee has the right to retain its own legal and other advisors.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current membership of each Board committee: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Committee Membership</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Nominating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and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Audit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gridSpan w:val="2"/>
          </w:tcPr>
          <w:p>
            <w:pPr>
              <w:ind w:left="2580"/>
              <w:spacing w:after="0"/>
              <w:rPr>
                <w:sz w:val="20"/>
                <w:szCs w:val="20"/>
                <w:color w:val="auto"/>
              </w:rPr>
            </w:pPr>
            <w:r>
              <w:rPr>
                <w:rFonts w:ascii="Arial" w:cs="Arial" w:eastAsia="Arial" w:hAnsi="Arial"/>
                <w:sz w:val="18"/>
                <w:szCs w:val="18"/>
                <w:b w:val="1"/>
                <w:bCs w:val="1"/>
                <w:color w:val="auto"/>
              </w:rPr>
              <w:t>Name</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Committee</w:t>
            </w: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Committee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Chair</w:t>
            </w: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Chair</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Joshua Silverman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Glynn Wilson(1)</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Became non-employee director on September 22, 2017.</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last amended by our Board of Directors in July 2016. The Audit Committee members currently consist of Ms. Sherry Grisewood, Mr. David Laskow-Pooley and Mr. Frederick Wasserman with Ms. Grisewood serving as Chair. The Board has affirmatively determined that each such person met the independence requirements for audit committee purposes based on the more stringent independence standards imposed by applicable Nasdaq Capital Market and SEC rules. In addition, the Board of Directors has determined that Ms. Grisewood is an “audit committee financial expert” as that term is defined in Item 407(d)(5) of Regulation S-K promulgated under the Securities and Exchange Act of 1934. In March 2004, the Audit Committee adopted a written charter which was modified in November 2015 and amended in July 2016. We believe that its Audit Committee Charter complies with the requirements related to Sarbanes-Oxley and a current copy of the Audit Committee Charter is available on our website at http://tapimmune.com/investors/briefcase. The Audit Committee met five times during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July 2016. The members of the Committee are David Laskow-Pooley, Mark Reddish and Sherry Grisewood. Mr. Laskow-Pooley serves as Chair of the Committee. The Compensation Committee met or acted by written consent once during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Nominating and Corporate Governance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Board of Directors has established a Nominating and Corporate Governance Committee which functions pursuant to a written charter last amended by our Board of Directors in July 2016. The members of the Committee are David Laskow-Pooley, Mark Reddish and Frederick Wasserman. Mr. Wasserman serves as Chair of the Committee. The Nominating and Corporate Governance Committee met or acted by written consent once during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oversees our stockholders’ and other stakeholders’ interest in our long-term health and overall success and financial strength. Risk is inherent with every business, and how well a business manages risk can ultimately determine is success. We face a number of risks, including economic risks, environmental and regulatory risks, and others, such as the impact of competition. Management is responsible for the day-to-day management of risks, while our board of directors, as a whole and through its committees, has the responsibility of satisfying itself that the risk management processes designed and implemented by management are adequate and functioning as designed.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believes that establishing the right “tone at the top” and that full and open communication between management and our board of directors are essential for effective risk management and oversight. Senior management regularly attends board meetings and is available to address any questions or concerns raised by our board on risk management-related and other matters. Our board also holds strategic planning sessions with senior management to discuss strategies, key challenges, and risks and opportunities.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our entire board of directors is ultimately responsible for risk oversight, our board committees assist our board of directors in fulfilling its oversight responsibilities in certain areas of risk. Our audit committee assists our board in the areas of financial reporting, internal controls and compliance with legal and regulatory requirements and discusses policies with respect to risk assessment and risk management. Risk assessment reports are provided annually by management to our audit committee. Our compensation committee assists our board with respect to the management of risk arising from our compensation policies and programs. Our nominating and corporate governance committee assists our board with respect to the management of risk associated with board organization, membership and structure, succession planning for our directors and executive officers, and 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nominating and corporate governance committee will consider candidates recommended by shareholders. To recommend director candidates, shareholders should submit their suggestions in writing to the chairman of the nominating and corporate governance committee, c/o our Secretary, providing the candidate’s name, biographical data and other relevant information, together with consent from the suggested candidate to serve on our board of directors if nominated and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adopted a Code of Ethics and Business Conduct that applies to all directors and officers. The code describes the legal, ethical and regulatory standards that must be followed by our directors and officers and sets forth high standards of business conduct applicable to each director and officer. A copy of the code can be viewed on our website at </w:t>
      </w:r>
      <w:r>
        <w:rPr>
          <w:rFonts w:ascii="Arial" w:cs="Arial" w:eastAsia="Arial" w:hAnsi="Arial"/>
          <w:sz w:val="18"/>
          <w:szCs w:val="18"/>
          <w:i w:val="1"/>
          <w:iCs w:val="1"/>
          <w:u w:val="single" w:color="auto"/>
          <w:color w:val="auto"/>
        </w:rPr>
        <w:t>http://tapimmune.com/investors/briefcase/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the executive officers and directors of the Company filed with the Securities and Exchange Commission (the “Commission”) on a timely basis, all required reports relating to transactions involving equity securities of the Company beneficially owned by them. The Company has relied solely on the written representation of its executive officers and directors and copies of the reports they have filed with the Commission in providing this information.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Director compensation program provides that employee Directors receive no additional compensation in connection with their board service.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9, 2017 the Board of Directors approved changes to the Director Compensation Program for non-employee directors which provided for the following compensation for our non-employee directors:</w:t>
      </w:r>
    </w:p>
    <w:p>
      <w:pPr>
        <w:spacing w:after="0" w:line="170" w:lineRule="exact"/>
        <w:rPr>
          <w:sz w:val="20"/>
          <w:szCs w:val="20"/>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retainer of $80,000, in lieu of any per board or committee meeting fees (including telephonic meetings), or committee chair fees. The annual retainer is payable as follows:</w:t>
      </w:r>
    </w:p>
    <w:p>
      <w:pPr>
        <w:spacing w:after="0" w:line="170" w:lineRule="exact"/>
        <w:rPr>
          <w:rFonts w:ascii="Arial" w:cs="Arial" w:eastAsia="Arial" w:hAnsi="Arial"/>
          <w:sz w:val="18"/>
          <w:szCs w:val="18"/>
          <w:color w:val="auto"/>
        </w:rPr>
      </w:pPr>
    </w:p>
    <w:p>
      <w:pPr>
        <w:ind w:left="1300" w:firstLine="5"/>
        <w:spacing w:after="0" w:line="258" w:lineRule="auto"/>
        <w:tabs>
          <w:tab w:leader="none" w:pos="1829" w:val="left"/>
        </w:tabs>
        <w:numPr>
          <w:ilvl w:val="1"/>
          <w:numId w:val="34"/>
        </w:numPr>
        <w:rPr>
          <w:rFonts w:ascii="Arial" w:cs="Arial" w:eastAsia="Arial" w:hAnsi="Arial"/>
          <w:sz w:val="18"/>
          <w:szCs w:val="18"/>
          <w:color w:val="auto"/>
        </w:rPr>
      </w:pPr>
      <w:r>
        <w:rPr>
          <w:rFonts w:ascii="Arial" w:cs="Arial" w:eastAsia="Arial" w:hAnsi="Arial"/>
          <w:sz w:val="18"/>
          <w:szCs w:val="18"/>
          <w:color w:val="auto"/>
        </w:rPr>
        <w:t>half in cash ($40,000) to be paid in four equal quarterly payments at the end of each calendar quarter, provided such director is still serving as a director, and</w:t>
      </w:r>
    </w:p>
    <w:p>
      <w:pPr>
        <w:spacing w:after="0" w:line="1" w:lineRule="exact"/>
        <w:rPr>
          <w:rFonts w:ascii="Arial" w:cs="Arial" w:eastAsia="Arial" w:hAnsi="Arial"/>
          <w:sz w:val="18"/>
          <w:szCs w:val="18"/>
          <w:color w:val="auto"/>
        </w:rPr>
      </w:pPr>
    </w:p>
    <w:p>
      <w:pPr>
        <w:jc w:val="both"/>
        <w:ind w:left="1300" w:firstLine="5"/>
        <w:spacing w:after="0" w:line="253" w:lineRule="auto"/>
        <w:tabs>
          <w:tab w:leader="none" w:pos="18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half ($40,000) to be paid in restricted common stock under the 2014 Omnibus Stock Ownership Plan (the “Plan”) at the time of the Company’s annual shareholder meeting in which directors are elected, with such shares determined based on the closing price for the Company’s shares on the day preceding the annual meeting and which shall be immediately vested. To the extent any per meeting fees were paid in 2017 to our non-employee directors under the prior non-employee director compensation plan, such fees are to be deducted from the cash portion of the quarterly payments until fully accounted for.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of the Director Compensation Program applicable to non-employee directors remain in place: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Reimbursement of reasonable expenses incurred;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for Discretionary awards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excludes compensation paid to our directors for their services as executive officers: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2"/>
              </w:rPr>
              <w:t>Fees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Earned or</w:t>
            </w:r>
          </w:p>
        </w:tc>
        <w:tc>
          <w:tcPr>
            <w:tcW w:w="3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Option</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All</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 in</w:t>
            </w:r>
          </w:p>
        </w:tc>
        <w:tc>
          <w:tcPr>
            <w:tcW w:w="3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Awards</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Awards</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 (1)</w:t>
            </w: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Cash</w:t>
            </w:r>
          </w:p>
        </w:tc>
        <w:tc>
          <w:tcPr>
            <w:tcW w:w="32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w:t>
            </w:r>
          </w:p>
        </w:tc>
        <w:tc>
          <w:tcPr>
            <w:tcW w:w="140" w:type="dxa"/>
            <w:vAlign w:val="bottom"/>
          </w:tcPr>
          <w:p>
            <w:pPr>
              <w:spacing w:after="0"/>
              <w:rPr>
                <w:sz w:val="20"/>
                <w:szCs w:val="20"/>
                <w:color w:val="auto"/>
              </w:rPr>
            </w:pP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3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Peter Hoang(3)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Joshua Silverman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r>
    </w:tbl>
    <w:p>
      <w:pPr>
        <w:spacing w:after="0" w:line="202"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above table excludes a former director and officer, Dr. John Bonfiglio. Dr. Bonfiglio received no compensation during 2017 as a director.</w:t>
      </w:r>
    </w:p>
    <w:p>
      <w:pPr>
        <w:spacing w:after="0" w:line="225" w:lineRule="exact"/>
        <w:rPr>
          <w:rFonts w:ascii="Arial" w:cs="Arial" w:eastAsia="Arial" w:hAnsi="Arial"/>
          <w:sz w:val="18"/>
          <w:szCs w:val="18"/>
          <w:color w:val="auto"/>
        </w:rPr>
      </w:pPr>
    </w:p>
    <w:p>
      <w:pPr>
        <w:ind w:firstLine="8"/>
        <w:spacing w:after="0" w:line="342" w:lineRule="auto"/>
        <w:tabs>
          <w:tab w:leader="none" w:pos="27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of the end of the year directors Wilson, Hoang, Grisewood, Laskow-Pooley, Reddish, Silverman and Wasserman have aggregate options to acquire 168,167, 0, 12,500, 12,500, 12,875, 12,500, 12,500 and 12,500, respectively and there are no stock awards outstanding for any non-employee director.</w:t>
      </w:r>
    </w:p>
    <w:p>
      <w:pPr>
        <w:spacing w:after="0" w:line="123" w:lineRule="exact"/>
        <w:rPr>
          <w:rFonts w:ascii="Arial" w:cs="Arial" w:eastAsia="Arial" w:hAnsi="Arial"/>
          <w:sz w:val="16"/>
          <w:szCs w:val="16"/>
          <w:color w:val="auto"/>
        </w:rPr>
      </w:pPr>
    </w:p>
    <w:p>
      <w:pPr>
        <w:ind w:right="64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was no amount paid to Dr. Wilson or Mr. Hoang for their services as directors given their services to us as executive officers. See Summary Compensation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Compensation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of our Board of Directors is responsible for establishing and evaluating our policies governing the compensation of our executive officers, including our named executive officers. The Compensation Committee reviews and proposes recommendations to the Board of Directors regarding the compensation to be paid to the Chief Executive Officer. In addition, the Compensation Committee reviews and approves the compensation to be paid to all other executive officers. The Compensation Committee ensures that the total compensation paid to our executive officers is fair, reasonable and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Objective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Motivate and reward executive officers whose knowledge, skills, performance and business relationships are critical to our success;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Align the interests of our executive officers and stockholders by motivating executive officers to ultimately increase stockholder value;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Compensate our executive officers to manage our business to meet our short term and long-range goals;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Ensure fairness among the executive officers by recognizing the contributions each executive officer makes to our success;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a competitive compensation package which includes some pay for performance factors.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Role of Others in Compensation Decisions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Compensation Committee makes all of the decisions with respect to the compensation received by our executive officers other than our chief executive officer which the Committee reviews and proposes recommendations to the Board of Directors. The Compensation Committee meets outside the presence of all of our executive officers to consider appropriate compensation recommendations for our chief executive officer. For all other executive officers, the Compensation Committee meets outside the presence of all executive officers except for our chief executive officer. Our chief executive officer periodically reviews each of the other executive officers’ performance with the Compensation Committee and makes recommendations to the Compensation Committee with respect to any appropriate changes in base salary, bonus and grants of long-term equity incentive awards for the executive officers, excluding himself. Based in part on these recommendations and other considerations, the Compensation Committee reviews and approves such compensation arrangements of our executive officers other than our chief executive officer. The Compensation Committee also annually analyzes the chief executive officer’s performance and determines his salary, annual cash bonus and grants of long-term equity incentive awards and makes recommendations to the Board of Directors. The Compensation Committee reviews and makes recommendations to the Board of Directors regarding all new equity related incentive plans for senior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Stockholder Advisory Vote on Executive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also expects to consider the results of our stockholder advisory vote on executive compensation. The Board of Directors determined that stockholder advisory votes on executive compensation will be submitted to stockholders of the Company annually until the next required advisory vote on the frequency of conducting advisory votes on 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further align management's interests with those of stockholders and to support our governance practices, the Board of Directors adopted a recoupment policy applicable to annual bonuses and other short-term and long-term incentive compensation based on financial targets (“Incentive Compensation”) received by current and former executive officers of the Company and such other senior executives/employees of the Company who may from time to time be deemed subject to the policy by the Board of Directors (“Covered Executive”). The policy provides that if, as a result of a restatement of our financial statements due to our material noncompliance with any financial reporting requirement under the securities laws, a Covered Executive received more Incentive Compensation than the Covered Executive would have received absent the incorrect financial statements, the Company shall recover said excess Incentive Compensation (defined as the excess of (i) the actual amount of Incentive Compensation paid to the Covered Executive over (ii) the Incentive Compensation that would have been paid based on the restated financial results during the three-year period preceding the date on which the Company is required to prepare such restatement). The policy also provides that if the Board of Directors makes a determination in its sole discretion that a Covered Executive engaged in Misconduct (as defined below), the Board of Directors may require reimbursement or forfeiture of all or part of the Incentive Compensation received by the Covered Executive. The Board of Directors may use its judgment in determining the amount to be recovered. Misconduct is defined as (i) conviction of a felony, (ii) material breach of any agreement with the Company, (iii) material breach of any Company policy or code, (iv) act of theft, embezzlement or fraud, (v) misrepresentation or misstatement of financial or performance results, and (vi) any other act or event that the Board of Directors has determined that recoupment is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Executive Compensation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December 31, 2017, the principal components of compensation for our executive officers were:</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Bonus;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Awards;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 Awards;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Base Salary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 salary is designed to attract and retain experienced executive officers who can drive the achievement of our goals. While the initial base salary for our executive officers was determined by an assessment based upon the responsibilities of the position, the expected contribution of the position to our business, the experience and skill required for the position, and competition in the marketplace for the talent; the factors used in determining increases in base salary include individual performance, changes in role and/or responsibility and changes in the competitive market environment. The Compensation Committee periodically reviews the base salary for each executive officer.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awarded discretionary bonuses to the named executive officers during 2017. The Company expects to establish a bonus plan for the executive officers for 2018 and executive officers and employees may also be considered for discretionary bonuses by the Compensation Committee and recommended at the discretion of the Compensation Committee for approval by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awards long-term equity incentive awards to executive officers, including the named executive officers, as part of a total compensation package. These awards are consistent with our pay for performance principles and align the interests of the executive officers to the interests of our stockholders. The Compensation Committee reviews and approves the amount of each award to be granted to each named executive officer. Long-term equity incentive awards are made pursuant to the 2014 Omnibus Stock Ownership Plan.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long-term equity incentives are currently in the form of options to acquire our common stock. Stock option awards provide our executive officers with the right to purchase shares of its common stock at a fixed exercise price for a period of up to ten years under the 2014 Omnibus Stock Ownership Plan. Stock options are granted under the 2014 Omnibus Stock Ownership Plan at a price not less than the prevailing market value at the time of grant and will have realizable value only if our stock price increases. Stock options are earned on the basis of continued service to the Company and generally vest over a number of years or based upon other specific performance based criteria.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long-term equity incentives also can be in the form of restricted share awards of our common stock under the 2014 Omnibus Stock Ownership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awards provide our executive officers with the shares of our common stock subject to certain restrictions and/or vesting requirements.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shares will be earned on the basis of continued service to the Company and will vest as set forth in the separate award agreements.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determines the amount and features of the stock options and/or restricted stock, if any, to be awarded to executive officers. The Compensation Committee evaluates a number of criteria, including the past service of each such executive officer to the Company, the present and potential contributions of such executive officer to our success and such other factors as the Compensation Committee shall deem relevant in connection with accomplishing the purposes of the 2014 Omnibus Stock Ownership Plan, including the executive officer’s current stock holdings, years of service, position with the Company and other factors. The Compensation Committee does not expect to apply a formula assigning specific weights to any of these factors when making its determination.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do not currently have any retirement plan in place for our executive officers or employees.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All full-time employees, including our named executive officers, may participate in our health and welfare benefit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medical, dental and vision care coverage as may be provided and applicable to all employees.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Because we provide limited perquisites to our executive officers, we do not believe these perquisites and other personal benefits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component of the executive officers’ compensation packages.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we had employment agreements in effect with Mr. Peter Hoang, Dr. Glynn Wilson and Mr. Michael J. Loiacono. We amended the employment agreement with Dr. Wilson to provide for a change in his role from President and Chief Executive Officer to a strategic advisor. See “Employment Agreements”. We entered into employment agreements with these officers to ensure that they would perform their respective roles with the Company for an extended period of time. In addition, we also considered the critical nature of each of their positions and our need to retain them when we committed to these agreements. See “Employment Contracts and Change in Control Arrangements.”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2017 Bonus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6, 2017, the Board of Directors approved the 2017 bonus program for Dr. Wilson and Mr. Loiacono as recommended by the Compensation Committee. Under such bonus program, Dr. Wilson and Mr. Loiacono were eligible for bonuses of up to $102,500 and $60,000, respectively, equaling up to 50% and 30%, of their respective base salaries (each a “Bonus Target”).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bonuses payable to Dr. Wilson were to be based upon the achievement of the following objectives:</w:t>
      </w:r>
    </w:p>
    <w:p>
      <w:pPr>
        <w:spacing w:after="0" w:line="225" w:lineRule="exact"/>
        <w:rPr>
          <w:sz w:val="20"/>
          <w:szCs w:val="20"/>
          <w:color w:val="auto"/>
        </w:rPr>
      </w:pPr>
    </w:p>
    <w:p>
      <w:pPr>
        <w:ind w:left="1540" w:hanging="210"/>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 to 40% of the Bonus Target for meeting scientific, technical and clinical objectives;</w:t>
      </w:r>
    </w:p>
    <w:p>
      <w:pPr>
        <w:spacing w:after="0" w:line="225" w:lineRule="exact"/>
        <w:rPr>
          <w:rFonts w:ascii="Arial" w:cs="Arial" w:eastAsia="Arial" w:hAnsi="Arial"/>
          <w:sz w:val="18"/>
          <w:szCs w:val="18"/>
          <w:color w:val="auto"/>
        </w:rPr>
      </w:pPr>
    </w:p>
    <w:p>
      <w:pPr>
        <w:ind w:left="1600" w:hanging="270"/>
        <w:spacing w:after="0"/>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 to 20% of the Bonus Target for financial performance and corporate objectives related to our raising capital; and</w:t>
      </w:r>
    </w:p>
    <w:p>
      <w:pPr>
        <w:spacing w:after="0" w:line="225" w:lineRule="exact"/>
        <w:rPr>
          <w:rFonts w:ascii="Arial" w:cs="Arial" w:eastAsia="Arial" w:hAnsi="Arial"/>
          <w:sz w:val="18"/>
          <w:szCs w:val="18"/>
          <w:color w:val="auto"/>
        </w:rPr>
      </w:pPr>
    </w:p>
    <w:p>
      <w:pPr>
        <w:ind w:left="1640" w:hanging="310"/>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 to 40% of the Bonus Target designated to be discretionary as determined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bonuses payable to Mr. Loiacono were to be based upon the achievement of the following objectives:</w:t>
      </w:r>
    </w:p>
    <w:p>
      <w:pPr>
        <w:spacing w:after="0" w:line="225" w:lineRule="exact"/>
        <w:rPr>
          <w:sz w:val="20"/>
          <w:szCs w:val="20"/>
          <w:color w:val="auto"/>
        </w:rPr>
      </w:pPr>
    </w:p>
    <w:p>
      <w:pPr>
        <w:ind w:left="1540" w:hanging="210"/>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 to 33.3% of the Bonus Target for meeting corporate and operational objectives;</w:t>
      </w:r>
    </w:p>
    <w:p>
      <w:pPr>
        <w:spacing w:after="0" w:line="225" w:lineRule="exact"/>
        <w:rPr>
          <w:rFonts w:ascii="Arial" w:cs="Arial" w:eastAsia="Arial" w:hAnsi="Arial"/>
          <w:sz w:val="18"/>
          <w:szCs w:val="18"/>
          <w:color w:val="auto"/>
        </w:rPr>
      </w:pPr>
    </w:p>
    <w:p>
      <w:pPr>
        <w:ind w:left="1600" w:hanging="270"/>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 to 33.3% of the Bonus Target for financial performance objectives including related to our raising capital; and</w:t>
      </w:r>
    </w:p>
    <w:p>
      <w:pPr>
        <w:spacing w:after="0" w:line="225" w:lineRule="exact"/>
        <w:rPr>
          <w:rFonts w:ascii="Arial" w:cs="Arial" w:eastAsia="Arial" w:hAnsi="Arial"/>
          <w:sz w:val="18"/>
          <w:szCs w:val="18"/>
          <w:color w:val="auto"/>
        </w:rPr>
      </w:pPr>
    </w:p>
    <w:p>
      <w:pPr>
        <w:ind w:left="1640" w:hanging="310"/>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 to 33.3% of the Bonus Target designated to be discretionary as determined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bonuses were to be paid in a combination of cash and common stock at the discretion of the Compensation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Mr. Hoang joined the Company in September 2017, his employment agreement with us provided that any bonus for 2017 would be at the discretion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Compensation Decisions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total compensation paid to our named executive officers for the fiscal year ended December 31, 2017 achieved the overall objectives of our executive compensation program. In accordance with our overall objectives, we believe executive compensation for 2017 was competitive with other similarly-sized companies. The Compensation Committee took the following key compensation actions in 2017:</w:t>
      </w:r>
    </w:p>
    <w:p>
      <w:pPr>
        <w:spacing w:after="0" w:line="18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Annual Base Salaries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Compensation Committee did not authorize, recommend or approve any changes in the annual base salaries for any of the Company named executive officers during 2017, except Dr. Wilson’s annual base salary was reduced in connection with the amendment to his employment agreement.</w:t>
      </w:r>
    </w:p>
    <w:p>
      <w:pPr>
        <w:spacing w:after="0" w:line="12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Equity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During the year ended December 31, 2017, we made equity awards to certain of our named executive officers. See Summary Compensation Table.</w:t>
      </w:r>
    </w:p>
    <w:p>
      <w:pPr>
        <w:spacing w:after="0" w:line="2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Determination of Bonuses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awarded discretionary bonuses for 2017 to the named executive officers pursuant to the terms of their employment agreements. The bonuses awarded to our named executive officers were paid in cash and immediately vested shares of our common stock issued under our 2014 Omnibus Stock Ownership Plan. See Summary Compensation Table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earned by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December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85"/>
              </w:rPr>
              <w:t>Stock</w:t>
            </w:r>
          </w:p>
        </w:tc>
        <w:tc>
          <w:tcPr>
            <w:tcW w:w="112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3"/>
              </w:rPr>
              <w:t>Option</w:t>
            </w:r>
          </w:p>
        </w:tc>
        <w:tc>
          <w:tcPr>
            <w:tcW w:w="132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7"/>
              </w:rPr>
              <w:t>All Other</w:t>
            </w: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Salary</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Awards</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Peter Hoang (1)</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CEO and Principal Executive Officer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Glynn Wilson (2)</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261,340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604,940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3"/>
              </w:rPr>
              <w:t>Strategic Advisor, Former CEO and Principal</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276,200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Michael J. Loiacono (3)</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Chief Financial Officer, Chief Accounting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and Principal Accounting Officer</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308,700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7" w:lineRule="auto"/>
        <w:tabs>
          <w:tab w:leader="none" w:pos="2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Hoang became our Chief Executive Officer and President on September 22, 2017 and entered into an employment agreement with us. See” Employment Agreements”. The salary for Mr. Hoang reflects the portion of the year he served us in the capacity as an officer from the time his employment became effective. The stock award represents the fair market value of an award of 250,000 shares under our 2014 Omnibus Stock Ownership Plan (“Incentive Plan”) (based upon the fair value of $3.18 per share on the date of issuance) issued to Mr. Hoang upon commencement of his employment pursuant to the terms of his employment agreement.</w:t>
      </w:r>
    </w:p>
    <w:p>
      <w:pPr>
        <w:spacing w:after="0" w:line="188" w:lineRule="exact"/>
        <w:rPr>
          <w:rFonts w:ascii="Arial" w:cs="Arial" w:eastAsia="Arial" w:hAnsi="Arial"/>
          <w:sz w:val="18"/>
          <w:szCs w:val="18"/>
          <w:color w:val="auto"/>
        </w:rPr>
      </w:pPr>
    </w:p>
    <w:p>
      <w:pPr>
        <w:jc w:val="both"/>
        <w:ind w:firstLine="8"/>
        <w:spacing w:after="0" w:line="279"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reflected as salary paid to Dr. Wilson during 2017 was paid pursuant to the terms of our employment agreement with Dr. Wilson, (as amended on September 2017) when Dr. Wilson transitioned to a strategic advisor role and Mr. Hoang became our Chief Executive Officer and President. See “Employment Agreements”. At the time of the amendment, Dr. Wilson was issued 110,000 shares of common stock that vested immediately under our Incentive Plan and the amount in the table reflects the fair value of the award on the date of issuance based on $3.18 per share.</w:t>
      </w:r>
    </w:p>
    <w:p>
      <w:pPr>
        <w:spacing w:after="0" w:line="171" w:lineRule="exact"/>
        <w:rPr>
          <w:rFonts w:ascii="Arial" w:cs="Arial" w:eastAsia="Arial" w:hAnsi="Arial"/>
          <w:sz w:val="17"/>
          <w:szCs w:val="17"/>
          <w:color w:val="auto"/>
        </w:rPr>
      </w:pPr>
    </w:p>
    <w:p>
      <w:pPr>
        <w:ind w:right="20" w:firstLine="8"/>
        <w:spacing w:after="0" w:line="277" w:lineRule="auto"/>
        <w:tabs>
          <w:tab w:leader="none" w:pos="2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reflected as salary in the table for to Mr. Loiacono during 2017 was based upon the terms of his employment agreement with us. See “Employment Agreements.”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annuity, life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2017 relating to outstanding equity awards for each named executive officer: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Outstanding Equity Awards at Year End Table(3)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60" w:type="dxa"/>
            <w:vAlign w:val="bottom"/>
            <w:tcBorders>
              <w:top w:val="single" w:sz="8" w:color="auto"/>
            </w:tcBorders>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460" w:type="dxa"/>
            <w:vAlign w:val="bottom"/>
            <w:tcBorders>
              <w:top w:val="single" w:sz="8" w:color="auto"/>
            </w:tcBorders>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91"/>
              </w:rPr>
              <w:t>Number of</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Securities</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Underlying</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Unexercised</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Unexercised</w:t>
            </w:r>
          </w:p>
        </w:tc>
        <w:tc>
          <w:tcPr>
            <w:tcW w:w="3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Option</w:t>
            </w:r>
          </w:p>
        </w:tc>
        <w:tc>
          <w:tcPr>
            <w:tcW w:w="1480" w:type="dxa"/>
            <w:vAlign w:val="bottom"/>
          </w:tcPr>
          <w:p>
            <w:pPr>
              <w:ind w:left="50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4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Options</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Unearned</w:t>
            </w: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Exercise</w:t>
            </w: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(unexercisable)</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Price</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12/11/2025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Strategic Advisor</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204.00(2)</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204.00(2)</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2/16/2021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J. Loiacono</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Chief Financial Officer, Chief Accounting Officer and</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Principal Accounting Officer</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27,546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8/25/2026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60" w:hanging="332"/>
        <w:spacing w:after="0" w:line="25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$204.00.</w:t>
      </w:r>
    </w:p>
    <w:p>
      <w:pPr>
        <w:spacing w:after="0" w:line="9" w:lineRule="exact"/>
        <w:rPr>
          <w:rFonts w:ascii="Arial" w:cs="Arial" w:eastAsia="Arial" w:hAnsi="Arial"/>
          <w:sz w:val="18"/>
          <w:szCs w:val="18"/>
          <w:color w:val="auto"/>
        </w:rPr>
      </w:pPr>
    </w:p>
    <w:p>
      <w:pPr>
        <w:ind w:left="340" w:right="40" w:hanging="332"/>
        <w:spacing w:after="0" w:line="261"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amounts reflected in this table have been adjusted to reflect the one for twelve reverse split that occurred on September 15, 2016, unless such share awards occurred after the date of the reverse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Hoang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Mr. Hoang entered into an Employment Agreement on September 22, 2017 pursuant to which Mr. Hoang agreed to serve as the Company’s President and Chief Executive Officer and which provides that Mr. Hoang’s base salary will be $362,500 per year. The term of the agreement is for three years and will be automatically extended for an additional 12 months unless terminated by Mr. Hoang or the Company.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execution of Mr. Hoang’s employment agreement he will be granted 250,000 shares of restricted stock, all of which immediately vested under the Company’s Plan. Additionally, on the first anniversary of his employment agreement, Mr. Hoang shall, subject to certain conditions, be eligible to receive a grant of stock options to purchase the number of shares equal to one percent (1%) of the then-outstanding common stock of the Company under the Plan at an exercise price equal to the fair market value of the common stock at the time of such grant, provided that certain requirements are satisfied. The options granted, if made, shall be immediately vested. In addition, on the second and third anniversaries of the employment agreement, Mr. Hoang shall, subject to certain conditions, be eligible to receive, on each such date, an additional grant of stock options to purchase the number of shares equal to one percent (1%) of the then-outstanding common stock of the Company under the Plan at an exercise price equal to the fair market value of the common stock at the time of such grant, provided that certain requirements are satisfied. These options if made, shall be subject to such further vesting conditions, including performance criteria, as mutually agreed to by Mr. Hoang and the Board.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Glynn Wilson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Dr. Glynn Wilson has been a longstanding executive of the Company and was appointed as the Company’s Executive Chairman on July 1, 2009. The Company and Dr. Wilson entered into a new employment agreement on November 12, 2015, which was subsequently amended on July 18, 2016 and September 22, 2017. As a result of the most recent amendment where Dr. Wilson transitioned the role of President and Chief Executive Officer to Mr. Peter Hoang on September 22, 2017, Dr. Wilson agreed to serve as the Company’s Strategic Advisor until December 31, 2018. The amended employment agreement provided that Dr. Wilson’s annual base salary is $205,000. In connection with entering into the September 22, 2017 amendment, Dr. Wilson received equity awards under our Plan consisting of an award of 100,000 shares of unregistered common stock, which immediately vested. In addition, upon the first anniversary of the execution of September 22, 2017 amendment, Dr. Wilson will be eligible to receive, subject to certain conditions, an additional grant of restricted common stock equal to $300,000.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Michael J. Loiacono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25, 2016, we entered into an Employment Agreement with Michael J. Loiacono, which provides that Mr. Loiacono’s base salary will be $200,000 per year. Pursuant to that agreement, Mr. Loiacono agreed to serve as our Chief Financial Officer and Chief Accounting Officer. The term of the agreement is for two years and will be automatically extended for an additional 12 months prior to the end of the term, or no later than ninety (90) days prior to the end of any such successive 12-month term unless terminated by Mr. Loiacono or the Company.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execution of Mr. Loiacono’s employment agreement, he was granted equity awards under the Company’s Plan consisting of stock options to purchase 54,167 shares of the Company’s common stock at an exercise price of $5.70 per share equal to the fair market value of the common stock on the day immediately preceding the execution of the employment agreement, with 6,250 shares vesting immediately and the remaining shares vesting in 36 equal monthly installments of 1,331 shares on the last day of each of the 36 months following the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Similar Employment Agreement Terms of Named Executive Officers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named executive officers is eligible to receive an annual performance bonus of up to 50% of their base salary payable in immediately vested shares of common stock or cash at the Board’s discretion. In addition, each of the named executive officers is eligible to participate in the Company’s benefit plans, and is entitled to vacation, sick leave and reimbursement of appropriate business expenses.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named executive officer’s employment is terminated by us for Cause (as defined in their respective employment agreements) or by a named executive officer during the term of the agreement, he will be entitled to receive his (i)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named executive officer’s employment is terminated by us without “Cause” or by him for “Good Reason” (as defined in their respective employment agreements), subject to his execution of a release of claims against us, and in addition to the payment of the Accrued Compensation, the Company is obligated to make payments to such named executive officer within 60 days after his termination date equal to 2/3 (in the case of Dr. Wilson), twelve months (in the case of Mr. Hoang) or six months (in the case of Mr. Loiacono) of his annual base salary, as in effect at the termination date, plus any earned but unpaid bonus (the “Additional Severance Payments”).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 non-renewal of Mr. Hoang’s employment agreement by the Company at the end of the term, Mr. Hoang will be entitled to be paid 12 months of his annual base salary over a twelve-month period.</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employment agreements of the named executive officers also contain change of control provisions providing that if the named executive officers’ employment with the Company is terminated by the Company without Cause or by them for Good Reason (in the case of Dr. Wilson, Mr. Hoang and Mr. Loiacono) during the period of ninety (90) days (in the case of Dr. Wilson and Mr. Loiacono) or six months (in the case of Mr. Hoang) following a Change in Control (as that term is defined below) of the Company, in lieu of the Additional Severance Payments described above, the named executive officers will be entitled to receive a severance payment equal to the sum of (i) 2/3 of (in the case of Dr. Wilson), eighteen (18) months of (in the case of Mr. Hoang), eight (8) months of (in the case of Mr. Loiacono) their respective annual base salary, at the higher of the base salary rate in effect on the date of termination or the base salary rate in effect immediately before the effective date of the Change of Control (in the case of Dr. Wilson, Mr. Hoang and Mr. Loiacono), and (ii) their Performance Bonus for the year which includes the effective date of the Change in Control, payable at the target level of performance, which will be paid in a single lump sum after his execution and non-revocation of the Release (in the case of Dr. Wilson, Mr. Hoang and Mr. Loiacono. In addition, they will also receive in the same payment the amount of any performance bonus that, as of the date of termination, has been earned by the named executive officers but has not yet been paid by the Company (in the case of Dr. Wilson, Mr. Hoang and Mr. Loiacono). If the named executive officers hold any stock options or other stock awards granted under the Company’s 2014 Omnibus Stock Ownership Plan which are not fully vested at the time their employment with the Company is terminated by the Company without Cause during the period of ninety (90) days (in the case of Dr. Wilson, and Mr. Loiacono) or six months (in the case of Mr. Hoang)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 (in the case of Dr. Wilson, Mr. Hoang and Mr. Loiacono).</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named executive officer employment agreements contain customary covenants regarding confidentiality and works for hire. During their employment term and for a period of 12 months thereafter, Dr. Wilson, Mr. Hoang and Mr. Loiacono covenant not to compete with us and not to solicit any of our customers, vendors or employees.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Dr. Wilson, Mr. Hoang’s and Mr. Loiacono’s employment agreements also provide that each of the payments and benefits under the agreements are subject to compliance with Section 409A of the Code and it includes time of payment language intended to comply with Section 409A requirements.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employment agreements of our named executive officers is qualified in its entirety by the specific terms of the employment agreements of the named executive officers previously filed with the SEC which are incorporated herein by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Chief Executive Officer and</w:t>
      </w:r>
    </w:p>
    <w:p>
      <w:pPr>
        <w:jc w:val="both"/>
        <w:ind w:firstLine="8"/>
        <w:spacing w:after="0" w:line="277" w:lineRule="auto"/>
        <w:tabs>
          <w:tab w:leader="none" w:pos="3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 W. Forsyth Street, Suite 200, Jacksonville, Florida 32202. Beneficial ownership, for purposes of this table, includes options and warrants to purchase common stock that are either currently exercisable or will be exercisable within 60 days of the date of this annual report.</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and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Nature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Ownership(1)</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Dr. Glynn Wilson, Chairman (2)</w:t>
            </w:r>
          </w:p>
        </w:tc>
        <w:tc>
          <w:tcPr>
            <w:tcW w:w="1120" w:type="dxa"/>
            <w:vAlign w:val="bottom"/>
          </w:tcPr>
          <w:p>
            <w:pPr>
              <w:jc w:val="right"/>
              <w:spacing w:after="0"/>
              <w:rPr>
                <w:sz w:val="20"/>
                <w:szCs w:val="20"/>
                <w:color w:val="auto"/>
              </w:rPr>
            </w:pPr>
            <w:r>
              <w:rPr>
                <w:rFonts w:ascii="Arial" w:cs="Arial" w:eastAsia="Arial" w:hAnsi="Arial"/>
                <w:sz w:val="18"/>
                <w:szCs w:val="18"/>
                <w:color w:val="auto"/>
              </w:rPr>
              <w:t>326,350</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Hoang, Chief Executive Officer, President and Director (2)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179,711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Mark Reddish, Director (4)</w:t>
            </w:r>
          </w:p>
        </w:tc>
        <w:tc>
          <w:tcPr>
            <w:tcW w:w="1120" w:type="dxa"/>
            <w:vAlign w:val="bottom"/>
          </w:tcPr>
          <w:p>
            <w:pPr>
              <w:jc w:val="right"/>
              <w:spacing w:after="0"/>
              <w:rPr>
                <w:sz w:val="20"/>
                <w:szCs w:val="20"/>
                <w:color w:val="auto"/>
              </w:rPr>
            </w:pPr>
            <w:r>
              <w:rPr>
                <w:rFonts w:ascii="Arial" w:cs="Arial" w:eastAsia="Arial" w:hAnsi="Arial"/>
                <w:sz w:val="18"/>
                <w:szCs w:val="18"/>
                <w:color w:val="auto"/>
              </w:rPr>
              <w:t>44,879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 Director (5)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David Laskow-Pooley, Director (6)</w:t>
            </w:r>
          </w:p>
        </w:tc>
        <w:tc>
          <w:tcPr>
            <w:tcW w:w="1120" w:type="dxa"/>
            <w:vAlign w:val="bottom"/>
          </w:tcPr>
          <w:p>
            <w:pPr>
              <w:jc w:val="right"/>
              <w:spacing w:after="0"/>
              <w:rPr>
                <w:sz w:val="20"/>
                <w:szCs w:val="20"/>
                <w:color w:val="auto"/>
              </w:rPr>
            </w:pPr>
            <w:r>
              <w:rPr>
                <w:rFonts w:ascii="Arial" w:cs="Arial" w:eastAsia="Arial" w:hAnsi="Arial"/>
                <w:sz w:val="18"/>
                <w:szCs w:val="18"/>
                <w:color w:val="auto"/>
              </w:rPr>
              <w:t>25,615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 Director (7)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Joshua Silverman, Director (8)</w:t>
            </w:r>
          </w:p>
        </w:tc>
        <w:tc>
          <w:tcPr>
            <w:tcW w:w="1120" w:type="dxa"/>
            <w:vAlign w:val="bottom"/>
          </w:tcPr>
          <w:p>
            <w:pPr>
              <w:jc w:val="right"/>
              <w:spacing w:after="0"/>
              <w:rPr>
                <w:sz w:val="20"/>
                <w:szCs w:val="20"/>
                <w:color w:val="auto"/>
              </w:rPr>
            </w:pPr>
            <w:r>
              <w:rPr>
                <w:rFonts w:ascii="Arial" w:cs="Arial" w:eastAsia="Arial" w:hAnsi="Arial"/>
                <w:sz w:val="18"/>
                <w:szCs w:val="18"/>
                <w:color w:val="auto"/>
              </w:rPr>
              <w:t>395,036</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Loiacono, Chief Financial Officer (9)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(8 persons)</w:t>
            </w:r>
          </w:p>
        </w:tc>
        <w:tc>
          <w:tcPr>
            <w:tcW w:w="1120" w:type="dxa"/>
            <w:vAlign w:val="bottom"/>
          </w:tcPr>
          <w:p>
            <w:pPr>
              <w:jc w:val="right"/>
              <w:spacing w:after="0"/>
              <w:rPr>
                <w:sz w:val="20"/>
                <w:szCs w:val="20"/>
                <w:color w:val="auto"/>
              </w:rPr>
            </w:pPr>
            <w:r>
              <w:rPr>
                <w:rFonts w:ascii="Arial" w:cs="Arial" w:eastAsia="Arial" w:hAnsi="Arial"/>
                <w:sz w:val="18"/>
                <w:szCs w:val="18"/>
                <w:color w:val="auto"/>
              </w:rPr>
              <w:t>1,063,377</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Eastern Capital Limited (10)</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Market St. #773</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Camana Bay, Grand Cayman KY1-1206</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4,000,002</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rPr>
              <w:t>Brio Capital Master Fund Ltd. (11)</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100 Merrick Road, Suite 401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W. Rockville Center, NY 11570</w:t>
            </w:r>
          </w:p>
        </w:tc>
        <w:tc>
          <w:tcPr>
            <w:tcW w:w="1120" w:type="dxa"/>
            <w:vAlign w:val="bottom"/>
          </w:tcPr>
          <w:p>
            <w:pPr>
              <w:jc w:val="right"/>
              <w:spacing w:after="0"/>
              <w:rPr>
                <w:sz w:val="20"/>
                <w:szCs w:val="20"/>
                <w:color w:val="auto"/>
              </w:rPr>
            </w:pPr>
            <w:r>
              <w:rPr>
                <w:rFonts w:ascii="Arial" w:cs="Arial" w:eastAsia="Arial" w:hAnsi="Arial"/>
                <w:sz w:val="18"/>
                <w:szCs w:val="18"/>
                <w:color w:val="auto"/>
              </w:rPr>
              <w:t>798,044</w:t>
            </w:r>
          </w:p>
        </w:tc>
        <w:tc>
          <w:tcPr>
            <w:tcW w:w="2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Iroquois Capital Management L.L.C. (12) (14)</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56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205 East 42nd St.,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851,110</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Richard Abbe (13) (14)</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56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205 East 42nd St.,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1,130,836</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jc w:val="both"/>
        <w:ind w:firstLine="8"/>
        <w:spacing w:after="0" w:line="287" w:lineRule="auto"/>
        <w:tabs>
          <w:tab w:leader="none" w:pos="556"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March 16, 2018, there were 10,626,140 shares of common stock issued and outstanding.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left="260" w:hanging="252"/>
        <w:spacing w:after="0"/>
        <w:tabs>
          <w:tab w:leader="none" w:pos="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figure includes 158,217 shares directly owned by Dr. Wilson, and 168,133 shares subject to stock options exercisable through July 2018.</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179,711 shares directly owned by Mr. Hoang.</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32,004 shares directly owned by Mr. Reddish and 12,875 shares subject to currently exercisable stock options exercisable through July 2018 awarded pursuant to the director compensation program.</w:t>
      </w:r>
    </w:p>
    <w:p>
      <w:pPr>
        <w:spacing w:after="0" w:line="170" w:lineRule="exact"/>
        <w:rPr>
          <w:rFonts w:ascii="Arial" w:cs="Arial" w:eastAsia="Arial" w:hAnsi="Arial"/>
          <w:sz w:val="18"/>
          <w:szCs w:val="18"/>
          <w:color w:val="auto"/>
        </w:rPr>
      </w:pPr>
    </w:p>
    <w:p>
      <w:pPr>
        <w:ind w:firstLine="8"/>
        <w:spacing w:after="0" w:line="277"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15,476 shares directly owned by Ms. Grisewood and 12,500 shares subject to stock options exercisable through July 2018 awarded pursuant to the director compensation program.</w:t>
      </w:r>
    </w:p>
    <w:p>
      <w:pPr>
        <w:spacing w:after="0" w:line="170" w:lineRule="exact"/>
        <w:rPr>
          <w:rFonts w:ascii="Arial" w:cs="Arial" w:eastAsia="Arial" w:hAnsi="Arial"/>
          <w:sz w:val="18"/>
          <w:szCs w:val="18"/>
          <w:color w:val="auto"/>
        </w:rPr>
      </w:pPr>
    </w:p>
    <w:p>
      <w:pPr>
        <w:ind w:firstLine="8"/>
        <w:spacing w:after="0" w:line="277" w:lineRule="auto"/>
        <w:tabs>
          <w:tab w:leader="none" w:pos="2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13,115 shares directly owned by Mr. Laskow-Pooley and 12,500 shares subject to stock options exercisable through July 2018 awarded pursuant to the director compensation program.</w:t>
      </w:r>
    </w:p>
    <w:p>
      <w:pPr>
        <w:spacing w:after="0" w:line="170" w:lineRule="exact"/>
        <w:rPr>
          <w:rFonts w:ascii="Arial" w:cs="Arial" w:eastAsia="Arial" w:hAnsi="Arial"/>
          <w:sz w:val="18"/>
          <w:szCs w:val="18"/>
          <w:color w:val="auto"/>
        </w:rPr>
      </w:pPr>
    </w:p>
    <w:p>
      <w:pPr>
        <w:ind w:firstLine="8"/>
        <w:spacing w:after="0" w:line="277"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13,115 shares directly owned by Mr. Wasserman and 12,500 shares subject to stock options exercisable through July 2018 awarded pursuant to the director compensation program.</w:t>
      </w:r>
    </w:p>
    <w:p>
      <w:pPr>
        <w:spacing w:after="0" w:line="170" w:lineRule="exact"/>
        <w:rPr>
          <w:rFonts w:ascii="Arial" w:cs="Arial" w:eastAsia="Arial" w:hAnsi="Arial"/>
          <w:sz w:val="18"/>
          <w:szCs w:val="18"/>
          <w:color w:val="auto"/>
        </w:rPr>
      </w:pPr>
    </w:p>
    <w:p>
      <w:pPr>
        <w:jc w:val="both"/>
        <w:ind w:firstLine="8"/>
        <w:spacing w:after="0" w:line="264" w:lineRule="auto"/>
        <w:tabs>
          <w:tab w:leader="none" w:pos="2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13,115 shares directly owned by Mr. Silverman and 10,420 shares subject to stock options exercisable through July 2018 awarded pursuant to the director compensation program. In addition, includes 153,333 shares and currently exerciseable warrants to acquire 218,168 shares held indirectly by Mr. Silverman through JNS Holdings Group, LLC</w:t>
      </w:r>
    </w:p>
    <w:p>
      <w:pPr>
        <w:spacing w:after="0" w:line="181" w:lineRule="exact"/>
        <w:rPr>
          <w:rFonts w:ascii="Arial" w:cs="Arial" w:eastAsia="Arial" w:hAnsi="Arial"/>
          <w:sz w:val="18"/>
          <w:szCs w:val="18"/>
          <w:color w:val="auto"/>
        </w:rPr>
      </w:pPr>
    </w:p>
    <w:p>
      <w:pPr>
        <w:ind w:firstLine="8"/>
        <w:spacing w:after="0" w:line="277" w:lineRule="auto"/>
        <w:tabs>
          <w:tab w:leader="none" w:pos="2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38,195 shares subject to currently exercisable stock options owned by Mr. Loiacono and excludes 15,972 shares subject to options that have not yet vested.</w:t>
      </w:r>
    </w:p>
    <w:p>
      <w:pPr>
        <w:spacing w:after="0" w:line="170" w:lineRule="exact"/>
        <w:rPr>
          <w:rFonts w:ascii="Arial" w:cs="Arial" w:eastAsia="Arial" w:hAnsi="Arial"/>
          <w:sz w:val="18"/>
          <w:szCs w:val="18"/>
          <w:color w:val="auto"/>
        </w:rPr>
      </w:pPr>
    </w:p>
    <w:p>
      <w:pPr>
        <w:jc w:val="both"/>
        <w:ind w:firstLine="8"/>
        <w:spacing w:after="0" w:line="255" w:lineRule="auto"/>
        <w:tabs>
          <w:tab w:leader="none" w:pos="3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information is based upon the Schedule 13D jointly filed with the Securities and Exchange Commission by Eastern Capital Limited, Portfolio Services LTD. and Kenneth B. Dart, on August 25, 2017. Eastern Capital Limited beneficially owns 2,333,334 shares of common stock and 1,666,668 shares of common stock issuable upon exercise of the Series A-1 Warrants, Series D-1 Warrants, Series E-1 Warrants and Series F-1 Warrants. Eastern Capital Limited has shared voting and dispositive power of the shares it beneficially owns with its parent, Portfolio Services Ltd. and Kenneth B. Dart. All warrants are subject to a limit of exercise to the extent (and only to the extent) that Eastern Capital Limited or any of its affiliates would beneficially own in excess of 49.9% of the common stock after giving effect to such exercise.</w:t>
      </w:r>
    </w:p>
    <w:p>
      <w:pPr>
        <w:spacing w:after="0" w:line="193" w:lineRule="exact"/>
        <w:rPr>
          <w:rFonts w:ascii="Arial" w:cs="Arial" w:eastAsia="Arial" w:hAnsi="Arial"/>
          <w:sz w:val="18"/>
          <w:szCs w:val="18"/>
          <w:color w:val="auto"/>
        </w:rPr>
      </w:pPr>
    </w:p>
    <w:p>
      <w:pPr>
        <w:jc w:val="both"/>
        <w:ind w:firstLine="8"/>
        <w:spacing w:after="0" w:line="270" w:lineRule="auto"/>
        <w:tabs>
          <w:tab w:leader="none" w:pos="3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information is based upon the Schedule 13G filed with the Securities and Exchange Commission by Brio Capital Master Fund Ltd. on January 26, 2018. Brio Capital Management LLC, is the investment manager of Brio Capital Master Fund Ltd. and has the voting and investment discretion over securities held by the Brio Capital Fund Ltd. Shaye Hirsch, in his capacity as Managing Member of Brio Capital Management LLC, makes voting and investment decisions on behalf of Brio Capital Management LLC in its capacity as the investment manager of Brio Capital Master Fund Ltd. Includes shares able to be acquired from all Series C and F Warrants (391,688 shares) but excludes shares able to be acquired from Series D and Series E Warrants (332,705 shares) due to blocker provisions. The Series C Warrants and Series F Warrants are subject to a limit of exercise to the extent (and only to the extent) that Brio Capital Master Fund Ltd. or any of its affiliates would beneficially own in excess of 9.9% of the common stock after giving effect to such exercise. The Series D Warrants and Series E Warrants are subject to a limit of exercise to the extent (and only to the extent) that Brio Capital Master Fund Ltd. or any of its affiliates would beneficially own in excess of 4.9% of the common stock after giving effect to such exercise.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8"/>
        <w:spacing w:after="0" w:line="273" w:lineRule="auto"/>
        <w:tabs>
          <w:tab w:leader="none" w:pos="3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Information is based upon the Schedule 13G jointly filed with the Securities and Exchange Commission by Iroquois Capital Management L.L.C. (“Iroquois”), Richard Abbe and Kimberly Page on February 14, 2018 and information provided from Iroquois. Includes 382,754 shares of common stock and warrants to purchase 468,356 shares of common stock (260,024 shares pursuant to Series A Warrants (104,167), Series D Warrants (104,168) and Series E Warrants (51,689), and 208,332 shares pursuant to Series C Warrants (109,999) and Series F Warrants (98,333)) held by Iroquois Master Fund Ltd. (the “Fund”). Mr. Abbe shares authority and responsibility for the investments made on behalf of the Fund with Ms. Page, each of whom is a director of the Fund. Iroquois is the investment manager for the Fund and Mr. Abbe is the President of Iroquois.</w:t>
      </w:r>
    </w:p>
    <w:p>
      <w:pPr>
        <w:spacing w:after="0" w:line="178" w:lineRule="exact"/>
        <w:rPr>
          <w:rFonts w:ascii="Arial" w:cs="Arial" w:eastAsia="Arial" w:hAnsi="Arial"/>
          <w:sz w:val="17"/>
          <w:szCs w:val="17"/>
          <w:color w:val="auto"/>
        </w:rPr>
      </w:pPr>
    </w:p>
    <w:p>
      <w:pPr>
        <w:jc w:val="both"/>
        <w:ind w:firstLine="8"/>
        <w:spacing w:after="0" w:line="289" w:lineRule="auto"/>
        <w:tabs>
          <w:tab w:leader="none" w:pos="3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is based upon the Schedule 13G jointly filed with the Securities and Exchange Commission by Iroquois Capital Management L.L.C. (“Iroquois”), Richard Abbe and Kimberly Page on February 14, 2018 and information provided from Iroquois. Includes the information in footnote 12 above and includes 48,775 shares of common stock and warrants to purchase 59,416 shares of common stock beneficially owned indirectly by Mr. Abbe (by Kensington Investment Group LLC). In addition, each of The Samantha Abbe Irrevocable Trust, The Talia Abbe Irrevocable Trust and The Bennett Abbe Irrevocable Trust held 25,956, 25,954 and 25,954 shares of common stock, respectively, and warrants to purchase 31,225, 31,223 and 31,223 shares of common stock, respectively, consisting of Series A, C, D, E and F warrants. In addition, by virtue of his position as a custodian or trustee of certain Accounts (The Samantha Abbe Irrevocable Trust, The Talia Abbe Irrevocable Trust and The Bennett Abbe Irrevocable Trust), Mr. Abbe may be deemed to be the beneficial owner of the shares of common stock held by, and underlying the warrants (subject to applicable blockers) held by, such Accounts. Mr. Abbe hereby disclaims any beneficial ownership of any such shares of common stock except to the extent of his pecuniary interest therein.</w:t>
      </w:r>
    </w:p>
    <w:p>
      <w:pPr>
        <w:spacing w:after="0" w:line="166" w:lineRule="exact"/>
        <w:rPr>
          <w:rFonts w:ascii="Arial" w:cs="Arial" w:eastAsia="Arial" w:hAnsi="Arial"/>
          <w:sz w:val="16"/>
          <w:szCs w:val="16"/>
          <w:color w:val="auto"/>
        </w:rPr>
      </w:pPr>
    </w:p>
    <w:p>
      <w:pPr>
        <w:jc w:val="both"/>
        <w:ind w:firstLine="8"/>
        <w:spacing w:after="0" w:line="276" w:lineRule="auto"/>
        <w:tabs>
          <w:tab w:leader="none" w:pos="35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Series A Warrants, Series D Warrants and Series E Warrants held by the Fund and those held by Richard Abbe and the Accounts are subject to a limit of exercise to the extent (and only to the extent) that Iroquois or any of its affiliates, or Richard Abbe or any of his affiliates, respectively, would beneficially own in excess of 4.9% of the common stock after giving effect to such exercise. The Series C and Series F Warrants are subject to a limit of exercise to the extent (and only to the extent) that Iroquois or any of its affiliates, or Mr. Abbe or any of his affiliates, respectively, would beneficially own in excess of 9.9% of the common stock after giving effect to such exercise. The percentages reflected in the table give effect to the applicable blockers.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our equity securities may be issued as of December 31, 2017:</w:t>
      </w:r>
    </w:p>
    <w:p>
      <w:pPr>
        <w:sectPr>
          <w:pgSz w:w="11900" w:h="16838" w:orient="portrait"/>
          <w:cols w:equalWidth="0" w:num="1">
            <w:col w:w="11020"/>
          </w:cols>
          <w:pgMar w:left="240" w:top="904"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 compensation plans approved by stockholders: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2014 Omnibus Stock Option Plan </w:t>
      </w:r>
      <w:r>
        <w:rPr>
          <w:rFonts w:ascii="Arial" w:cs="Arial" w:eastAsia="Arial" w:hAnsi="Arial"/>
          <w:sz w:val="30"/>
          <w:szCs w:val="30"/>
          <w:color w:val="auto"/>
          <w:vertAlign w:val="superscript"/>
        </w:rPr>
        <w:t>(1)</w:t>
      </w:r>
    </w:p>
    <w:p>
      <w:pPr>
        <w:ind w:left="300"/>
        <w:spacing w:after="0"/>
        <w:rPr>
          <w:sz w:val="20"/>
          <w:szCs w:val="20"/>
          <w:color w:val="auto"/>
        </w:rPr>
      </w:pPr>
      <w:r>
        <w:rPr>
          <w:rFonts w:ascii="Arial" w:cs="Arial" w:eastAsia="Arial" w:hAnsi="Arial"/>
          <w:sz w:val="16"/>
          <w:szCs w:val="16"/>
          <w:color w:val="auto"/>
        </w:rPr>
        <w:t xml:space="preserve">Equity compensation plans not approved by stockholders </w:t>
      </w:r>
      <w:r>
        <w:rPr>
          <w:rFonts w:ascii="Arial" w:cs="Arial" w:eastAsia="Arial" w:hAnsi="Arial"/>
          <w:sz w:val="26"/>
          <w:szCs w:val="26"/>
          <w:color w:val="auto"/>
          <w:vertAlign w:val="superscript"/>
        </w:rPr>
        <w:t>(2)</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Future Issuance Under</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16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7"/>
              </w:rPr>
              <w:t>Weighted Average</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Equity Compensation</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Issued Upon</w:t>
            </w:r>
          </w:p>
        </w:tc>
        <w:tc>
          <w:tcPr>
            <w:tcW w:w="2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Exercise Price of</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Plans (Excluding</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 Reflected in</w:t>
            </w:r>
          </w:p>
        </w:tc>
      </w:tr>
      <w:tr>
        <w:trPr>
          <w:trHeight w:val="234"/>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Column (a))</w:t>
            </w:r>
          </w:p>
        </w:tc>
      </w:tr>
      <w:tr>
        <w:trPr>
          <w:trHeight w:val="682"/>
        </w:trPr>
        <w:tc>
          <w:tcPr>
            <w:tcW w:w="1180" w:type="dxa"/>
            <w:vAlign w:val="bottom"/>
          </w:tcPr>
          <w:p>
            <w:pPr>
              <w:jc w:val="right"/>
              <w:spacing w:after="0"/>
              <w:rPr>
                <w:sz w:val="20"/>
                <w:szCs w:val="20"/>
                <w:color w:val="auto"/>
              </w:rPr>
            </w:pPr>
            <w:r>
              <w:rPr>
                <w:rFonts w:ascii="Arial" w:cs="Arial" w:eastAsia="Arial" w:hAnsi="Arial"/>
                <w:sz w:val="18"/>
                <w:szCs w:val="18"/>
                <w:color w:val="auto"/>
              </w:rPr>
              <w:t>536,200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837,500</w:t>
            </w:r>
          </w:p>
        </w:tc>
      </w:tr>
      <w:tr>
        <w:trPr>
          <w:trHeight w:val="270"/>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1180" w:type="dxa"/>
            <w:vAlign w:val="bottom"/>
          </w:tcPr>
          <w:p>
            <w:pPr>
              <w:jc w:val="right"/>
              <w:spacing w:after="0"/>
              <w:rPr>
                <w:sz w:val="20"/>
                <w:szCs w:val="20"/>
                <w:color w:val="auto"/>
              </w:rPr>
            </w:pPr>
            <w:r>
              <w:rPr>
                <w:rFonts w:ascii="Arial" w:cs="Arial" w:eastAsia="Arial" w:hAnsi="Arial"/>
                <w:sz w:val="18"/>
                <w:szCs w:val="18"/>
                <w:color w:val="auto"/>
              </w:rPr>
              <w:t>536,200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837,500</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-934085</wp:posOffset>
            </wp:positionV>
            <wp:extent cx="687768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-650875</wp:posOffset>
            </wp:positionV>
            <wp:extent cx="687768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77685" cy="16319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-316865</wp:posOffset>
            </wp:positionV>
            <wp:extent cx="687768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5440" w:space="720"/>
            <w:col w:w="4860"/>
          </w:cols>
          <w:pgMar w:left="240" w:top="904" w:right="639" w:bottom="1440" w:gutter="0" w:footer="0" w:header="0"/>
          <w:type w:val="continuous"/>
        </w:sectPr>
      </w:pPr>
    </w:p>
    <w:p>
      <w:pPr>
        <w:ind w:left="280" w:hanging="272"/>
        <w:spacing w:after="0"/>
        <w:tabs>
          <w:tab w:leader="none" w:pos="280" w:val="left"/>
        </w:tabs>
        <w:numPr>
          <w:ilvl w:val="0"/>
          <w:numId w:val="50"/>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Our 2014 Omnibus Stock Option Plan was approved by our shareholders at the 2017 annual meeting held on August 29, 2017.</w:t>
      </w:r>
    </w:p>
    <w:p>
      <w:pPr>
        <w:spacing w:after="0" w:line="42" w:lineRule="exact"/>
        <w:rPr>
          <w:rFonts w:ascii="Arial" w:cs="Arial" w:eastAsia="Arial" w:hAnsi="Arial"/>
          <w:sz w:val="26"/>
          <w:szCs w:val="26"/>
          <w:i w:val="1"/>
          <w:iCs w:val="1"/>
          <w:color w:val="auto"/>
          <w:vertAlign w:val="superscript"/>
        </w:rPr>
      </w:pPr>
    </w:p>
    <w:p>
      <w:pPr>
        <w:ind w:left="280" w:hanging="272"/>
        <w:spacing w:after="0" w:line="186" w:lineRule="auto"/>
        <w:tabs>
          <w:tab w:leader="none" w:pos="280" w:val="left"/>
        </w:tabs>
        <w:numPr>
          <w:ilvl w:val="0"/>
          <w:numId w:val="50"/>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We do not have any equity compensation plans not approved by shareholders.</w:t>
      </w: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4" w:right="6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 rules require us to disclose any transaction or currently proposed transaction in which we are a participant and in which any related person has or will have a direct or indirect material interest involving an amount that exceeds the lesser of $120,000 or one percent (1%) of the average of the Company’s total assets as of the end of last two completed fiscal years. A related person is any executive officer, director, nominee for director, or holder of 5% or more of the Company’s common stock, or an immediate family member of any of those persons.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ensure that material transactions and relationships involving a potential conflict of interest for any of our executive officers or directors are in our best interests,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us to enter into any such transaction or relationship. Pursuant to the Code of Ethics, none of our officers or employees may, on our behalf, authorize or approve any transaction or relationship, or enter into any agreement, in which such officer, director or any member of his or her immediate family, may have a personal interest without such Audit Committee approval. Further, none of our officers or employees may, on our behalf, authorize or approve any transaction or relationship, or enter into any agreement, if they are aware that one of our executive officers or directors, or any member of any such person’s family, may have a personal interest in such transaction or relationship, without such Audit Committee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reviews all conflict of interest transactions involving our executive officers and directors, pursuant to its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our best interests;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Investor-Transactions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several institutional investors, who currently beneficially own in excess of five percent (5%) of our current outstanding stock. The institutional investors have participated in Company Financings in 2016 and 2017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Private Placement-Warrant Exercise-Warrant Restructuring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Private Placement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Company completed a private placement of units with certain accredited investors. The units consisted of (i) one share of the Company’s common stock, par value $0.001 per share and (ii) one five-year warrant to purchase one share of Company common stock for $6.00. The Company issued and sold an aggregate of 520,833 Units at a purchase price per Unit of $4.80 for an aggregate of $2.5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Simultaneously with the closing of the 2016 private placement, holders of an aggregate of 583,333 outstanding Series C Warrants and 416,666 Series C-1 Warrants, each providing for the purchase of one share of Company common stock for $6.00 per share, entered into binding commitments to exercise their warrants for an aggregate exercise price of $6.0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Restructuring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Simultaneous with the closing of the 2016 private placement, the Company and holders of an aggregate of 3,096,665 outstanding Series A Warrants, Series A-1 Warrants, Series C Warrants, Series C-1 Warrants, Series D Warrants, Series D-1 Warrants, Series E Warrants and Series E-1 Warrants entered into Warrant Amendment Agreements, in which they agreed to amend the terms of the Outstanding Series Warrants to remove provisions from the Outstanding Series Warrants that had previously caused them to be classified as a derivative liability as opposed to equity. 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“Series F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Private Placement- Warrant Exercises and Repricings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Transaction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2017, the Company entered into subscription agreements (the “Subscription Agreements”) with certain accredited investors relating to a private placement of units (the “2017 Private Placement”). In the private placement transaction, the Company issued 1,503,491 shares of common stock for $3.97 per share and issued five-year warrants to purchase an equal number of shares of common stock, at an exercise price of $3.97 per share, for $0.125 per PIPE Warrant, with one common share and one PIPE Warrant being sold together as a unit for a total of $4.095 per Unit.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2017 Private Placement, the Company agreed that investors who purchase Units in the 2017 private placement and who also purchased units in the private placement that closed in August 2016 (which units included warrants to purchase common stock at $6.00 per share) could have the exercise price for their warrants issued in that transaction reduced from $6.00 per share to $3.97 per share upon payment to the Company of $0.125 for each share subject to the investor’s 2016 warrant. Investors in the Private Placement paid such amount with respect to their 2016 warrants to purchase an aggregate of 265,573 shares of common stock. The warrants to purchase an aggregate of 387,614 shares of common stock that were issued to all of the other investors in the 2016 private placement transaction (those who did not participate in the 2017 Private Placement) had the exercise price reduced from $6.00 per share to $3.97 per share without the payment of any additional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and Repricing of Warrants Held by Existing Institutional Investors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2017, certain existing institutional shareholders of the Company who hold various outstanding warrants to purchase Company common stock, entered into Warrant Exercise Agreements, in which the Company agreed to reduce the exercise price for a portion of the investors’ existing Series E warrants from $15.00 per share to $3.97 per share, provided that the investors exercise such portion of the warrants immediately. Pursuant to the Warrant Exercise Agreements, such warrant holders agreed to exercise Series E warrants to purchase an aggregate of 167,926 shares of Company common stock for aggregate gross proceeds of approximately $666,666, with the exercise price for 75% of the remainder of the investors’ Series E warrants to purchase 186,555 shares of Company common stock being reduced from $15.00 per share to $4.50 per share. The remaining 25% of such investors’ Series E warrants to purchase an aggregate of 62,185 shares of Company common stock retained their current exercise price. Additionally, the exercise prices for 75% of such investors’ Series C, Series D and Series F warrants were reduced to $4.00 per share from their current exercise prices of: $6.00 per share for Series C warrants (for 313,750 shares out of a total of 418,333 shares subject to their Series C warrants); $9.00 per share for Series D warrants (for 312,500 shares out of a total of 416,666 shares subject to their Series D warrants); and $7.20 per share for Series F warrants (for 292,500 shares out of a total of 390,000 shares subject to their Series F warrants). The remainder of the investors’ Series C, Series D and Series F warrants retained their current exercise prices.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Note-Officer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an outstanding promissory note in the amount of $23,000 owed to Dr. Glynn Wilson, currently strategic advisor and Chairman of the Company. The promissory note bore no interest charges and had no fixed repayment terms. During the year ended December 31, 2016, the note was paid in full.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Marcum LLP served as our independent registered public accounting firm and audited our financial statements for the fiscal years ended December 31, 2017 and December 31, 2016. Aggregate fees for professional services rendered to us by our auditor are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31, 2017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31, 2016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114,000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Audit Related Fees</w:t>
            </w: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All Other Fees</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Audit Fees</w:t>
            </w: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Tax fees are billed by our independent auditors for tax compliance, tax advice and tax planning.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Services Performed by Independent Auditors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our Audit Committee’s policy to pre-approve all audit and permissible non-audit services performed by the independent auditors. The Audit Committee approved all services that our independent accountants provided to us in the past two fiscal years.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documents filed as part of this report are as follows:</w:t>
      </w:r>
    </w:p>
    <w:p>
      <w:pPr>
        <w:spacing w:after="0" w:line="225" w:lineRule="exact"/>
        <w:rPr>
          <w:sz w:val="20"/>
          <w:szCs w:val="20"/>
          <w:color w:val="auto"/>
        </w:rPr>
      </w:pPr>
    </w:p>
    <w:p>
      <w:pPr>
        <w:ind w:firstLine="8"/>
        <w:spacing w:after="0" w:line="277" w:lineRule="auto"/>
        <w:tabs>
          <w:tab w:leader="none" w:pos="6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financial statements and accompanying report of independent registered public accounting firm are set forth immediately following the signature page of this report on pages F-1 through F-24.</w:t>
      </w:r>
    </w:p>
    <w:p>
      <w:pPr>
        <w:spacing w:after="0" w:line="170" w:lineRule="exact"/>
        <w:rPr>
          <w:rFonts w:ascii="Arial" w:cs="Arial" w:eastAsia="Arial" w:hAnsi="Arial"/>
          <w:sz w:val="18"/>
          <w:szCs w:val="18"/>
          <w:color w:val="auto"/>
        </w:rPr>
      </w:pPr>
    </w:p>
    <w:p>
      <w:pPr>
        <w:ind w:right="20" w:firstLine="8"/>
        <w:spacing w:after="0" w:line="277"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inapplicable, not required or the information is included elsewhere in the financial statements or the notes thereto.</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exhibits required to be filed by this report or able to be incorporated by reference are listed in the “Exhibit Index” following the financial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statements.</w:t>
      </w:r>
    </w:p>
    <w:p>
      <w:pPr>
        <w:spacing w:after="0" w:line="211" w:lineRule="exact"/>
        <w:rPr>
          <w:sz w:val="20"/>
          <w:szCs w:val="20"/>
          <w:color w:val="auto"/>
        </w:rPr>
      </w:pPr>
    </w:p>
    <w:p>
      <w:pPr>
        <w:ind w:left="620" w:hanging="612"/>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Exhibits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Exhibits required by Item 601 of Regulation S-K are submitted (or incorporated by reference) and listed in a separate section herein immediately following the “Exhibit Index” and are incorporated herein by reference.</w:t>
      </w:r>
    </w:p>
    <w:p>
      <w:pPr>
        <w:spacing w:after="0" w:line="170" w:lineRule="exact"/>
        <w:rPr>
          <w:sz w:val="20"/>
          <w:szCs w:val="20"/>
          <w:color w:val="auto"/>
        </w:rPr>
      </w:pPr>
    </w:p>
    <w:p>
      <w:pPr>
        <w:ind w:left="700" w:hanging="692"/>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Peter Hoang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J.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officers and directors of TapImmune Inc., hereby constitutes and appoints Peter Hoang and Michael J. Loiacono,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March 23, 2018 on behalf of the registrant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Date</w:t>
            </w:r>
          </w:p>
        </w:tc>
      </w:tr>
      <w:tr>
        <w:trPr>
          <w:trHeight w:val="27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Peter Hoang</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Grisewood</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Sherry Grisewood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Dr. Glynn Wilson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Reddish</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Mark Reddish</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Silverman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Joshua Silverman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Michael J. Loiacono</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60" w:type="dxa"/>
            <w:vAlign w:val="bottom"/>
            <w:gridSpan w:val="3"/>
          </w:tcPr>
          <w:p>
            <w:pPr>
              <w:jc w:val="center"/>
              <w:ind w:right="4680"/>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60" w:type="dxa"/>
            <w:vAlign w:val="bottom"/>
            <w:gridSpan w:val="7"/>
            <w:shd w:val="clear" w:color="auto" w:fill="CCEEFF"/>
          </w:tcPr>
          <w:p>
            <w:pPr>
              <w:spacing w:after="0" w:line="176" w:lineRule="exact"/>
              <w:rPr>
                <w:rFonts w:ascii="Arial" w:cs="Arial" w:eastAsia="Arial" w:hAnsi="Arial"/>
                <w:sz w:val="18"/>
                <w:szCs w:val="18"/>
                <w:b w:val="1"/>
                <w:bCs w:val="1"/>
                <w:color w:val="0000EE"/>
                <w:w w:val="93"/>
              </w:rPr>
            </w:pPr>
            <w:hyperlink w:anchor="page84">
              <w:r>
                <w:rPr>
                  <w:rFonts w:ascii="Arial" w:cs="Arial" w:eastAsia="Arial" w:hAnsi="Arial"/>
                  <w:sz w:val="18"/>
                  <w:szCs w:val="18"/>
                  <w:b w:val="1"/>
                  <w:bCs w:val="1"/>
                  <w:color w:val="0000EE"/>
                  <w:w w:val="93"/>
                </w:rPr>
                <w:t>Report of Independent Registered Public Accounting Firm</w:t>
              </w:r>
            </w:hyperlink>
          </w:p>
        </w:tc>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4">
              <w:r>
                <w:rPr>
                  <w:rFonts w:ascii="Arial" w:cs="Arial" w:eastAsia="Arial" w:hAnsi="Arial"/>
                  <w:sz w:val="18"/>
                  <w:szCs w:val="18"/>
                  <w:color w:val="0000EE"/>
                  <w:w w:val="81"/>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Consolidated Balance Sheets</w:t>
              </w:r>
            </w:hyperlink>
          </w:p>
        </w:tc>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5">
              <w:r>
                <w:rPr>
                  <w:rFonts w:ascii="Arial" w:cs="Arial" w:eastAsia="Arial" w:hAnsi="Arial"/>
                  <w:sz w:val="18"/>
                  <w:szCs w:val="18"/>
                  <w:color w:val="0000EE"/>
                  <w:w w:val="81"/>
                </w:rPr>
                <w:t>F-3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Consolidated Statements of Operations</w:t>
              </w:r>
            </w:hyperlink>
          </w:p>
        </w:tc>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6">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60" w:type="dxa"/>
            <w:vAlign w:val="bottom"/>
            <w:gridSpan w:val="7"/>
            <w:shd w:val="clear" w:color="auto" w:fill="CCEEFF"/>
          </w:tcPr>
          <w:p>
            <w:pPr>
              <w:spacing w:after="0" w:line="176" w:lineRule="exact"/>
              <w:rPr>
                <w:rFonts w:ascii="Arial" w:cs="Arial" w:eastAsia="Arial" w:hAnsi="Arial"/>
                <w:sz w:val="18"/>
                <w:szCs w:val="18"/>
                <w:b w:val="1"/>
                <w:bCs w:val="1"/>
                <w:color w:val="0000EE"/>
                <w:w w:val="95"/>
              </w:rPr>
            </w:pPr>
            <w:hyperlink w:anchor="page87">
              <w:r>
                <w:rPr>
                  <w:rFonts w:ascii="Arial" w:cs="Arial" w:eastAsia="Arial" w:hAnsi="Arial"/>
                  <w:sz w:val="18"/>
                  <w:szCs w:val="18"/>
                  <w:b w:val="1"/>
                  <w:bCs w:val="1"/>
                  <w:color w:val="0000EE"/>
                  <w:w w:val="95"/>
                </w:rPr>
                <w:t>Consolidated Statement of Stockholders’ Equity (Deficit)</w:t>
              </w:r>
            </w:hyperlink>
          </w:p>
        </w:tc>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7">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Consolidated Statements of Cash Flows</w:t>
              </w:r>
            </w:hyperlink>
          </w:p>
        </w:tc>
        <w:tc>
          <w:tcPr>
            <w:tcW w:w="6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76" w:lineRule="exact"/>
              <w:rPr>
                <w:rFonts w:ascii="Arial" w:cs="Arial" w:eastAsia="Arial" w:hAnsi="Arial"/>
                <w:sz w:val="18"/>
                <w:szCs w:val="18"/>
                <w:color w:val="0000EE"/>
                <w:w w:val="81"/>
              </w:rPr>
            </w:pPr>
            <w:hyperlink w:anchor="page88">
              <w:r>
                <w:rPr>
                  <w:rFonts w:ascii="Arial" w:cs="Arial" w:eastAsia="Arial" w:hAnsi="Arial"/>
                  <w:sz w:val="18"/>
                  <w:szCs w:val="18"/>
                  <w:color w:val="0000EE"/>
                  <w:w w:val="81"/>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88"/>
              </w:rPr>
            </w:pPr>
            <w:hyperlink w:anchor="page90">
              <w:r>
                <w:rPr>
                  <w:rFonts w:ascii="Arial" w:cs="Arial" w:eastAsia="Arial" w:hAnsi="Arial"/>
                  <w:sz w:val="18"/>
                  <w:szCs w:val="18"/>
                  <w:b w:val="1"/>
                  <w:bCs w:val="1"/>
                  <w:color w:val="0000EE"/>
                  <w:w w:val="88"/>
                </w:rPr>
                <w:t>Notes to the Consolidated Financial Statements</w:t>
              </w:r>
            </w:hyperlink>
          </w:p>
        </w:tc>
        <w:tc>
          <w:tcPr>
            <w:tcW w:w="1040" w:type="dxa"/>
            <w:vAlign w:val="bottom"/>
            <w:tcBorders>
              <w:bottom w:val="single" w:sz="8" w:color="CCEEFF"/>
            </w:tcBorders>
            <w:gridSpan w:val="3"/>
            <w:shd w:val="clear" w:color="auto" w:fill="CCEEFF"/>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1"/>
              </w:rPr>
            </w:pPr>
            <w:hyperlink w:anchor="page90">
              <w:r>
                <w:rPr>
                  <w:rFonts w:ascii="Arial" w:cs="Arial" w:eastAsia="Arial" w:hAnsi="Arial"/>
                  <w:sz w:val="18"/>
                  <w:szCs w:val="18"/>
                  <w:color w:val="0000EE"/>
                  <w:w w:val="81"/>
                </w:rPr>
                <w:t>F-8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jc w:val="center"/>
              <w:ind w:right="4590"/>
              <w:spacing w:after="0"/>
              <w:rPr>
                <w:sz w:val="20"/>
                <w:szCs w:val="20"/>
                <w:color w:val="auto"/>
              </w:rPr>
            </w:pPr>
            <w:r>
              <w:rPr>
                <w:rFonts w:ascii="Arial" w:cs="Arial" w:eastAsia="Arial" w:hAnsi="Arial"/>
                <w:sz w:val="22"/>
                <w:szCs w:val="22"/>
                <w:color w:val="auto"/>
                <w:w w:val="90"/>
              </w:rPr>
              <w:t>F-1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3" w:name="page84"/>
    <w:bookmarkEnd w:id="83"/>
    <w:p>
      <w:pPr>
        <w:ind w:left="282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TapImmune, Inc. (the “Company”) as of December 31, 2017 and 2016, the related consolidated statements of operations, stockholders’ equity (deficit)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5,129,289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51,150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5,180,439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1,508,312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w w:val="92"/>
              </w:rPr>
              <w:t>Preferred stock - $0.001 par value, 5 million shares authorized at December 31, 2017 and 2016, respectively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Series A, $0.001 par value, 1.25 million shares designated, 0 shares issued and outstanding as of December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2017 and 2016,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91"/>
              </w:rPr>
              <w:t>Series B, $0.001 par value, 1.5 million shares designated, 0 shares issued and outstanding as of December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31, 2017 and 2016, respectively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41.7 million shares authorized, 10.6 million and 8.4 million shares issued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as of December 31, 2017 and 2016,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161,067,538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151,991,974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(157,420,027)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(145,815,808)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3,658,127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6,184,587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5,180,439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5,250,985</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3,800,035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6,412,121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4,692,234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11,663,106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8,492,269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(8,492,269)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5,939,500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Debt extinguishment gain</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 income</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Loss on debt settlement agreements</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(135,640)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7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(10,982,177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(2,455,381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2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per share</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9,453,483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6,889,898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 diluted</w:t>
            </w:r>
          </w:p>
        </w:tc>
        <w:tc>
          <w:tcPr>
            <w:tcW w:w="1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9,453,483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7,420,995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5280" w:type="dxa"/>
            <w:vAlign w:val="bottom"/>
          </w:tcPr>
          <w:p>
            <w:pPr>
              <w:spacing w:after="0"/>
              <w:rPr>
                <w:sz w:val="16"/>
                <w:szCs w:val="16"/>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Additional Paid-</w:t>
            </w:r>
          </w:p>
        </w:tc>
        <w:tc>
          <w:tcPr>
            <w:tcW w:w="100" w:type="dxa"/>
            <w:vAlign w:val="bottom"/>
          </w:tcPr>
          <w:p>
            <w:pPr>
              <w:spacing w:after="0"/>
              <w:rPr>
                <w:sz w:val="16"/>
                <w:szCs w:val="16"/>
                <w:color w:val="auto"/>
              </w:rPr>
            </w:pPr>
          </w:p>
        </w:tc>
        <w:tc>
          <w:tcPr>
            <w:tcW w:w="130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528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3"/>
                <w:szCs w:val="13"/>
                <w:color w:val="auto"/>
              </w:rPr>
            </w:pPr>
          </w:p>
        </w:tc>
        <w:tc>
          <w:tcPr>
            <w:tcW w:w="1300" w:type="dxa"/>
            <w:vAlign w:val="bottom"/>
            <w:gridSpan w:val="3"/>
          </w:tcPr>
          <w:p>
            <w:pPr>
              <w:jc w:val="center"/>
              <w:ind w:right="228"/>
              <w:spacing w:after="0" w:line="155" w:lineRule="exact"/>
              <w:rPr>
                <w:sz w:val="20"/>
                <w:szCs w:val="20"/>
                <w:color w:val="auto"/>
              </w:rPr>
            </w:pPr>
            <w:r>
              <w:rPr>
                <w:rFonts w:ascii="Arial" w:cs="Arial" w:eastAsia="Arial" w:hAnsi="Arial"/>
                <w:sz w:val="14"/>
                <w:szCs w:val="14"/>
                <w:b w:val="1"/>
                <w:bCs w:val="1"/>
                <w:color w:val="auto"/>
                <w:w w:val="93"/>
              </w:rPr>
              <w:t>Deficit</w:t>
            </w:r>
          </w:p>
        </w:tc>
        <w:tc>
          <w:tcPr>
            <w:tcW w:w="104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5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2016</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5,882,976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112,142,187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(133,508,427)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(21,360,356)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Private placement (net of offering cost)</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653,166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2,330,473</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2,331,126</w:t>
            </w: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Fair value of shares issued as inducement on August 10, 2016</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4,499,250</w:t>
            </w:r>
          </w:p>
        </w:tc>
        <w:tc>
          <w:tcPr>
            <w:tcW w:w="132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(4,500,000)</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Fair value of series F and F-1 warrants issued as inducement in August 2016</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5,352,000</w:t>
            </w:r>
          </w:p>
        </w:tc>
        <w:tc>
          <w:tcPr>
            <w:tcW w:w="132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(5,352,000)</w:t>
            </w: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52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Reclassification of fair value of derivative liabilities to equity on amendment of</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agreements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15,465,000</w:t>
            </w:r>
          </w:p>
        </w:tc>
        <w:tc>
          <w:tcPr>
            <w:tcW w:w="132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15,465,000</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Exercise of warrants (net of offering cost)</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5,482,349</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5,483,349</w:t>
            </w: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Reclassification of fair value of derivative liabilities at exercise date</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5,074,000</w:t>
            </w:r>
          </w:p>
        </w:tc>
        <w:tc>
          <w:tcPr>
            <w:tcW w:w="132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5,074,000</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Exercise of stock options</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18,115</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18,125</w:t>
            </w: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issued in debt settlement agreements</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70,305</w:t>
            </w:r>
          </w:p>
        </w:tc>
        <w:tc>
          <w:tcPr>
            <w:tcW w:w="132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70,315</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Stock- based compensation</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114,435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1,558,295</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1,558,409</w:t>
            </w:r>
          </w:p>
        </w:tc>
      </w:tr>
      <w:tr>
        <w:trPr>
          <w:trHeight w:val="162"/>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(2,455,381)</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(2,455,381)</w:t>
            </w:r>
          </w:p>
        </w:tc>
      </w:tr>
      <w:tr>
        <w:trPr>
          <w:trHeight w:val="142"/>
        </w:trPr>
        <w:tc>
          <w:tcPr>
            <w:tcW w:w="52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December 31, 2016</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8,421,185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151,991,974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(145,815,808)</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6,184,587</w:t>
            </w:r>
          </w:p>
        </w:tc>
        <w:tc>
          <w:tcPr>
            <w:tcW w:w="100" w:type="dxa"/>
            <w:vAlign w:val="bottom"/>
          </w:tcPr>
          <w:p>
            <w:pPr>
              <w:spacing w:after="0"/>
              <w:rPr>
                <w:sz w:val="12"/>
                <w:szCs w:val="12"/>
                <w:color w:val="auto"/>
              </w:rPr>
            </w:pP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stock and warrants issued in private placement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1,503,567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6,188,499</w:t>
            </w:r>
          </w:p>
        </w:tc>
        <w:tc>
          <w:tcPr>
            <w:tcW w:w="132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6,190,003</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Fees and legal costs relating to private placement</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(781,660)</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(781,660)</w:t>
            </w: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Exercise of warrants</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167,926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666,498</w:t>
            </w:r>
          </w:p>
        </w:tc>
        <w:tc>
          <w:tcPr>
            <w:tcW w:w="132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666,666</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Legal costs relating to exercise of warrants</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(47,043)</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(47,043)</w:t>
            </w: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Fair value of repriced warrants as inducement</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622,042</w:t>
            </w:r>
          </w:p>
        </w:tc>
        <w:tc>
          <w:tcPr>
            <w:tcW w:w="132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(622,042)</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528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620,685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2,737,623</w:t>
            </w:r>
          </w:p>
        </w:tc>
        <w:tc>
          <w:tcPr>
            <w:tcW w:w="132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2,738,244</w:t>
            </w:r>
          </w:p>
        </w:tc>
      </w:tr>
      <w:tr>
        <w:trPr>
          <w:trHeight w:val="149"/>
        </w:trPr>
        <w:tc>
          <w:tcPr>
            <w:tcW w:w="52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Repurchase of common stock to pay for employee withholding taxes</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(97,639)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(310,395)</w:t>
            </w:r>
          </w:p>
        </w:tc>
        <w:tc>
          <w:tcPr>
            <w:tcW w:w="132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(310,493)</w:t>
            </w:r>
          </w:p>
        </w:tc>
      </w:tr>
      <w:tr>
        <w:trPr>
          <w:trHeight w:val="162"/>
        </w:trPr>
        <w:tc>
          <w:tcPr>
            <w:tcW w:w="52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8"/>
              <w:spacing w:after="0"/>
              <w:rPr>
                <w:sz w:val="20"/>
                <w:szCs w:val="20"/>
                <w:color w:val="auto"/>
              </w:rPr>
            </w:pPr>
            <w:r>
              <w:rPr>
                <w:rFonts w:ascii="Arial" w:cs="Arial" w:eastAsia="Arial" w:hAnsi="Arial"/>
                <w:sz w:val="14"/>
                <w:szCs w:val="14"/>
                <w:color w:val="auto"/>
              </w:rPr>
              <w:t>(10,982,177)</w:t>
            </w: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(10,982,177)</w:t>
            </w:r>
          </w:p>
        </w:tc>
      </w:tr>
      <w:tr>
        <w:trPr>
          <w:trHeight w:val="156"/>
        </w:trPr>
        <w:tc>
          <w:tcPr>
            <w:tcW w:w="52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2017</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10,615,724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10,616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161,067,538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9"/>
              </w:rPr>
              <w:t>$  (157,420,027</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3,658,127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(10,982,177)</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(2,455,381)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Changes in fair value of warrant liabilities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in debt settlement agreements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2,738,244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extinguishment gain</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b w:val="1"/>
                <w:bCs w:val="1"/>
                <w:color w:val="auto"/>
              </w:rPr>
              <w:t>Changes in operating assets and liabilities: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deposits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18,999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283,372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257,582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(8,439,427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(6,509,921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Proceeds from issuance of common stock and warrants in private placement, net of offering costs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5,408,343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Proceeds from exercise of stock warrants, net of offering costs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619,623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5,483,349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Repayment of promissory note</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promissory note - related party</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Repurchase of common stock to pay for employee withholding taxes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(310,493)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5,717,473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(2,721,954)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1,274,679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7,851,243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5,129,289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7,851,243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ind w:left="30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8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Fair value of repriced warrants as inducement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622,042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3"/>
              </w:rPr>
              <w:t>Reclassification of accrued liability upon issuance of common shares relating to Dr. Glynn Wilson’s compensation</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Fair value of issuance of series F and F-1 warrants as inducement in August 2016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5,352,000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 as inducement on August 10, 2016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Reclassification of fair value of derivative liabilities to equity on amendment of warrant agreements</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15,465,000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1991,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(CD8+) and T-helper (CD4+) cells and by restoring antigen presentation in tumor cells allowing their recognition and killing by the immune system.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Phase I study at the Mayo Clinic, Rochester, MN, evaluating the safety and immune responses of a set of proprietary HER2/neu+ antigens has been successfully completed and the results led to the decision to proceed with Phase II clinical studies in 2017.</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2017.</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and dormant subsidiary GeneMax Pharmaceuticals Inc. All significant intercompany balances and transactions are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stock-based transactions, the fair value of the components of the warrant liabilities and accrued liabilities.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Liquidity, financial condition and managements plans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have been prepared on the basis of a going concern which contemplates the realization of assets and the satisfaction of liabilities in the normal course of business. As at December 31, 2017, the Company had cash balances of approximately $5.1 million. Historically, the Company has incurred significant losses in the development of its business. The ability of the Company to continue as a going concern is dependent on raising additional capital to fund current clinical trials, ongoing research and development, maintenance and protection of patents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addressing going concern through seeking new sources of capital and is continuing initiatives to raise capital through private placements, related party loans and other institutional sources to meet future working capital requirements. We have no sources of revenue to provide incoming cash flows to sustain our future operations. Our ability to pursue our planned business activities is dependent upon our successful efforts to raise additional capital. These factors raise substantial doubt regarding our ability to continue as a going concern.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the Company has raised capital through issuances of various financial instruments and during 2016, the Company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beyond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is no certainty that the Company will be able to arrange sufficient funding to continue development of products to marketability.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Accounting Standards Codification (“ASC”) 820, “Fair Value Measurements and Disclosures,” (“ASC 820”) for the Company’s financial assets and liabilities that are re-measured and reported at fair value at each reporting period, and are re-measured and reported at fair value at least annually using a fair value hierarchy that is broken down into three levels. Level inputs are defined as follows:</w:t>
      </w:r>
    </w:p>
    <w:p>
      <w:pPr>
        <w:spacing w:after="0" w:line="181"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incurs stock-based compensation expense related to restricted stock units and stock options. The fair value of restricted stock is determined by the closing market price of the Company's common stock on the date of grant.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 The Company amortizes the fair value of the awards expected to vest on a straight-line basis over the requisite service period of the awards. Expected volatility is based on historical volatility. The expected life of options granted is based on historical expected life. The risk-free interest rate is based on the U.S. Treasury yield in effect at the time of grant. The forfeiture rate is based on historical data, and the Company records stock-based compensation expense only for those awards that are expected to vest. The dividend yield is based on the fact that no dividends have been paid historically and none are currently expected to be paid in the foreseeable future: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both"/>
        <w:ind w:left="66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simplified method, which is the half-life from vesting to the end of its contractual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computes stock price volatility over expected terms based on its historical common stock trading prices.</w:t>
      </w:r>
    </w:p>
    <w:p>
      <w:pPr>
        <w:spacing w:after="0" w:line="23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acquired research and development rights to certain technologies. The rights and licenses acquired are considered rights to unproven technology which may not have alternate future uses and therefore, are expensed as incurred as research and development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trial expenses include direct costs associated with contract research organizations (“CROs”), as well as patient-related costs at sites at which our trials are being conducted. Direct costs associated with our CROs are generally payable on a time and materials basis, or when certain enrollment and monitoring milestones are achieved.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costs of approximately $5.3 million and $3.8 million on research and development for the year ended December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2017 and 2016,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2017 and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free-standing warrants that contain contingently puttable cash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loss per share include only the weighted average common shares outstanding, without consideration of potentially dilutive securities. Diluted loss per share include the weighted average common shares outstanding and any potentially dilutive common stock equivalent shares in the calculation.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in accounts which are in excess of the Federal Deposit Insurance Corporation (“FDIC”) insured limits of $250,000. As of December 31, 2017 and 2016, approximately $4.9 million and $7.6 million, respectively, in cash was uninsured based upon the FDIC insurance coverage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FASB issued ASU No. 2014-15, “Presentation of Financial Statements-Going Concern”, which defines management's responsibility to assess an entity's ability to continue as a going concern, and requires related footnote disclosures if there is substantial doubt about its ability to continue as a going concern. ASU No. 2014-15 is effective for the Company for the fiscal year ending on December 31, 2016, with early adoption permitted. The Company adopted ASU 2014-15 as of December 31, 2017 in its consolidated financial statements and related disclosures, which did not have a material impact on its results of operations, cash flows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FASB issued ASU No. 2015-17, “Balance Sheet Classification of Deferred Taxes”. ASU No. 2015-17 requires that deferred tax liabilities and assets be classified as noncurrent in a classified statement of financial position. ASU No. 2015-17 is effective for financial statements issued for fiscal years beginning after December 15, 2016, and interim periods within those fiscal years. The Company adopted ASU No. 2015-17 on January 1, 2017 and its adoption did not have a material impact on the Company’s financial position and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2016, the FASB issued ASU No. 2016-09, Compensation-Stock Compensation (Topic 718), Improvements to Employee Share-Based Payment Accounting. Under ASU No. 2016-09, companies will no longer record excess tax benefits and certain tax deficiencies in additional paid-in capital (“APIC”). Instead, they will record all excess tax benefits and tax deficiencies as income tax expense or benefit in the income statement and the APIC pools will be eliminated. In addition, ASU No. 2016-09 eliminates the requirement that excess tax benefits be realized before companies can recognize them. ASU No. 2016-09 also requires companies to present excess tax benefits as an operating activity on the statement of cash flows rather than as a financing activity. Furthermore, ASU No. 2016-09 will increase the amount an employer can withhold to cover income taxes on awards and still qualify for the exception to liability classification for shares used to satisfy the employer’s statutory income tax withholding obligation. An employer with a statutory income tax withholding obligation will now be allowed to withhold shares with a fair value up to the amount of taxes owed using the maximum statutory tax rate in the employee’s applicable jurisdiction(s). ASU No. 2016-09 requires a company to classify the cash paid to a tax authority when shares are withheld to satisfy its statutory income tax withholding obligation as a financing activity on the statement of cash flows. Under current U.S. GAAP, it was not specified how these cash flows should be classified. In addition, companies will now have to elect whether to account for forfeitures on share-based payments by (1) recognizing forfeitures of awards as they occur or (2) estimating the number of awards expected to be forfeited and adjusting the estimate when it is likely to change, as is currently required. The amendments of this ASU are effective for reporting periods beginning after January 1, 2017, with early adoption permitted but all of the guidance must be adopted in the same period. The Company adopted this on January 1, 2017. The Company has evaluated the impact of ASU No. 2016-09 and has determined that the adoption of the impact of forfeitures, net of income taxes, will not have a material impact on the Company’s future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Accounting Standards Update (“ASU”) No. 2016-15, Statement of Cash Flows (Topic 230). This amendment provides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adopted this as of December 31, 2017. The Company has evaluated the impact of ASU No. 2016-15 and has determined that the adoption did not have a material impact on the Company’s financial position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for Certain Financial Instruments with Down Round Features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13, 2017, the FASB has issued a two-part Accounting Standards Update (“ASU”), No. 2017-11,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public business entities for fiscal years, and interim periods within those fiscal years, beginning after December 15, 2018 and the interim periods within that annual period. Early adoption is permitted. The Company will be evaluating the impact of adopting this standard on the consolidated financial statements and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It is effective prospectively for the annual period beginning after December 15, 2017 and interim periods within that annual period. Early adoption is permitted. The Company is currently evaluating the impact of adopting this standard on the consolidated financial statements and disclosures, but does not expect it to have a significant impact.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as modified by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will adopt the new standard effective January 1, 2018, using the modified retrospective approach. The only impact of the adoption of ASU 2014-09 will be to reclassify the Company's grant income as revenue.</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Applicable to Common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 to basic loss per common share except that it reflects the potential dilution that could occur if dilutive securities or other obligations to issue common stock were exercised or converted into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loss per share for the years ended December 31, 2017 and 2016, respectively:</w:t>
      </w:r>
    </w:p>
    <w:p>
      <w:pPr>
        <w:spacing w:after="0" w:line="221"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18865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3227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right="1340"/>
        <w:spacing w:after="0" w:line="276" w:lineRule="auto"/>
        <w:rPr>
          <w:sz w:val="20"/>
          <w:szCs w:val="20"/>
          <w:color w:val="auto"/>
        </w:rPr>
      </w:pPr>
      <w:r>
        <w:rPr>
          <w:rFonts w:ascii="Arial" w:cs="Arial" w:eastAsia="Arial" w:hAnsi="Arial"/>
          <w:sz w:val="18"/>
          <w:szCs w:val="18"/>
          <w:color w:val="auto"/>
        </w:rPr>
        <w:t>Less: non-cash income from change in fair value of common stock warrants Net loss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673227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2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673227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right="2940"/>
        <w:spacing w:after="0" w:line="250" w:lineRule="auto"/>
        <w:rPr>
          <w:sz w:val="20"/>
          <w:szCs w:val="20"/>
          <w:color w:val="auto"/>
        </w:rPr>
      </w:pPr>
      <w:r>
        <w:rPr>
          <w:rFonts w:ascii="Arial" w:cs="Arial" w:eastAsia="Arial" w:hAnsi="Arial"/>
          <w:sz w:val="18"/>
          <w:szCs w:val="18"/>
          <w:color w:val="auto"/>
        </w:rPr>
        <w:t>Weighted average common shares outstanding - basic Dilutive effect of warrants,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73227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 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3227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43" w:lineRule="exact"/>
        <w:rPr>
          <w:sz w:val="20"/>
          <w:szCs w:val="20"/>
          <w:color w:val="auto"/>
        </w:rPr>
      </w:pPr>
    </w:p>
    <w:p>
      <w:pPr>
        <w:spacing w:after="0"/>
        <w:tabs>
          <w:tab w:leader="none" w:pos="500" w:val="left"/>
          <w:tab w:leader="none" w:pos="1600" w:val="left"/>
          <w:tab w:leader="none" w:pos="2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(10,982,177)</w:t>
        <w:tab/>
        <w:t>$</w:t>
      </w:r>
      <w:r>
        <w:rPr>
          <w:sz w:val="20"/>
          <w:szCs w:val="20"/>
          <w:color w:val="auto"/>
        </w:rPr>
        <w:tab/>
      </w:r>
      <w:r>
        <w:rPr>
          <w:rFonts w:ascii="Arial" w:cs="Arial" w:eastAsia="Arial" w:hAnsi="Arial"/>
          <w:sz w:val="16"/>
          <w:szCs w:val="16"/>
          <w:color w:val="auto"/>
        </w:rPr>
        <w:t>(2,455,381)</w:t>
      </w:r>
    </w:p>
    <w:p>
      <w:pPr>
        <w:spacing w:after="0" w:line="23" w:lineRule="exact"/>
        <w:rPr>
          <w:sz w:val="20"/>
          <w:szCs w:val="20"/>
          <w:color w:val="auto"/>
        </w:rPr>
      </w:pPr>
    </w:p>
    <w:p>
      <w:pPr>
        <w:ind w:left="2200" w:hanging="865"/>
        <w:spacing w:after="0"/>
        <w:tabs>
          <w:tab w:leader="none" w:pos="2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(2,856,000)</w:t>
      </w:r>
    </w:p>
    <w:p>
      <w:pPr>
        <w:spacing w:after="0" w:line="45"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(10,982,177)</w:t>
      </w:r>
      <w:r>
        <w:rPr>
          <w:rFonts w:ascii="Arial" w:cs="Arial" w:eastAsia="Arial" w:hAnsi="Arial"/>
          <w:sz w:val="16"/>
          <w:szCs w:val="16"/>
          <w:color w:val="auto"/>
        </w:rPr>
        <w:t>(5,311,381)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886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0"/>
        <w:spacing w:after="0"/>
        <w:tabs>
          <w:tab w:leader="none" w:pos="2240" w:val="left"/>
        </w:tabs>
        <w:rPr>
          <w:sz w:val="20"/>
          <w:szCs w:val="20"/>
          <w:color w:val="auto"/>
        </w:rPr>
      </w:pPr>
      <w:r>
        <w:rPr>
          <w:rFonts w:ascii="Arial" w:cs="Arial" w:eastAsia="Arial" w:hAnsi="Arial"/>
          <w:sz w:val="17"/>
          <w:szCs w:val="17"/>
          <w:color w:val="auto"/>
        </w:rPr>
        <w:t>9,453,483</w:t>
      </w:r>
      <w:r>
        <w:rPr>
          <w:sz w:val="20"/>
          <w:szCs w:val="20"/>
          <w:color w:val="auto"/>
        </w:rPr>
        <w:tab/>
      </w:r>
      <w:r>
        <w:rPr>
          <w:rFonts w:ascii="Arial" w:cs="Arial" w:eastAsia="Arial" w:hAnsi="Arial"/>
          <w:sz w:val="17"/>
          <w:szCs w:val="17"/>
          <w:color w:val="auto"/>
        </w:rPr>
        <w:t>6,889,898</w:t>
      </w:r>
    </w:p>
    <w:p>
      <w:pPr>
        <w:spacing w:after="0" w:line="35" w:lineRule="exact"/>
        <w:rPr>
          <w:sz w:val="20"/>
          <w:szCs w:val="20"/>
          <w:color w:val="auto"/>
        </w:rPr>
      </w:pPr>
    </w:p>
    <w:p>
      <w:pPr>
        <w:ind w:left="2400" w:hanging="1065"/>
        <w:spacing w:after="0"/>
        <w:tabs>
          <w:tab w:leader="none" w:pos="2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531,097</w:t>
      </w:r>
    </w:p>
    <w:p>
      <w:pPr>
        <w:spacing w:after="0" w:line="34"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9,453,483</w:t>
      </w:r>
      <w:r>
        <w:rPr>
          <w:rFonts w:ascii="Arial" w:cs="Arial" w:eastAsia="Arial" w:hAnsi="Arial"/>
          <w:sz w:val="16"/>
          <w:szCs w:val="16"/>
          <w:color w:val="auto"/>
        </w:rPr>
        <w:t>7,420,995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886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880"/>
          </w:cols>
          <w:pgMar w:left="240" w:top="909"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7540" w:type="dxa"/>
            <w:vAlign w:val="bottom"/>
          </w:tcPr>
          <w:p>
            <w:pPr>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(0.36)</w:t>
            </w:r>
          </w:p>
        </w:tc>
      </w:tr>
      <w:tr>
        <w:trPr>
          <w:trHeight w:val="197"/>
        </w:trPr>
        <w:tc>
          <w:tcPr>
            <w:tcW w:w="75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560" w:type="dxa"/>
            <w:vAlign w:val="bottom"/>
            <w:tcBorders>
              <w:top w:val="single" w:sz="8" w:color="auto"/>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Year Ended</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Common Stock Purchase Warrants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6,521,000</w:t>
            </w:r>
          </w:p>
        </w:tc>
        <w:tc>
          <w:tcPr>
            <w:tcW w:w="4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5,060,000</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NOTE 4:</w:t>
            </w:r>
          </w:p>
        </w:tc>
        <w:tc>
          <w:tcPr>
            <w:tcW w:w="65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ACCOUNTS PAYABLE AND ACCRUED LIABILITIES</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vMerge w:val="continue"/>
          </w:tcPr>
          <w:p>
            <w:pPr>
              <w:spacing w:after="0"/>
              <w:rPr>
                <w:sz w:val="24"/>
                <w:szCs w:val="24"/>
                <w:color w:val="auto"/>
              </w:rPr>
            </w:pPr>
          </w:p>
        </w:tc>
        <w:tc>
          <w:tcPr>
            <w:tcW w:w="65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December 31, 2017 and 2016,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300" w:type="dxa"/>
            <w:vAlign w:val="bottom"/>
            <w:tcBorders>
              <w:bottom w:val="single" w:sz="8" w:color="CCEEFF"/>
            </w:tcBorders>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payable</w:t>
            </w: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162,000</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2"/>
              </w:rPr>
              <w:t>Professional fees</w:t>
            </w:r>
          </w:p>
        </w:tc>
        <w:tc>
          <w:tcPr>
            <w:tcW w:w="6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Consulting agreements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Investor relations fees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1,508,000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RESEARCH AGREEMENT OBLIGATIONS</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vMerge w:val="continue"/>
          </w:tcPr>
          <w:p>
            <w:pPr>
              <w:spacing w:after="0"/>
              <w:rPr>
                <w:sz w:val="24"/>
                <w:szCs w:val="24"/>
                <w:color w:val="auto"/>
              </w:rPr>
            </w:pPr>
          </w:p>
        </w:tc>
        <w:tc>
          <w:tcPr>
            <w:tcW w:w="6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2003, the Company entered into a license agreement with a foreign based third-party for certain adenovirus technology. The license agreement was amended several times between inception and 2008 at which time it was amended and restated and had a fixed three-year term expiring in 2011. During such time, the Company did not pursue the technology and has not undertaken further work in the area covered by the technology license. Neither the Company nor the third-party took further actions under or pursuant to the license agreement. The Company carried a historical accrual of approximately $0.5 million under the amended license agreement related to certain obligations provided for in the license agreement. The license agreement was governed by the laws of a foreign jurisdiction. The Company sought and obtained legal advice related to such accrued obligations under the expired license agreement. The Company relied upon a judicial conclusion, as opined upon by outside legal counsel in the applicable foreign jurisdiction, that a court in such foreign jurisdiction would grant relief releasing the Company from liability under the license agreement, and in accordance with Accounting Standards Codification 405 “Extinguishment of Liabilities”, the Company recorded a debt extinguishment gain of $0.5 million and reduced the liability amount owed to $0 during the year ended December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WARRANT LIABILITY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weighted average summary of quantitative information with respect to valuation methodology and significant unobservable inputs used for the Company’s common stock purchase warrants that are categorized within Level 3 of the fair value hierarchy for the years ended 2017 and 2016,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38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0"/>
              </w:rPr>
              <w:t>Weighted Average Inputs for the Period</w:t>
            </w:r>
          </w:p>
        </w:tc>
      </w:tr>
      <w:tr>
        <w:trPr>
          <w:trHeight w:val="205"/>
        </w:trPr>
        <w:tc>
          <w:tcPr>
            <w:tcW w:w="49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4"/>
          </w:tcPr>
          <w:p>
            <w:pPr>
              <w:jc w:val="center"/>
              <w:ind w:left="10"/>
              <w:spacing w:after="0" w:line="205" w:lineRule="exact"/>
              <w:rPr>
                <w:sz w:val="20"/>
                <w:szCs w:val="20"/>
                <w:color w:val="auto"/>
              </w:rPr>
            </w:pPr>
            <w:r>
              <w:rPr>
                <w:rFonts w:ascii="Arial" w:cs="Arial" w:eastAsia="Arial" w:hAnsi="Arial"/>
                <w:sz w:val="18"/>
                <w:szCs w:val="18"/>
                <w:b w:val="1"/>
                <w:bCs w:val="1"/>
                <w:color w:val="auto"/>
                <w:w w:val="90"/>
              </w:rPr>
              <w:t>For the Years Ended</w:t>
            </w: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9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2017</w:t>
            </w:r>
          </w:p>
        </w:tc>
        <w:tc>
          <w:tcPr>
            <w:tcW w:w="12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December 31, 2016</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w:t>
            </w:r>
          </w:p>
        </w:tc>
        <w:tc>
          <w:tcPr>
            <w:tcW w:w="3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Exercise price</w:t>
            </w:r>
          </w:p>
        </w:tc>
        <w:tc>
          <w:tcPr>
            <w:tcW w:w="360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3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Volatility (annual)</w:t>
            </w:r>
          </w:p>
        </w:tc>
        <w:tc>
          <w:tcPr>
            <w:tcW w:w="4700" w:type="dxa"/>
            <w:vAlign w:val="bottom"/>
          </w:tcPr>
          <w:p>
            <w:pPr>
              <w:jc w:val="right"/>
              <w:ind w:right="570"/>
              <w:spacing w:after="0"/>
              <w:rPr>
                <w:sz w:val="20"/>
                <w:szCs w:val="20"/>
                <w:color w:val="auto"/>
              </w:rPr>
            </w:pPr>
            <w:r>
              <w:rPr>
                <w:rFonts w:ascii="Arial" w:cs="Arial" w:eastAsia="Arial" w:hAnsi="Arial"/>
                <w:sz w:val="18"/>
                <w:szCs w:val="18"/>
                <w:color w:val="auto"/>
              </w:rPr>
              <w:t>63%</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47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470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changes in Level 3 warrant liabilities, reflected in accrued expenses measured at fair value for the year ended December 31, 2017 and 2016,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Reclassification of derivative liabilities to equity at exercise date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(5,074,000)</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fair value of derivative liabilities to equity on amendment of warrant agreements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(15,465,000)</w:t>
            </w: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(5,939,500)</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7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(5,500)</w:t>
            </w: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Fair value measured at December 31, 2017</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20" w:type="dxa"/>
            <w:vAlign w:val="bottom"/>
          </w:tcPr>
          <w:p>
            <w:pPr>
              <w:spacing w:after="0"/>
              <w:rPr>
                <w:sz w:val="16"/>
                <w:szCs w:val="16"/>
                <w:color w:val="auto"/>
              </w:rPr>
            </w:pPr>
          </w:p>
        </w:tc>
        <w:tc>
          <w:tcPr>
            <w:tcW w:w="178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1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markets</w:t>
            </w:r>
          </w:p>
        </w:tc>
        <w:tc>
          <w:tcPr>
            <w:tcW w:w="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 inputs</w:t>
            </w:r>
          </w:p>
        </w:tc>
        <w:tc>
          <w:tcPr>
            <w:tcW w:w="60" w:type="dxa"/>
            <w:vAlign w:val="bottom"/>
          </w:tcPr>
          <w:p>
            <w:pPr>
              <w:spacing w:after="0"/>
              <w:rPr>
                <w:sz w:val="19"/>
                <w:szCs w:val="19"/>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unobservable inputs</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3)</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6"/>
        </w:trPr>
        <w:tc>
          <w:tcPr>
            <w:tcW w:w="4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Fair value measured at December 31, 2016</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420" w:type="dxa"/>
            <w:vAlign w:val="bottom"/>
          </w:tcPr>
          <w:p>
            <w:pPr>
              <w:spacing w:after="0"/>
              <w:rPr>
                <w:sz w:val="16"/>
                <w:szCs w:val="16"/>
                <w:color w:val="auto"/>
              </w:rPr>
            </w:pPr>
          </w:p>
        </w:tc>
        <w:tc>
          <w:tcPr>
            <w:tcW w:w="178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1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markets</w:t>
            </w:r>
          </w:p>
        </w:tc>
        <w:tc>
          <w:tcPr>
            <w:tcW w:w="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 inputs</w:t>
            </w:r>
          </w:p>
        </w:tc>
        <w:tc>
          <w:tcPr>
            <w:tcW w:w="60" w:type="dxa"/>
            <w:vAlign w:val="bottom"/>
          </w:tcPr>
          <w:p>
            <w:pPr>
              <w:spacing w:after="0"/>
              <w:rPr>
                <w:sz w:val="19"/>
                <w:szCs w:val="19"/>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unobservable inputs</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3)</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2016</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2017 and 2016, respectively.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Amended Warrants was re-measured immediately prior to the date of amendment with changes in fair value recorded as a gain of $5.1 million in the statement of operations and $15.5 million was reclassified to equity.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authorized up to 5,000,000 shares of preferred stock, $0.0001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Series A Preferred Stock - </w:t>
      </w:r>
      <w:r>
        <w:rPr>
          <w:rFonts w:ascii="Arial" w:cs="Arial" w:eastAsia="Arial" w:hAnsi="Arial"/>
          <w:sz w:val="18"/>
          <w:szCs w:val="18"/>
          <w:color w:val="auto"/>
        </w:rPr>
        <w:t>The Company has designated up to 1,250,000 shares of Series A Preferred Stock, $0.0001 par value per share,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not issued any Series A preferred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Series B Preferred Stock - </w:t>
      </w:r>
      <w:r>
        <w:rPr>
          <w:rFonts w:ascii="Arial" w:cs="Arial" w:eastAsia="Arial" w:hAnsi="Arial"/>
          <w:sz w:val="18"/>
          <w:szCs w:val="18"/>
          <w:color w:val="auto"/>
        </w:rPr>
        <w:t>The Company has designated up to 1,500,000 shares of Series B Preferred Stock, $0.0001 par value per share,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not issued any Series B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up to 41,666,667 shares of common stock, $0.0001 par value per share, for issuance. Significant 2017 and 2016 common stock transactions were as follows: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2017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26, 2017, the Company completed private placement of units with certain accredited investors. In the private placement transaction, the Company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The Company issued and sold an aggregate of 1,503,567 units for aggregate gross proceeds of $6.2 million. The Company incurred $0.8 million in agency fees and legal costs. In connection with the offering, the Company reduced the exercise price for the warrants to purchase an aggregate of 653,187 shares of common stock issued to investors in the private placement that closed in August 2016 from $6.00 per share to $3.97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150,357 shares of Company common stock for $3.97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Warrant Shares</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Pre-reduced</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Post-reduced</w:t>
            </w:r>
          </w:p>
        </w:tc>
      </w:tr>
      <w:tr>
        <w:trPr>
          <w:trHeight w:val="234"/>
        </w:trPr>
        <w:tc>
          <w:tcPr>
            <w:tcW w:w="2140" w:type="dxa"/>
            <w:vAlign w:val="bottom"/>
          </w:tcPr>
          <w:p>
            <w:pPr>
              <w:ind w:left="1100"/>
              <w:spacing w:after="0"/>
              <w:rPr>
                <w:sz w:val="20"/>
                <w:szCs w:val="20"/>
                <w:color w:val="auto"/>
              </w:rPr>
            </w:pPr>
            <w:r>
              <w:rPr>
                <w:rFonts w:ascii="Arial" w:cs="Arial" w:eastAsia="Arial" w:hAnsi="Arial"/>
                <w:sz w:val="18"/>
                <w:szCs w:val="18"/>
                <w:b w:val="1"/>
                <w:bCs w:val="1"/>
                <w:color w:val="auto"/>
              </w:rPr>
              <w:t>Series</w:t>
            </w: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Repriced</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Series D</w:t>
            </w:r>
          </w:p>
        </w:tc>
        <w:tc>
          <w:tcPr>
            <w:tcW w:w="1860" w:type="dxa"/>
            <w:vAlign w:val="bottom"/>
          </w:tcPr>
          <w:p>
            <w:pPr>
              <w:jc w:val="right"/>
              <w:spacing w:after="0"/>
              <w:rPr>
                <w:sz w:val="20"/>
                <w:szCs w:val="20"/>
                <w:color w:val="auto"/>
              </w:rPr>
            </w:pPr>
            <w:r>
              <w:rPr>
                <w:rFonts w:ascii="Arial" w:cs="Arial" w:eastAsia="Arial" w:hAnsi="Arial"/>
                <w:sz w:val="18"/>
                <w:szCs w:val="18"/>
                <w:color w:val="auto"/>
              </w:rPr>
              <w:t>312,500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Before</w:t>
            </w:r>
          </w:p>
        </w:tc>
        <w:tc>
          <w:tcPr>
            <w:tcW w:w="220" w:type="dxa"/>
            <w:vAlign w:val="bottom"/>
          </w:tcPr>
          <w:p>
            <w:pPr>
              <w:spacing w:after="0"/>
              <w:rPr>
                <w:sz w:val="18"/>
                <w:szCs w:val="18"/>
                <w:color w:val="auto"/>
              </w:rPr>
            </w:pPr>
          </w:p>
        </w:tc>
        <w:tc>
          <w:tcPr>
            <w:tcW w:w="1000" w:type="dxa"/>
            <w:vAlign w:val="bottom"/>
          </w:tcPr>
          <w:p>
            <w:pPr>
              <w:jc w:val="right"/>
              <w:ind w:right="387"/>
              <w:spacing w:after="0"/>
              <w:rPr>
                <w:sz w:val="20"/>
                <w:szCs w:val="20"/>
                <w:color w:val="auto"/>
              </w:rPr>
            </w:pPr>
            <w:r>
              <w:rPr>
                <w:rFonts w:ascii="Arial" w:cs="Arial" w:eastAsia="Arial" w:hAnsi="Arial"/>
                <w:sz w:val="18"/>
                <w:szCs w:val="18"/>
                <w:b w:val="1"/>
                <w:bCs w:val="1"/>
                <w:color w:val="auto"/>
              </w:rPr>
              <w:t>After</w:t>
            </w:r>
          </w:p>
        </w:tc>
        <w:tc>
          <w:tcPr>
            <w:tcW w:w="514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180" w:type="dxa"/>
            <w:vAlign w:val="bottom"/>
            <w:gridSpan w:val="2"/>
          </w:tcPr>
          <w:p>
            <w:pPr>
              <w:ind w:left="980"/>
              <w:spacing w:after="0"/>
              <w:rPr>
                <w:sz w:val="20"/>
                <w:szCs w:val="20"/>
                <w:color w:val="auto"/>
              </w:rPr>
            </w:pPr>
            <w:r>
              <w:rPr>
                <w:rFonts w:ascii="Arial" w:cs="Arial" w:eastAsia="Arial" w:hAnsi="Arial"/>
                <w:sz w:val="18"/>
                <w:szCs w:val="18"/>
                <w:b w:val="1"/>
                <w:bCs w:val="1"/>
                <w:color w:val="auto"/>
              </w:rPr>
              <w:t>Modification</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Modification</w:t>
            </w:r>
          </w:p>
        </w:tc>
        <w:tc>
          <w:tcPr>
            <w:tcW w:w="5140" w:type="dxa"/>
            <w:vAlign w:val="bottom"/>
          </w:tcPr>
          <w:p>
            <w:pPr>
              <w:spacing w:after="0"/>
              <w:rPr>
                <w:sz w:val="20"/>
                <w:szCs w:val="20"/>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rPr>
              <w:t>4.04</w:t>
            </w:r>
          </w:p>
        </w:tc>
        <w:tc>
          <w:tcPr>
            <w:tcW w:w="514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1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1000" w:type="dxa"/>
            <w:vAlign w:val="bottom"/>
          </w:tcPr>
          <w:p>
            <w:pPr>
              <w:jc w:val="right"/>
              <w:ind w:right="67"/>
              <w:spacing w:after="0"/>
              <w:rPr>
                <w:sz w:val="20"/>
                <w:szCs w:val="20"/>
                <w:color w:val="auto"/>
              </w:rPr>
            </w:pPr>
            <w:r>
              <w:rPr>
                <w:rFonts w:ascii="Arial" w:cs="Arial" w:eastAsia="Arial" w:hAnsi="Arial"/>
                <w:sz w:val="18"/>
                <w:szCs w:val="18"/>
                <w:color w:val="auto"/>
              </w:rPr>
              <w:t>3.34</w:t>
            </w:r>
          </w:p>
        </w:tc>
        <w:tc>
          <w:tcPr>
            <w:tcW w:w="514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14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Risk-free rate</w:t>
            </w:r>
          </w:p>
        </w:tc>
        <w:tc>
          <w:tcPr>
            <w:tcW w:w="1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514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140" w:type="dxa"/>
            <w:vAlign w:val="bottom"/>
          </w:tcPr>
          <w:p>
            <w:pPr>
              <w:spacing w:after="0"/>
              <w:rPr>
                <w:sz w:val="18"/>
                <w:szCs w:val="18"/>
                <w:color w:val="auto"/>
              </w:rPr>
            </w:pPr>
          </w:p>
        </w:tc>
      </w:tr>
      <w:tr>
        <w:trPr>
          <w:trHeight w:val="675"/>
        </w:trPr>
        <w:tc>
          <w:tcPr>
            <w:tcW w:w="2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67"/>
              <w:spacing w:after="0"/>
              <w:rPr>
                <w:sz w:val="20"/>
                <w:szCs w:val="20"/>
                <w:color w:val="auto"/>
              </w:rPr>
            </w:pPr>
            <w:r>
              <w:rPr>
                <w:rFonts w:ascii="Arial" w:cs="Arial" w:eastAsia="Arial" w:hAnsi="Arial"/>
                <w:sz w:val="22"/>
                <w:szCs w:val="22"/>
                <w:color w:val="auto"/>
              </w:rPr>
              <w:t>F-17</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u w:val="single" w:color="auto"/>
          <w:color w:val="auto"/>
        </w:rPr>
        <w:t>2017 Management Compensation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9, 2017, the Company issued 12,761 shares of stock to Dr. Glynn Wilson. The fair value of the common stock of $55,000 was recognized as stock-based compensation in general and administrative expenses. The issuance was based on the closing price or our common stock of $4.31 per share.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9, 2017, the Company issued 5,220 shares of stock to our former Chief Operating Officer. The fair value of the common stock of $22,500 was recognized as stock-based compensation in general and administrative expenses. The issuance was based on the closing price or our common stock of $4.31 per share.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2017, the Company granted Mr. Hoang 250,000 shares of unregistered, fully vested restricted common stock. The Company recorded $0.8 million of stock-based compensation based on the fair value of the common stock at September 22, 2017. 70,289 shares of common stock, with a fair value of $0.2 million, were withheld (at the closing price of the Company's common stock on the NASDAQ Capital Market on September 22, 2017) to satisfy certain payroll liabilities, as applicable to the award.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2017, the Company granted Dr. Wilson 100,000 shares of unregistered, fully vested restricted common stock. The Company recorded $0.3 million of stock-based compensation based on the fair value of the common stock at September 22, 2017. 27,350 shares of common stock, with a fair value of $0.1 million, were withheld (at the closing price of the Company's common stock on the NASDAQ Capital Market on September 22, 2017) to satisfy certain payroll liabilities, as applicable to the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2017, the Company issued 0.2 million shares of common stock as part of consulting agreements. The fair value of the common stock of $0.6 million was recognized as stock-based compensation in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placements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Amendment Transaction</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August 10, 2016, the Company and holders of outstanding Series A Warrants, Series A-1 Warrants, Series C Warrants, Series C-1 Warrants, Series D Warrants, Series D-1 Warrants, Series E Warrants and Series E-1 Warrants entered into warrant amendment agreements in which they agreed to amend the terms of the outstanding series warrants to remove provisions that had previously precluded equity classification treatment on the Company’s balance sheets.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Dr. John Bonfiglio exercised 10,417 shares of common stock pursuant to stock options at an exercise price equal to $1.74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Settlement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the Company issued 10,191 common shares as part of debt conversion agreements from 2014. The fair value of the common stock of approximately $70,000 was recognized as loss on debt settlement agreements in other income (expense).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u w:val="single" w:color="auto"/>
          <w:color w:val="auto"/>
        </w:rPr>
        <w:t>2016 Management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John Bonfiglio was awarded 20,833 common shares, which will vest upon the earlier of (i) the listing of the Company’s common stock on a national securities exchange in the United States or (ii) the first anniversary of the employment agreement, so long as Dr. John Bonfiglio is employed with the Company. The fair value of the common stock of approximately $103,000 was recognized as stock-based compensation in general and administrative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the Company issued 75,000 common shares as part of consulting agreements. The fair value of the common stock of approximately $480,000 was recognized as stock-based compensation in general and administrative expense.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December 31, 2017 and 2016, respectively, and changes during the period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8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9"/>
                <w:szCs w:val="19"/>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 Contractual</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448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 (in years)</w:t>
            </w: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2016</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4,343,000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Issued</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1,718,000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287.20</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2016</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Issued</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1,654,000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30.50</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reflects the status of the outstanding warrants at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Total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Series</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Exercise Price</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w:t>
            </w:r>
          </w:p>
        </w:tc>
        <w:tc>
          <w:tcPr>
            <w:tcW w:w="12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214,433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6"/>
                <w:szCs w:val="16"/>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w:t>
            </w:r>
          </w:p>
        </w:tc>
        <w:tc>
          <w:tcPr>
            <w:tcW w:w="1500" w:type="dxa"/>
            <w:vAlign w:val="bottom"/>
          </w:tcPr>
          <w:p>
            <w:pPr>
              <w:jc w:val="right"/>
              <w:spacing w:after="0"/>
              <w:rPr>
                <w:sz w:val="20"/>
                <w:szCs w:val="20"/>
                <w:color w:val="auto"/>
              </w:rPr>
            </w:pPr>
            <w:r>
              <w:rPr>
                <w:rFonts w:ascii="Arial" w:cs="Arial" w:eastAsia="Arial" w:hAnsi="Arial"/>
                <w:sz w:val="18"/>
                <w:szCs w:val="18"/>
                <w:color w:val="auto"/>
              </w:rPr>
              <w:t>313,749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C</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110,683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324"/>
        </w:trPr>
        <w:tc>
          <w:tcPr>
            <w:tcW w:w="4120" w:type="dxa"/>
            <w:vAlign w:val="bottom"/>
            <w:gridSpan w:val="3"/>
          </w:tcPr>
          <w:p>
            <w:pPr>
              <w:spacing w:after="0"/>
              <w:rPr>
                <w:sz w:val="20"/>
                <w:szCs w:val="20"/>
                <w:color w:val="auto"/>
              </w:rPr>
            </w:pPr>
            <w:r>
              <w:rPr>
                <w:rFonts w:ascii="Arial" w:cs="Arial" w:eastAsia="Arial" w:hAnsi="Arial"/>
                <w:sz w:val="18"/>
                <w:szCs w:val="18"/>
                <w:color w:val="auto"/>
              </w:rPr>
              <w:t>D</w:t>
            </w:r>
          </w:p>
        </w:tc>
        <w:tc>
          <w:tcPr>
            <w:tcW w:w="1500" w:type="dxa"/>
            <w:vAlign w:val="bottom"/>
          </w:tcPr>
          <w:p>
            <w:pPr>
              <w:jc w:val="right"/>
              <w:spacing w:after="0"/>
              <w:rPr>
                <w:sz w:val="20"/>
                <w:szCs w:val="20"/>
                <w:color w:val="auto"/>
              </w:rPr>
            </w:pPr>
            <w:r>
              <w:rPr>
                <w:rFonts w:ascii="Arial" w:cs="Arial" w:eastAsia="Arial" w:hAnsi="Arial"/>
                <w:sz w:val="18"/>
                <w:szCs w:val="18"/>
                <w:color w:val="auto"/>
              </w:rPr>
              <w:t>312,501</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D</w:t>
            </w:r>
          </w:p>
        </w:tc>
        <w:tc>
          <w:tcPr>
            <w:tcW w:w="1500" w:type="dxa"/>
            <w:vAlign w:val="bottom"/>
          </w:tcPr>
          <w:p>
            <w:pPr>
              <w:jc w:val="right"/>
              <w:spacing w:after="0"/>
              <w:rPr>
                <w:sz w:val="20"/>
                <w:szCs w:val="20"/>
                <w:color w:val="auto"/>
              </w:rPr>
            </w:pPr>
            <w:r>
              <w:rPr>
                <w:rFonts w:ascii="Arial" w:cs="Arial" w:eastAsia="Arial" w:hAnsi="Arial"/>
                <w:sz w:val="18"/>
                <w:szCs w:val="18"/>
                <w:color w:val="auto"/>
              </w:rPr>
              <w:t>297,499</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E</w:t>
            </w:r>
          </w:p>
        </w:tc>
        <w:tc>
          <w:tcPr>
            <w:tcW w:w="1500" w:type="dxa"/>
            <w:vAlign w:val="bottom"/>
          </w:tcPr>
          <w:p>
            <w:pPr>
              <w:jc w:val="right"/>
              <w:spacing w:after="0"/>
              <w:rPr>
                <w:sz w:val="20"/>
                <w:szCs w:val="20"/>
                <w:color w:val="auto"/>
              </w:rPr>
            </w:pPr>
            <w:r>
              <w:rPr>
                <w:rFonts w:ascii="Arial" w:cs="Arial" w:eastAsia="Arial" w:hAnsi="Arial"/>
                <w:sz w:val="18"/>
                <w:szCs w:val="18"/>
                <w:color w:val="auto"/>
              </w:rPr>
              <w:t>186,557</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E</w:t>
            </w:r>
          </w:p>
        </w:tc>
        <w:tc>
          <w:tcPr>
            <w:tcW w:w="1500" w:type="dxa"/>
            <w:vAlign w:val="bottom"/>
          </w:tcPr>
          <w:p>
            <w:pPr>
              <w:jc w:val="right"/>
              <w:spacing w:after="0"/>
              <w:rPr>
                <w:sz w:val="20"/>
                <w:szCs w:val="20"/>
                <w:color w:val="auto"/>
              </w:rPr>
            </w:pPr>
            <w:r>
              <w:rPr>
                <w:rFonts w:ascii="Arial" w:cs="Arial" w:eastAsia="Arial" w:hAnsi="Arial"/>
                <w:sz w:val="18"/>
                <w:szCs w:val="18"/>
                <w:color w:val="auto"/>
              </w:rPr>
              <w:t>261,616</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r>
      <w:tr>
        <w:trPr>
          <w:trHeight w:val="310"/>
        </w:trPr>
        <w:tc>
          <w:tcPr>
            <w:tcW w:w="4120" w:type="dxa"/>
            <w:vAlign w:val="bottom"/>
            <w:gridSpan w:val="3"/>
          </w:tcPr>
          <w:p>
            <w:pPr>
              <w:spacing w:after="0"/>
              <w:rPr>
                <w:sz w:val="20"/>
                <w:szCs w:val="20"/>
                <w:color w:val="auto"/>
              </w:rPr>
            </w:pPr>
            <w:r>
              <w:rPr>
                <w:rFonts w:ascii="Arial" w:cs="Arial" w:eastAsia="Arial" w:hAnsi="Arial"/>
                <w:sz w:val="18"/>
                <w:szCs w:val="18"/>
                <w:color w:val="auto"/>
              </w:rPr>
              <w:t>F</w:t>
            </w:r>
          </w:p>
        </w:tc>
        <w:tc>
          <w:tcPr>
            <w:tcW w:w="1500" w:type="dxa"/>
            <w:vAlign w:val="bottom"/>
          </w:tcPr>
          <w:p>
            <w:pPr>
              <w:jc w:val="right"/>
              <w:spacing w:after="0"/>
              <w:rPr>
                <w:sz w:val="20"/>
                <w:szCs w:val="20"/>
                <w:color w:val="auto"/>
              </w:rPr>
            </w:pPr>
            <w:r>
              <w:rPr>
                <w:rFonts w:ascii="Arial" w:cs="Arial" w:eastAsia="Arial" w:hAnsi="Arial"/>
                <w:sz w:val="18"/>
                <w:szCs w:val="18"/>
                <w:color w:val="auto"/>
              </w:rPr>
              <w:t>292,499</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F</w:t>
            </w:r>
          </w:p>
        </w:tc>
        <w:tc>
          <w:tcPr>
            <w:tcW w:w="1500" w:type="dxa"/>
            <w:vAlign w:val="bottom"/>
          </w:tcPr>
          <w:p>
            <w:pPr>
              <w:jc w:val="right"/>
              <w:spacing w:after="0"/>
              <w:rPr>
                <w:sz w:val="20"/>
                <w:szCs w:val="20"/>
                <w:color w:val="auto"/>
              </w:rPr>
            </w:pPr>
            <w:r>
              <w:rPr>
                <w:rFonts w:ascii="Arial" w:cs="Arial" w:eastAsia="Arial" w:hAnsi="Arial"/>
                <w:sz w:val="18"/>
                <w:szCs w:val="18"/>
                <w:color w:val="auto"/>
              </w:rPr>
              <w:t>290,834</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A-1</w:t>
            </w:r>
          </w:p>
        </w:tc>
        <w:tc>
          <w:tcPr>
            <w:tcW w:w="1500" w:type="dxa"/>
            <w:vAlign w:val="bottom"/>
          </w:tcPr>
          <w:p>
            <w:pPr>
              <w:jc w:val="right"/>
              <w:spacing w:after="0"/>
              <w:rPr>
                <w:sz w:val="20"/>
                <w:szCs w:val="20"/>
                <w:color w:val="auto"/>
              </w:rPr>
            </w:pPr>
            <w:r>
              <w:rPr>
                <w:rFonts w:ascii="Arial" w:cs="Arial" w:eastAsia="Arial" w:hAnsi="Arial"/>
                <w:sz w:val="18"/>
                <w:szCs w:val="18"/>
                <w:color w:val="auto"/>
              </w:rPr>
              <w:t>418,750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C-1</w:t>
            </w:r>
          </w:p>
        </w:tc>
        <w:tc>
          <w:tcPr>
            <w:tcW w:w="1500" w:type="dxa"/>
            <w:vAlign w:val="bottom"/>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D-1</w:t>
            </w:r>
          </w:p>
        </w:tc>
        <w:tc>
          <w:tcPr>
            <w:tcW w:w="1500" w:type="dxa"/>
            <w:vAlign w:val="bottom"/>
          </w:tcPr>
          <w:p>
            <w:pPr>
              <w:jc w:val="right"/>
              <w:spacing w:after="0"/>
              <w:rPr>
                <w:sz w:val="20"/>
                <w:szCs w:val="20"/>
                <w:color w:val="auto"/>
              </w:rPr>
            </w:pPr>
            <w:r>
              <w:rPr>
                <w:rFonts w:ascii="Arial" w:cs="Arial" w:eastAsia="Arial" w:hAnsi="Arial"/>
                <w:sz w:val="18"/>
                <w:szCs w:val="18"/>
                <w:color w:val="auto"/>
              </w:rPr>
              <w:t>416,667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E-1</w:t>
            </w:r>
          </w:p>
        </w:tc>
        <w:tc>
          <w:tcPr>
            <w:tcW w:w="1500" w:type="dxa"/>
            <w:vAlign w:val="bottom"/>
          </w:tcPr>
          <w:p>
            <w:pPr>
              <w:jc w:val="right"/>
              <w:spacing w:after="0"/>
              <w:rPr>
                <w:sz w:val="20"/>
                <w:szCs w:val="20"/>
                <w:color w:val="auto"/>
              </w:rPr>
            </w:pPr>
            <w:r>
              <w:rPr>
                <w:rFonts w:ascii="Arial" w:cs="Arial" w:eastAsia="Arial" w:hAnsi="Arial"/>
                <w:sz w:val="18"/>
                <w:szCs w:val="18"/>
                <w:color w:val="auto"/>
              </w:rPr>
              <w:t>418,750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F-1</w:t>
            </w:r>
          </w:p>
        </w:tc>
        <w:tc>
          <w:tcPr>
            <w:tcW w:w="1500" w:type="dxa"/>
            <w:vAlign w:val="bottom"/>
          </w:tcPr>
          <w:p>
            <w:pPr>
              <w:jc w:val="right"/>
              <w:spacing w:after="0"/>
              <w:rPr>
                <w:sz w:val="20"/>
                <w:szCs w:val="20"/>
                <w:color w:val="auto"/>
              </w:rPr>
            </w:pPr>
            <w:r>
              <w:rPr>
                <w:rFonts w:ascii="Arial" w:cs="Arial" w:eastAsia="Arial" w:hAnsi="Arial"/>
                <w:sz w:val="18"/>
                <w:szCs w:val="18"/>
                <w:color w:val="auto"/>
              </w:rPr>
              <w:t>416,667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PIPE Warrants</w:t>
            </w:r>
          </w:p>
        </w:tc>
        <w:tc>
          <w:tcPr>
            <w:tcW w:w="1500" w:type="dxa"/>
            <w:vAlign w:val="bottom"/>
          </w:tcPr>
          <w:p>
            <w:pPr>
              <w:jc w:val="right"/>
              <w:spacing w:after="0"/>
              <w:rPr>
                <w:sz w:val="20"/>
                <w:szCs w:val="20"/>
                <w:color w:val="auto"/>
              </w:rPr>
            </w:pPr>
            <w:r>
              <w:rPr>
                <w:rFonts w:ascii="Arial" w:cs="Arial" w:eastAsia="Arial" w:hAnsi="Arial"/>
                <w:sz w:val="18"/>
                <w:szCs w:val="18"/>
                <w:color w:val="auto"/>
              </w:rPr>
              <w:t>653,187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PIPE Warrants</w:t>
            </w:r>
          </w:p>
        </w:tc>
        <w:tc>
          <w:tcPr>
            <w:tcW w:w="1500" w:type="dxa"/>
            <w:vAlign w:val="bottom"/>
          </w:tcPr>
          <w:p>
            <w:pPr>
              <w:jc w:val="right"/>
              <w:spacing w:after="0"/>
              <w:rPr>
                <w:sz w:val="20"/>
                <w:szCs w:val="20"/>
                <w:color w:val="auto"/>
              </w:rPr>
            </w:pPr>
            <w:r>
              <w:rPr>
                <w:rFonts w:ascii="Arial" w:cs="Arial" w:eastAsia="Arial" w:hAnsi="Arial"/>
                <w:sz w:val="18"/>
                <w:szCs w:val="18"/>
                <w:color w:val="auto"/>
              </w:rPr>
              <w:t>1,503,567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Broker Warrants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65,326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Broker Warrants</w:t>
            </w:r>
          </w:p>
        </w:tc>
        <w:tc>
          <w:tcPr>
            <w:tcW w:w="1500" w:type="dxa"/>
            <w:vAlign w:val="bottom"/>
          </w:tcPr>
          <w:p>
            <w:pPr>
              <w:jc w:val="right"/>
              <w:spacing w:after="0"/>
              <w:rPr>
                <w:sz w:val="20"/>
                <w:szCs w:val="20"/>
                <w:color w:val="auto"/>
              </w:rPr>
            </w:pPr>
            <w:r>
              <w:rPr>
                <w:rFonts w:ascii="Arial" w:cs="Arial" w:eastAsia="Arial" w:hAnsi="Arial"/>
                <w:sz w:val="18"/>
                <w:szCs w:val="18"/>
                <w:color w:val="auto"/>
              </w:rPr>
              <w:t>150,357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jc w:val="right"/>
              <w:spacing w:after="0"/>
              <w:rPr>
                <w:sz w:val="20"/>
                <w:szCs w:val="20"/>
                <w:color w:val="auto"/>
              </w:rPr>
            </w:pPr>
            <w:r>
              <w:rPr>
                <w:rFonts w:ascii="Arial" w:cs="Arial" w:eastAsia="Arial" w:hAnsi="Arial"/>
                <w:sz w:val="18"/>
                <w:szCs w:val="18"/>
                <w:color w:val="auto"/>
              </w:rPr>
              <w:t>194,796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$1.20 - $120.00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-2468880</wp:posOffset>
            </wp:positionV>
            <wp:extent cx="72466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-3163570</wp:posOffset>
            </wp:positionV>
            <wp:extent cx="72466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Private Placement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Expiration</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1/13/2020</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Between 07/16/2020 and 08/13/2020 and 08/19/2020</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09/09/2020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Between 07/16/2020 and 08/13/2020 and 08/19/2020</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09/09/2020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Between 10/01/2020 and 11/12/2020 and 11/30/2020</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12/09/2020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Between 10/01/2020 and 11/12/2020 and 11/30/2020</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12/09/2020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 08/19/2020 and 09/09/2020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6/16/2020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6/22/2022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6/22/2022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 4/04/2018 and 9/01/2019</w:t>
      </w:r>
    </w:p>
    <w:p>
      <w:pPr>
        <w:spacing w:after="0" w:line="1050" w:lineRule="exact"/>
        <w:rPr>
          <w:sz w:val="20"/>
          <w:szCs w:val="20"/>
          <w:color w:val="auto"/>
        </w:rPr>
      </w:pPr>
    </w:p>
    <w:p>
      <w:pPr>
        <w:sectPr>
          <w:pgSz w:w="11900" w:h="16838" w:orient="portrait"/>
          <w:cols w:equalWidth="0" w:num="2">
            <w:col w:w="7320" w:space="240"/>
            <w:col w:w="3860"/>
          </w:cols>
          <w:pgMar w:left="240" w:top="909" w:right="239" w:bottom="1440" w:gutter="0" w:footer="0" w:header="0"/>
        </w:sectPr>
      </w:pPr>
    </w:p>
    <w:p>
      <w:pPr>
        <w:spacing w:after="0" w:line="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26, 2017, the Company completed private placement of units with certain accredited investors. In the private placement transaction, the Company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The Company issued and sold an aggregate of 1,503,567 units for aggregate gross proceeds of $6.2 million. The Company incurred $0.8 million in agency fees and legal costs. In connection with the offering, the Company reduced the exercise price for the warrants to purchase an aggregate of 653,187 shares of common stock issued to investors in the private placement that closed in August 2016 from $6.00 per share to $3.97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Warrant Shares</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Pre-reduced</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Post-reduced</w:t>
            </w:r>
          </w:p>
        </w:tc>
      </w:tr>
      <w:tr>
        <w:trPr>
          <w:trHeight w:val="234"/>
        </w:trPr>
        <w:tc>
          <w:tcPr>
            <w:tcW w:w="2140" w:type="dxa"/>
            <w:vAlign w:val="bottom"/>
          </w:tcPr>
          <w:p>
            <w:pPr>
              <w:ind w:left="1100"/>
              <w:spacing w:after="0"/>
              <w:rPr>
                <w:sz w:val="20"/>
                <w:szCs w:val="20"/>
                <w:color w:val="auto"/>
              </w:rPr>
            </w:pPr>
            <w:r>
              <w:rPr>
                <w:rFonts w:ascii="Arial" w:cs="Arial" w:eastAsia="Arial" w:hAnsi="Arial"/>
                <w:sz w:val="18"/>
                <w:szCs w:val="18"/>
                <w:b w:val="1"/>
                <w:bCs w:val="1"/>
                <w:color w:val="auto"/>
              </w:rPr>
              <w:t>Series</w:t>
            </w: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Repriced</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Price</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Series D</w:t>
            </w:r>
          </w:p>
        </w:tc>
        <w:tc>
          <w:tcPr>
            <w:tcW w:w="1860" w:type="dxa"/>
            <w:vAlign w:val="bottom"/>
          </w:tcPr>
          <w:p>
            <w:pPr>
              <w:jc w:val="right"/>
              <w:spacing w:after="0"/>
              <w:rPr>
                <w:sz w:val="20"/>
                <w:szCs w:val="20"/>
                <w:color w:val="auto"/>
              </w:rPr>
            </w:pPr>
            <w:r>
              <w:rPr>
                <w:rFonts w:ascii="Arial" w:cs="Arial" w:eastAsia="Arial" w:hAnsi="Arial"/>
                <w:sz w:val="18"/>
                <w:szCs w:val="18"/>
                <w:color w:val="auto"/>
              </w:rPr>
              <w:t>312,500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the repriced warrants was treated as deemed dividend on the statement of stockholders’ equity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June 2017 Agent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an agency agreement, dated May 12, 2017, by and between Katalyst Securities LLC and us, Katalyst agreed to act as our placement agent in connection with the June 26, 2017 private placement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agreement, we agreed to pay to Katalyst: (i) an aggregate cash fee for placement agent and financial advisory services equal to 10% of the gross proceeds of the Offering; (ii) a non-accountable expense allowance in the amount of Seventy Thousand Dollars ($70,000); and (iii) five-year warrants to purchase a number of shares of our common stock equal to 10% of the number of shares sold in the offering. The Katalyst Warrants have the same terms as the private placement warrants issued in the offering. Based on the 1,503,567 shares of common stock sold in the private placement, we issued five-year warrants to Katalyst providing for the purchase of up to 150,357 shares of Company common stock for $3.97 per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Amendments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discussed in Note 8, Stockholders’ Equity, simultaneous with the exercise of the warrants, the Company and holders of outstanding Series A Warrants, Series A-1 Warrants, Series C Warrants, Series C-1 Warrants, Series D Warrants, Series D-1 Warrants, Series E Warrants and Series E-1 Warrants entered into warrant amendment agreements, in which they agreed to amend the terms of the existing warrant agreements to remove provisions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1,000,000 shares of our common stock at an exercise price of $7.20 per share (the “Series F and F-1Warrants”). The value of the shares and fair value of the warrants was treated as dividend on the statement of stockholders’ equity of $4.5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65,317 shares of Company common stock for $4.80 per share.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 OPTION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Stock Omnibus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19, 2014, the Board adopted the 2014 Omnibus Stock Option Plan (“2014 Plan”), which replaced the 2009 Stock Incentive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2014 Plan was amended in February 2015 to provide for grants to consultants, and again in November 2015 to (i) increase the number of shares reserved for issuance under the Plan to 0.6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29, 2017, the 2014 Plan was amended to increase the shares reserved under the Plan to 1.4 million shares. As of December 31, 2017, approximately 533,000 options are available to be issued from the 2014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 for stock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Total Intrinsic</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r>
      <w:tr>
        <w:trPr>
          <w:trHeight w:val="234"/>
        </w:trPr>
        <w:tc>
          <w:tcPr>
            <w:tcW w:w="47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Number 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434,095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Forfeited/expired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2017</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489,255</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107,000</w:t>
            </w:r>
          </w:p>
        </w:tc>
        <w:tc>
          <w:tcPr>
            <w:tcW w:w="2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2"/>
                <w:szCs w:val="22"/>
                <w:color w:val="auto"/>
              </w:rPr>
            </w:pPr>
          </w:p>
        </w:tc>
      </w:tr>
      <w:tr>
        <w:trPr>
          <w:trHeight w:val="197"/>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385,760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41,000</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2017, 2016, respectively, were as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78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0"/>
              </w:rPr>
              <w:t>For the Years Ended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470"/>
              <w:spacing w:after="0"/>
              <w:rPr>
                <w:sz w:val="20"/>
                <w:szCs w:val="20"/>
                <w:color w:val="auto"/>
              </w:rPr>
            </w:pPr>
            <w:r>
              <w:rPr>
                <w:rFonts w:ascii="Arial" w:cs="Arial" w:eastAsia="Arial" w:hAnsi="Arial"/>
                <w:sz w:val="18"/>
                <w:szCs w:val="18"/>
                <w:b w:val="1"/>
                <w:bCs w:val="1"/>
                <w:color w:val="auto"/>
                <w:w w:val="90"/>
              </w:rPr>
              <w:t>December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term (years)</w:t>
            </w: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$2.6 million and $1.6 million of stock-based compensation expense to general and administrative expenses for the years ended December 31, 2017 and 2016, respectively. The Company recorded $0.1 million of stock-based compensation expense to research and development for the year ended December 31, 2017.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Unrecognized stock-based compensation cost:</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Expected weighted average period compensation costs to be recognized (years):</w:t>
            </w:r>
          </w:p>
        </w:tc>
        <w:tc>
          <w:tcPr>
            <w:tcW w:w="19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2017 and 2016, the Company received $0.2 million of a grant awarded to Mayo Foundation from the U.S. Department of Defense for the Phase II Clinical Trial of TPIV200. The grant compensated the Company for clinical supplies manufactured and provided by the Company for the clinical study.</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25, 2016, the Company appointed Michael J. Loiacono as the Company’s Chief Financial Officer, Chief Accounting Officer, Secretary and Treasurer. In connection with Mr. Loiacono’s appointment, he entered into an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22, 2017, the Company appointed Peter Hoang as the Company’s President and Chief Executive Officer. In connection with Mr. Hoang’s appointment, he entered into an employment agreement with the Company. The employment agreement provides that Mr. Hoang’s base salary will be $362,500 per year and he is eligible for an annual performance bonus of up to 50% of his base salary. In addition, on the first anniversary of the employment agreement, Mr. Hoang will be eligible to receive a grant of stock options to purchase the number of shares of common stock equal to one percent of the then-outstanding common stock of the Company. The term of the employment agreement is for three years and will be automatically extended for an additional 12 months unless terminated by Mr. Hoang or the Company.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22, 2017, the Company entered into an amended employment agreement with Dr. Glynn Wilson, the Company’s Strategic Advisor. The amended employment agreement provides that Dr. Wilson’s base salary will be $205,000 per year and he is eligible for an annual performance bonus of up to 50% of his base salary. In addition, upon the first anniversary of the execution of amendment employment agreement, Dr. Wilson will be eligible to receive an additional grant of restricted common stock equal to $300,000. The term of the employment agreement is through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a party to several operating leases as of December 31, 2017, primarily for office space at certain locations.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both"/>
        <w:ind w:right="20"/>
        <w:spacing w:after="0" w:line="277" w:lineRule="auto"/>
        <w:rPr>
          <w:sz w:val="20"/>
          <w:szCs w:val="20"/>
          <w:color w:val="auto"/>
        </w:rPr>
      </w:pPr>
      <w:r>
        <w:rPr>
          <w:rFonts w:ascii="Arial" w:cs="Arial" w:eastAsia="Arial" w:hAnsi="Arial"/>
          <w:sz w:val="18"/>
          <w:szCs w:val="18"/>
          <w:color w:val="auto"/>
        </w:rPr>
        <w:t>Future minimum lease payments under the Company’s operating leases as of December 31, 2017, for each of the next five years and thereafter are as following (rounded to nearest thousand):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2018</w:t>
            </w:r>
          </w:p>
        </w:tc>
        <w:tc>
          <w:tcPr>
            <w:tcW w:w="23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116,000</w:t>
            </w:r>
          </w:p>
        </w:tc>
      </w:tr>
      <w:tr>
        <w:trPr>
          <w:trHeight w:val="216"/>
        </w:trPr>
        <w:tc>
          <w:tcPr>
            <w:tcW w:w="6440" w:type="dxa"/>
            <w:vAlign w:val="bottom"/>
          </w:tcPr>
          <w:p>
            <w:pPr>
              <w:jc w:val="center"/>
              <w:ind w:left="1750"/>
              <w:spacing w:after="0"/>
              <w:rPr>
                <w:sz w:val="20"/>
                <w:szCs w:val="20"/>
                <w:color w:val="auto"/>
              </w:rPr>
            </w:pPr>
            <w:r>
              <w:rPr>
                <w:rFonts w:ascii="Arial" w:cs="Arial" w:eastAsia="Arial" w:hAnsi="Arial"/>
                <w:sz w:val="18"/>
                <w:szCs w:val="18"/>
                <w:color w:val="auto"/>
                <w:w w:val="89"/>
              </w:rPr>
              <w:t>2019</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108,000</w:t>
            </w:r>
          </w:p>
        </w:tc>
      </w:tr>
      <w:tr>
        <w:trPr>
          <w:trHeight w:val="216"/>
        </w:trPr>
        <w:tc>
          <w:tcPr>
            <w:tcW w:w="644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2020</w:t>
            </w:r>
          </w:p>
        </w:tc>
        <w:tc>
          <w:tcPr>
            <w:tcW w:w="1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w:t>
            </w:r>
          </w:p>
        </w:tc>
      </w:tr>
      <w:tr>
        <w:trPr>
          <w:trHeight w:val="216"/>
        </w:trPr>
        <w:tc>
          <w:tcPr>
            <w:tcW w:w="6440" w:type="dxa"/>
            <w:vAlign w:val="bottom"/>
          </w:tcPr>
          <w:p>
            <w:pPr>
              <w:jc w:val="center"/>
              <w:ind w:left="1750"/>
              <w:spacing w:after="0"/>
              <w:rPr>
                <w:sz w:val="20"/>
                <w:szCs w:val="20"/>
                <w:color w:val="auto"/>
              </w:rPr>
            </w:pPr>
            <w:r>
              <w:rPr>
                <w:rFonts w:ascii="Arial" w:cs="Arial" w:eastAsia="Arial" w:hAnsi="Arial"/>
                <w:sz w:val="18"/>
                <w:szCs w:val="18"/>
                <w:color w:val="auto"/>
                <w:w w:val="89"/>
              </w:rPr>
              <w:t>2021</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114,000</w:t>
            </w:r>
          </w:p>
        </w:tc>
      </w:tr>
      <w:tr>
        <w:trPr>
          <w:trHeight w:val="216"/>
        </w:trPr>
        <w:tc>
          <w:tcPr>
            <w:tcW w:w="644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2022</w:t>
            </w:r>
          </w:p>
        </w:tc>
        <w:tc>
          <w:tcPr>
            <w:tcW w:w="1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68,000</w:t>
            </w:r>
          </w:p>
        </w:tc>
      </w:tr>
      <w:tr>
        <w:trPr>
          <w:trHeight w:val="230"/>
        </w:trPr>
        <w:tc>
          <w:tcPr>
            <w:tcW w:w="6440" w:type="dxa"/>
            <w:vAlign w:val="bottom"/>
            <w:tcBorders>
              <w:bottom w:val="single" w:sz="8" w:color="CCEEFF"/>
            </w:tcBorders>
          </w:tcPr>
          <w:p>
            <w:pPr>
              <w:jc w:val="center"/>
              <w:ind w:left="1730"/>
              <w:spacing w:after="0"/>
              <w:rPr>
                <w:sz w:val="20"/>
                <w:szCs w:val="20"/>
                <w:color w:val="auto"/>
              </w:rPr>
            </w:pPr>
            <w:r>
              <w:rPr>
                <w:rFonts w:ascii="Arial" w:cs="Arial" w:eastAsia="Arial" w:hAnsi="Arial"/>
                <w:sz w:val="18"/>
                <w:szCs w:val="18"/>
                <w:color w:val="auto"/>
                <w:w w:val="89"/>
              </w:rPr>
              <w:t>Thereafter</w:t>
            </w:r>
          </w:p>
        </w:tc>
        <w:tc>
          <w:tcPr>
            <w:tcW w:w="19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9"/>
              </w:rPr>
              <w:t>Total</w:t>
            </w:r>
          </w:p>
        </w:tc>
        <w:tc>
          <w:tcPr>
            <w:tcW w:w="19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rental expense under the Company’s operating leases was $121,200 and $82,500 for the years ended December 31, 2017 and 2016, respectively.</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 The Company was not involved in any litigation during the years ended December 31, 2017 and 2016.</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2017 and 2016. Approximately $62,000 in non-qualified stock options were cancelled during 2017 due to terminations that resulted in a reversal of the deferred tax asset of approximately $16,000. The cancellations did not result in a book income for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2017 and 2016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5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13,653,000</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10,934,000</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2,231,000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2,066,000</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493,000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490,000</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117,000</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Technology licensing fee</w:t>
            </w: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(16,679,000)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(13,792,000)</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color w:val="auto"/>
              </w:rPr>
              <w:t>Deferred tax assets, net of valuation allowance</w:t>
            </w:r>
          </w:p>
        </w:tc>
        <w:tc>
          <w:tcPr>
            <w:tcW w:w="2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which makes broad and complex changes to the U.S. tax code. Certain of these changes may be applicable to the Company, including but not limited to, reducing the U.S. federal corporate tax rate from 35 percent to 21 percent, creating a new limitation on deductible interest expense, eliminating the corporate alternative minimum tax (“AMT”), modifying the rules related to uses and limitations of net operating loss carryforwards generated in tax years ending after December 31, 2017, and changing the rules pertaining to the taxation of profits earned abroad. Changes in tax rates and tax laws are accounted for in the period of enactment. The Tax Act reduces the corporate tax rate to 21 percent, effective January 1,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spacing w:after="0" w:line="276" w:lineRule="auto"/>
        <w:rPr>
          <w:sz w:val="20"/>
          <w:szCs w:val="20"/>
          <w:color w:val="auto"/>
        </w:rPr>
      </w:pPr>
      <w:r>
        <w:rPr>
          <w:rFonts w:ascii="Arial" w:cs="Arial" w:eastAsia="Arial" w:hAnsi="Arial"/>
          <w:sz w:val="17"/>
          <w:szCs w:val="17"/>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2017 and 2016. Consequently, the deferred tax asset valuation allowance increased by $2.9 million as of December 31, 2017. The Company has research and development tax credit carryforwards of $117,000 to offset future federal income taxes. The research and development tax credit carryforwards begin to expire in 2029.</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approximately $41.7 million of federal and $21.9 million of state Net Operating Loss (“NOL”s) that may be available to offset future taxable income, if any. The federal net operating loss carryforwards, if not utilized, will expire between 2029 and 2037. The state net operating loss carryforwards, if not utilized, will expire in 2037.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years ended December 31, 2017 and 2016, the expected tax expense (benefit) based on the U. S. federal statutory rate is reconciled with the actual tax provision (benefit)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For the years ended</w:t>
            </w:r>
          </w:p>
        </w:tc>
      </w:tr>
      <w:tr>
        <w:trPr>
          <w:trHeight w:val="234"/>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(414,000)</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(286,000)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Federal tax rate change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909" w:right="2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440" w:hanging="108"/>
        <w:spacing w:after="0"/>
        <w:tabs>
          <w:tab w:leader="none" w:pos="4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Change in fair value of derivative liabilities</w:t>
      </w:r>
    </w:p>
    <w:p>
      <w:pPr>
        <w:spacing w:after="0" w:line="32" w:lineRule="exact"/>
        <w:rPr>
          <w:rFonts w:ascii="Arial" w:cs="Arial" w:eastAsia="Arial" w:hAnsi="Arial"/>
          <w:sz w:val="16"/>
          <w:szCs w:val="16"/>
          <w:color w:val="auto"/>
        </w:rPr>
      </w:pPr>
    </w:p>
    <w:p>
      <w:pPr>
        <w:ind w:left="440" w:hanging="108"/>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(2,019,000)</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(161,000)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46,000</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2,890,000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2,966,000</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128,000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380" w:type="dxa"/>
            <w:vAlign w:val="bottom"/>
            <w:tcBorders>
              <w:top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909" w:right="239" w:bottom="1440" w:gutter="0" w:footer="0" w:header="0"/>
          <w:type w:val="continuous"/>
        </w:sectPr>
      </w:pPr>
    </w:p>
    <w:p>
      <w:pPr>
        <w:spacing w:after="0" w:line="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2017 and 2016, there were no unrecognized tax benefits. The Company recognizes accrued interest and penalties as income tax expense. No amounts were accrued for the payment of interest and penalties at December 31, 2017 and 2016. The Company is currently not aware of any issues under review that could result in significant payments, accruals or material deviation from its position in the next year.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completion of our 2017 U.S. income tax return in 2018 we may identify additional remeasurement adjustments to our recorded deferred tax liabilities and the one-time transition tax. We will continue to assess our provision for income taxes as future guidance is issued, but do not currently anticipate significant revisions will be necessary. Any such revisions will be treated in accordance with the measurement period guidance outlined in Staff Accounting Bulletin No. 118.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21"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(3.6)%</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rate change</w:t>
            </w: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7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Permanent differences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340"/>
              <w:spacing w:after="0"/>
              <w:rPr>
                <w:sz w:val="20"/>
                <w:szCs w:val="20"/>
                <w:color w:val="auto"/>
              </w:rPr>
            </w:pPr>
            <w:r>
              <w:rPr>
                <w:rFonts w:ascii="Arial" w:cs="Arial" w:eastAsia="Arial" w:hAnsi="Arial"/>
                <w:sz w:val="18"/>
                <w:szCs w:val="18"/>
                <w:color w:val="auto"/>
              </w:rPr>
              <w:t>- Change in fair value of derivative liabilities</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(82.2)%</w:t>
            </w:r>
          </w:p>
        </w:tc>
      </w:tr>
      <w:tr>
        <w:trPr>
          <w:trHeight w:val="216"/>
        </w:trPr>
        <w:tc>
          <w:tcPr>
            <w:tcW w:w="8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Other permanent differences</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26.3%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120.8%</w:t>
            </w:r>
          </w:p>
        </w:tc>
      </w:tr>
      <w:tr>
        <w:trPr>
          <w:trHeight w:val="230"/>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7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gridSpan w:val="4"/>
          </w:tcPr>
          <w:p>
            <w:pPr>
              <w:ind w:left="1140"/>
              <w:spacing w:after="0"/>
              <w:rPr>
                <w:sz w:val="20"/>
                <w:szCs w:val="20"/>
                <w:color w:val="auto"/>
              </w:rPr>
            </w:pPr>
            <w:r>
              <w:rPr>
                <w:rFonts w:ascii="Arial" w:cs="Arial" w:eastAsia="Arial" w:hAnsi="Arial"/>
                <w:sz w:val="18"/>
                <w:szCs w:val="18"/>
                <w:b w:val="1"/>
                <w:bCs w:val="1"/>
                <w:color w:val="auto"/>
              </w:rPr>
              <w:t>EXHIBIT INDEX</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2"/>
              </w:rPr>
              <w:t>Incorporated by Reference</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820" w:type="dxa"/>
            <w:vAlign w:val="bottom"/>
            <w:gridSpan w:val="5"/>
            <w:vMerge w:val="continue"/>
          </w:tcPr>
          <w:p>
            <w:pPr>
              <w:spacing w:after="0"/>
              <w:rPr>
                <w:sz w:val="16"/>
                <w:szCs w:val="16"/>
                <w:color w:val="auto"/>
              </w:rPr>
            </w:pPr>
          </w:p>
        </w:tc>
        <w:tc>
          <w:tcPr>
            <w:tcW w:w="1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1"/>
              </w:rPr>
              <w:t>Filing</w:t>
            </w: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0" w:type="dxa"/>
            <w:vAlign w:val="bottom"/>
            <w:gridSpan w:val="5"/>
          </w:tcPr>
          <w:p>
            <w:pPr>
              <w:ind w:left="100"/>
              <w:spacing w:after="0"/>
              <w:rPr>
                <w:sz w:val="20"/>
                <w:szCs w:val="20"/>
                <w:color w:val="auto"/>
              </w:rPr>
            </w:pPr>
            <w:r>
              <w:rPr>
                <w:rFonts w:ascii="Arial" w:cs="Arial" w:eastAsia="Arial" w:hAnsi="Arial"/>
                <w:sz w:val="18"/>
                <w:szCs w:val="18"/>
                <w:b w:val="1"/>
                <w:bCs w:val="1"/>
                <w:color w:val="auto"/>
              </w:rPr>
              <w:t>number</w:t>
            </w: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2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7"/>
              </w:rPr>
              <w:t>Form</w:t>
            </w:r>
          </w:p>
        </w:tc>
        <w:tc>
          <w:tcPr>
            <w:tcW w:w="32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File no.</w:t>
            </w:r>
          </w:p>
        </w:tc>
        <w:tc>
          <w:tcPr>
            <w:tcW w:w="94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date</w:t>
            </w: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46">
              <w:r>
                <w:rPr>
                  <w:rFonts w:ascii="Arial" w:cs="Arial" w:eastAsia="Arial" w:hAnsi="Arial"/>
                  <w:sz w:val="18"/>
                  <w:szCs w:val="18"/>
                  <w:color w:val="0000EE"/>
                </w:rPr>
                <w:t>Articles of Incorporation as Amended</w:t>
              </w:r>
            </w:hyperlink>
          </w:p>
        </w:tc>
        <w:tc>
          <w:tcPr>
            <w:tcW w:w="660" w:type="dxa"/>
            <w:vAlign w:val="bottom"/>
            <w:gridSpan w:val="3"/>
          </w:tcPr>
          <w:p>
            <w:pPr>
              <w:jc w:val="center"/>
              <w:ind w:left="50"/>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001-37939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11/4/16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47">
              <w:r>
                <w:rPr>
                  <w:rFonts w:ascii="Arial" w:cs="Arial" w:eastAsia="Arial" w:hAnsi="Arial"/>
                  <w:sz w:val="18"/>
                  <w:szCs w:val="18"/>
                  <w:color w:val="0000EE"/>
                </w:rPr>
                <w:t>Certificate of Change to Articles of Incorporation (reverse split)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9/15/16</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2"/>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Amended and Restated Bylaws</w:t>
              </w:r>
            </w:hyperlink>
          </w:p>
        </w:tc>
        <w:tc>
          <w:tcPr>
            <w:tcW w:w="2340" w:type="dxa"/>
            <w:vAlign w:val="bottom"/>
            <w:gridSpan w:val="5"/>
          </w:tcPr>
          <w:p>
            <w:pPr>
              <w:spacing w:after="0"/>
              <w:rPr>
                <w:sz w:val="24"/>
                <w:szCs w:val="24"/>
                <w:color w:val="auto"/>
              </w:rPr>
            </w:pPr>
          </w:p>
        </w:tc>
        <w:tc>
          <w:tcPr>
            <w:tcW w:w="168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4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7/15/16</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Borders>
              <w:top w:val="single" w:sz="8" w:color="0000EE"/>
            </w:tcBorders>
          </w:tcPr>
          <w:p>
            <w:pPr>
              <w:jc w:val="center"/>
              <w:spacing w:after="0"/>
              <w:rPr>
                <w:rFonts w:ascii="Arial" w:cs="Arial" w:eastAsia="Arial" w:hAnsi="Arial"/>
                <w:sz w:val="18"/>
                <w:szCs w:val="18"/>
                <w:color w:val="0000EE"/>
                <w:w w:val="87"/>
              </w:rPr>
            </w:pPr>
            <w:hyperlink w:anchor="page11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0</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Borders>
              <w:top w:val="single" w:sz="8" w:color="0000EE"/>
            </w:tcBorders>
            <w:gridSpan w:val="2"/>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Form of Stock Certificate</w:t>
              </w:r>
            </w:hyperlink>
          </w:p>
        </w:tc>
        <w:tc>
          <w:tcPr>
            <w:tcW w:w="4020" w:type="dxa"/>
            <w:vAlign w:val="bottom"/>
            <w:gridSpan w:val="8"/>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jc w:val="center"/>
              <w:ind w:right="340"/>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Form of Common Stock Purchase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49">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8/14/14</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8"/>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Form of Placement Agent Warrant Common Stock Purchase Warrants-Series A</w:t>
              </w:r>
            </w:hyperlink>
          </w:p>
        </w:tc>
        <w:tc>
          <w:tcPr>
            <w:tcW w:w="5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0">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1/12/15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8"/>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Form of Placement Agent Warrant Common Stock Purchase Warrants-Series C</w:t>
              </w:r>
            </w:hyperlink>
          </w:p>
        </w:tc>
        <w:tc>
          <w:tcPr>
            <w:tcW w:w="5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1">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1/12/15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8"/>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Form of Placement Agent Warrant Common Stock Purchase Warrants-Series D</w:t>
              </w:r>
            </w:hyperlink>
          </w:p>
        </w:tc>
        <w:tc>
          <w:tcPr>
            <w:tcW w:w="5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1/12/15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8"/>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Form of Placement Agent Warrant Common Stock Purchase Warrants-Series E</w:t>
              </w:r>
            </w:hyperlink>
          </w:p>
        </w:tc>
        <w:tc>
          <w:tcPr>
            <w:tcW w:w="5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3">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1/12/15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gridSpan w:val="9"/>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Form of Placement Agent Warrant Common Stock Purchase Warrants-Series A-1</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4">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3/10/15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gridSpan w:val="9"/>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Form of Placement Agent Warrant Common Stock Purchase Warrants-Series C-1</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3/10/15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gridSpan w:val="9"/>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Form of Placement Agent Warrant Common Stock Purchase Warrants-Series D-1</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6">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0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56">
              <w:r>
                <w:rPr>
                  <w:rFonts w:ascii="Arial" w:cs="Arial" w:eastAsia="Arial" w:hAnsi="Arial"/>
                  <w:sz w:val="18"/>
                  <w:szCs w:val="18"/>
                  <w:color w:val="0000EE"/>
                  <w:w w:val="93"/>
                </w:rPr>
                <w:t>3/10/15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gridSpan w:val="9"/>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Form of Placement Agent Warrant Common Stock Purchase Warrants-Series E-1</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157">
              <w:r>
                <w:rPr>
                  <w:rFonts w:ascii="Arial" w:cs="Arial" w:eastAsia="Arial" w:hAnsi="Arial"/>
                  <w:sz w:val="18"/>
                  <w:szCs w:val="18"/>
                  <w:color w:val="0000EE"/>
                  <w:w w:val="99"/>
                </w:rPr>
                <w:t>8-K</w:t>
              </w:r>
            </w:hyperlink>
          </w:p>
        </w:tc>
        <w:tc>
          <w:tcPr>
            <w:tcW w:w="120" w:type="dxa"/>
            <w:vAlign w:val="bottom"/>
          </w:tcPr>
          <w:p>
            <w:pPr>
              <w:spacing w:after="0"/>
              <w:rPr>
                <w:sz w:val="24"/>
                <w:szCs w:val="24"/>
                <w:color w:val="auto"/>
              </w:rPr>
            </w:pPr>
          </w:p>
        </w:tc>
        <w:tc>
          <w:tcPr>
            <w:tcW w:w="1240" w:type="dxa"/>
            <w:vAlign w:val="bottom"/>
            <w:gridSpan w:val="3"/>
          </w:tcPr>
          <w:p>
            <w:pPr>
              <w:jc w:val="center"/>
              <w:ind w:left="90"/>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5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3/10/15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10</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Amended Series A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58">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70"/>
              <w:spacing w:after="0"/>
              <w:rPr>
                <w:rFonts w:ascii="Arial" w:cs="Arial" w:eastAsia="Arial" w:hAnsi="Arial"/>
                <w:sz w:val="18"/>
                <w:szCs w:val="18"/>
                <w:color w:val="0000EE"/>
                <w:w w:val="85"/>
              </w:rPr>
            </w:pPr>
            <w:hyperlink r:id="rId15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Amended Series C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12</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Form of Amended Series D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60">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6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13</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61">
              <w:r>
                <w:rPr>
                  <w:rFonts w:ascii="Arial" w:cs="Arial" w:eastAsia="Arial" w:hAnsi="Arial"/>
                  <w:sz w:val="18"/>
                  <w:szCs w:val="18"/>
                  <w:color w:val="0000EE"/>
                </w:rPr>
                <w:t>Form of Amended Series E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14</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62">
              <w:r>
                <w:rPr>
                  <w:rFonts w:ascii="Arial" w:cs="Arial" w:eastAsia="Arial" w:hAnsi="Arial"/>
                  <w:sz w:val="18"/>
                  <w:szCs w:val="18"/>
                  <w:color w:val="0000EE"/>
                </w:rPr>
                <w:t>Form of Amended Series A-1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3540" w:type="dxa"/>
            <w:vAlign w:val="bottom"/>
            <w:tcBorders>
              <w:left w:val="single" w:sz="8" w:color="0000EE"/>
            </w:tcBorders>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15</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Form of Amended Series D-1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6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3540" w:type="dxa"/>
            <w:vAlign w:val="bottom"/>
            <w:tcBorders>
              <w:left w:val="single" w:sz="8" w:color="0000EE"/>
            </w:tcBorders>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16</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Amended Series E-1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6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4"/>
          </w:tcPr>
          <w:p>
            <w:pPr>
              <w:jc w:val="center"/>
              <w:ind w:left="150"/>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17</w:t>
              </w:r>
            </w:hyperlink>
          </w:p>
        </w:tc>
        <w:tc>
          <w:tcPr>
            <w:tcW w:w="260" w:type="dxa"/>
            <w:vAlign w:val="bottom"/>
          </w:tcPr>
          <w:p>
            <w:pPr>
              <w:spacing w:after="0"/>
              <w:rPr>
                <w:sz w:val="24"/>
                <w:szCs w:val="24"/>
                <w:color w:val="auto"/>
              </w:rPr>
            </w:pPr>
          </w:p>
        </w:tc>
        <w:tc>
          <w:tcPr>
            <w:tcW w:w="6280" w:type="dxa"/>
            <w:vAlign w:val="bottom"/>
            <w:gridSpan w:val="10"/>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Series F Warrant</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000-27239</w:t>
              </w:r>
            </w:hyperlink>
          </w:p>
        </w:tc>
        <w:tc>
          <w:tcPr>
            <w:tcW w:w="540" w:type="dxa"/>
            <w:vAlign w:val="bottom"/>
            <w:gridSpan w:val="3"/>
          </w:tcPr>
          <w:p>
            <w:pPr>
              <w:jc w:val="center"/>
              <w:ind w:left="230"/>
              <w:spacing w:after="0"/>
              <w:rPr>
                <w:rFonts w:ascii="Arial" w:cs="Arial" w:eastAsia="Arial" w:hAnsi="Arial"/>
                <w:sz w:val="18"/>
                <w:szCs w:val="18"/>
                <w:color w:val="0000EE"/>
                <w:w w:val="87"/>
              </w:rPr>
            </w:pPr>
            <w:hyperlink r:id="rId16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00" w:type="dxa"/>
            <w:vAlign w:val="bottom"/>
          </w:tcPr>
          <w:p>
            <w:pPr>
              <w:spacing w:after="0"/>
              <w:rPr>
                <w:sz w:val="24"/>
                <w:szCs w:val="24"/>
                <w:color w:val="auto"/>
              </w:rPr>
            </w:pPr>
          </w:p>
        </w:tc>
        <w:tc>
          <w:tcPr>
            <w:tcW w:w="560" w:type="dxa"/>
            <w:vAlign w:val="bottom"/>
            <w:gridSpan w:val="2"/>
          </w:tcPr>
          <w:p>
            <w:pPr>
              <w:jc w:val="cente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8/11/16</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28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w w:val="92"/>
              </w:rPr>
              <w:t>Incorporated by Reference</w:t>
            </w: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820" w:type="dxa"/>
            <w:vAlign w:val="bottom"/>
            <w:gridSpan w:val="5"/>
            <w:vMerge w:val="continue"/>
          </w:tcPr>
          <w:p>
            <w:pPr>
              <w:spacing w:after="0"/>
              <w:rPr>
                <w:sz w:val="16"/>
                <w:szCs w:val="16"/>
                <w:color w:val="auto"/>
              </w:rPr>
            </w:pPr>
          </w:p>
        </w:tc>
        <w:tc>
          <w:tcPr>
            <w:tcW w:w="1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Filing</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0" w:type="dxa"/>
            <w:vAlign w:val="bottom"/>
            <w:gridSpan w:val="5"/>
          </w:tcPr>
          <w:p>
            <w:pPr>
              <w:ind w:left="100"/>
              <w:spacing w:after="0"/>
              <w:rPr>
                <w:sz w:val="20"/>
                <w:szCs w:val="20"/>
                <w:color w:val="auto"/>
              </w:rPr>
            </w:pPr>
            <w:r>
              <w:rPr>
                <w:rFonts w:ascii="Arial" w:cs="Arial" w:eastAsia="Arial" w:hAnsi="Arial"/>
                <w:sz w:val="18"/>
                <w:szCs w:val="18"/>
                <w:b w:val="1"/>
                <w:bCs w:val="1"/>
                <w:color w:val="auto"/>
              </w:rPr>
              <w:t>number</w:t>
            </w:r>
          </w:p>
        </w:tc>
        <w:tc>
          <w:tcPr>
            <w:tcW w:w="1980" w:type="dxa"/>
            <w:vAlign w:val="bottom"/>
          </w:tcPr>
          <w:p>
            <w:pPr>
              <w:spacing w:after="0"/>
              <w:rPr>
                <w:sz w:val="20"/>
                <w:szCs w:val="20"/>
                <w:color w:val="auto"/>
              </w:rPr>
            </w:pPr>
          </w:p>
        </w:tc>
        <w:tc>
          <w:tcPr>
            <w:tcW w:w="4300" w:type="dxa"/>
            <w:vAlign w:val="bottom"/>
            <w:gridSpan w:val="21"/>
          </w:tcPr>
          <w:p>
            <w:pPr>
              <w:ind w:left="360"/>
              <w:spacing w:after="0"/>
              <w:rPr>
                <w:sz w:val="20"/>
                <w:szCs w:val="20"/>
                <w:color w:val="auto"/>
              </w:rPr>
            </w:pPr>
            <w:r>
              <w:rPr>
                <w:rFonts w:ascii="Arial" w:cs="Arial" w:eastAsia="Arial" w:hAnsi="Arial"/>
                <w:sz w:val="18"/>
                <w:szCs w:val="18"/>
                <w:b w:val="1"/>
                <w:bCs w:val="1"/>
                <w:color w:val="auto"/>
              </w:rPr>
              <w:t>Exhibit description</w:t>
            </w:r>
          </w:p>
        </w:tc>
        <w:tc>
          <w:tcPr>
            <w:tcW w:w="40" w:type="dxa"/>
            <w:vAlign w:val="bottom"/>
          </w:tcPr>
          <w:p>
            <w:pPr>
              <w:spacing w:after="0"/>
              <w:rPr>
                <w:sz w:val="20"/>
                <w:szCs w:val="20"/>
                <w:color w:val="auto"/>
              </w:rPr>
            </w:pPr>
          </w:p>
        </w:tc>
        <w:tc>
          <w:tcPr>
            <w:tcW w:w="9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7"/>
              </w:rPr>
              <w:t>Form</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File no.</w:t>
            </w:r>
          </w:p>
        </w:tc>
        <w:tc>
          <w:tcPr>
            <w:tcW w:w="9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20"/>
                <w:szCs w:val="20"/>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580" w:type="dxa"/>
            <w:vAlign w:val="bottom"/>
            <w:gridSpan w:val="3"/>
          </w:tcPr>
          <w:p>
            <w:pPr>
              <w:jc w:val="center"/>
              <w:ind w:left="170"/>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18</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Series F-1 Warrant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66">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66">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520" w:type="dxa"/>
            <w:vAlign w:val="bottom"/>
            <w:gridSpan w:val="2"/>
          </w:tcPr>
          <w:p>
            <w:pPr>
              <w:jc w:val="cente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19</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August 2016 Private Placement Warrant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67">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000-27239</w:t>
              </w:r>
            </w:hyperlink>
          </w:p>
        </w:tc>
        <w:tc>
          <w:tcPr>
            <w:tcW w:w="480" w:type="dxa"/>
            <w:vAlign w:val="bottom"/>
            <w:gridSpan w:val="2"/>
          </w:tcPr>
          <w:p>
            <w:pPr>
              <w:jc w:val="center"/>
              <w:ind w:left="170"/>
              <w:spacing w:after="0"/>
              <w:rPr>
                <w:rFonts w:ascii="Arial" w:cs="Arial" w:eastAsia="Arial" w:hAnsi="Arial"/>
                <w:sz w:val="18"/>
                <w:szCs w:val="18"/>
                <w:color w:val="0000EE"/>
                <w:w w:val="87"/>
              </w:rPr>
            </w:pPr>
            <w:hyperlink r:id="rId1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20</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2016 Private Placement Agent Warrant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000-27239</w:t>
              </w:r>
            </w:hyperlink>
          </w:p>
        </w:tc>
        <w:tc>
          <w:tcPr>
            <w:tcW w:w="580" w:type="dxa"/>
            <w:vAlign w:val="bottom"/>
            <w:gridSpan w:val="3"/>
          </w:tcPr>
          <w:p>
            <w:pPr>
              <w:jc w:val="center"/>
              <w:ind w:left="190"/>
              <w:spacing w:after="0"/>
              <w:rPr>
                <w:rFonts w:ascii="Arial" w:cs="Arial" w:eastAsia="Arial" w:hAnsi="Arial"/>
                <w:sz w:val="18"/>
                <w:szCs w:val="18"/>
                <w:color w:val="0000EE"/>
                <w:w w:val="85"/>
              </w:rPr>
            </w:pPr>
            <w:hyperlink r:id="rId16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36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21</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June 2017 Private Placement Warrant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69">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001-37939</w:t>
              </w:r>
            </w:hyperlink>
          </w:p>
        </w:tc>
        <w:tc>
          <w:tcPr>
            <w:tcW w:w="480" w:type="dxa"/>
            <w:vAlign w:val="bottom"/>
            <w:gridSpan w:val="2"/>
          </w:tcPr>
          <w:p>
            <w:pPr>
              <w:jc w:val="center"/>
              <w:ind w:left="170"/>
              <w:spacing w:after="0"/>
              <w:rPr>
                <w:rFonts w:ascii="Arial" w:cs="Arial" w:eastAsia="Arial" w:hAnsi="Arial"/>
                <w:sz w:val="18"/>
                <w:szCs w:val="18"/>
                <w:color w:val="0000EE"/>
                <w:w w:val="87"/>
              </w:rPr>
            </w:pPr>
            <w:hyperlink r:id="rId1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69">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22</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2017 Private Placement Agent Warrant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001-37939</w:t>
              </w:r>
            </w:hyperlink>
          </w:p>
        </w:tc>
        <w:tc>
          <w:tcPr>
            <w:tcW w:w="480" w:type="dxa"/>
            <w:vAlign w:val="bottom"/>
            <w:gridSpan w:val="2"/>
          </w:tcPr>
          <w:p>
            <w:pPr>
              <w:jc w:val="center"/>
              <w:ind w:left="170"/>
              <w:spacing w:after="0"/>
              <w:rPr>
                <w:rFonts w:ascii="Arial" w:cs="Arial" w:eastAsia="Arial" w:hAnsi="Arial"/>
                <w:sz w:val="18"/>
                <w:szCs w:val="18"/>
                <w:color w:val="0000EE"/>
                <w:w w:val="87"/>
              </w:rPr>
            </w:pPr>
            <w:hyperlink r:id="rId1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center"/>
              <w:ind w:right="120"/>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23</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Registration Rights Agreement August 2016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520" w:type="dxa"/>
            <w:vAlign w:val="bottom"/>
            <w:gridSpan w:val="2"/>
          </w:tcPr>
          <w:p>
            <w:pPr>
              <w:jc w:val="cente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24</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Registration Rights Agreement June 2017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72">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Securities Purchase Agreement, dated as of January 12, 2015, by and among</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3">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73">
              <w:r>
                <w:rPr>
                  <w:rFonts w:ascii="Arial" w:cs="Arial" w:eastAsia="Arial" w:hAnsi="Arial"/>
                  <w:sz w:val="18"/>
                  <w:szCs w:val="18"/>
                  <w:color w:val="0000EE"/>
                  <w:w w:val="93"/>
                </w:rPr>
                <w:t>1/12/15</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73">
              <w:r>
                <w:rPr>
                  <w:rFonts w:ascii="Arial" w:cs="Arial" w:eastAsia="Arial" w:hAnsi="Arial"/>
                  <w:sz w:val="18"/>
                  <w:szCs w:val="18"/>
                  <w:color w:val="0000EE"/>
                  <w:w w:val="87"/>
                </w:rPr>
                <w:t>the Company and the Purchasers</w:t>
              </w:r>
            </w:hyperlink>
          </w:p>
        </w:tc>
        <w:tc>
          <w:tcPr>
            <w:tcW w:w="3780" w:type="dxa"/>
            <w:vAlign w:val="bottom"/>
            <w:tcBorders>
              <w:top w:val="single" w:sz="8" w:color="0000EE"/>
            </w:tcBorders>
            <w:gridSpan w:val="19"/>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Securities Purchase Agreement, dated as of March 9, 2015, by and among the</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3/9/15</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Company and Eastern Capital Limited</w:t>
              </w:r>
            </w:hyperlink>
          </w:p>
        </w:tc>
        <w:tc>
          <w:tcPr>
            <w:tcW w:w="6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5">
              <w:r>
                <w:rPr>
                  <w:rFonts w:ascii="Arial" w:cs="Arial" w:eastAsia="Arial" w:hAnsi="Arial"/>
                  <w:sz w:val="18"/>
                  <w:szCs w:val="18"/>
                  <w:color w:val="0000EE"/>
                </w:rPr>
                <w:t>Form of Restructuring Agreement dated May 28, 2015</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6/3/15</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6">
              <w:r>
                <w:rPr>
                  <w:rFonts w:ascii="Arial" w:cs="Arial" w:eastAsia="Arial" w:hAnsi="Arial"/>
                  <w:sz w:val="18"/>
                  <w:szCs w:val="18"/>
                  <w:color w:val="0000EE"/>
                </w:rPr>
                <w:t>Amended and Restated Restructuring Agreement, dated as of June 2, 2015</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6/5/15</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7">
              <w:r>
                <w:rPr>
                  <w:rFonts w:ascii="Arial" w:cs="Arial" w:eastAsia="Arial" w:hAnsi="Arial"/>
                  <w:sz w:val="18"/>
                  <w:szCs w:val="18"/>
                  <w:color w:val="0000EE"/>
                </w:rPr>
                <w:t>Form of Subscription Agreement August 2016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7">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20" w:type="dxa"/>
            <w:vAlign w:val="bottom"/>
            <w:gridSpan w:val="2"/>
          </w:tcPr>
          <w:p>
            <w:pPr>
              <w:jc w:val="cente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Registration Rights Agreement August 2016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520" w:type="dxa"/>
            <w:vAlign w:val="bottom"/>
            <w:gridSpan w:val="2"/>
          </w:tcPr>
          <w:p>
            <w:pPr>
              <w:jc w:val="cente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8">
              <w:r>
                <w:rPr>
                  <w:rFonts w:ascii="Arial" w:cs="Arial" w:eastAsia="Arial" w:hAnsi="Arial"/>
                  <w:sz w:val="18"/>
                  <w:szCs w:val="18"/>
                  <w:color w:val="0000EE"/>
                </w:rPr>
                <w:t>Form of Warrant Amendment Agreement August 2016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520" w:type="dxa"/>
            <w:vAlign w:val="bottom"/>
            <w:gridSpan w:val="2"/>
          </w:tcPr>
          <w:p>
            <w:pPr>
              <w:jc w:val="cente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9">
              <w:r>
                <w:rPr>
                  <w:rFonts w:ascii="Arial" w:cs="Arial" w:eastAsia="Arial" w:hAnsi="Arial"/>
                  <w:sz w:val="18"/>
                  <w:szCs w:val="18"/>
                  <w:color w:val="0000EE"/>
                </w:rPr>
                <w:t>Agency Agreement August 2016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9">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520" w:type="dxa"/>
            <w:vAlign w:val="bottom"/>
            <w:gridSpan w:val="2"/>
          </w:tcPr>
          <w:p>
            <w:pPr>
              <w:jc w:val="center"/>
              <w:spacing w:after="0"/>
              <w:rPr>
                <w:rFonts w:ascii="Arial" w:cs="Arial" w:eastAsia="Arial" w:hAnsi="Arial"/>
                <w:sz w:val="18"/>
                <w:szCs w:val="18"/>
                <w:color w:val="0000EE"/>
                <w:w w:val="89"/>
              </w:rPr>
            </w:pPr>
            <w:hyperlink r:id="rId179">
              <w:r>
                <w:rPr>
                  <w:rFonts w:ascii="Arial" w:cs="Arial" w:eastAsia="Arial" w:hAnsi="Arial"/>
                  <w:sz w:val="18"/>
                  <w:szCs w:val="18"/>
                  <w:color w:val="0000EE"/>
                  <w:w w:val="89"/>
                </w:rPr>
                <w:t>8/11/16</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80">
              <w:r>
                <w:rPr>
                  <w:rFonts w:ascii="Arial" w:cs="Arial" w:eastAsia="Arial" w:hAnsi="Arial"/>
                  <w:sz w:val="18"/>
                  <w:szCs w:val="18"/>
                  <w:color w:val="0000EE"/>
                </w:rPr>
                <w:t>Form of Subscription Agreement June 2017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7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Registration Rights Agreement June 2017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7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72">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81">
              <w:r>
                <w:rPr>
                  <w:rFonts w:ascii="Arial" w:cs="Arial" w:eastAsia="Arial" w:hAnsi="Arial"/>
                  <w:sz w:val="18"/>
                  <w:szCs w:val="18"/>
                  <w:color w:val="0000EE"/>
                </w:rPr>
                <w:t>Form of Warrant Exercise Agreement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81">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82">
              <w:r>
                <w:rPr>
                  <w:rFonts w:ascii="Arial" w:cs="Arial" w:eastAsia="Arial" w:hAnsi="Arial"/>
                  <w:sz w:val="18"/>
                  <w:szCs w:val="18"/>
                  <w:color w:val="0000EE"/>
                </w:rPr>
                <w:t>Agency Agreement June 2017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82">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6/22/17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83">
              <w:r>
                <w:rPr>
                  <w:rFonts w:ascii="Arial" w:cs="Arial" w:eastAsia="Arial" w:hAnsi="Arial"/>
                  <w:sz w:val="18"/>
                  <w:szCs w:val="18"/>
                  <w:color w:val="0000EE"/>
                </w:rPr>
                <w:t>First Amendment to Agency Agreement June 2017 Private Placement</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83">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3">
              <w:r>
                <w:rPr>
                  <w:rFonts w:ascii="Arial" w:cs="Arial" w:eastAsia="Arial" w:hAnsi="Arial"/>
                  <w:sz w:val="18"/>
                  <w:szCs w:val="18"/>
                  <w:color w:val="0000EE"/>
                  <w:w w:val="93"/>
                </w:rPr>
                <w:t>6/26/17</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84">
              <w:r>
                <w:rPr>
                  <w:rFonts w:ascii="Arial" w:cs="Arial" w:eastAsia="Arial" w:hAnsi="Arial"/>
                  <w:sz w:val="18"/>
                  <w:szCs w:val="18"/>
                  <w:color w:val="0000EE"/>
                </w:rPr>
                <w:t>License and Assignment Agreement, dated July 21, 2015, with The Mayo</w:t>
              </w:r>
            </w:hyperlink>
          </w:p>
        </w:tc>
        <w:tc>
          <w:tcPr>
            <w:tcW w:w="40" w:type="dxa"/>
            <w:vAlign w:val="bottom"/>
          </w:tcPr>
          <w:p>
            <w:pPr>
              <w:spacing w:after="0"/>
              <w:rPr>
                <w:sz w:val="24"/>
                <w:szCs w:val="24"/>
                <w:color w:val="auto"/>
              </w:rPr>
            </w:pPr>
          </w:p>
        </w:tc>
        <w:tc>
          <w:tcPr>
            <w:tcW w:w="940" w:type="dxa"/>
            <w:vAlign w:val="bottom"/>
            <w:gridSpan w:val="6"/>
          </w:tcPr>
          <w:p>
            <w:pPr>
              <w:jc w:val="center"/>
              <w:ind w:right="220"/>
              <w:spacing w:after="0"/>
              <w:rPr>
                <w:rFonts w:ascii="Arial" w:cs="Arial" w:eastAsia="Arial" w:hAnsi="Arial"/>
                <w:sz w:val="18"/>
                <w:szCs w:val="18"/>
                <w:color w:val="0000EE"/>
                <w:w w:val="89"/>
              </w:rPr>
            </w:pPr>
            <w:hyperlink r:id="rId184">
              <w:r>
                <w:rPr>
                  <w:rFonts w:ascii="Arial" w:cs="Arial" w:eastAsia="Arial" w:hAnsi="Arial"/>
                  <w:sz w:val="18"/>
                  <w:szCs w:val="18"/>
                  <w:color w:val="0000EE"/>
                  <w:w w:val="89"/>
                </w:rPr>
                <w:t>10-Q</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4">
              <w:r>
                <w:rPr>
                  <w:rFonts w:ascii="Arial" w:cs="Arial" w:eastAsia="Arial" w:hAnsi="Arial"/>
                  <w:sz w:val="18"/>
                  <w:szCs w:val="18"/>
                  <w:color w:val="0000EE"/>
                  <w:w w:val="93"/>
                </w:rPr>
                <w:t>8/14/15</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Foundation for Medical Education and Research**</w:t>
              </w:r>
            </w:hyperlink>
          </w:p>
        </w:tc>
        <w:tc>
          <w:tcPr>
            <w:tcW w:w="1640" w:type="dxa"/>
            <w:vAlign w:val="bottom"/>
            <w:tcBorders>
              <w:top w:val="single" w:sz="8" w:color="0000EE"/>
            </w:tcBorders>
            <w:gridSpan w:val="8"/>
          </w:tcPr>
          <w:p>
            <w:pPr>
              <w:spacing w:after="0"/>
              <w:rPr>
                <w:sz w:val="17"/>
                <w:szCs w:val="17"/>
                <w:color w:val="auto"/>
              </w:rPr>
            </w:pPr>
          </w:p>
        </w:tc>
        <w:tc>
          <w:tcPr>
            <w:tcW w:w="9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w w:val="96"/>
              </w:rPr>
            </w:pPr>
            <w:hyperlink r:id="rId185">
              <w:r>
                <w:rPr>
                  <w:rFonts w:ascii="Arial" w:cs="Arial" w:eastAsia="Arial" w:hAnsi="Arial"/>
                  <w:sz w:val="18"/>
                  <w:szCs w:val="18"/>
                  <w:color w:val="0000EE"/>
                  <w:w w:val="96"/>
                </w:rPr>
                <w:t>License and Assignment Agreement with Mayo Foundation for Medical Education</w:t>
              </w:r>
            </w:hyperlink>
          </w:p>
        </w:tc>
        <w:tc>
          <w:tcPr>
            <w:tcW w:w="40" w:type="dxa"/>
            <w:vAlign w:val="bottom"/>
          </w:tcPr>
          <w:p>
            <w:pPr>
              <w:spacing w:after="0"/>
              <w:rPr>
                <w:sz w:val="24"/>
                <w:szCs w:val="24"/>
                <w:color w:val="auto"/>
              </w:rPr>
            </w:pPr>
          </w:p>
        </w:tc>
        <w:tc>
          <w:tcPr>
            <w:tcW w:w="940" w:type="dxa"/>
            <w:vAlign w:val="bottom"/>
            <w:gridSpan w:val="6"/>
          </w:tcPr>
          <w:p>
            <w:pPr>
              <w:jc w:val="center"/>
              <w:ind w:right="220"/>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10-Q</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000-27239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8/15/16</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59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and Research dated May 19, 2016**</w:t>
              </w:r>
            </w:hyperlink>
          </w:p>
        </w:tc>
        <w:tc>
          <w:tcPr>
            <w:tcW w:w="3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0" w:type="dxa"/>
            <w:vAlign w:val="bottom"/>
          </w:tcPr>
          <w:p>
            <w:pPr>
              <w:spacing w:after="0"/>
              <w:rPr>
                <w:sz w:val="24"/>
                <w:szCs w:val="24"/>
                <w:color w:val="auto"/>
              </w:rPr>
            </w:pPr>
          </w:p>
        </w:tc>
        <w:tc>
          <w:tcPr>
            <w:tcW w:w="2620" w:type="dxa"/>
            <w:vAlign w:val="bottom"/>
            <w:tcBorders>
              <w:top w:val="single" w:sz="8" w:color="0000EE"/>
            </w:tcBorders>
            <w:gridSpan w:val="3"/>
          </w:tcPr>
          <w:p>
            <w:pPr>
              <w:spacing w:after="0"/>
              <w:rPr>
                <w:rFonts w:ascii="Arial" w:cs="Arial" w:eastAsia="Arial" w:hAnsi="Arial"/>
                <w:sz w:val="18"/>
                <w:szCs w:val="18"/>
                <w:color w:val="0000EE"/>
              </w:rPr>
            </w:pPr>
            <w:hyperlink r:id="rId186">
              <w:r>
                <w:rPr>
                  <w:rFonts w:ascii="Arial" w:cs="Arial" w:eastAsia="Arial" w:hAnsi="Arial"/>
                  <w:sz w:val="18"/>
                  <w:szCs w:val="18"/>
                  <w:color w:val="0000EE"/>
                </w:rPr>
                <w:t>2009 Stock Incentive Plan*</w:t>
              </w:r>
            </w:hyperlink>
          </w:p>
        </w:tc>
        <w:tc>
          <w:tcPr>
            <w:tcW w:w="3660" w:type="dxa"/>
            <w:vAlign w:val="bottom"/>
            <w:gridSpan w:val="19"/>
          </w:tcPr>
          <w:p>
            <w:pPr>
              <w:spacing w:after="0"/>
              <w:rPr>
                <w:sz w:val="24"/>
                <w:szCs w:val="24"/>
                <w:color w:val="auto"/>
              </w:rPr>
            </w:pPr>
          </w:p>
        </w:tc>
        <w:tc>
          <w:tcPr>
            <w:tcW w:w="980" w:type="dxa"/>
            <w:vAlign w:val="bottom"/>
            <w:gridSpan w:val="7"/>
          </w:tcPr>
          <w:p>
            <w:pPr>
              <w:jc w:val="center"/>
              <w:ind w:right="200"/>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DEF14-C</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000-27239</w:t>
              </w:r>
            </w:hyperlink>
          </w:p>
        </w:tc>
        <w:tc>
          <w:tcPr>
            <w:tcW w:w="360" w:type="dxa"/>
            <w:vAlign w:val="bottom"/>
          </w:tcPr>
          <w:p>
            <w:pPr>
              <w:spacing w:after="0"/>
              <w:rPr>
                <w:sz w:val="24"/>
                <w:szCs w:val="24"/>
                <w:color w:val="auto"/>
              </w:rPr>
            </w:pPr>
          </w:p>
        </w:tc>
        <w:tc>
          <w:tcPr>
            <w:tcW w:w="580" w:type="dxa"/>
            <w:vAlign w:val="bottom"/>
            <w:gridSpan w:val="3"/>
          </w:tcPr>
          <w:p>
            <w:pPr>
              <w:jc w:val="center"/>
              <w:ind w:right="460"/>
              <w:spacing w:after="0"/>
              <w:rPr>
                <w:rFonts w:ascii="Arial" w:cs="Arial" w:eastAsia="Arial" w:hAnsi="Arial"/>
                <w:sz w:val="18"/>
                <w:szCs w:val="18"/>
                <w:color w:val="0000EE"/>
                <w:w w:val="99"/>
              </w:rPr>
            </w:pPr>
            <w:hyperlink r:id="rId186">
              <w:r>
                <w:rPr>
                  <w:rFonts w:ascii="Arial" w:cs="Arial" w:eastAsia="Arial" w:hAnsi="Arial"/>
                  <w:sz w:val="18"/>
                  <w:szCs w:val="18"/>
                  <w:color w:val="0000EE"/>
                  <w:w w:val="99"/>
                </w:rPr>
                <w:t>B</w:t>
              </w:r>
            </w:hyperlink>
          </w:p>
        </w:tc>
        <w:tc>
          <w:tcPr>
            <w:tcW w:w="680" w:type="dxa"/>
            <w:vAlign w:val="bottom"/>
            <w:gridSpan w:val="3"/>
          </w:tcPr>
          <w:p>
            <w:pPr>
              <w:jc w:val="center"/>
              <w:ind w:right="120"/>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1/29/10</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0" w:type="dxa"/>
            <w:vAlign w:val="bottom"/>
            <w:gridSpan w:val="17"/>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4"/>
          </w:tcPr>
          <w:p>
            <w:pPr>
              <w:jc w:val="center"/>
              <w:ind w:left="130"/>
              <w:spacing w:after="0"/>
              <w:rPr>
                <w:rFonts w:ascii="Arial" w:cs="Arial" w:eastAsia="Arial" w:hAnsi="Arial"/>
                <w:sz w:val="18"/>
                <w:szCs w:val="18"/>
                <w:color w:val="0000EE"/>
                <w:w w:val="88"/>
              </w:rPr>
            </w:pPr>
            <w:hyperlink r:id="rId1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0" w:type="dxa"/>
            <w:vAlign w:val="bottom"/>
          </w:tcPr>
          <w:p>
            <w:pPr>
              <w:spacing w:after="0"/>
              <w:rPr>
                <w:sz w:val="24"/>
                <w:szCs w:val="24"/>
                <w:color w:val="auto"/>
              </w:rPr>
            </w:pPr>
          </w:p>
        </w:tc>
        <w:tc>
          <w:tcPr>
            <w:tcW w:w="6280" w:type="dxa"/>
            <w:vAlign w:val="bottom"/>
            <w:gridSpan w:val="22"/>
          </w:tcPr>
          <w:p>
            <w:pPr>
              <w:spacing w:after="0"/>
              <w:rPr>
                <w:rFonts w:ascii="Arial" w:cs="Arial" w:eastAsia="Arial" w:hAnsi="Arial"/>
                <w:sz w:val="18"/>
                <w:szCs w:val="18"/>
                <w:color w:val="0000EE"/>
              </w:rPr>
            </w:pPr>
            <w:hyperlink r:id="rId187">
              <w:r>
                <w:rPr>
                  <w:rFonts w:ascii="Arial" w:cs="Arial" w:eastAsia="Arial" w:hAnsi="Arial"/>
                  <w:sz w:val="18"/>
                  <w:szCs w:val="18"/>
                  <w:color w:val="0000EE"/>
                </w:rPr>
                <w:t>2014 Omnibus Stock Ownership Plan, as amended through August 29, 2017*</w:t>
              </w:r>
            </w:hyperlink>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center"/>
              <w:ind w:right="440"/>
              <w:spacing w:after="0"/>
              <w:rPr>
                <w:rFonts w:ascii="Arial" w:cs="Arial" w:eastAsia="Arial" w:hAnsi="Arial"/>
                <w:sz w:val="18"/>
                <w:szCs w:val="18"/>
                <w:color w:val="0000EE"/>
                <w:w w:val="99"/>
              </w:rPr>
            </w:pPr>
            <w:hyperlink r:id="rId187">
              <w:r>
                <w:rPr>
                  <w:rFonts w:ascii="Arial" w:cs="Arial" w:eastAsia="Arial" w:hAnsi="Arial"/>
                  <w:sz w:val="18"/>
                  <w:szCs w:val="18"/>
                  <w:color w:val="0000EE"/>
                  <w:w w:val="99"/>
                </w:rPr>
                <w:t>8-K</w:t>
              </w:r>
            </w:hyperlink>
          </w:p>
        </w:tc>
        <w:tc>
          <w:tcPr>
            <w:tcW w:w="920" w:type="dxa"/>
            <w:vAlign w:val="bottom"/>
            <w:gridSpan w:val="2"/>
          </w:tcPr>
          <w:p>
            <w:pPr>
              <w:jc w:val="center"/>
              <w:ind w:right="140"/>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001-37939</w:t>
              </w:r>
            </w:hyperlink>
          </w:p>
        </w:tc>
        <w:tc>
          <w:tcPr>
            <w:tcW w:w="940" w:type="dxa"/>
            <w:vAlign w:val="bottom"/>
            <w:gridSpan w:val="4"/>
          </w:tcPr>
          <w:p>
            <w:pPr>
              <w:jc w:val="center"/>
              <w:ind w:right="80"/>
              <w:spacing w:after="0"/>
              <w:rPr>
                <w:rFonts w:ascii="Arial" w:cs="Arial" w:eastAsia="Arial" w:hAnsi="Arial"/>
                <w:sz w:val="18"/>
                <w:szCs w:val="18"/>
                <w:color w:val="0000EE"/>
                <w:w w:val="85"/>
              </w:rPr>
            </w:pPr>
            <w:hyperlink r:id="rId18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520" w:type="dxa"/>
            <w:vAlign w:val="bottom"/>
            <w:gridSpan w:val="2"/>
          </w:tcPr>
          <w:p>
            <w:pPr>
              <w:jc w:val="cente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9/5/17</w:t>
              </w:r>
            </w:hyperlink>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2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1"/>
              </w:rPr>
              <w:t>Incorporated by Reference</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820" w:type="dxa"/>
            <w:vAlign w:val="bottom"/>
            <w:gridSpan w:val="4"/>
            <w:vMerge w:val="continue"/>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Filing</w:t>
            </w:r>
          </w:p>
        </w:tc>
        <w:tc>
          <w:tcPr>
            <w:tcW w:w="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0" w:type="dxa"/>
            <w:vAlign w:val="bottom"/>
            <w:gridSpan w:val="4"/>
          </w:tcPr>
          <w:p>
            <w:pPr>
              <w:ind w:left="100"/>
              <w:spacing w:after="0"/>
              <w:rPr>
                <w:sz w:val="20"/>
                <w:szCs w:val="20"/>
                <w:color w:val="auto"/>
              </w:rPr>
            </w:pPr>
            <w:r>
              <w:rPr>
                <w:rFonts w:ascii="Arial" w:cs="Arial" w:eastAsia="Arial" w:hAnsi="Arial"/>
                <w:sz w:val="18"/>
                <w:szCs w:val="18"/>
                <w:b w:val="1"/>
                <w:bCs w:val="1"/>
                <w:color w:val="auto"/>
              </w:rPr>
              <w:t>number</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gridSpan w:val="18"/>
          </w:tcPr>
          <w:p>
            <w:pPr>
              <w:ind w:left="26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7"/>
              </w:rPr>
              <w:t>Form</w:t>
            </w:r>
          </w:p>
        </w:tc>
        <w:tc>
          <w:tcPr>
            <w:tcW w:w="32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File no.</w:t>
            </w:r>
          </w:p>
        </w:tc>
        <w:tc>
          <w:tcPr>
            <w:tcW w:w="94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date</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92"/>
        </w:trPr>
        <w:tc>
          <w:tcPr>
            <w:tcW w:w="580" w:type="dxa"/>
            <w:vAlign w:val="bottom"/>
            <w:gridSpan w:val="3"/>
          </w:tcPr>
          <w:p>
            <w:pPr>
              <w:jc w:val="center"/>
              <w:ind w:left="90"/>
              <w:spacing w:after="0"/>
              <w:rPr>
                <w:rFonts w:ascii="Arial" w:cs="Arial" w:eastAsia="Arial" w:hAnsi="Arial"/>
                <w:sz w:val="18"/>
                <w:szCs w:val="18"/>
                <w:color w:val="0000EE"/>
                <w:w w:val="88"/>
              </w:rPr>
            </w:pPr>
            <w:hyperlink r:id="rId1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r:id="rId188">
              <w:r>
                <w:rPr>
                  <w:rFonts w:ascii="Arial" w:cs="Arial" w:eastAsia="Arial" w:hAnsi="Arial"/>
                  <w:sz w:val="18"/>
                  <w:szCs w:val="18"/>
                  <w:color w:val="0000EE"/>
                </w:rPr>
                <w:t>Form of Stock Option Award Agreement – Key Employee*</w:t>
              </w:r>
            </w:hyperlink>
          </w:p>
        </w:tc>
        <w:tc>
          <w:tcPr>
            <w:tcW w:w="660" w:type="dxa"/>
            <w:vAlign w:val="bottom"/>
            <w:gridSpan w:val="3"/>
          </w:tcPr>
          <w:p>
            <w:pPr>
              <w:jc w:val="center"/>
              <w:ind w:left="50"/>
              <w:spacing w:after="0"/>
              <w:rPr>
                <w:rFonts w:ascii="Arial" w:cs="Arial" w:eastAsia="Arial" w:hAnsi="Arial"/>
                <w:sz w:val="18"/>
                <w:szCs w:val="18"/>
                <w:color w:val="0000EE"/>
                <w:w w:val="89"/>
              </w:rPr>
            </w:pPr>
            <w:hyperlink r:id="rId188">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8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80" w:type="dxa"/>
            <w:vAlign w:val="bottom"/>
            <w:gridSpan w:val="2"/>
          </w:tcPr>
          <w:p>
            <w:pPr>
              <w:jc w:val="center"/>
              <w:ind w:right="80"/>
              <w:spacing w:after="0"/>
              <w:rPr>
                <w:rFonts w:ascii="Arial" w:cs="Arial" w:eastAsia="Arial" w:hAnsi="Arial"/>
                <w:sz w:val="18"/>
                <w:szCs w:val="18"/>
                <w:color w:val="0000EE"/>
                <w:w w:val="85"/>
              </w:rPr>
            </w:pPr>
            <w:hyperlink r:id="rId188">
              <w:r>
                <w:rPr>
                  <w:rFonts w:ascii="Arial" w:cs="Arial" w:eastAsia="Arial" w:hAnsi="Arial"/>
                  <w:sz w:val="18"/>
                  <w:szCs w:val="18"/>
                  <w:color w:val="0000EE"/>
                  <w:w w:val="85"/>
                </w:rPr>
                <w:t>11/16/15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r:id="rId189">
              <w:r>
                <w:rPr>
                  <w:rFonts w:ascii="Arial" w:cs="Arial" w:eastAsia="Arial" w:hAnsi="Arial"/>
                  <w:sz w:val="18"/>
                  <w:szCs w:val="18"/>
                  <w:color w:val="0000EE"/>
                </w:rPr>
                <w:t>Form of Stock Option Award Agreement – Non-employee Director*</w:t>
              </w:r>
            </w:hyperlink>
          </w:p>
        </w:tc>
        <w:tc>
          <w:tcPr>
            <w:tcW w:w="660" w:type="dxa"/>
            <w:vAlign w:val="bottom"/>
            <w:gridSpan w:val="3"/>
          </w:tcPr>
          <w:p>
            <w:pPr>
              <w:jc w:val="center"/>
              <w:ind w:left="50"/>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8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80" w:type="dxa"/>
            <w:vAlign w:val="bottom"/>
            <w:gridSpan w:val="2"/>
          </w:tcPr>
          <w:p>
            <w:pPr>
              <w:jc w:val="center"/>
              <w:ind w:right="80"/>
              <w:spacing w:after="0"/>
              <w:rPr>
                <w:rFonts w:ascii="Arial" w:cs="Arial" w:eastAsia="Arial" w:hAnsi="Arial"/>
                <w:sz w:val="18"/>
                <w:szCs w:val="18"/>
                <w:color w:val="0000EE"/>
                <w:w w:val="85"/>
              </w:rPr>
            </w:pPr>
            <w:hyperlink r:id="rId189">
              <w:r>
                <w:rPr>
                  <w:rFonts w:ascii="Arial" w:cs="Arial" w:eastAsia="Arial" w:hAnsi="Arial"/>
                  <w:sz w:val="18"/>
                  <w:szCs w:val="18"/>
                  <w:color w:val="0000EE"/>
                  <w:w w:val="85"/>
                </w:rPr>
                <w:t>11/16/15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r:id="rId190">
              <w:r>
                <w:rPr>
                  <w:rFonts w:ascii="Arial" w:cs="Arial" w:eastAsia="Arial" w:hAnsi="Arial"/>
                  <w:sz w:val="18"/>
                  <w:szCs w:val="18"/>
                  <w:color w:val="0000EE"/>
                </w:rPr>
                <w:t>Form of Stock Option Award Agreement – Consultant*</w:t>
              </w:r>
            </w:hyperlink>
          </w:p>
        </w:tc>
        <w:tc>
          <w:tcPr>
            <w:tcW w:w="660" w:type="dxa"/>
            <w:vAlign w:val="bottom"/>
            <w:gridSpan w:val="3"/>
          </w:tcPr>
          <w:p>
            <w:pPr>
              <w:jc w:val="center"/>
              <w:ind w:left="50"/>
              <w:spacing w:after="0"/>
              <w:rPr>
                <w:rFonts w:ascii="Arial" w:cs="Arial" w:eastAsia="Arial" w:hAnsi="Arial"/>
                <w:sz w:val="18"/>
                <w:szCs w:val="18"/>
                <w:color w:val="0000EE"/>
                <w:w w:val="89"/>
              </w:rPr>
            </w:pPr>
            <w:hyperlink r:id="rId190">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680" w:type="dxa"/>
            <w:vAlign w:val="bottom"/>
            <w:gridSpan w:val="2"/>
          </w:tcPr>
          <w:p>
            <w:pPr>
              <w:jc w:val="center"/>
              <w:ind w:right="80"/>
              <w:spacing w:after="0"/>
              <w:rPr>
                <w:rFonts w:ascii="Arial" w:cs="Arial" w:eastAsia="Arial" w:hAnsi="Arial"/>
                <w:sz w:val="18"/>
                <w:szCs w:val="18"/>
                <w:color w:val="0000EE"/>
                <w:w w:val="85"/>
              </w:rPr>
            </w:pPr>
            <w:hyperlink r:id="rId190">
              <w:r>
                <w:rPr>
                  <w:rFonts w:ascii="Arial" w:cs="Arial" w:eastAsia="Arial" w:hAnsi="Arial"/>
                  <w:sz w:val="18"/>
                  <w:szCs w:val="18"/>
                  <w:color w:val="0000EE"/>
                  <w:w w:val="85"/>
                </w:rPr>
                <w:t>11/16/15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r:id="rId191">
              <w:r>
                <w:rPr>
                  <w:rFonts w:ascii="Arial" w:cs="Arial" w:eastAsia="Arial" w:hAnsi="Arial"/>
                  <w:sz w:val="18"/>
                  <w:szCs w:val="18"/>
                  <w:color w:val="0000EE"/>
                </w:rPr>
                <w:t>Form of Restricted Stock Award Agreement – Consultant*</w:t>
              </w:r>
            </w:hyperlink>
          </w:p>
        </w:tc>
        <w:tc>
          <w:tcPr>
            <w:tcW w:w="660" w:type="dxa"/>
            <w:vAlign w:val="bottom"/>
            <w:gridSpan w:val="3"/>
          </w:tcPr>
          <w:p>
            <w:pPr>
              <w:jc w:val="center"/>
              <w:ind w:left="50"/>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680" w:type="dxa"/>
            <w:vAlign w:val="bottom"/>
            <w:gridSpan w:val="2"/>
          </w:tcPr>
          <w:p>
            <w:pPr>
              <w:jc w:val="center"/>
              <w:ind w:right="80"/>
              <w:spacing w:after="0"/>
              <w:rPr>
                <w:rFonts w:ascii="Arial" w:cs="Arial" w:eastAsia="Arial" w:hAnsi="Arial"/>
                <w:sz w:val="18"/>
                <w:szCs w:val="18"/>
                <w:color w:val="0000EE"/>
                <w:w w:val="85"/>
              </w:rPr>
            </w:pPr>
            <w:hyperlink r:id="rId191">
              <w:r>
                <w:rPr>
                  <w:rFonts w:ascii="Arial" w:cs="Arial" w:eastAsia="Arial" w:hAnsi="Arial"/>
                  <w:sz w:val="18"/>
                  <w:szCs w:val="18"/>
                  <w:color w:val="0000EE"/>
                  <w:w w:val="85"/>
                </w:rPr>
                <w:t>11/16/15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w w:val="98"/>
              </w:rPr>
            </w:pPr>
            <w:hyperlink r:id="rId192">
              <w:r>
                <w:rPr>
                  <w:rFonts w:ascii="Arial" w:cs="Arial" w:eastAsia="Arial" w:hAnsi="Arial"/>
                  <w:sz w:val="18"/>
                  <w:szCs w:val="18"/>
                  <w:color w:val="0000EE"/>
                  <w:w w:val="98"/>
                </w:rPr>
                <w:t>Employment Agreement between TapImmune, Inc. and Dr. Glynn Wilson, dated</w:t>
              </w:r>
            </w:hyperlink>
          </w:p>
        </w:tc>
        <w:tc>
          <w:tcPr>
            <w:tcW w:w="660" w:type="dxa"/>
            <w:vAlign w:val="bottom"/>
            <w:gridSpan w:val="3"/>
          </w:tcPr>
          <w:p>
            <w:pPr>
              <w:jc w:val="center"/>
              <w:ind w:left="50"/>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680" w:type="dxa"/>
            <w:vAlign w:val="bottom"/>
            <w:gridSpan w:val="2"/>
          </w:tcPr>
          <w:p>
            <w:pPr>
              <w:jc w:val="center"/>
              <w:ind w:right="80"/>
              <w:spacing w:after="0"/>
              <w:rPr>
                <w:rFonts w:ascii="Arial" w:cs="Arial" w:eastAsia="Arial" w:hAnsi="Arial"/>
                <w:sz w:val="18"/>
                <w:szCs w:val="18"/>
                <w:color w:val="0000EE"/>
                <w:w w:val="85"/>
              </w:rPr>
            </w:pPr>
            <w:hyperlink r:id="rId192">
              <w:r>
                <w:rPr>
                  <w:rFonts w:ascii="Arial" w:cs="Arial" w:eastAsia="Arial" w:hAnsi="Arial"/>
                  <w:sz w:val="18"/>
                  <w:szCs w:val="18"/>
                  <w:color w:val="0000EE"/>
                  <w:w w:val="85"/>
                </w:rPr>
                <w:t>11/16/15</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November 12, 2015*</w:t>
              </w:r>
            </w:hyperlink>
          </w:p>
        </w:tc>
        <w:tc>
          <w:tcPr>
            <w:tcW w:w="48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r:id="rId193">
              <w:r>
                <w:rPr>
                  <w:rFonts w:ascii="Arial" w:cs="Arial" w:eastAsia="Arial" w:hAnsi="Arial"/>
                  <w:sz w:val="18"/>
                  <w:szCs w:val="18"/>
                  <w:color w:val="0000EE"/>
                </w:rPr>
                <w:t>Amendment to Employment Agreement between TapImmune Inc. and Glynn</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93">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jc w:val="center"/>
              <w:spacing w:after="0"/>
              <w:rPr>
                <w:rFonts w:ascii="Arial" w:cs="Arial" w:eastAsia="Arial" w:hAnsi="Arial"/>
                <w:sz w:val="18"/>
                <w:szCs w:val="18"/>
                <w:color w:val="0000EE"/>
                <w:w w:val="93"/>
              </w:rPr>
            </w:pPr>
            <w:hyperlink r:id="rId193">
              <w:r>
                <w:rPr>
                  <w:rFonts w:ascii="Arial" w:cs="Arial" w:eastAsia="Arial" w:hAnsi="Arial"/>
                  <w:sz w:val="18"/>
                  <w:szCs w:val="18"/>
                  <w:color w:val="0000EE"/>
                  <w:w w:val="93"/>
                </w:rPr>
                <w:t>7/19/16</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Wilson, dated as of July 18, 2016*</w:t>
              </w:r>
            </w:hyperlink>
          </w:p>
        </w:tc>
        <w:tc>
          <w:tcPr>
            <w:tcW w:w="3060" w:type="dxa"/>
            <w:vAlign w:val="bottom"/>
            <w:tcBorders>
              <w:top w:val="single" w:sz="8" w:color="0000EE"/>
            </w:tcBorders>
            <w:gridSpan w:val="8"/>
          </w:tcPr>
          <w:p>
            <w:pPr>
              <w:spacing w:after="0"/>
              <w:rPr>
                <w:sz w:val="17"/>
                <w:szCs w:val="17"/>
                <w:color w:val="auto"/>
              </w:rPr>
            </w:pPr>
          </w:p>
        </w:tc>
        <w:tc>
          <w:tcPr>
            <w:tcW w:w="720" w:type="dxa"/>
            <w:vAlign w:val="bottom"/>
            <w:gridSpan w:val="9"/>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r:id="rId194">
              <w:r>
                <w:rPr>
                  <w:rFonts w:ascii="Arial" w:cs="Arial" w:eastAsia="Arial" w:hAnsi="Arial"/>
                  <w:sz w:val="18"/>
                  <w:szCs w:val="18"/>
                  <w:color w:val="0000EE"/>
                </w:rPr>
                <w:t>Amendment to Employment Agreement between TapImmune Inc. and Glynn</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94">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001-37939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0" w:type="dxa"/>
            <w:vAlign w:val="bottom"/>
          </w:tcPr>
          <w:p>
            <w:pPr>
              <w:jc w:val="cente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9/25/17</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Wilson, dated as of September 22, 2017</w:t>
              </w:r>
            </w:hyperlink>
          </w:p>
        </w:tc>
        <w:tc>
          <w:tcPr>
            <w:tcW w:w="2680" w:type="dxa"/>
            <w:vAlign w:val="bottom"/>
            <w:tcBorders>
              <w:top w:val="single" w:sz="8" w:color="0000EE"/>
            </w:tcBorders>
            <w:gridSpan w:val="7"/>
          </w:tcPr>
          <w:p>
            <w:pPr>
              <w:spacing w:after="0"/>
              <w:rPr>
                <w:sz w:val="17"/>
                <w:szCs w:val="17"/>
                <w:color w:val="auto"/>
              </w:rPr>
            </w:pPr>
          </w:p>
        </w:tc>
        <w:tc>
          <w:tcPr>
            <w:tcW w:w="720" w:type="dxa"/>
            <w:vAlign w:val="bottom"/>
            <w:gridSpan w:val="9"/>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w w:val="98"/>
              </w:rPr>
            </w:pPr>
            <w:hyperlink r:id="rId195">
              <w:r>
                <w:rPr>
                  <w:rFonts w:ascii="Arial" w:cs="Arial" w:eastAsia="Arial" w:hAnsi="Arial"/>
                  <w:sz w:val="18"/>
                  <w:szCs w:val="18"/>
                  <w:color w:val="0000EE"/>
                  <w:w w:val="98"/>
                </w:rPr>
                <w:t>Employment Agreement between TapImmune Inc. and Peter Hoang dated as of</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001-37939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jc w:val="center"/>
              <w:spacing w:after="0"/>
              <w:rPr>
                <w:rFonts w:ascii="Arial" w:cs="Arial" w:eastAsia="Arial" w:hAnsi="Arial"/>
                <w:sz w:val="18"/>
                <w:szCs w:val="18"/>
                <w:color w:val="0000EE"/>
                <w:w w:val="93"/>
              </w:rPr>
            </w:pPr>
            <w:hyperlink r:id="rId195">
              <w:r>
                <w:rPr>
                  <w:rFonts w:ascii="Arial" w:cs="Arial" w:eastAsia="Arial" w:hAnsi="Arial"/>
                  <w:sz w:val="18"/>
                  <w:szCs w:val="18"/>
                  <w:color w:val="0000EE"/>
                  <w:w w:val="93"/>
                </w:rPr>
                <w:t>9/25/17</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September 22, 2017</w:t>
              </w:r>
            </w:hyperlink>
          </w:p>
        </w:tc>
        <w:tc>
          <w:tcPr>
            <w:tcW w:w="560" w:type="dxa"/>
            <w:vAlign w:val="bottom"/>
            <w:gridSpan w:val="8"/>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r:id="rId1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w w:val="94"/>
              </w:rPr>
            </w:pPr>
            <w:hyperlink r:id="rId196">
              <w:r>
                <w:rPr>
                  <w:rFonts w:ascii="Arial" w:cs="Arial" w:eastAsia="Arial" w:hAnsi="Arial"/>
                  <w:sz w:val="18"/>
                  <w:szCs w:val="18"/>
                  <w:color w:val="0000EE"/>
                  <w:w w:val="94"/>
                </w:rPr>
                <w:t>Employment Agreement by and between TapImmune Inc. and Michael J. Loiacono</w:t>
              </w:r>
            </w:hyperlink>
          </w:p>
        </w:tc>
        <w:tc>
          <w:tcPr>
            <w:tcW w:w="260" w:type="dxa"/>
            <w:vAlign w:val="bottom"/>
          </w:tcPr>
          <w:p>
            <w:pPr>
              <w:spacing w:after="0"/>
              <w:rPr>
                <w:sz w:val="24"/>
                <w:szCs w:val="24"/>
                <w:color w:val="auto"/>
              </w:rPr>
            </w:pPr>
          </w:p>
        </w:tc>
        <w:tc>
          <w:tcPr>
            <w:tcW w:w="400" w:type="dxa"/>
            <w:vAlign w:val="bottom"/>
            <w:gridSpan w:val="2"/>
          </w:tcPr>
          <w:p>
            <w:pPr>
              <w:jc w:val="center"/>
              <w:ind w:right="120"/>
              <w:spacing w:after="0"/>
              <w:rPr>
                <w:rFonts w:ascii="Arial" w:cs="Arial" w:eastAsia="Arial" w:hAnsi="Arial"/>
                <w:sz w:val="18"/>
                <w:szCs w:val="18"/>
                <w:color w:val="0000EE"/>
                <w:w w:val="99"/>
              </w:rPr>
            </w:pPr>
            <w:hyperlink r:id="rId196">
              <w:r>
                <w:rPr>
                  <w:rFonts w:ascii="Arial" w:cs="Arial" w:eastAsia="Arial" w:hAnsi="Arial"/>
                  <w:sz w:val="18"/>
                  <w:szCs w:val="18"/>
                  <w:color w:val="0000EE"/>
                  <w:w w:val="99"/>
                </w:rPr>
                <w:t>8-K</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000-27239</w:t>
              </w:r>
            </w:hyperlink>
          </w:p>
        </w:tc>
        <w:tc>
          <w:tcPr>
            <w:tcW w:w="940" w:type="dxa"/>
            <w:vAlign w:val="bottom"/>
            <w:gridSpan w:val="3"/>
          </w:tcPr>
          <w:p>
            <w:pPr>
              <w:jc w:val="center"/>
              <w:ind w:right="80"/>
              <w:spacing w:after="0"/>
              <w:rPr>
                <w:rFonts w:ascii="Arial" w:cs="Arial" w:eastAsia="Arial" w:hAnsi="Arial"/>
                <w:sz w:val="18"/>
                <w:szCs w:val="18"/>
                <w:color w:val="0000EE"/>
                <w:w w:val="85"/>
              </w:rPr>
            </w:pPr>
            <w:hyperlink r:id="rId19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jc w:val="center"/>
              <w:spacing w:after="0"/>
              <w:rPr>
                <w:rFonts w:ascii="Arial" w:cs="Arial" w:eastAsia="Arial" w:hAnsi="Arial"/>
                <w:sz w:val="18"/>
                <w:szCs w:val="18"/>
                <w:color w:val="0000EE"/>
                <w:w w:val="93"/>
              </w:rPr>
            </w:pPr>
            <w:hyperlink r:id="rId196">
              <w:r>
                <w:rPr>
                  <w:rFonts w:ascii="Arial" w:cs="Arial" w:eastAsia="Arial" w:hAnsi="Arial"/>
                  <w:sz w:val="18"/>
                  <w:szCs w:val="18"/>
                  <w:color w:val="0000EE"/>
                  <w:w w:val="93"/>
                </w:rPr>
                <w:t>8/25/16</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dated as of August 25, 2016*</w:t>
              </w:r>
            </w:hyperlink>
          </w:p>
        </w:tc>
        <w:tc>
          <w:tcPr>
            <w:tcW w:w="28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80" w:type="dxa"/>
            <w:vAlign w:val="bottom"/>
            <w:tcBorders>
              <w:left w:val="single" w:sz="8" w:color="0000EE"/>
            </w:tcBorders>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90"/>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Form of Director and Officer Indemnification Agreement*</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14</w:t>
              </w:r>
            </w:hyperlink>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r:id="rId197">
              <w:r>
                <w:rPr>
                  <w:rFonts w:ascii="Arial" w:cs="Arial" w:eastAsia="Arial" w:hAnsi="Arial"/>
                  <w:sz w:val="18"/>
                  <w:szCs w:val="18"/>
                  <w:color w:val="0000EE"/>
                </w:rPr>
                <w:t>Code of Ethics</w:t>
              </w:r>
            </w:hyperlink>
          </w:p>
        </w:tc>
        <w:tc>
          <w:tcPr>
            <w:tcW w:w="2040" w:type="dxa"/>
            <w:vAlign w:val="bottom"/>
            <w:gridSpan w:val="13"/>
          </w:tcPr>
          <w:p>
            <w:pPr>
              <w:spacing w:after="0"/>
              <w:rPr>
                <w:sz w:val="24"/>
                <w:szCs w:val="24"/>
                <w:color w:val="auto"/>
              </w:rPr>
            </w:pPr>
          </w:p>
        </w:tc>
        <w:tc>
          <w:tcPr>
            <w:tcW w:w="660" w:type="dxa"/>
            <w:vAlign w:val="bottom"/>
            <w:gridSpan w:val="3"/>
          </w:tcPr>
          <w:p>
            <w:pPr>
              <w:jc w:val="center"/>
              <w:ind w:left="50"/>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10-Q</w:t>
              </w:r>
            </w:hyperlink>
          </w:p>
        </w:tc>
        <w:tc>
          <w:tcPr>
            <w:tcW w:w="1240" w:type="dxa"/>
            <w:vAlign w:val="bottom"/>
            <w:gridSpan w:val="3"/>
          </w:tcPr>
          <w:p>
            <w:pPr>
              <w:jc w:val="center"/>
              <w:ind w:left="90"/>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000-27239</w:t>
              </w:r>
            </w:hyperlink>
          </w:p>
        </w:tc>
        <w:tc>
          <w:tcPr>
            <w:tcW w:w="520" w:type="dxa"/>
            <w:vAlign w:val="bottom"/>
            <w:gridSpan w:val="2"/>
          </w:tcPr>
          <w:p>
            <w:pPr>
              <w:jc w:val="center"/>
              <w:ind w:left="250"/>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14</w:t>
              </w:r>
            </w:hyperlink>
          </w:p>
        </w:tc>
        <w:tc>
          <w:tcPr>
            <w:tcW w:w="420" w:type="dxa"/>
            <w:vAlign w:val="bottom"/>
          </w:tcPr>
          <w:p>
            <w:pPr>
              <w:spacing w:after="0"/>
              <w:rPr>
                <w:sz w:val="24"/>
                <w:szCs w:val="24"/>
                <w:color w:val="auto"/>
              </w:rPr>
            </w:pPr>
          </w:p>
        </w:tc>
        <w:tc>
          <w:tcPr>
            <w:tcW w:w="680" w:type="dxa"/>
            <w:vAlign w:val="bottom"/>
            <w:gridSpan w:val="2"/>
          </w:tcPr>
          <w:p>
            <w:pPr>
              <w:jc w:val="center"/>
              <w:ind w:right="80"/>
              <w:spacing w:after="0"/>
              <w:rPr>
                <w:rFonts w:ascii="Arial" w:cs="Arial" w:eastAsia="Arial" w:hAnsi="Arial"/>
                <w:sz w:val="18"/>
                <w:szCs w:val="18"/>
                <w:color w:val="0000EE"/>
                <w:w w:val="85"/>
              </w:rPr>
            </w:pPr>
            <w:hyperlink r:id="rId197">
              <w:r>
                <w:rPr>
                  <w:rFonts w:ascii="Arial" w:cs="Arial" w:eastAsia="Arial" w:hAnsi="Arial"/>
                  <w:sz w:val="18"/>
                  <w:szCs w:val="18"/>
                  <w:color w:val="0000EE"/>
                  <w:w w:val="85"/>
                </w:rPr>
                <w:t>11/16/15</w:t>
              </w:r>
            </w:hyperlink>
          </w:p>
        </w:tc>
        <w:tc>
          <w:tcPr>
            <w:tcW w:w="3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Consent of Marcum LLP, an independent public accounting firm.</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123">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48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Powers of Attorney (included on signature page).</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48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w w:val="94"/>
              </w:rPr>
            </w:pPr>
            <w:hyperlink w:anchor="page124">
              <w:r>
                <w:rPr>
                  <w:rFonts w:ascii="Arial" w:cs="Arial" w:eastAsia="Arial" w:hAnsi="Arial"/>
                  <w:sz w:val="18"/>
                  <w:szCs w:val="18"/>
                  <w:color w:val="0000EE"/>
                  <w:w w:val="94"/>
                </w:rPr>
                <w:t>Certification of Chief Executive Officer pursuant to Securities Exchange Act of 1934</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Rule 13a-14(a) or 15d-14(a).</w:t>
              </w:r>
            </w:hyperlink>
          </w:p>
        </w:tc>
        <w:tc>
          <w:tcPr>
            <w:tcW w:w="4060" w:type="dxa"/>
            <w:vAlign w:val="bottom"/>
            <w:tcBorders>
              <w:top w:val="single" w:sz="8" w:color="0000EE"/>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124">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w:anchor="page125">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Certification of Chief Financial Officer and Chief Accounting Officer pursuant to</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Borders>
              <w:top w:val="single" w:sz="8" w:color="0000EE"/>
            </w:tcBorders>
            <w:gridSpan w:val="11"/>
          </w:tcPr>
          <w:p>
            <w:pPr>
              <w:spacing w:after="0" w:line="19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Securities Exchange Act of 1934 Rule 13a-14(a) or 15d-14(a).</w:t>
              </w:r>
            </w:hyperlink>
          </w:p>
        </w:tc>
        <w:tc>
          <w:tcPr>
            <w:tcW w:w="1360" w:type="dxa"/>
            <w:vAlign w:val="bottom"/>
            <w:tcBorders>
              <w:top w:val="single" w:sz="8" w:color="0000EE"/>
            </w:tcBorders>
            <w:gridSpan w:val="7"/>
          </w:tcPr>
          <w:p>
            <w:pPr>
              <w:spacing w:after="0"/>
              <w:rPr>
                <w:sz w:val="17"/>
                <w:szCs w:val="17"/>
                <w:color w:val="auto"/>
              </w:rPr>
            </w:pPr>
          </w:p>
        </w:tc>
        <w:tc>
          <w:tcPr>
            <w:tcW w:w="42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900" w:type="dxa"/>
            <w:vAlign w:val="bottom"/>
            <w:gridSpan w:val="10"/>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Certification of Chief Executive Officer pursuant to 18 U. S. C. Section 1350 as</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7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adopted pursuant to Section 906 of the Sarbanes-Oxley Act of 2002.</w:t>
              </w:r>
            </w:hyperlink>
          </w:p>
        </w:tc>
        <w:tc>
          <w:tcPr>
            <w:tcW w:w="52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320" w:type="dxa"/>
            <w:vAlign w:val="bottom"/>
            <w:gridSpan w:val="12"/>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jc w:val="center"/>
              <w:ind w:left="170"/>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240" w:type="dxa"/>
            <w:vAlign w:val="bottom"/>
          </w:tcPr>
          <w:p>
            <w:pPr>
              <w:spacing w:after="0"/>
              <w:rPr>
                <w:sz w:val="24"/>
                <w:szCs w:val="24"/>
                <w:color w:val="auto"/>
              </w:rPr>
            </w:pPr>
          </w:p>
        </w:tc>
        <w:tc>
          <w:tcPr>
            <w:tcW w:w="6280" w:type="dxa"/>
            <w:vAlign w:val="bottom"/>
            <w:gridSpan w:val="23"/>
          </w:tcPr>
          <w:p>
            <w:pPr>
              <w:spacing w:after="0"/>
              <w:rPr>
                <w:rFonts w:ascii="Arial" w:cs="Arial" w:eastAsia="Arial" w:hAnsi="Arial"/>
                <w:sz w:val="18"/>
                <w:szCs w:val="18"/>
                <w:color w:val="0000EE"/>
                <w:w w:val="96"/>
              </w:rPr>
            </w:pPr>
            <w:hyperlink w:anchor="page127">
              <w:r>
                <w:rPr>
                  <w:rFonts w:ascii="Arial" w:cs="Arial" w:eastAsia="Arial" w:hAnsi="Arial"/>
                  <w:sz w:val="18"/>
                  <w:szCs w:val="18"/>
                  <w:color w:val="0000EE"/>
                  <w:w w:val="96"/>
                </w:rPr>
                <w:t>Certification of Chief Financial Officer and Chief Accounting Officer pursuant to 18</w:t>
              </w:r>
            </w:hyperlink>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top w:val="single" w:sz="8" w:color="0000EE"/>
            </w:tcBorders>
            <w:gridSpan w:val="21"/>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U. S. C. Section 1350 as adopted pursuant to Section 906 of the Sarbanes-Oxley Act</w:t>
              </w:r>
            </w:hyperlink>
          </w:p>
        </w:tc>
        <w:tc>
          <w:tcPr>
            <w:tcW w:w="1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of 2002.</w:t>
              </w:r>
            </w:hyperlink>
          </w:p>
        </w:tc>
        <w:tc>
          <w:tcPr>
            <w:tcW w:w="5480" w:type="dxa"/>
            <w:vAlign w:val="bottom"/>
            <w:tcBorders>
              <w:top w:val="single" w:sz="8" w:color="0000EE"/>
            </w:tcBorders>
            <w:gridSpan w:val="19"/>
          </w:tcPr>
          <w:p>
            <w:pPr>
              <w:spacing w:after="0"/>
              <w:rPr>
                <w:sz w:val="17"/>
                <w:szCs w:val="17"/>
                <w:color w:val="auto"/>
              </w:rPr>
            </w:pPr>
          </w:p>
        </w:tc>
        <w:tc>
          <w:tcPr>
            <w:tcW w:w="2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center"/>
              <w:ind w:right="280"/>
              <w:spacing w:after="0" w:line="196" w:lineRule="exact"/>
              <w:rPr>
                <w:rFonts w:ascii="Arial" w:cs="Arial" w:eastAsia="Arial" w:hAnsi="Arial"/>
                <w:sz w:val="18"/>
                <w:szCs w:val="18"/>
                <w:color w:val="0000EE"/>
                <w:w w:val="99"/>
              </w:rPr>
            </w:pPr>
            <w:hyperlink w:anchor="page127">
              <w:r>
                <w:rPr>
                  <w:rFonts w:ascii="Arial" w:cs="Arial" w:eastAsia="Arial" w:hAnsi="Arial"/>
                  <w:sz w:val="18"/>
                  <w:szCs w:val="18"/>
                  <w:color w:val="0000EE"/>
                  <w:w w:val="99"/>
                </w:rPr>
                <w:t>X</w:t>
              </w:r>
            </w:hyperlink>
          </w:p>
        </w:tc>
        <w:tc>
          <w:tcPr>
            <w:tcW w:w="0" w:type="dxa"/>
            <w:vAlign w:val="bottom"/>
          </w:tcPr>
          <w:p>
            <w:pPr>
              <w:spacing w:after="0"/>
              <w:rPr>
                <w:sz w:val="1"/>
                <w:szCs w:val="1"/>
                <w:color w:val="auto"/>
              </w:rPr>
            </w:pPr>
          </w:p>
        </w:tc>
      </w:tr>
      <w:tr>
        <w:trPr>
          <w:trHeight w:val="20"/>
        </w:trPr>
        <w:tc>
          <w:tcPr>
            <w:tcW w:w="820" w:type="dxa"/>
            <w:vAlign w:val="bottom"/>
            <w:gridSpan w:val="4"/>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80" w:type="dxa"/>
            <w:vAlign w:val="bottom"/>
            <w:gridSpan w:val="2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628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628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628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628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628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8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628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3" w:lineRule="exact"/>
        <w:rPr>
          <w:sz w:val="20"/>
          <w:szCs w:val="20"/>
          <w:color w:val="auto"/>
        </w:rPr>
      </w:pPr>
    </w:p>
    <w:p>
      <w:pPr>
        <w:ind w:firstLine="9"/>
        <w:spacing w:after="0" w:line="261" w:lineRule="auto"/>
        <w:tabs>
          <w:tab w:leader="none" w:pos="2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1" w:name="page112"/>
    <w:bookmarkEnd w:id="111"/>
    <w:p>
      <w:pPr>
        <w:ind w:left="9220"/>
        <w:spacing w:after="0"/>
        <w:rPr>
          <w:sz w:val="20"/>
          <w:szCs w:val="20"/>
          <w:color w:val="auto"/>
        </w:rPr>
      </w:pPr>
      <w:r>
        <w:rPr>
          <w:rFonts w:ascii="Arial" w:cs="Arial" w:eastAsia="Arial" w:hAnsi="Arial"/>
          <w:sz w:val="19"/>
          <w:szCs w:val="19"/>
          <w:b w:val="1"/>
          <w:bCs w:val="1"/>
          <w:color w:val="auto"/>
        </w:rPr>
        <w:t>Exhibit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33020</wp:posOffset>
            </wp:positionV>
            <wp:extent cx="7246620" cy="5960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246620" cy="596011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10.27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This Indemnification Agreement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effective as of __________, 2018, by and between Tapimmune Inc., a Nevada</w:t>
      </w:r>
    </w:p>
    <w:p>
      <w:pPr>
        <w:spacing w:after="0" w:line="39"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 xml:space="preserve">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___________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-19050</wp:posOffset>
            </wp:positionV>
            <wp:extent cx="14287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1428750" cy="8890"/>
                    </a:xfrm>
                    <a:prstGeom prst="rect">
                      <a:avLst/>
                    </a:prstGeom>
                    <a:noFill/>
                  </pic:spPr>
                </pic:pic>
              </a:graphicData>
            </a:graphic>
          </wp:anchor>
        </w:drawing>
      </w:r>
    </w:p>
    <w:p>
      <w:pPr>
        <w:spacing w:after="0" w:line="187"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attract and retain the services of highly qualified individuals, such as Indemnitee, to serve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entities;</w:t>
      </w:r>
    </w:p>
    <w:p>
      <w:pPr>
        <w:spacing w:after="0" w:line="16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competent and experienced individuals are reluctant to serve as directors or officers of corporations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protected by comprehensive liability insurance or indemnification, or both, due to increased exposure to litigation costs and risks resulting from their service to such corporations, and due to the fact that the exposure frequently bears no reasonable relationship to the compensation of such directors and officers;</w:t>
      </w:r>
    </w:p>
    <w:p>
      <w:pPr>
        <w:spacing w:after="0" w:line="180"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Indemnitee recognize the substantial increase in corporate litigation in general, subjecting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agents and fiduciaries to expensive litigation risks;</w:t>
      </w:r>
    </w:p>
    <w:p>
      <w:pPr>
        <w:spacing w:after="0" w:line="162" w:lineRule="exact"/>
        <w:rPr>
          <w:sz w:val="20"/>
          <w:szCs w:val="20"/>
          <w:color w:val="auto"/>
        </w:rPr>
      </w:pPr>
    </w:p>
    <w:p>
      <w:pPr>
        <w:jc w:val="both"/>
        <w:ind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and to advance expenses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Chapter 78 of the Nevada Revised Statutes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“NRS”</w:t>
      </w:r>
      <w:r>
        <w:rPr>
          <w:rFonts w:ascii="Arial" w:cs="Arial" w:eastAsia="Arial" w:hAnsi="Arial"/>
          <w:sz w:val="16"/>
          <w:szCs w:val="16"/>
          <w:color w:val="auto"/>
        </w:rPr>
        <w:t>) empowers the Company to indemnify its officers, directors,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to indemnify persons who serve or served, at the request of the Company, as the directors, officers, employees or agents of another corporation, partnership, joint venture, trust or other enterprise and the NRS further provides that the Company’s articles or bylaws or an agreement made by the Company may provide that the expenses of officers and directors incurred in defending a civil or criminal action, suit or proceeding must be paid by the Company as such expenses are incurred and in advance of the final disposition of such action, suit or proceeding, upon receipt of an undertaking to repay the amount if it is ultimately determined by a court of competent jurisdiction that the director or officer is not entitled to be indemnified;</w:t>
      </w:r>
    </w:p>
    <w:p>
      <w:pPr>
        <w:spacing w:after="0" w:line="15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NRS expressly provides that the indemnification and advancement of expenses authorized under the NRS do not exclude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which those seeking indemnification or advancement of expenses may be entitled under the articles or bylaws or pursuant to any agreement, vote of stockholders or disinterested directors or otherwise;</w:t>
      </w:r>
    </w:p>
    <w:p>
      <w:pPr>
        <w:spacing w:after="0" w:line="176"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Amended and Restated Bylaws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expressly allow the Company to indemnify its directors, officers,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employees to the maximum extent permitted under Nevada law; and</w:t>
      </w:r>
    </w:p>
    <w:p>
      <w:pPr>
        <w:spacing w:after="0" w:line="162"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view of the considerations set forth above, the Company desires that Indemnitee shall be indemnified by the Company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62"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covenants in this Agreement, and intending to be legally bound hereby,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3" w:name="page114"/>
    <w:bookmarkEnd w:id="113"/>
    <w:p>
      <w:pPr>
        <w:ind w:left="620" w:hanging="171"/>
        <w:spacing w:after="0"/>
        <w:tabs>
          <w:tab w:leader="none" w:pos="6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jc w:val="both"/>
        <w:ind w:firstLine="889"/>
        <w:spacing w:after="0" w:line="264" w:lineRule="auto"/>
        <w:tabs>
          <w:tab w:leader="none" w:pos="1163"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shall mean any threatened, pending or completed action, suit, proceeding or alternative dispute resolution mechanism,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hearing, inquiry or investigation that Indemnitee in good faith believes might lead to the institution of any such action, suit, proceeding or alternative dispute resolution mechanism, whether civil, criminal, administrative, investigative or other.</w:t>
      </w:r>
    </w:p>
    <w:p>
      <w:pPr>
        <w:spacing w:after="0" w:line="181" w:lineRule="exact"/>
        <w:rPr>
          <w:rFonts w:ascii="Arial" w:cs="Arial" w:eastAsia="Arial" w:hAnsi="Arial"/>
          <w:sz w:val="18"/>
          <w:szCs w:val="18"/>
          <w:b w:val="1"/>
          <w:bCs w:val="1"/>
          <w:color w:val="auto"/>
        </w:rPr>
      </w:pPr>
    </w:p>
    <w:p>
      <w:pPr>
        <w:jc w:val="both"/>
        <w:ind w:firstLine="889"/>
        <w:spacing w:after="0" w:line="272" w:lineRule="auto"/>
        <w:tabs>
          <w:tab w:leader="none" w:pos="1173" w:val="left"/>
        </w:tabs>
        <w:numPr>
          <w:ilvl w:val="1"/>
          <w:numId w:val="61"/>
        </w:numPr>
        <w:rPr>
          <w:rFonts w:ascii="Arial" w:cs="Arial" w:eastAsia="Arial" w:hAnsi="Arial"/>
          <w:sz w:val="17"/>
          <w:szCs w:val="17"/>
          <w:b w:val="1"/>
          <w:bCs w:val="1"/>
          <w:color w:val="auto"/>
        </w:rPr>
      </w:pPr>
      <w:r>
        <w:rPr>
          <w:rFonts w:ascii="Arial" w:cs="Arial" w:eastAsia="Arial" w:hAnsi="Arial"/>
          <w:sz w:val="17"/>
          <w:szCs w:val="17"/>
          <w:color w:val="auto"/>
        </w:rPr>
        <w:t xml:space="preserve">References to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shall include, in addition to Tapimmune Inc., any constituent corporation (including any constituent of a constituent) absorbed in a consolidation or merger to which Tapimmune Inc. (or any of its wholly owned subsidiaries) has been or becomes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77" w:lineRule="exact"/>
        <w:rPr>
          <w:rFonts w:ascii="Arial" w:cs="Arial" w:eastAsia="Arial" w:hAnsi="Arial"/>
          <w:sz w:val="17"/>
          <w:szCs w:val="17"/>
          <w:b w:val="1"/>
          <w:bCs w:val="1"/>
          <w:color w:val="auto"/>
        </w:rPr>
      </w:pPr>
    </w:p>
    <w:p>
      <w:pPr>
        <w:jc w:val="both"/>
        <w:ind w:firstLine="889"/>
        <w:spacing w:after="0" w:line="273" w:lineRule="auto"/>
        <w:tabs>
          <w:tab w:leader="none" w:pos="1140"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shall be broadly construed and shall mean any and all direct and indirect costs and expenses (including, without limitation,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attorneys’ fees and all other costs, expenses and obligations incurred in connection with investigating, defending, being a witness in or participating in (including on appeal), or preparing to defend, to be or prepare to be a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of any Claim regarding any Indemnifiable Event and any federal, state, local or foreign taxes imposed on Indemnitee as a result of the actual or deemed receipt of any payments under this Agreement.</w:t>
      </w:r>
    </w:p>
    <w:p>
      <w:pPr>
        <w:spacing w:after="0" w:line="178" w:lineRule="exact"/>
        <w:rPr>
          <w:rFonts w:ascii="Arial" w:cs="Arial" w:eastAsia="Arial" w:hAnsi="Arial"/>
          <w:sz w:val="17"/>
          <w:szCs w:val="17"/>
          <w:b w:val="1"/>
          <w:bCs w:val="1"/>
          <w:color w:val="auto"/>
        </w:rPr>
      </w:pPr>
    </w:p>
    <w:p>
      <w:pPr>
        <w:ind w:left="1160" w:hanging="271"/>
        <w:spacing w:after="0"/>
        <w:tabs>
          <w:tab w:leader="none" w:pos="116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“Expense Advance” </w:t>
      </w:r>
      <w:r>
        <w:rPr>
          <w:rFonts w:ascii="Arial" w:cs="Arial" w:eastAsia="Arial" w:hAnsi="Arial"/>
          <w:sz w:val="18"/>
          <w:szCs w:val="18"/>
          <w:color w:val="auto"/>
        </w:rPr>
        <w:t>shall mean an advance payment of Expenses to Indemnitee pursuant to this Agreement.</w:t>
      </w:r>
    </w:p>
    <w:p>
      <w:pPr>
        <w:spacing w:after="0" w:line="225" w:lineRule="exact"/>
        <w:rPr>
          <w:rFonts w:ascii="Arial" w:cs="Arial" w:eastAsia="Arial" w:hAnsi="Arial"/>
          <w:sz w:val="18"/>
          <w:szCs w:val="18"/>
          <w:b w:val="1"/>
          <w:bCs w:val="1"/>
          <w:color w:val="auto"/>
        </w:rPr>
      </w:pPr>
    </w:p>
    <w:p>
      <w:pPr>
        <w:jc w:val="both"/>
        <w:ind w:right="20" w:firstLine="889"/>
        <w:spacing w:after="0" w:line="279" w:lineRule="auto"/>
        <w:tabs>
          <w:tab w:leader="none" w:pos="1126" w:val="left"/>
        </w:tabs>
        <w:numPr>
          <w:ilvl w:val="1"/>
          <w:numId w:val="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“Indemnifiable Event” </w:t>
      </w:r>
      <w:r>
        <w:rPr>
          <w:rFonts w:ascii="Arial" w:cs="Arial" w:eastAsia="Arial" w:hAnsi="Arial"/>
          <w:sz w:val="17"/>
          <w:szCs w:val="17"/>
          <w:color w:val="auto"/>
        </w:rPr>
        <w:t>shall mean any event or occurrence related to the fact that Indemnitee is or was a director, officer, employee, agent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fiduciary of the Company, or any subsidiary of the Company, or any predecessor of the Company or subsidiary, or is or was serving at the request of the Company or a predecessor of the Company as a director, officer, employee, agent or fiduciary of another corporation, partnership, joint venture, trust or other enterprise, or by reason of any action or inaction on the part of Indemnitee while serving in such capacity.</w:t>
      </w:r>
    </w:p>
    <w:p>
      <w:pPr>
        <w:spacing w:after="0" w:line="171" w:lineRule="exact"/>
        <w:rPr>
          <w:rFonts w:ascii="Arial" w:cs="Arial" w:eastAsia="Arial" w:hAnsi="Arial"/>
          <w:sz w:val="17"/>
          <w:szCs w:val="17"/>
          <w:b w:val="1"/>
          <w:bCs w:val="1"/>
          <w:color w:val="auto"/>
        </w:rPr>
      </w:pPr>
    </w:p>
    <w:p>
      <w:pPr>
        <w:jc w:val="both"/>
        <w:ind w:firstLine="889"/>
        <w:spacing w:after="0" w:line="259" w:lineRule="auto"/>
        <w:tabs>
          <w:tab w:leader="none" w:pos="1133"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References to </w:t>
      </w:r>
      <w:r>
        <w:rPr>
          <w:rFonts w:ascii="Arial" w:cs="Arial" w:eastAsia="Arial" w:hAnsi="Arial"/>
          <w:sz w:val="18"/>
          <w:szCs w:val="18"/>
          <w:b w:val="1"/>
          <w:bCs w:val="1"/>
          <w:i w:val="1"/>
          <w:iCs w:val="1"/>
          <w:color w:val="auto"/>
        </w:rPr>
        <w:t>“other enterprise”</w:t>
      </w:r>
      <w:r>
        <w:rPr>
          <w:rFonts w:ascii="Arial" w:cs="Arial" w:eastAsia="Arial" w:hAnsi="Arial"/>
          <w:sz w:val="18"/>
          <w:szCs w:val="18"/>
          <w:color w:val="auto"/>
        </w:rPr>
        <w:t xml:space="preserve">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xml:space="preserve"> shall include any excise taxes assessed on Indemnitee with respect to an employee benefit plan; and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its beneficiaries.</w:t>
      </w:r>
    </w:p>
    <w:p>
      <w:pPr>
        <w:spacing w:after="0" w:line="186" w:lineRule="exact"/>
        <w:rPr>
          <w:rFonts w:ascii="Arial" w:cs="Arial" w:eastAsia="Arial" w:hAnsi="Arial"/>
          <w:sz w:val="18"/>
          <w:szCs w:val="18"/>
          <w:b w:val="1"/>
          <w:bCs w:val="1"/>
          <w:color w:val="auto"/>
        </w:rPr>
      </w:pPr>
    </w:p>
    <w:p>
      <w:pPr>
        <w:ind w:left="1140" w:hanging="251"/>
        <w:spacing w:after="0"/>
        <w:tabs>
          <w:tab w:leader="none" w:pos="114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rFonts w:ascii="Arial" w:cs="Arial" w:eastAsia="Arial" w:hAnsi="Arial"/>
          <w:sz w:val="18"/>
          <w:szCs w:val="18"/>
          <w:b w:val="1"/>
          <w:bCs w:val="1"/>
          <w:color w:val="auto"/>
        </w:rPr>
      </w:pPr>
    </w:p>
    <w:p>
      <w:pPr>
        <w:ind w:left="1160" w:hanging="271"/>
        <w:spacing w:after="0"/>
        <w:tabs>
          <w:tab w:leader="none" w:pos="116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means the Securities Act of 1933, as amended.</w:t>
      </w:r>
    </w:p>
    <w:p>
      <w:pPr>
        <w:spacing w:after="0" w:line="221" w:lineRule="exact"/>
        <w:rPr>
          <w:rFonts w:ascii="Arial" w:cs="Arial" w:eastAsia="Arial" w:hAnsi="Arial"/>
          <w:sz w:val="18"/>
          <w:szCs w:val="18"/>
          <w:b w:val="1"/>
          <w:bCs w:val="1"/>
          <w:color w:val="auto"/>
        </w:rPr>
      </w:pPr>
    </w:p>
    <w:p>
      <w:pPr>
        <w:ind w:left="620" w:hanging="171"/>
        <w:spacing w:after="0"/>
        <w:tabs>
          <w:tab w:leader="none" w:pos="6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rFonts w:ascii="Arial" w:cs="Arial" w:eastAsia="Arial" w:hAnsi="Arial"/>
          <w:sz w:val="18"/>
          <w:szCs w:val="18"/>
          <w:b w:val="1"/>
          <w:bCs w:val="1"/>
          <w:color w:val="auto"/>
        </w:rPr>
      </w:pPr>
    </w:p>
    <w:p>
      <w:pPr>
        <w:jc w:val="both"/>
        <w:ind w:firstLine="889"/>
        <w:spacing w:after="0" w:line="261" w:lineRule="auto"/>
        <w:tabs>
          <w:tab w:leader="none" w:pos="1157"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Nonexclusive Indemnity. </w:t>
      </w:r>
      <w:r>
        <w:rPr>
          <w:rFonts w:ascii="Arial" w:cs="Arial" w:eastAsia="Arial" w:hAnsi="Arial"/>
          <w:sz w:val="18"/>
          <w:szCs w:val="18"/>
          <w:color w:val="auto"/>
        </w:rPr>
        <w:t>The Company shall indemnify Indemnitee to the fullest extent permitted by Nevada law and by the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on the date hereof, and as Nevada law, the Bylaws may from time to time be amended (but, in the case of any such amendment, only to the extent such amendment permits the Company to provide broader indemnification rights than Nevada law and the Bylaws permit the Company to provide before such amendment). Such indemnification shall include, without limitation, the following: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jc w:val="both"/>
        <w:ind w:left="440" w:firstLine="1196"/>
        <w:spacing w:after="0" w:line="270" w:lineRule="auto"/>
        <w:tabs>
          <w:tab w:leader="none" w:pos="1845"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Indemnity Involving Third Party Claims. </w:t>
      </w:r>
      <w:r>
        <w:rPr>
          <w:rFonts w:ascii="Arial" w:cs="Arial" w:eastAsia="Arial" w:hAnsi="Arial"/>
          <w:sz w:val="17"/>
          <w:szCs w:val="17"/>
          <w:color w:val="auto"/>
        </w:rPr>
        <w:t>The Company shall indemnify Indemnitee if Indemnitee is a party to or is threatened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made a party to or is otherwise involved in any Claim (other than a Claim by or in the name of the Company to procure a judgment in its favor) by reason of an Indemnifiable Event, against all Expenses incurred by Indemnitee in connection with the investigation, defense, settlement or appeal of such Claim, if he or she either (i) is not liable pursuant to NRS 78.138 or (ii) acted in good faith and in a manner he or she reasonably believed to be in or not opposed to the best interest of the Company and, in the case of a criminal Claim, had no reasonable cause to believe that his or her conduct was unlawful. The termination of any such Claim by judgment, order of court, settlement, conviction or upon a plea of nolo contendere, or its equivalent, does not, of itself, create a presumption that Indemnitee is liable pursuant to NRS 78.138 or did not act in good faith or in a manner which he or she reasonably believed to be in or not opposed to the best interest of the Company or, with respect to any criminal Claim, that Indemnitee had reasonable cause to believe that his or her conduct was unlawful. Such payment of Expenses shall be made by the Company as soon as practicable but in any event no later than 30 business days after written demand by Indemnitee therefor is presented to the Company (or, if demand is made pursuant to Section 3(a) hereof, then no later than the date set forth in such section).</w:t>
      </w:r>
    </w:p>
    <w:p>
      <w:pPr>
        <w:spacing w:after="0" w:line="174" w:lineRule="exact"/>
        <w:rPr>
          <w:sz w:val="20"/>
          <w:szCs w:val="20"/>
          <w:color w:val="auto"/>
        </w:rPr>
      </w:pPr>
    </w:p>
    <w:p>
      <w:pPr>
        <w:jc w:val="both"/>
        <w:ind w:left="440" w:firstLine="1183"/>
        <w:spacing w:after="0" w:line="270" w:lineRule="auto"/>
        <w:tabs>
          <w:tab w:leader="none" w:pos="1879" w:val="left"/>
        </w:tabs>
        <w:numPr>
          <w:ilvl w:val="2"/>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Indemnity in Derivative Actions. </w:t>
      </w:r>
      <w:r>
        <w:rPr>
          <w:rFonts w:ascii="Arial" w:cs="Arial" w:eastAsia="Arial" w:hAnsi="Arial"/>
          <w:sz w:val="17"/>
          <w:szCs w:val="17"/>
          <w:color w:val="auto"/>
        </w:rPr>
        <w:t>The Company shall indemnify Indemnitee if Indemnitee is a party to or is threatened to be made</w:t>
      </w:r>
      <w:r>
        <w:rPr>
          <w:rFonts w:ascii="Arial" w:cs="Arial" w:eastAsia="Arial" w:hAnsi="Arial"/>
          <w:sz w:val="17"/>
          <w:szCs w:val="17"/>
          <w:b w:val="1"/>
          <w:bCs w:val="1"/>
          <w:color w:val="auto"/>
        </w:rPr>
        <w:t xml:space="preserve"> </w:t>
      </w:r>
      <w:r>
        <w:rPr>
          <w:rFonts w:ascii="Arial" w:cs="Arial" w:eastAsia="Arial" w:hAnsi="Arial"/>
          <w:sz w:val="17"/>
          <w:szCs w:val="17"/>
          <w:color w:val="auto"/>
        </w:rPr>
        <w:t>a party to or is otherwise involved in any Claim by or in the name of the Company to procure a judgment in its favor by reason of an Indemnifiable Event, against all Expenses incurred by Indemnitee in connection with the investigation, defense, settlement or appeal of such Claim, but only if Indemnitee is not liable pursuant to NRS 78.138 and acted in good faith and in a manner he or she reasonably believed to be in or not opposed to the best interest of the Company, except that no indemnification under this Section 2(a)(ii) shall be made for any claim, issue or matter to which Indemnitee has been adjudged by a court of competent jurisdiction, after the exhaustion of all appeals therefrom, to be liable to the Company or for amounts paid in settlement to the Company, unless and only to the extent that any court in which such Claim is brought or other court of competent jurisdiction determines upon application that, in view of all the circumstances of the case, Indemnitee is fairly and reasonably entitled to indemnity for such amounts as the court shall deem proper. Such payment of Expenses shall be made by the Company as soon as practicable but in any event no later than 30 business days after written demand by Indemnitee therefor is presented to the Company (or, if demand is made pursuant to Section 3(a) hereof, then no later than the date set forth in such section).</w:t>
      </w:r>
    </w:p>
    <w:p>
      <w:pPr>
        <w:spacing w:after="0" w:line="174" w:lineRule="exact"/>
        <w:rPr>
          <w:rFonts w:ascii="Arial" w:cs="Arial" w:eastAsia="Arial" w:hAnsi="Arial"/>
          <w:sz w:val="17"/>
          <w:szCs w:val="17"/>
          <w:b w:val="1"/>
          <w:bCs w:val="1"/>
          <w:color w:val="auto"/>
        </w:rPr>
      </w:pPr>
    </w:p>
    <w:p>
      <w:pPr>
        <w:jc w:val="both"/>
        <w:ind w:firstLine="889"/>
        <w:spacing w:after="0" w:line="289" w:lineRule="auto"/>
        <w:tabs>
          <w:tab w:leader="none" w:pos="1163"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Mandatory Payment of Expenses. </w:t>
      </w:r>
      <w:r>
        <w:rPr>
          <w:rFonts w:ascii="Arial" w:cs="Arial" w:eastAsia="Arial" w:hAnsi="Arial"/>
          <w:sz w:val="17"/>
          <w:szCs w:val="17"/>
          <w:color w:val="auto"/>
        </w:rPr>
        <w:t>Notwithstanding any other provision of this Agreement other than Section 9 hereof, to the extent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has been successful on the merits or otherwise, including, without limitation, the dismissal of an action without prejudice, in defense of any Claim regarding any Indemnifiable Event, Indemnitee shall be indemnified against all Expenses incurred by Indemnitee in connection therewith.</w:t>
      </w:r>
    </w:p>
    <w:p>
      <w:pPr>
        <w:spacing w:after="0" w:line="158" w:lineRule="exact"/>
        <w:rPr>
          <w:rFonts w:ascii="Arial" w:cs="Arial" w:eastAsia="Arial" w:hAnsi="Arial"/>
          <w:sz w:val="17"/>
          <w:szCs w:val="17"/>
          <w:b w:val="1"/>
          <w:bCs w:val="1"/>
          <w:color w:val="auto"/>
        </w:rPr>
      </w:pPr>
    </w:p>
    <w:p>
      <w:pPr>
        <w:ind w:left="1140" w:hanging="251"/>
        <w:spacing w:after="0"/>
        <w:tabs>
          <w:tab w:leader="none" w:pos="11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660" w:firstLine="878"/>
        <w:spacing w:after="0" w:line="255" w:lineRule="auto"/>
        <w:tabs>
          <w:tab w:leader="none" w:pos="2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Whether or not the indemnification provided in Section 2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both"/>
        <w:ind w:left="660" w:firstLine="878"/>
        <w:spacing w:after="0" w:line="286" w:lineRule="auto"/>
        <w:tabs>
          <w:tab w:leader="none" w:pos="2358" w:val="left"/>
        </w:tabs>
        <w:numPr>
          <w:ilvl w:val="2"/>
          <w:numId w:val="65"/>
        </w:numPr>
        <w:rPr>
          <w:rFonts w:ascii="Arial" w:cs="Arial" w:eastAsia="Arial" w:hAnsi="Arial"/>
          <w:sz w:val="16"/>
          <w:szCs w:val="16"/>
          <w:color w:val="auto"/>
        </w:rPr>
      </w:pPr>
      <w:r>
        <w:rPr>
          <w:rFonts w:ascii="Arial" w:cs="Arial" w:eastAsia="Arial" w:hAnsi="Arial"/>
          <w:sz w:val="16"/>
          <w:szCs w:val="16"/>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68" w:lineRule="exact"/>
        <w:rPr>
          <w:rFonts w:ascii="Arial" w:cs="Arial" w:eastAsia="Arial" w:hAnsi="Arial"/>
          <w:sz w:val="16"/>
          <w:szCs w:val="16"/>
          <w:color w:val="auto"/>
        </w:rPr>
      </w:pPr>
    </w:p>
    <w:p>
      <w:pPr>
        <w:ind w:left="660" w:firstLine="878"/>
        <w:spacing w:after="0" w:line="308" w:lineRule="auto"/>
        <w:tabs>
          <w:tab w:leader="none" w:pos="2370"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46" w:lineRule="exact"/>
        <w:rPr>
          <w:rFonts w:ascii="Arial" w:cs="Arial" w:eastAsia="Arial" w:hAnsi="Arial"/>
          <w:sz w:val="17"/>
          <w:szCs w:val="17"/>
          <w:color w:val="auto"/>
        </w:rPr>
      </w:pPr>
    </w:p>
    <w:p>
      <w:pPr>
        <w:jc w:val="both"/>
        <w:ind w:left="660" w:firstLine="878"/>
        <w:spacing w:after="0" w:line="272" w:lineRule="auto"/>
        <w:tabs>
          <w:tab w:leader="none" w:pos="2376" w:val="left"/>
        </w:tabs>
        <w:numPr>
          <w:ilvl w:val="2"/>
          <w:numId w:val="65"/>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73" w:lineRule="exact"/>
        <w:rPr>
          <w:rFonts w:ascii="Arial" w:cs="Arial" w:eastAsia="Arial" w:hAnsi="Arial"/>
          <w:sz w:val="17"/>
          <w:szCs w:val="17"/>
          <w:color w:val="auto"/>
        </w:rPr>
      </w:pPr>
    </w:p>
    <w:p>
      <w:pPr>
        <w:ind w:left="620" w:hanging="171"/>
        <w:spacing w:after="0"/>
        <w:tabs>
          <w:tab w:leader="none" w:pos="6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Expenses; Indemnification Procedure.</w:t>
      </w:r>
    </w:p>
    <w:p>
      <w:pPr>
        <w:spacing w:after="0" w:line="225" w:lineRule="exact"/>
        <w:rPr>
          <w:rFonts w:ascii="Arial" w:cs="Arial" w:eastAsia="Arial" w:hAnsi="Arial"/>
          <w:sz w:val="18"/>
          <w:szCs w:val="18"/>
          <w:b w:val="1"/>
          <w:bCs w:val="1"/>
          <w:color w:val="auto"/>
        </w:rPr>
      </w:pPr>
    </w:p>
    <w:p>
      <w:pPr>
        <w:jc w:val="both"/>
        <w:ind w:firstLine="889"/>
        <w:spacing w:after="0" w:line="269" w:lineRule="auto"/>
        <w:tabs>
          <w:tab w:leader="none" w:pos="1136" w:val="left"/>
        </w:tabs>
        <w:numPr>
          <w:ilvl w:val="1"/>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Advances. </w:t>
      </w:r>
      <w:r>
        <w:rPr>
          <w:rFonts w:ascii="Arial" w:cs="Arial" w:eastAsia="Arial" w:hAnsi="Arial"/>
          <w:sz w:val="17"/>
          <w:szCs w:val="17"/>
          <w:color w:val="auto"/>
        </w:rPr>
        <w:t>To the extent not prohibited by law, the Company shall advance the Expenses incurred by Indemnitee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proceeding, and such advancement shall be made within 20 business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Indemnitee has provided the Company with an undertaking to repay all Expense Advances if and to the extent that it is ultimately determined by a court of competent jurisdiction in a final judgment, not subject to appeal, that Indemnitee is not entitled to be indemnified by the Company and such undertaking remains in effect. Expense Advances shall be unsecured, interest free and without regard to Indemnitee’s ability to repay the Expense Advances. Expense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The right to Expense Advances under this Section 3(a) shall continue until final disposition of any proceeding, including any appeal therein. This Section 3(a) shall not apply to any claim made by Indemnitee for which indemnity is excluded pursuant to Section 9(b).</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jc w:val="both"/>
        <w:ind w:firstLine="889"/>
        <w:spacing w:after="0" w:line="261" w:lineRule="auto"/>
        <w:tabs>
          <w:tab w:leader="none" w:pos="116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Undertaking to Repay Expense Advances. </w:t>
      </w:r>
      <w:r>
        <w:rPr>
          <w:rFonts w:ascii="Arial" w:cs="Arial" w:eastAsia="Arial" w:hAnsi="Arial"/>
          <w:sz w:val="18"/>
          <w:szCs w:val="18"/>
          <w:color w:val="auto"/>
        </w:rPr>
        <w:t>Indemnitee acknowledges and agrees that the execution and delivery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undertaking by Indemnitee that Indemnitee shall, to the fullest extent required by law, repay all Expense Advances if and to the extent that it is ultimately determined by a court of competent jurisdiction in a final judgment, not subject to appeal, that Indemnitee is not entitled to be indemnified by the Company.</w:t>
      </w:r>
    </w:p>
    <w:p>
      <w:pPr>
        <w:spacing w:after="0" w:line="180" w:lineRule="exact"/>
        <w:rPr>
          <w:rFonts w:ascii="Arial" w:cs="Arial" w:eastAsia="Arial" w:hAnsi="Arial"/>
          <w:sz w:val="18"/>
          <w:szCs w:val="18"/>
          <w:b w:val="1"/>
          <w:bCs w:val="1"/>
          <w:color w:val="auto"/>
        </w:rPr>
      </w:pPr>
    </w:p>
    <w:p>
      <w:pPr>
        <w:jc w:val="both"/>
        <w:ind w:firstLine="889"/>
        <w:spacing w:after="0" w:line="256" w:lineRule="auto"/>
        <w:tabs>
          <w:tab w:leader="none" w:pos="113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Cooperation by Indemnitee. </w:t>
      </w:r>
      <w:r>
        <w:rPr>
          <w:rFonts w:ascii="Arial" w:cs="Arial" w:eastAsia="Arial" w:hAnsi="Arial"/>
          <w:sz w:val="18"/>
          <w:szCs w:val="18"/>
          <w:color w:val="auto"/>
        </w:rPr>
        <w:t>Indemnitee shall give the Company notice in writing as soon as practicable of any Claim made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for which indemnification will or could be sought under this Agreement. Notice to the Company shall be directed to the Chief Executive Officer of the Company at the address or facsimile number shown on the signature page of this Agreement (or such other address or facsimile number as the Company shall designate in writing to Indemnitee). The failure of Indemnitee to so notify the Company shall not relieve the Company of any obligation which it may have to Indemnitee under this Agreement or otherwise. In addition, Indemnitee shall give the Company such information and cooperation as the Company may reasonably require and as shall be within Indemnitee’s power.</w:t>
      </w:r>
    </w:p>
    <w:p>
      <w:pPr>
        <w:spacing w:after="0" w:line="187" w:lineRule="exact"/>
        <w:rPr>
          <w:rFonts w:ascii="Arial" w:cs="Arial" w:eastAsia="Arial" w:hAnsi="Arial"/>
          <w:sz w:val="18"/>
          <w:szCs w:val="18"/>
          <w:b w:val="1"/>
          <w:bCs w:val="1"/>
          <w:color w:val="auto"/>
        </w:rPr>
      </w:pPr>
    </w:p>
    <w:p>
      <w:pPr>
        <w:jc w:val="both"/>
        <w:ind w:firstLine="889"/>
        <w:spacing w:after="0" w:line="261" w:lineRule="auto"/>
        <w:tabs>
          <w:tab w:leader="none" w:pos="11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Presumptions; Burden of Proof. </w:t>
      </w:r>
      <w:r>
        <w:rPr>
          <w:rFonts w:ascii="Arial" w:cs="Arial" w:eastAsia="Arial" w:hAnsi="Arial"/>
          <w:sz w:val="18"/>
          <w:szCs w:val="18"/>
          <w:color w:val="auto"/>
        </w:rPr>
        <w:t>For purposes of this Agreement, the termination of any Claim by judgment, order, settlement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or without court approval)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or its equivalent, shall not, of itself, create a presumption that Indemnitee did not meet any particular standard of conduct or have any particular belief or that a court has determined that indemnification is not permitted by applicable law.</w:t>
      </w:r>
    </w:p>
    <w:p>
      <w:pPr>
        <w:spacing w:after="0" w:line="180" w:lineRule="exact"/>
        <w:rPr>
          <w:rFonts w:ascii="Arial" w:cs="Arial" w:eastAsia="Arial" w:hAnsi="Arial"/>
          <w:sz w:val="18"/>
          <w:szCs w:val="18"/>
          <w:b w:val="1"/>
          <w:bCs w:val="1"/>
          <w:color w:val="auto"/>
        </w:rPr>
      </w:pPr>
    </w:p>
    <w:p>
      <w:pPr>
        <w:jc w:val="both"/>
        <w:ind w:firstLine="889"/>
        <w:spacing w:after="0" w:line="281" w:lineRule="auto"/>
        <w:tabs>
          <w:tab w:leader="none" w:pos="1144"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Insurers. </w:t>
      </w:r>
      <w:r>
        <w:rPr>
          <w:rFonts w:ascii="Arial" w:cs="Arial" w:eastAsia="Arial" w:hAnsi="Arial"/>
          <w:sz w:val="17"/>
          <w:szCs w:val="17"/>
          <w:color w:val="auto"/>
        </w:rPr>
        <w:t>If at the time of the receipt by the Company of a notice of a Claim pursuant to Section 3(c) hereof the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insurance in effect which may cover such Claim, the Company shall give prompt notice of the commencement of such Claim to the insurers in accordance with the procedures set forth in the respective policies. The Company shall thereafter take all necessary or desirable action to cause such insurers to pay, on behalf of Indemnitee, all amounts payable as a result of such Claim in accordance with the terms of such policies.</w:t>
      </w:r>
    </w:p>
    <w:p>
      <w:pPr>
        <w:spacing w:after="0" w:line="164" w:lineRule="exact"/>
        <w:rPr>
          <w:rFonts w:ascii="Arial" w:cs="Arial" w:eastAsia="Arial" w:hAnsi="Arial"/>
          <w:sz w:val="17"/>
          <w:szCs w:val="17"/>
          <w:b w:val="1"/>
          <w:bCs w:val="1"/>
          <w:color w:val="auto"/>
        </w:rPr>
      </w:pPr>
    </w:p>
    <w:p>
      <w:pPr>
        <w:jc w:val="both"/>
        <w:ind w:firstLine="889"/>
        <w:spacing w:after="0" w:line="271" w:lineRule="auto"/>
        <w:tabs>
          <w:tab w:leader="none" w:pos="1111"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Selection of Counsel. </w:t>
      </w:r>
      <w:r>
        <w:rPr>
          <w:rFonts w:ascii="Arial" w:cs="Arial" w:eastAsia="Arial" w:hAnsi="Arial"/>
          <w:sz w:val="17"/>
          <w:szCs w:val="17"/>
          <w:color w:val="auto"/>
        </w:rPr>
        <w:t>In the event the Company shall be obligated hereunder to pay the Expenses of any Claim, the Company, if appropriate,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entitled to assume the defense of such Claim with counsel approved by Indemnitee (such approval not to be unreasonably withheld or delayed) upon the delivery to Indemnitee of written notice of the Company’s election to do so. After (i) delivery of such notice, (ii) approval of such counsel by Indemnitee and (iii) the retention of such counsel by the Company, the Company will thereafter not be liable to Indemnitee under this Agreement for any fees of counsel subsequently incurred by Indemnitee with respect to the same Claim;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Indemnitee shall have the right to employ Indemnitee’s separate counsel in any such Claim at Indemnitee’s expense and (2)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Claim, then the fees and expenses of Indemnitee’s separate counsel shall be at the expense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ind w:left="620" w:hanging="171"/>
        <w:spacing w:after="0"/>
        <w:tabs>
          <w:tab w:leader="none" w:pos="6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p>
    <w:p>
      <w:pPr>
        <w:spacing w:after="0" w:line="225" w:lineRule="exact"/>
        <w:rPr>
          <w:rFonts w:ascii="Arial" w:cs="Arial" w:eastAsia="Arial" w:hAnsi="Arial"/>
          <w:sz w:val="18"/>
          <w:szCs w:val="18"/>
          <w:b w:val="1"/>
          <w:bCs w:val="1"/>
          <w:color w:val="auto"/>
        </w:rPr>
      </w:pPr>
    </w:p>
    <w:p>
      <w:pPr>
        <w:jc w:val="both"/>
        <w:ind w:firstLine="889"/>
        <w:spacing w:after="0" w:line="255" w:lineRule="auto"/>
        <w:tabs>
          <w:tab w:leader="none" w:pos="1163"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Scope. </w:t>
      </w:r>
      <w:r>
        <w:rPr>
          <w:rFonts w:ascii="Arial" w:cs="Arial" w:eastAsia="Arial" w:hAnsi="Arial"/>
          <w:sz w:val="18"/>
          <w:szCs w:val="18"/>
          <w:color w:val="auto"/>
        </w:rPr>
        <w:t>The Company hereby agrees to indemnify Indemnitee to the fullest extent permitted by Nevada law, notwithstanding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is not specifically authorized by the other provisions of this Agreement, by the Bylaws (as now or hereafter in effect) or by the NRS. In the event of any change after the date of this Agreement in any applicable law, statute or rule which expands the right of a Nevada corporation to indemnify a member of its board of directors or an officer, employee, agent or fiduciary, it is the intent of the parties hereto that Indemnitee shall enjoy by this Agreement the greater benefits afforded by such change. In the event of any change in any applicable law, statute or rule which narrows the right of a Nevada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9(a) hereof.</w:t>
      </w:r>
    </w:p>
    <w:p>
      <w:pPr>
        <w:spacing w:after="0" w:line="185" w:lineRule="exact"/>
        <w:rPr>
          <w:rFonts w:ascii="Arial" w:cs="Arial" w:eastAsia="Arial" w:hAnsi="Arial"/>
          <w:sz w:val="18"/>
          <w:szCs w:val="18"/>
          <w:b w:val="1"/>
          <w:bCs w:val="1"/>
          <w:color w:val="auto"/>
        </w:rPr>
      </w:pPr>
    </w:p>
    <w:p>
      <w:pPr>
        <w:jc w:val="both"/>
        <w:ind w:firstLine="889"/>
        <w:spacing w:after="0" w:line="261" w:lineRule="auto"/>
        <w:tabs>
          <w:tab w:leader="none" w:pos="1146"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Nonexclusivity. </w:t>
      </w:r>
      <w:r>
        <w:rPr>
          <w:rFonts w:ascii="Arial" w:cs="Arial" w:eastAsia="Arial" w:hAnsi="Arial"/>
          <w:sz w:val="18"/>
          <w:szCs w:val="18"/>
          <w:color w:val="auto"/>
        </w:rPr>
        <w:t>The indemnification provided by this Agreement shall be in addition to any rights to which Indemnitee may be entitled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Bylaws (as now or hereafter in effect), any other agreement, any vote of stockholders or disinterested directors, the NRS or otherwise. The indemnification provided under this Agreement shall continue as to Indemnitee for any action taken or not taken while serving in an indemnifiable capacity even though Indemnitee may have ceased to serve in such capacity.</w:t>
      </w:r>
    </w:p>
    <w:p>
      <w:pPr>
        <w:spacing w:after="0" w:line="180" w:lineRule="exact"/>
        <w:rPr>
          <w:rFonts w:ascii="Arial" w:cs="Arial" w:eastAsia="Arial" w:hAnsi="Arial"/>
          <w:sz w:val="18"/>
          <w:szCs w:val="18"/>
          <w:b w:val="1"/>
          <w:bCs w:val="1"/>
          <w:color w:val="auto"/>
        </w:rPr>
      </w:pPr>
    </w:p>
    <w:p>
      <w:pPr>
        <w:jc w:val="both"/>
        <w:ind w:firstLine="449"/>
        <w:spacing w:after="0" w:line="266" w:lineRule="auto"/>
        <w:tabs>
          <w:tab w:leader="none" w:pos="63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Duplication of Payments. </w:t>
      </w:r>
      <w:r>
        <w:rPr>
          <w:rFonts w:ascii="Arial" w:cs="Arial" w:eastAsia="Arial" w:hAnsi="Arial"/>
          <w:sz w:val="18"/>
          <w:szCs w:val="18"/>
          <w:color w:val="auto"/>
        </w:rPr>
        <w:t>The Company shall not be liable under this Agreement to make any payment in connection with any Claim made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to the extent Indemnitee has otherwise actually received payment (under any insurance policy, provision of the Bylaws (as now or hereafter in effect) or otherwise) of the amounts otherwise indemnifiable hereunder.</w:t>
      </w:r>
    </w:p>
    <w:p>
      <w:pPr>
        <w:spacing w:after="0" w:line="176" w:lineRule="exact"/>
        <w:rPr>
          <w:rFonts w:ascii="Arial" w:cs="Arial" w:eastAsia="Arial" w:hAnsi="Arial"/>
          <w:sz w:val="18"/>
          <w:szCs w:val="18"/>
          <w:b w:val="1"/>
          <w:bCs w:val="1"/>
          <w:color w:val="auto"/>
        </w:rPr>
      </w:pPr>
    </w:p>
    <w:p>
      <w:pPr>
        <w:jc w:val="both"/>
        <w:ind w:firstLine="449"/>
        <w:spacing w:after="0" w:line="266" w:lineRule="auto"/>
        <w:tabs>
          <w:tab w:leader="none" w:pos="62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Partial Indemnification. </w:t>
      </w:r>
      <w:r>
        <w:rPr>
          <w:rFonts w:ascii="Arial" w:cs="Arial" w:eastAsia="Arial" w:hAnsi="Arial"/>
          <w:sz w:val="18"/>
          <w:szCs w:val="18"/>
          <w:color w:val="auto"/>
        </w:rPr>
        <w:t>If Indemnitee is entitled under any provision of this Agreement to indemnification by the Company for some or a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Expenses incurred in connection with any Claim, but not, however, for the total amount thereof, the Company shall nevertheless indemnify Indemnitee for that portion of such Expenses to which Indemnitee is entitled.</w:t>
      </w:r>
    </w:p>
    <w:p>
      <w:pPr>
        <w:spacing w:after="0" w:line="176" w:lineRule="exact"/>
        <w:rPr>
          <w:rFonts w:ascii="Arial" w:cs="Arial" w:eastAsia="Arial" w:hAnsi="Arial"/>
          <w:sz w:val="18"/>
          <w:szCs w:val="18"/>
          <w:b w:val="1"/>
          <w:bCs w:val="1"/>
          <w:color w:val="auto"/>
        </w:rPr>
      </w:pPr>
    </w:p>
    <w:p>
      <w:pPr>
        <w:jc w:val="both"/>
        <w:ind w:firstLine="449"/>
        <w:spacing w:after="0" w:line="281" w:lineRule="auto"/>
        <w:tabs>
          <w:tab w:leader="none" w:pos="63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Mutual Acknowledgment. </w:t>
      </w:r>
      <w:r>
        <w:rPr>
          <w:rFonts w:ascii="Arial" w:cs="Arial" w:eastAsia="Arial" w:hAnsi="Arial"/>
          <w:sz w:val="17"/>
          <w:szCs w:val="17"/>
          <w:color w:val="auto"/>
        </w:rPr>
        <w:t>Both the Company and Indemnitee acknowledge that in certain instances, federal law or applicable public policy may</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 the Company from indemnifying its directors, officers, employees, agents or fiduciaries under this Agreement or otherwise.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64" w:lineRule="exact"/>
        <w:rPr>
          <w:rFonts w:ascii="Arial" w:cs="Arial" w:eastAsia="Arial" w:hAnsi="Arial"/>
          <w:sz w:val="17"/>
          <w:szCs w:val="17"/>
          <w:b w:val="1"/>
          <w:bCs w:val="1"/>
          <w:color w:val="auto"/>
        </w:rPr>
      </w:pPr>
    </w:p>
    <w:p>
      <w:pPr>
        <w:jc w:val="both"/>
        <w:ind w:firstLine="449"/>
        <w:spacing w:after="0" w:line="258" w:lineRule="auto"/>
        <w:tabs>
          <w:tab w:leader="none" w:pos="64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Liability Insurance. </w:t>
      </w:r>
      <w:r>
        <w:rPr>
          <w:rFonts w:ascii="Arial" w:cs="Arial" w:eastAsia="Arial" w:hAnsi="Arial"/>
          <w:sz w:val="18"/>
          <w:szCs w:val="18"/>
          <w:color w:val="auto"/>
        </w:rPr>
        <w:t>To the extent the Company maintains liability insurance applicable to directors, officers, employees, agents or fiduciaries,</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shall be covered by such policies in such a manner as to provide Indemnitee the same rights and benefits as are provided to the most favorably insured of the Company’s directors, if Indemnitee is a director of the Company; or of the Company’s officers, if Indemnitee is not a director of the Company but is an officer of the Company; or of the Company’s key employees, agents or fiduciaries, if Indemnitee is not an officer or director but is a key employee, agent or fiduciary of the Company.</w:t>
      </w:r>
    </w:p>
    <w:p>
      <w:pPr>
        <w:spacing w:after="0" w:line="183" w:lineRule="exact"/>
        <w:rPr>
          <w:rFonts w:ascii="Arial" w:cs="Arial" w:eastAsia="Arial" w:hAnsi="Arial"/>
          <w:sz w:val="18"/>
          <w:szCs w:val="18"/>
          <w:b w:val="1"/>
          <w:bCs w:val="1"/>
          <w:color w:val="auto"/>
        </w:rPr>
      </w:pPr>
    </w:p>
    <w:p>
      <w:pPr>
        <w:ind w:left="620" w:hanging="171"/>
        <w:spacing w:after="0"/>
        <w:tabs>
          <w:tab w:leader="none" w:pos="6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Exceptions. </w:t>
      </w:r>
      <w:r>
        <w:rPr>
          <w:rFonts w:ascii="Arial" w:cs="Arial" w:eastAsia="Arial" w:hAnsi="Arial"/>
          <w:sz w:val="16"/>
          <w:szCs w:val="16"/>
          <w:color w:val="auto"/>
        </w:rPr>
        <w:t>Notwithstanding any other provision of this Agreement, the Company shall not be obligated pursuant to the terms of this Agreement:</w:t>
      </w:r>
    </w:p>
    <w:p>
      <w:pPr>
        <w:spacing w:after="0" w:line="248" w:lineRule="exact"/>
        <w:rPr>
          <w:rFonts w:ascii="Arial" w:cs="Arial" w:eastAsia="Arial" w:hAnsi="Arial"/>
          <w:sz w:val="16"/>
          <w:szCs w:val="16"/>
          <w:b w:val="1"/>
          <w:bCs w:val="1"/>
          <w:color w:val="auto"/>
        </w:rPr>
      </w:pPr>
    </w:p>
    <w:p>
      <w:pPr>
        <w:ind w:firstLine="889"/>
        <w:spacing w:after="0" w:line="282" w:lineRule="auto"/>
        <w:tabs>
          <w:tab w:leader="none" w:pos="1143"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Excluded Action or Omissions. </w:t>
      </w:r>
      <w:r>
        <w:rPr>
          <w:rFonts w:ascii="Arial" w:cs="Arial" w:eastAsia="Arial" w:hAnsi="Arial"/>
          <w:sz w:val="18"/>
          <w:szCs w:val="18"/>
          <w:color w:val="auto"/>
        </w:rPr>
        <w:t>To indemnify Indemnitee for acts, omissions or transactions from which Indemnitee may not be relieved of</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under applicable law.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both"/>
        <w:ind w:firstLine="889"/>
        <w:spacing w:after="0" w:line="256" w:lineRule="auto"/>
        <w:tabs>
          <w:tab w:leader="none" w:pos="115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Initiated by Indemnitee. </w:t>
      </w:r>
      <w:r>
        <w:rPr>
          <w:rFonts w:ascii="Arial" w:cs="Arial" w:eastAsia="Arial" w:hAnsi="Arial"/>
          <w:sz w:val="18"/>
          <w:szCs w:val="18"/>
          <w:color w:val="auto"/>
        </w:rPr>
        <w:t>To indemnify or advance expenses to Indemnitee with respect to Claims initiated or brought voluntarily by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and not by way of defense, except (i) with respect to actions or proceedings brought to establish or enforce a right to indemnification under this Agreement or any other agreement or insurance policy or under the Bylaws (as now or hereafter in effect) relating to Claims for Indemnifiable Events, (ii) in specific cases if the Board of Directors of the Company has expressly approved the initiation or bringing of such Claim, or (iii) as otherwise required under the NRS, regardless of whether Indemnitee ultimately is determined to be entitled to such indemnification, advance expense payment or insurance recovery, as the case may be.</w:t>
      </w:r>
    </w:p>
    <w:p>
      <w:pPr>
        <w:spacing w:after="0" w:line="187" w:lineRule="exact"/>
        <w:rPr>
          <w:rFonts w:ascii="Arial" w:cs="Arial" w:eastAsia="Arial" w:hAnsi="Arial"/>
          <w:sz w:val="18"/>
          <w:szCs w:val="18"/>
          <w:b w:val="1"/>
          <w:bCs w:val="1"/>
          <w:color w:val="auto"/>
        </w:rPr>
      </w:pPr>
    </w:p>
    <w:p>
      <w:pPr>
        <w:jc w:val="both"/>
        <w:ind w:firstLine="889"/>
        <w:spacing w:after="0" w:line="266" w:lineRule="auto"/>
        <w:tabs>
          <w:tab w:leader="none" w:pos="116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Lack of Good Faith. </w:t>
      </w:r>
      <w:r>
        <w:rPr>
          <w:rFonts w:ascii="Arial" w:cs="Arial" w:eastAsia="Arial" w:hAnsi="Arial"/>
          <w:sz w:val="18"/>
          <w:szCs w:val="18"/>
          <w:color w:val="auto"/>
        </w:rPr>
        <w:t>To indemnify Indemnitee for any expenses incurred by Indemnitee with respect to any proceeding instituted by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to enforce or interpret this Agreement, if a court of competent jurisdiction determines that each of the material assertions made by Indemnitee in such proceeding was not made in good faith or was frivolous.</w:t>
      </w:r>
    </w:p>
    <w:p>
      <w:pPr>
        <w:spacing w:after="0" w:line="176" w:lineRule="exact"/>
        <w:rPr>
          <w:rFonts w:ascii="Arial" w:cs="Arial" w:eastAsia="Arial" w:hAnsi="Arial"/>
          <w:sz w:val="18"/>
          <w:szCs w:val="18"/>
          <w:b w:val="1"/>
          <w:bCs w:val="1"/>
          <w:color w:val="auto"/>
        </w:rPr>
      </w:pPr>
    </w:p>
    <w:p>
      <w:pPr>
        <w:jc w:val="both"/>
        <w:ind w:firstLine="889"/>
        <w:spacing w:after="0" w:line="273" w:lineRule="auto"/>
        <w:tabs>
          <w:tab w:leader="none" w:pos="1162" w:val="left"/>
        </w:tabs>
        <w:numPr>
          <w:ilvl w:val="1"/>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Violation of Law; Claims Under Section 16(b), Etc. </w:t>
      </w:r>
      <w:r>
        <w:rPr>
          <w:rFonts w:ascii="Arial" w:cs="Arial" w:eastAsia="Arial" w:hAnsi="Arial"/>
          <w:sz w:val="17"/>
          <w:szCs w:val="17"/>
          <w:color w:val="auto"/>
        </w:rPr>
        <w:t>To indemnify Indemnitee on account of any Claim with respect to (i) remuneration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paid to Indemnitee if it is determined by final judgment or other final adjudication that such remuneration was in violation of law, (ii) which final judgment is rendered against Indemnitee for an accounting of profits made from the purchase and sale by Indemnitee of securities of the Company pursuant to the provisions of Section 16(b) of the Act, or similar provisions of any federal, state or local statute, or (iii) which a final adjudication establishes that Indemnitee’s acts or omissions involved intentional misconduct, fraud or a knowing violation of the law and was material to the cause of action, including, without limitation, a final judgment or other final adjudication that Indemnitee defrauded or stole from the Company or converted to his or her own personal use and benefit business or properties of the Company or was otherwise knowingly dishonest.</w:t>
      </w:r>
    </w:p>
    <w:p>
      <w:pPr>
        <w:spacing w:after="0" w:line="172" w:lineRule="exact"/>
        <w:rPr>
          <w:rFonts w:ascii="Arial" w:cs="Arial" w:eastAsia="Arial" w:hAnsi="Arial"/>
          <w:sz w:val="17"/>
          <w:szCs w:val="17"/>
          <w:b w:val="1"/>
          <w:bCs w:val="1"/>
          <w:color w:val="auto"/>
        </w:rPr>
      </w:pPr>
    </w:p>
    <w:p>
      <w:pPr>
        <w:ind w:left="1160" w:hanging="271"/>
        <w:spacing w:after="0"/>
        <w:tabs>
          <w:tab w:leader="none" w:pos="1160" w:val="left"/>
        </w:tabs>
        <w:numPr>
          <w:ilvl w:val="1"/>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Settlement without Consent. </w:t>
      </w:r>
      <w:r>
        <w:rPr>
          <w:rFonts w:ascii="Arial" w:cs="Arial" w:eastAsia="Arial" w:hAnsi="Arial"/>
          <w:sz w:val="17"/>
          <w:szCs w:val="17"/>
          <w:color w:val="auto"/>
        </w:rPr>
        <w:t>To indemnify Indemnitee for any amounts paid in settlement of a Claim effected without the Company’s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written consent.</w:t>
      </w:r>
    </w:p>
    <w:p>
      <w:pPr>
        <w:spacing w:after="0" w:line="206" w:lineRule="exact"/>
        <w:rPr>
          <w:rFonts w:ascii="Arial" w:cs="Arial" w:eastAsia="Arial" w:hAnsi="Arial"/>
          <w:sz w:val="17"/>
          <w:szCs w:val="17"/>
          <w:b w:val="1"/>
          <w:bCs w:val="1"/>
          <w:color w:val="auto"/>
        </w:rPr>
      </w:pPr>
    </w:p>
    <w:p>
      <w:pPr>
        <w:jc w:val="both"/>
        <w:ind w:firstLine="889"/>
        <w:spacing w:after="0" w:line="273" w:lineRule="auto"/>
        <w:tabs>
          <w:tab w:leader="none" w:pos="1110" w:val="left"/>
        </w:tabs>
        <w:numPr>
          <w:ilvl w:val="1"/>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Act Liabilities. </w:t>
      </w:r>
      <w:r>
        <w:rPr>
          <w:rFonts w:ascii="Arial" w:cs="Arial" w:eastAsia="Arial" w:hAnsi="Arial"/>
          <w:sz w:val="17"/>
          <w:szCs w:val="17"/>
          <w:color w:val="auto"/>
        </w:rPr>
        <w:t>Any provision herein to the contrary notwithstanding, the Company shall not be obligated pursuant to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 indemnify Indemnitee or otherwise act in violation of any undertaking appearing in and required by the rules and regulations promulgated under the Securities Act, or in any registration statement filed with the SEC under the Securities Act. Indemnitee acknowledges that paragraph (h) of Item 512 of Regulation S-K currently generally requires the Company to undertake in connection with any registration statement filed under the Securities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further agrees to be bound by any such undertaking.</w:t>
      </w:r>
    </w:p>
    <w:p>
      <w:pPr>
        <w:spacing w:after="0" w:line="172" w:lineRule="exact"/>
        <w:rPr>
          <w:rFonts w:ascii="Arial" w:cs="Arial" w:eastAsia="Arial" w:hAnsi="Arial"/>
          <w:sz w:val="17"/>
          <w:szCs w:val="17"/>
          <w:b w:val="1"/>
          <w:bCs w:val="1"/>
          <w:color w:val="auto"/>
        </w:rPr>
      </w:pPr>
    </w:p>
    <w:p>
      <w:pPr>
        <w:jc w:val="both"/>
        <w:ind w:firstLine="449"/>
        <w:spacing w:after="0" w:line="258" w:lineRule="auto"/>
        <w:tabs>
          <w:tab w:leader="none" w:pos="73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Period of Limitations. </w:t>
      </w:r>
      <w:r>
        <w:rPr>
          <w:rFonts w:ascii="Arial" w:cs="Arial" w:eastAsia="Arial" w:hAnsi="Arial"/>
          <w:sz w:val="18"/>
          <w:szCs w:val="18"/>
          <w:color w:val="auto"/>
        </w:rPr>
        <w:t>No legal action shall be brought and no cause of action shall be asserted by or in the right of the Company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Indemnitee’s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ind w:firstLine="449"/>
        <w:spacing w:after="0" w:line="313" w:lineRule="auto"/>
        <w:tabs>
          <w:tab w:leader="none" w:pos="742"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 and Facsimile</w:t>
      </w:r>
      <w:r>
        <w:rPr>
          <w:rFonts w:ascii="Arial" w:cs="Arial" w:eastAsia="Arial" w:hAnsi="Arial"/>
          <w:sz w:val="17"/>
          <w:szCs w:val="17"/>
          <w:color w:val="auto"/>
        </w:rPr>
        <w:t>. This Agreement may be executed in one or more counterparts, including by facsimile and other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counterparts, each of which shall constitute an original and all of which taken together shall constitute one and the same instrument.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jc w:val="both"/>
        <w:ind w:firstLine="449"/>
        <w:spacing w:after="0" w:line="272" w:lineRule="auto"/>
        <w:tabs>
          <w:tab w:leader="none" w:pos="71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Binding Effect; Successors and Assigns</w:t>
      </w:r>
      <w:r>
        <w:rPr>
          <w:rFonts w:ascii="Arial" w:cs="Arial" w:eastAsia="Arial" w:hAnsi="Arial"/>
          <w:sz w:val="17"/>
          <w:szCs w:val="17"/>
          <w:color w:val="auto"/>
        </w:rPr>
        <w:t>. This Agreement shall be binding upon and inure to the benefit of and be enforceable by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and their respective successors, assigns (including any direct or indirect successor by purchase, merger, consolidation or otherwise to all or substantially all of the business or assets of the Company), spouses, heirs and personal and legal representatives. The Company shall require and cause any successor (whether direct or indirect, and whether by purchase, merger, consolidation or otherwise) to all, substantially all, or a substantial part, of the business or assets of the Company, by written agreement in form and substance satisfactory to Indemnitee, to expressly assume and agree to perform this Agreement in the same manner and to the same extent that the Company would be required to perform if no such succession had taken place. The indemnification provided under this Agreement applies with respect to events occurring before or after the effective date of this Agreement, and shall continue to apply even after Indemnitee has ceased to serve the Company in any and all indemnified capacities.</w:t>
      </w:r>
    </w:p>
    <w:p>
      <w:pPr>
        <w:spacing w:after="0" w:line="172" w:lineRule="exact"/>
        <w:rPr>
          <w:rFonts w:ascii="Arial" w:cs="Arial" w:eastAsia="Arial" w:hAnsi="Arial"/>
          <w:sz w:val="17"/>
          <w:szCs w:val="17"/>
          <w:b w:val="1"/>
          <w:bCs w:val="1"/>
          <w:color w:val="auto"/>
        </w:rPr>
      </w:pPr>
    </w:p>
    <w:p>
      <w:pPr>
        <w:jc w:val="both"/>
        <w:ind w:firstLine="449"/>
        <w:spacing w:after="0" w:line="290" w:lineRule="auto"/>
        <w:tabs>
          <w:tab w:leader="none" w:pos="711"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Attorneys’ Fees</w:t>
      </w:r>
      <w:r>
        <w:rPr>
          <w:rFonts w:ascii="Arial" w:cs="Arial" w:eastAsia="Arial" w:hAnsi="Arial"/>
          <w:sz w:val="16"/>
          <w:szCs w:val="16"/>
          <w:color w:val="auto"/>
        </w:rPr>
        <w:t>. In the event that any action is instituted by Indemnitee under this Agreement or under any liability insurance policies maintained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to enforce or interpret any of the terms hereof or thereof, Indemnitee shall be entitled to be paid all Expenses incurred by Indemnitee with respect to such action, regardless of whether Indemnitee is ultimately successful in such action, and shall be entitled to the advancement of Expenses with respect to such action, unless as a part of such action a court of competent jurisdiction over such action determines that each of the material assertions made by Indemnitee as a basis for such action were made in bad faith or were frivolous. In the event of an action instituted by or in the name of the Company under this Agreement to enforce or interpret any of the terms of this Agreement, Indemnitee shall be entitled to be paid all Expenses incurred by Indemnitee in defense of such action (including costs and expenses incurred with respect to Indemnitee’s counterclaims and cross-claims made in such action), and shall be entitled to the advancement of Expenses with respect to such action, unless as a part of such action a court having jurisdiction over such action determines that each of Indemnitee’s material defenses to such action were made in bad faith or were frivolous.</w:t>
      </w:r>
    </w:p>
    <w:p>
      <w:pPr>
        <w:spacing w:after="0" w:line="159" w:lineRule="exact"/>
        <w:rPr>
          <w:rFonts w:ascii="Arial" w:cs="Arial" w:eastAsia="Arial" w:hAnsi="Arial"/>
          <w:sz w:val="16"/>
          <w:szCs w:val="16"/>
          <w:b w:val="1"/>
          <w:bCs w:val="1"/>
          <w:color w:val="auto"/>
        </w:rPr>
      </w:pPr>
    </w:p>
    <w:p>
      <w:pPr>
        <w:jc w:val="both"/>
        <w:ind w:firstLine="449"/>
        <w:spacing w:after="0" w:line="281" w:lineRule="auto"/>
        <w:tabs>
          <w:tab w:leader="none" w:pos="71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demand or request required or permitted to be given under this Agreement shall be in writing and shall be deemed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64" w:lineRule="exact"/>
        <w:rPr>
          <w:rFonts w:ascii="Arial" w:cs="Arial" w:eastAsia="Arial" w:hAnsi="Arial"/>
          <w:sz w:val="17"/>
          <w:szCs w:val="17"/>
          <w:b w:val="1"/>
          <w:bCs w:val="1"/>
          <w:color w:val="auto"/>
        </w:rPr>
      </w:pPr>
    </w:p>
    <w:p>
      <w:pPr>
        <w:jc w:val="both"/>
        <w:ind w:firstLine="449"/>
        <w:spacing w:after="0" w:line="292" w:lineRule="auto"/>
        <w:tabs>
          <w:tab w:leader="none" w:pos="711"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Duration. </w:t>
      </w:r>
      <w:r>
        <w:rPr>
          <w:rFonts w:ascii="Arial" w:cs="Arial" w:eastAsia="Arial" w:hAnsi="Arial"/>
          <w:sz w:val="16"/>
          <w:szCs w:val="16"/>
          <w:color w:val="auto"/>
        </w:rPr>
        <w:t>All agreements and obligations of the Company contained herein shall continue during the period that Indemnitee is a director 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(or is serving at the request of the Company as a director, officer, employee, member, trustee or agent of another Enterprise) and shall continue thereafter until and terminate upon the later of: (a) ten (10) years after the date that Indemnitee shall have ceased to serve as a director or officer of the Company (or is serving at the request of the Company as a director, officer, employee, member, trustee or agent of another Enterprise) or (b) for so long as Indemnitee may be subject to any possible Claim relating to an Indemnifiable Event (including any rights of appeal thereto) and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61" w:lineRule="exact"/>
        <w:rPr>
          <w:rFonts w:ascii="Arial" w:cs="Arial" w:eastAsia="Arial" w:hAnsi="Arial"/>
          <w:sz w:val="16"/>
          <w:szCs w:val="16"/>
          <w:b w:val="1"/>
          <w:bCs w:val="1"/>
          <w:color w:val="auto"/>
        </w:rPr>
      </w:pPr>
    </w:p>
    <w:p>
      <w:pPr>
        <w:jc w:val="both"/>
        <w:ind w:firstLine="449"/>
        <w:spacing w:after="0" w:line="298" w:lineRule="auto"/>
        <w:tabs>
          <w:tab w:leader="none" w:pos="725"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The provisions of this Agreement shall be severable in the event that any provision or provisions hereof (including any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both"/>
        <w:ind w:firstLine="449"/>
        <w:spacing w:after="0" w:line="266" w:lineRule="auto"/>
        <w:tabs>
          <w:tab w:leader="none" w:pos="73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its provisions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Nevada, as applied to contracts between Nevada residents entered into and to be performed entirely within the State of Nevada, without regard to conflict of laws provisions which would otherwise require application of the substantive law of another jurisdiction.</w:t>
      </w:r>
    </w:p>
    <w:p>
      <w:pPr>
        <w:spacing w:after="0" w:line="176" w:lineRule="exact"/>
        <w:rPr>
          <w:rFonts w:ascii="Arial" w:cs="Arial" w:eastAsia="Arial" w:hAnsi="Arial"/>
          <w:sz w:val="18"/>
          <w:szCs w:val="18"/>
          <w:b w:val="1"/>
          <w:bCs w:val="1"/>
          <w:color w:val="auto"/>
        </w:rPr>
      </w:pPr>
    </w:p>
    <w:p>
      <w:pPr>
        <w:jc w:val="both"/>
        <w:ind w:firstLine="449"/>
        <w:spacing w:after="0" w:line="266" w:lineRule="auto"/>
        <w:tabs>
          <w:tab w:leader="none" w:pos="71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No amendment, modification, supplement, termination or cancellation of this Agreement shall be effective unless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 writing and signed by each party hereto. No waiver of any of the provisions of this Agreement shall be deemed to be or shall constitute a waiver of any other provisions hereof (whether or not similar), nor shall such waiver constitute a continuing waiver.</w:t>
      </w:r>
    </w:p>
    <w:p>
      <w:pPr>
        <w:spacing w:after="0" w:line="176" w:lineRule="exact"/>
        <w:rPr>
          <w:rFonts w:ascii="Arial" w:cs="Arial" w:eastAsia="Arial" w:hAnsi="Arial"/>
          <w:sz w:val="18"/>
          <w:szCs w:val="18"/>
          <w:b w:val="1"/>
          <w:bCs w:val="1"/>
          <w:color w:val="auto"/>
        </w:rPr>
      </w:pPr>
    </w:p>
    <w:p>
      <w:pPr>
        <w:ind w:right="20" w:firstLine="449"/>
        <w:spacing w:after="0" w:line="282" w:lineRule="auto"/>
        <w:tabs>
          <w:tab w:leader="none" w:pos="71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Sections and paragraphs of this Agreement are inserted for convenience only and shall not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Agreement or to affect the construction hereof.</w:t>
      </w:r>
    </w:p>
    <w:p>
      <w:pPr>
        <w:spacing w:after="0" w:line="161" w:lineRule="exact"/>
        <w:rPr>
          <w:rFonts w:ascii="Arial" w:cs="Arial" w:eastAsia="Arial" w:hAnsi="Arial"/>
          <w:sz w:val="18"/>
          <w:szCs w:val="18"/>
          <w:b w:val="1"/>
          <w:bCs w:val="1"/>
          <w:color w:val="auto"/>
        </w:rPr>
      </w:pPr>
    </w:p>
    <w:p>
      <w:pPr>
        <w:ind w:firstLine="449"/>
        <w:spacing w:after="0" w:line="347" w:lineRule="auto"/>
        <w:tabs>
          <w:tab w:leader="none" w:pos="718"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Integration and Entire Agreement. </w:t>
      </w:r>
      <w:r>
        <w:rPr>
          <w:rFonts w:ascii="Arial" w:cs="Arial" w:eastAsia="Arial" w:hAnsi="Arial"/>
          <w:sz w:val="16"/>
          <w:szCs w:val="16"/>
          <w:color w:val="auto"/>
        </w:rPr>
        <w:t>This Agreement sets forth the entire understanding between the parties hereto and supersedes and merges all</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 written and oral negotiations, commitments, understandings and agreements relating to the subject matter hereof between the parties hereto.</w:t>
      </w:r>
    </w:p>
    <w:p>
      <w:pPr>
        <w:spacing w:after="0" w:line="116" w:lineRule="exact"/>
        <w:rPr>
          <w:rFonts w:ascii="Arial" w:cs="Arial" w:eastAsia="Arial" w:hAnsi="Arial"/>
          <w:sz w:val="16"/>
          <w:szCs w:val="16"/>
          <w:b w:val="1"/>
          <w:bCs w:val="1"/>
          <w:color w:val="auto"/>
        </w:rPr>
      </w:pPr>
    </w:p>
    <w:p>
      <w:pPr>
        <w:ind w:firstLine="449"/>
        <w:spacing w:after="0" w:line="282" w:lineRule="auto"/>
        <w:tabs>
          <w:tab w:leader="none" w:pos="73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Construction as Employment Agreement. </w:t>
      </w:r>
      <w:r>
        <w:rPr>
          <w:rFonts w:ascii="Arial" w:cs="Arial" w:eastAsia="Arial" w:hAnsi="Arial"/>
          <w:sz w:val="18"/>
          <w:szCs w:val="18"/>
          <w:color w:val="auto"/>
        </w:rPr>
        <w:t>Nothing contained in this Agreement shall be construed as giving Indemnitee any right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retained in the employ of the Company or any of its subsidiaries or affiliated entities.</w:t>
      </w:r>
    </w:p>
    <w:p>
      <w:pPr>
        <w:spacing w:after="0" w:line="161" w:lineRule="exact"/>
        <w:rPr>
          <w:rFonts w:ascii="Arial" w:cs="Arial" w:eastAsia="Arial" w:hAnsi="Arial"/>
          <w:sz w:val="18"/>
          <w:szCs w:val="18"/>
          <w:b w:val="1"/>
          <w:bCs w:val="1"/>
          <w:color w:val="auto"/>
        </w:rPr>
      </w:pPr>
    </w:p>
    <w:p>
      <w:pPr>
        <w:jc w:val="both"/>
        <w:ind w:firstLine="449"/>
        <w:spacing w:after="0" w:line="261" w:lineRule="auto"/>
        <w:tabs>
          <w:tab w:leader="none" w:pos="747"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Position. </w:t>
      </w:r>
      <w:r>
        <w:rPr>
          <w:rFonts w:ascii="Arial" w:cs="Arial" w:eastAsia="Arial" w:hAnsi="Arial"/>
          <w:sz w:val="18"/>
          <w:szCs w:val="18"/>
          <w:color w:val="auto"/>
        </w:rPr>
        <w:t>The Company shall be precluded from asserting, in any proceeding brought for purposes of establishing, enforcing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any right to indemnification under this Agreement, that the procedures and presumptions of this Agreement are not valid, binding and enforceable and shall stipulate in any such court that the Company is bound by all the provisions of this Agreement and is precluded from making any assertion to the contrary.</w:t>
      </w:r>
    </w:p>
    <w:p>
      <w:pPr>
        <w:spacing w:after="0" w:line="180" w:lineRule="exact"/>
        <w:rPr>
          <w:rFonts w:ascii="Arial" w:cs="Arial" w:eastAsia="Arial" w:hAnsi="Arial"/>
          <w:sz w:val="18"/>
          <w:szCs w:val="18"/>
          <w:b w:val="1"/>
          <w:bCs w:val="1"/>
          <w:color w:val="auto"/>
        </w:rPr>
      </w:pPr>
    </w:p>
    <w:p>
      <w:pPr>
        <w:jc w:val="both"/>
        <w:ind w:firstLine="449"/>
        <w:spacing w:after="0" w:line="266" w:lineRule="auto"/>
        <w:tabs>
          <w:tab w:leader="none" w:pos="711"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payment under this Agreement, the Company shall be subrogated, to the extent of such payment, to all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of Indemnitee, who shall execute all documents required and shall do all acts as may be necessary to secure such rights and to enable the Company to effective bring suit to enforce such rights.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ind w:left="4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Indemnification Agreement as of the date first above written.</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5 WEST FORSYTH STREET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JACKSONVILLE FL 32202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984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2898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5984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[Signature Page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of TapImmune Inc. on Form S-3 File No. 333-215258 of our report dated March 23, 2018, which includes an explanatory paragraph as to the Company’s ability to continue as a going concern, with respect to our audits of the consolidated financial statements of TapImmune, Inc. as of December 31, 2017 and 2016 and for the years ended, which report is included in this Annual Report on Form 10-K of TapImmune Inc.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Hoang, certify that:</w:t>
      </w:r>
    </w:p>
    <w:p>
      <w:pPr>
        <w:spacing w:after="0" w:line="225"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TapImmune Inc.;</w:t>
      </w:r>
    </w:p>
    <w:p>
      <w:pPr>
        <w:spacing w:after="0" w:line="225" w:lineRule="exact"/>
        <w:rPr>
          <w:rFonts w:ascii="Arial" w:cs="Arial" w:eastAsia="Arial" w:hAnsi="Arial"/>
          <w:sz w:val="18"/>
          <w:szCs w:val="18"/>
          <w:color w:val="auto"/>
        </w:rPr>
      </w:pPr>
    </w:p>
    <w:p>
      <w:pPr>
        <w:ind w:right="320" w:firstLine="8"/>
        <w:spacing w:after="0" w:line="342" w:lineRule="auto"/>
        <w:tabs>
          <w:tab w:leader="none" w:pos="63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62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656"/>
        <w:spacing w:after="0" w:line="264" w:lineRule="auto"/>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268"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ind w:right="100" w:firstLine="656"/>
        <w:spacing w:after="0" w:line="264" w:lineRule="auto"/>
        <w:tabs>
          <w:tab w:leader="none" w:pos="1278"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25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6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Hoang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b w:val="1"/>
                <w:bCs w:val="1"/>
                <w:color w:val="auto"/>
              </w:rPr>
              <w:t>Peter Hoang</w:t>
            </w:r>
          </w:p>
        </w:tc>
        <w:tc>
          <w:tcPr>
            <w:tcW w:w="5700" w:type="dxa"/>
            <w:vAlign w:val="bottom"/>
          </w:tcPr>
          <w:p>
            <w:pPr>
              <w:spacing w:after="0"/>
              <w:rPr>
                <w:sz w:val="16"/>
                <w:szCs w:val="16"/>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675"/>
        </w:trPr>
        <w:tc>
          <w:tcPr>
            <w:tcW w:w="6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TapImmune Inc.;</w:t>
      </w:r>
    </w:p>
    <w:p>
      <w:pPr>
        <w:spacing w:after="0" w:line="225" w:lineRule="exact"/>
        <w:rPr>
          <w:rFonts w:ascii="Arial" w:cs="Arial" w:eastAsia="Arial" w:hAnsi="Arial"/>
          <w:sz w:val="18"/>
          <w:szCs w:val="18"/>
          <w:color w:val="auto"/>
        </w:rPr>
      </w:pPr>
    </w:p>
    <w:p>
      <w:pPr>
        <w:ind w:right="320" w:firstLine="8"/>
        <w:spacing w:after="0" w:line="342" w:lineRule="auto"/>
        <w:tabs>
          <w:tab w:leader="none" w:pos="63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6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656"/>
        <w:spacing w:after="0" w:line="264" w:lineRule="auto"/>
        <w:tabs>
          <w:tab w:leader="none" w:pos="12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268"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ind w:right="100" w:firstLine="656"/>
        <w:spacing w:after="0" w:line="264" w:lineRule="auto"/>
        <w:tabs>
          <w:tab w:leader="none" w:pos="12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258"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Annual Report of TapImmune, Inc. (the “Company”) on Form 10-K for the period ended December 31, 2017 as filed with the Securities and Exchange Commission on the date hereof (the “Report”), I, Peter Hoang, Principal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0" w:firstLine="8"/>
        <w:spacing w:after="0" w:line="501" w:lineRule="auto"/>
        <w:tabs>
          <w:tab w:leader="none" w:pos="3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23, 2018</w:t>
      </w:r>
    </w:p>
    <w:p>
      <w:pPr>
        <w:ind w:left="820"/>
        <w:spacing w:after="0"/>
        <w:rPr>
          <w:rFonts w:ascii="Arial" w:cs="Arial" w:eastAsia="Arial" w:hAnsi="Arial"/>
          <w:sz w:val="18"/>
          <w:szCs w:val="18"/>
          <w:color w:val="auto"/>
        </w:rPr>
      </w:pPr>
      <w:r>
        <w:rPr>
          <w:rFonts w:ascii="Arial" w:cs="Arial" w:eastAsia="Arial" w:hAnsi="Arial"/>
          <w:sz w:val="18"/>
          <w:szCs w:val="18"/>
          <w:i w:val="1"/>
          <w:iCs w:val="1"/>
          <w:color w:val="auto"/>
        </w:rPr>
        <w:t>/s/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Peter Hoang</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In connection with the Annual Report of TapImmune, Inc. (the “Company”) on Form 10-K for the period ended December 31, 2017 as filed with the Securities and Exchange Commission on the date hereof (the “Report”), I, Michael J. Loiacono, Principal Accounting Officer of the Company,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0" w:firstLine="8"/>
        <w:spacing w:after="0" w:line="501" w:lineRule="auto"/>
        <w:tabs>
          <w:tab w:leader="none" w:pos="3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23, 2018</w:t>
      </w:r>
    </w:p>
    <w:p>
      <w:pPr>
        <w:ind w:left="820"/>
        <w:spacing w:after="0"/>
        <w:rPr>
          <w:rFonts w:ascii="Arial" w:cs="Arial" w:eastAsia="Arial" w:hAnsi="Arial"/>
          <w:sz w:val="18"/>
          <w:szCs w:val="18"/>
          <w:color w:val="auto"/>
        </w:rPr>
      </w:pPr>
      <w:r>
        <w:rPr>
          <w:rFonts w:ascii="Arial" w:cs="Arial" w:eastAsia="Arial" w:hAnsi="Arial"/>
          <w:sz w:val="18"/>
          <w:szCs w:val="18"/>
          <w:i w:val="1"/>
          <w:iCs w:val="1"/>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Michael J. Loiacono</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2"/>
    </w:lvl>
  </w:abstractNum>
  <w:abstractNum w:abstractNumId="7">
    <w:nsid w:val="70A64E2A"/>
    <w:multiLevelType w:val="hybridMultilevel"/>
    <w:lvl w:ilvl="0">
      <w:lvlJc w:val="left"/>
      <w:lvlText w:val="(%1)"/>
      <w:numFmt w:val="lowerRoman"/>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upperLetter"/>
      <w:start w:val="2"/>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o"/>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lvl w:ilvl="1">
      <w:lvlJc w:val="left"/>
      <w:lvlText w:val="(%2)"/>
      <w:numFmt w:val="lowerRoman"/>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lowerRoman"/>
      <w:start w:val="1"/>
    </w:lvl>
  </w:abstractNum>
  <w:abstractNum w:abstractNumId="39">
    <w:nsid w:val="235BA861"/>
    <w:multiLevelType w:val="hybridMultilevel"/>
    <w:lvl w:ilvl="0">
      <w:lvlJc w:val="left"/>
      <w:lvlText w:val="(%1)"/>
      <w:numFmt w:val="lowerRoman"/>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lowerRoman"/>
      <w:start w:val="4"/>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2"/>
    </w:lvl>
  </w:abstractNum>
  <w:abstractNum w:abstractNumId="48">
    <w:nsid w:val="7E0C57B1"/>
    <w:multiLevelType w:val="hybridMultilevel"/>
    <w:lvl w:ilvl="0">
      <w:lvlJc w:val="left"/>
      <w:lvlText w:val="(%1)"/>
      <w:numFmt w:val="decimal"/>
      <w:start w:val="12"/>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lowerLetter"/>
      <w:start w:val="2"/>
    </w:lvl>
  </w:abstractNum>
  <w:abstractNum w:abstractNumId="54">
    <w:nsid w:val="25A70BF7"/>
    <w:multiLevelType w:val="hybridMultilevel"/>
    <w:lvl w:ilvl="0">
      <w:lvlJc w:val="left"/>
      <w:lvlText w:val="(%1)"/>
      <w:numFmt w:val="lowerLetter"/>
      <w:start w:val="3"/>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1"/>
    </w:lvl>
    <w:lvl w:ilvl="1">
      <w:lvlJc w:val="left"/>
      <w:lvlText w:val="(%2)"/>
      <w:numFmt w:val="lowerLetter"/>
      <w:start w:val="1"/>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3">
    <w:nsid w:val="5F5E7FD0"/>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64">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5">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
    <w:nsid w:val="6B94764"/>
    <w:multiLevelType w:val="hybridMultilevel"/>
    <w:lvl w:ilvl="0">
      <w:lvlJc w:val="left"/>
      <w:lvlText w:val="(%1)"/>
      <w:numFmt w:val="lowerLetter"/>
      <w:start w:val="2"/>
    </w:lvl>
  </w:abstractNum>
  <w:abstractNum w:abstractNumId="67">
    <w:nsid w:val="42C296BD"/>
    <w:multiLevelType w:val="hybridMultilevel"/>
    <w:lvl w:ilvl="0">
      <w:lvlJc w:val="left"/>
      <w:lvlText w:val="%1."/>
      <w:numFmt w:val="decimal"/>
      <w:start w:val="4"/>
    </w:lvl>
    <w:lvl w:ilvl="1">
      <w:lvlJc w:val="left"/>
      <w:lvlText w:val="(%2)"/>
      <w:numFmt w:val="lowerLetter"/>
      <w:start w:val="1"/>
    </w:lvl>
  </w:abstractNum>
  <w:abstractNum w:abstractNumId="68">
    <w:nsid w:val="168E121F"/>
    <w:multiLevelType w:val="hybridMultilevel"/>
    <w:lvl w:ilvl="0">
      <w:lvlJc w:val="left"/>
      <w:lvlText w:val="%1"/>
      <w:numFmt w:val="decimal"/>
      <w:start w:val="1"/>
    </w:lvl>
    <w:lvl w:ilvl="1">
      <w:lvlJc w:val="left"/>
      <w:lvlText w:val="(%2)"/>
      <w:numFmt w:val="lowerLetter"/>
      <w:start w:val="2"/>
    </w:lvl>
  </w:abstractNum>
  <w:abstractNum w:abstractNumId="69">
    <w:nsid w:val="1EBA5D23"/>
    <w:multiLevelType w:val="hybridMultilevel"/>
    <w:lvl w:ilvl="0">
      <w:lvlJc w:val="left"/>
      <w:lvlText w:val="%1."/>
      <w:numFmt w:val="decimal"/>
      <w:start w:val="10"/>
    </w:lvl>
    <w:lvl w:ilvl="1">
      <w:lvlJc w:val="left"/>
      <w:lvlText w:val="%2"/>
      <w:numFmt w:val="lowerLetter"/>
      <w:start w:val="1"/>
    </w:lvl>
  </w:abstractNum>
  <w:abstractNum w:abstractNumId="70">
    <w:nsid w:val="661E3F1E"/>
    <w:multiLevelType w:val="hybridMultilevel"/>
    <w:lvl w:ilvl="0">
      <w:lvlJc w:val="left"/>
      <w:lvlText w:val="%1."/>
      <w:numFmt w:val="decimal"/>
      <w:start w:val="12"/>
    </w:lvl>
  </w:abstractNum>
  <w:abstractNum w:abstractNumId="71">
    <w:nsid w:val="5DC79EA8"/>
    <w:multiLevelType w:val="hybridMultilevel"/>
    <w:lvl w:ilvl="0">
      <w:lvlJc w:val="left"/>
      <w:lvlText w:val="%1."/>
      <w:numFmt w:val="decimal"/>
      <w:start w:val="17"/>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146" Type="http://schemas.openxmlformats.org/officeDocument/2006/relationships/hyperlink" Target="http://www.sec.gov/Archives/edgar/data/1094038/000114420416131724/v450946_ex3-1.htm" TargetMode="External"/><Relationship Id="rId147" Type="http://schemas.openxmlformats.org/officeDocument/2006/relationships/hyperlink" Target="http://www.sec.gov/Archives/edgar/data/1094038/000119312516710452/d259737dex31.htm" TargetMode="External"/><Relationship Id="rId148" Type="http://schemas.openxmlformats.org/officeDocument/2006/relationships/hyperlink" Target="http://www.sec.gov/Archives/edgar/data/1094038/000119312516649467/d226182dex31.htm" TargetMode="External"/><Relationship Id="rId149" Type="http://schemas.openxmlformats.org/officeDocument/2006/relationships/hyperlink" Target="http://www.sec.gov/Archives/edgar/data/1094038/000142488414000086/exhibit4-1.htm" TargetMode="External"/><Relationship Id="rId150" Type="http://schemas.openxmlformats.org/officeDocument/2006/relationships/hyperlink" Target="http://www.sec.gov/Archives/edgar/data/1094038/000142488415000006/exhibit4-6.htm" TargetMode="External"/><Relationship Id="rId151" Type="http://schemas.openxmlformats.org/officeDocument/2006/relationships/hyperlink" Target="http://www.sec.gov/Archives/edgar/data/1094038/000142488415000006/exhibit4-8.htm" TargetMode="External"/><Relationship Id="rId152" Type="http://schemas.openxmlformats.org/officeDocument/2006/relationships/hyperlink" Target="http://www.sec.gov/Archives/edgar/data/1094038/000142488415000006/exhibit4-9.htm" TargetMode="External"/><Relationship Id="rId153" Type="http://schemas.openxmlformats.org/officeDocument/2006/relationships/hyperlink" Target="http://www.sec.gov/Archives/edgar/data/1094038/000142488415000006/exhibit4-10.htm" TargetMode="External"/><Relationship Id="rId154" Type="http://schemas.openxmlformats.org/officeDocument/2006/relationships/hyperlink" Target="http://www.sec.gov/Archives/edgar/data/1094038/000142488415000030/exhibit4-6.htm" TargetMode="External"/><Relationship Id="rId155" Type="http://schemas.openxmlformats.org/officeDocument/2006/relationships/hyperlink" Target="http://www.sec.gov/Archives/edgar/data/1094038/000142488415000030/exhibit4-8.htm" TargetMode="External"/><Relationship Id="rId156" Type="http://schemas.openxmlformats.org/officeDocument/2006/relationships/hyperlink" Target="http://www.sec.gov/Archives/edgar/data/1094038/000142488415000030/exhibit4-9.htm" TargetMode="External"/><Relationship Id="rId157" Type="http://schemas.openxmlformats.org/officeDocument/2006/relationships/hyperlink" Target="http://www.sec.gov/Archives/edgar/data/1094038/000142488415000030/exhibit4-10.htm" TargetMode="External"/><Relationship Id="rId158" Type="http://schemas.openxmlformats.org/officeDocument/2006/relationships/hyperlink" Target="http://www.sec.gov/Archives/edgar/data/1094038/000119312516678673/d161424dex42.htm" TargetMode="External"/><Relationship Id="rId159" Type="http://schemas.openxmlformats.org/officeDocument/2006/relationships/hyperlink" Target="http://www.sec.gov/Archives/edgar/data/1094038/000119312516678673/d161424dex43.htm" TargetMode="External"/><Relationship Id="rId160" Type="http://schemas.openxmlformats.org/officeDocument/2006/relationships/hyperlink" Target="http://www.sec.gov/Archives/edgar/data/1094038/000119312516678673/d161424dex44.htm" TargetMode="External"/><Relationship Id="rId161" Type="http://schemas.openxmlformats.org/officeDocument/2006/relationships/hyperlink" Target="http://www.sec.gov/Archives/edgar/data/1094038/000119312516678673/d161424dex45.htm" TargetMode="External"/><Relationship Id="rId162" Type="http://schemas.openxmlformats.org/officeDocument/2006/relationships/hyperlink" Target="http://www.sec.gov/Archives/edgar/data/1094038/000119312516678673/d161424dex46.htm" TargetMode="External"/><Relationship Id="rId163" Type="http://schemas.openxmlformats.org/officeDocument/2006/relationships/hyperlink" Target="http://www.sec.gov/Archives/edgar/data/1094038/000119312516678673/d161424dex47.htm" TargetMode="External"/><Relationship Id="rId164" Type="http://schemas.openxmlformats.org/officeDocument/2006/relationships/hyperlink" Target="http://www.sec.gov/Archives/edgar/data/1094038/000119312516678673/d161424dex48.htm" TargetMode="External"/><Relationship Id="rId165" Type="http://schemas.openxmlformats.org/officeDocument/2006/relationships/hyperlink" Target="http://www.sec.gov/Archives/edgar/data/1094038/000119312516678673/d161424dex49.htm" TargetMode="External"/><Relationship Id="rId166" Type="http://schemas.openxmlformats.org/officeDocument/2006/relationships/hyperlink" Target="http://www.sec.gov/Archives/edgar/data/1094038/000119312516678673/d161424dex410.htm" TargetMode="External"/><Relationship Id="rId167" Type="http://schemas.openxmlformats.org/officeDocument/2006/relationships/hyperlink" Target="http://www.sec.gov/Archives/edgar/data/1094038/000119312516678673/d161424dex41.htm" TargetMode="External"/><Relationship Id="rId168" Type="http://schemas.openxmlformats.org/officeDocument/2006/relationships/hyperlink" Target="http://www.sec.gov/Archives/edgar/data/1094038/000119312516678673/d161424dex411.htm" TargetMode="External"/><Relationship Id="rId169" Type="http://schemas.openxmlformats.org/officeDocument/2006/relationships/hyperlink" Target="http://www.sec.gov/Archives/edgar/data/1094038/000114420417033502/v469341_ex4-1.htm" TargetMode="External"/><Relationship Id="rId170" Type="http://schemas.openxmlformats.org/officeDocument/2006/relationships/hyperlink" Target="http://www.sec.gov/Archives/edgar/data/1094038/000114420417033502/v469341_ex4-2.htm" TargetMode="External"/><Relationship Id="rId171" Type="http://schemas.openxmlformats.org/officeDocument/2006/relationships/hyperlink" Target="http://www.sec.gov/Archives/edgar/data/1094038/000119312516678673/d161424dex102.htm" TargetMode="External"/><Relationship Id="rId172" Type="http://schemas.openxmlformats.org/officeDocument/2006/relationships/hyperlink" Target="http://www.sec.gov/Archives/edgar/data/1094038/000114420417033502/v469341_ex10-2.htm" TargetMode="External"/><Relationship Id="rId173" Type="http://schemas.openxmlformats.org/officeDocument/2006/relationships/hyperlink" Target="http://www.sec.gov/Archives/edgar/data/1094038/000142488415000006/exhibit10-1.htm" TargetMode="External"/><Relationship Id="rId174" Type="http://schemas.openxmlformats.org/officeDocument/2006/relationships/hyperlink" Target="http://www.sec.gov/Archives/edgar/data/1094038/000142488415000030/exhibit10-1.htm" TargetMode="External"/><Relationship Id="rId175" Type="http://schemas.openxmlformats.org/officeDocument/2006/relationships/hyperlink" Target="http://www.sec.gov/Archives/edgar/data/1094038/000142488415000054/exhibit10-1.htm" TargetMode="External"/><Relationship Id="rId176" Type="http://schemas.openxmlformats.org/officeDocument/2006/relationships/hyperlink" Target="http://www.sec.gov/Archives/edgar/data/1094038/000142488415000057/exhibit10-1.htm" TargetMode="External"/><Relationship Id="rId177" Type="http://schemas.openxmlformats.org/officeDocument/2006/relationships/hyperlink" Target="http://www.sec.gov/Archives/edgar/data/1094038/000119312516678673/d161424dex101.htm" TargetMode="External"/><Relationship Id="rId178" Type="http://schemas.openxmlformats.org/officeDocument/2006/relationships/hyperlink" Target="http://www.sec.gov/Archives/edgar/data/1094038/000119312516678673/d161424dex103.htm" TargetMode="External"/><Relationship Id="rId179" Type="http://schemas.openxmlformats.org/officeDocument/2006/relationships/hyperlink" Target="http://www.sec.gov/Archives/edgar/data/1094038/000119312516678673/d161424dex104.htm" TargetMode="External"/><Relationship Id="rId180" Type="http://schemas.openxmlformats.org/officeDocument/2006/relationships/hyperlink" Target="http://www.sec.gov/Archives/edgar/data/1094038/000114420417033502/v469341_ex10-1.htm" TargetMode="External"/><Relationship Id="rId181" Type="http://schemas.openxmlformats.org/officeDocument/2006/relationships/hyperlink" Target="http://www.sec.gov/Archives/edgar/data/1094038/000114420417033502/v469341_ex10-3.htm" TargetMode="External"/><Relationship Id="rId182" Type="http://schemas.openxmlformats.org/officeDocument/2006/relationships/hyperlink" Target="http://www.sec.gov/Archives/edgar/data/1094038/000114420417033502/v469341_ex10-4.htm" TargetMode="External"/><Relationship Id="rId183" Type="http://schemas.openxmlformats.org/officeDocument/2006/relationships/hyperlink" Target="http://www.sec.gov/Archives/edgar/data/1094038/000114420417034074/v469703_ex10-1.htm" TargetMode="External"/><Relationship Id="rId184" Type="http://schemas.openxmlformats.org/officeDocument/2006/relationships/hyperlink" Target="http://www.sec.gov/Archives/edgar/data/1094038/000142488415000124/exhibit10-1.htm" TargetMode="External"/><Relationship Id="rId185" Type="http://schemas.openxmlformats.org/officeDocument/2006/relationships/hyperlink" Target="http://www.sec.gov/Archives/edgar/data/1094038/000119312516682054/d157003dex107.htm" TargetMode="External"/><Relationship Id="rId186" Type="http://schemas.openxmlformats.org/officeDocument/2006/relationships/hyperlink" Target="http://www.sec.gov/Archives/edgar/data/1094038/000142488410000008/forddef14-c.htm" TargetMode="External"/><Relationship Id="rId187" Type="http://schemas.openxmlformats.org/officeDocument/2006/relationships/hyperlink" Target="http://www.sec.gov/Archives/edgar/data/1094038/000114420417046574/v474594_ex10-1.htm" TargetMode="External"/><Relationship Id="rId188" Type="http://schemas.openxmlformats.org/officeDocument/2006/relationships/hyperlink" Target="http://www.sec.gov/Archives/edgar/data/1094038/000142488415000168/exhibit10-4.htm" TargetMode="External"/><Relationship Id="rId189" Type="http://schemas.openxmlformats.org/officeDocument/2006/relationships/hyperlink" Target="http://www.sec.gov/Archives/edgar/data/1094038/000142488415000168/exhibit10-5.htm" TargetMode="External"/><Relationship Id="rId190" Type="http://schemas.openxmlformats.org/officeDocument/2006/relationships/hyperlink" Target="http://www.sec.gov/Archives/edgar/data/1094038/000142488415000168/exhibit10-6.htm" TargetMode="External"/><Relationship Id="rId191" Type="http://schemas.openxmlformats.org/officeDocument/2006/relationships/hyperlink" Target="http://www.sec.gov/Archives/edgar/data/1094038/000142488415000168/exhibit10-7.htm" TargetMode="External"/><Relationship Id="rId192" Type="http://schemas.openxmlformats.org/officeDocument/2006/relationships/hyperlink" Target="http://www.sec.gov/Archives/edgar/data/1094038/000142488415000168/exhibit10-8.htm" TargetMode="External"/><Relationship Id="rId193" Type="http://schemas.openxmlformats.org/officeDocument/2006/relationships/hyperlink" Target="http://www.sec.gov/Archives/edgar/data/1094038/000119312516650797/d208443dex101.htm" TargetMode="External"/><Relationship Id="rId194" Type="http://schemas.openxmlformats.org/officeDocument/2006/relationships/hyperlink" Target="http://www.sec.gov/Archives/edgar/data/1094038/000114420417049357/v475675_ex10-2.htm" TargetMode="External"/><Relationship Id="rId195" Type="http://schemas.openxmlformats.org/officeDocument/2006/relationships/hyperlink" Target="http://www.sec.gov/Archives/edgar/data/1094038/000114420417049357/v475675_ex10-1.htm" TargetMode="External"/><Relationship Id="rId196" Type="http://schemas.openxmlformats.org/officeDocument/2006/relationships/hyperlink" Target="http://www.sec.gov/Archives/edgar/data/1094038/000119312516690727/d230909dex101.htm" TargetMode="External"/><Relationship Id="rId197" Type="http://schemas.openxmlformats.org/officeDocument/2006/relationships/hyperlink" Target="http://www.sec.gov/Archives/edgar/data/1094038/000142488415000168/exhibit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2020-01-14T19:05:55Z</dcterms:created>
  <dcterms:modified xsi:type="dcterms:W3CDTF">2020-01-14T19:05:55Z</dcterms:modified>
</cp:coreProperties>
</file>