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 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9" w:lineRule="exact"/>
        <w:rPr>
          <w:sz w:val="24"/>
          <w:szCs w:val="24"/>
          <w:color w:val="auto"/>
        </w:rPr>
      </w:pPr>
    </w:p>
    <w:p>
      <w:pPr>
        <w:ind w:left="660" w:right="2060" w:hanging="652"/>
        <w:spacing w:after="0" w:line="528"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-19685</wp:posOffset>
            </wp:positionV>
            <wp:extent cx="2400935"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MARKER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spacing w:after="0"/>
              <w:rPr>
                <w:sz w:val="17"/>
                <w:szCs w:val="17"/>
                <w:color w:val="auto"/>
              </w:rPr>
            </w:pPr>
          </w:p>
        </w:tc>
        <w:tc>
          <w:tcPr>
            <w:tcW w:w="2720" w:type="dxa"/>
            <w:vAlign w:val="bottom"/>
            <w:gridSpan w:val="4"/>
          </w:tcPr>
          <w:p>
            <w:pPr>
              <w:jc w:val="center"/>
              <w:ind w:left="1530"/>
              <w:spacing w:after="0"/>
              <w:rPr>
                <w:sz w:val="20"/>
                <w:szCs w:val="20"/>
                <w:color w:val="auto"/>
              </w:rPr>
            </w:pPr>
            <w:r>
              <w:rPr>
                <w:rFonts w:ascii="Arial" w:cs="Arial" w:eastAsia="Arial" w:hAnsi="Arial"/>
                <w:sz w:val="18"/>
                <w:szCs w:val="18"/>
                <w:b w:val="1"/>
                <w:bCs w:val="1"/>
                <w:color w:val="auto"/>
                <w:w w:val="90"/>
              </w:rPr>
              <w:t>001-37939</w:t>
            </w:r>
          </w:p>
        </w:tc>
        <w:tc>
          <w:tcPr>
            <w:tcW w:w="1680" w:type="dxa"/>
            <w:vAlign w:val="bottom"/>
          </w:tcPr>
          <w:p>
            <w:pPr>
              <w:spacing w:after="0"/>
              <w:rPr>
                <w:sz w:val="17"/>
                <w:szCs w:val="17"/>
                <w:color w:val="auto"/>
              </w:rPr>
            </w:pPr>
          </w:p>
        </w:tc>
        <w:tc>
          <w:tcPr>
            <w:tcW w:w="282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1"/>
              </w:rPr>
              <w:t>45-4497941</w:t>
            </w: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1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(State or other jurisdiction of</w:t>
            </w:r>
          </w:p>
        </w:tc>
        <w:tc>
          <w:tcPr>
            <w:tcW w:w="440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incorporation)</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3200 Southwest Freeway, Suite 2240</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3100" w:type="dxa"/>
            <w:vAlign w:val="bottom"/>
            <w:gridSpan w:val="3"/>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0" w:type="dxa"/>
            <w:vAlign w:val="bottom"/>
            <w:gridSpan w:val="3"/>
          </w:tcPr>
          <w:p>
            <w:pPr>
              <w:jc w:val="center"/>
              <w:ind w:left="1270"/>
              <w:spacing w:after="0" w:line="194" w:lineRule="exact"/>
              <w:rPr>
                <w:sz w:val="20"/>
                <w:szCs w:val="20"/>
                <w:color w:val="auto"/>
              </w:rPr>
            </w:pPr>
            <w:r>
              <w:rPr>
                <w:rFonts w:ascii="Arial" w:cs="Arial" w:eastAsia="Arial" w:hAnsi="Arial"/>
                <w:sz w:val="18"/>
                <w:szCs w:val="18"/>
                <w:b w:val="1"/>
                <w:bCs w:val="1"/>
                <w:color w:val="auto"/>
                <w:w w:val="87"/>
              </w:rPr>
              <w:t>77027</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31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1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20" w:type="dxa"/>
            <w:vAlign w:val="bottom"/>
            <w:gridSpan w:val="4"/>
          </w:tcPr>
          <w:p>
            <w:pPr>
              <w:jc w:val="center"/>
              <w:ind w:left="1510"/>
              <w:spacing w:after="0"/>
              <w:rPr>
                <w:sz w:val="20"/>
                <w:szCs w:val="20"/>
                <w:color w:val="auto"/>
              </w:rPr>
            </w:pPr>
            <w:r>
              <w:rPr>
                <w:rFonts w:ascii="Arial" w:cs="Arial" w:eastAsia="Arial" w:hAnsi="Arial"/>
                <w:sz w:val="18"/>
                <w:szCs w:val="18"/>
                <w:b w:val="1"/>
                <w:bCs w:val="1"/>
                <w:color w:val="auto"/>
                <w:w w:val="90"/>
              </w:rPr>
              <w:t>(713) 400-6400</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(Registrant’s telephone number, including area code)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of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760" w:right="239" w:bottom="0" w:gutter="0" w:footer="0" w:header="0"/>
        </w:sectPr>
      </w:pPr>
    </w:p>
    <w:p>
      <w:pPr>
        <w:spacing w:after="0" w:line="20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x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x Smaller reporting company</w:t>
      </w:r>
    </w:p>
    <w:p>
      <w:pPr>
        <w:spacing w:after="0" w:line="2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5000" w:space="720"/>
            <w:col w:w="5700"/>
          </w:cols>
          <w:pgMar w:left="240" w:top="760" w:right="239" w:bottom="0" w:gutter="0" w:footer="0" w:header="0"/>
          <w:type w:val="continuous"/>
        </w:sectPr>
      </w:pPr>
    </w:p>
    <w:p>
      <w:pPr>
        <w:spacing w:after="0" w:line="3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was approximately $81,400,000 computed by reference to the price per share ($9.43) at which the registrant’s common equity was last sold, as of June 30, 2018 (the last day of the registrant’s most recently completed second fiscal quarter).</w:t>
      </w:r>
    </w:p>
    <w:p>
      <w:pPr>
        <w:sectPr>
          <w:pgSz w:w="11900" w:h="16838" w:orient="portrait"/>
          <w:cols w:equalWidth="0" w:num="1">
            <w:col w:w="11420"/>
          </w:cols>
          <w:pgMar w:left="240" w:top="76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registrant had 45,467,684 shares of common stock outstanding as of February 28, 2019.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registrant’s proxy statement relating to registrant’s 2019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0" w:type="dxa"/>
            <w:vAlign w:val="bottom"/>
            <w:gridSpan w:val="1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Borders>
              <w:top w:val="single" w:sz="8" w:color="CCEEFF"/>
            </w:tcBorders>
            <w:gridSpan w:val="6"/>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480" w:type="dxa"/>
            <w:vAlign w:val="bottom"/>
            <w:tcBorders>
              <w:top w:val="single" w:sz="8" w:color="CCEEFF"/>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10000" w:type="dxa"/>
            <w:vAlign w:val="bottom"/>
            <w:gridSpan w:val="29"/>
          </w:tcPr>
          <w:p>
            <w:pPr>
              <w:ind w:left="4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1B.</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UNRESOLVED STAFF COMMENTS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2.</w:t>
              </w:r>
            </w:hyperlink>
          </w:p>
        </w:tc>
        <w:tc>
          <w:tcPr>
            <w:tcW w:w="500" w:type="dxa"/>
            <w:vAlign w:val="bottom"/>
            <w:tcBorders>
              <w:top w:val="single" w:sz="8" w:color="CCEEFF"/>
            </w:tcBorders>
            <w:gridSpan w:val="2"/>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8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PROPERTIES</w:t>
              </w:r>
            </w:hyperlink>
          </w:p>
        </w:tc>
        <w:tc>
          <w:tcPr>
            <w:tcW w:w="6700" w:type="dxa"/>
            <w:vAlign w:val="bottom"/>
            <w:tcBorders>
              <w:top w:val="single" w:sz="8" w:color="CCEEFF"/>
            </w:tcBorders>
            <w:gridSpan w:val="13"/>
          </w:tcPr>
          <w:p>
            <w:pPr>
              <w:spacing w:after="0"/>
              <w:rPr>
                <w:sz w:val="15"/>
                <w:szCs w:val="15"/>
                <w:color w:val="auto"/>
              </w:rPr>
            </w:pPr>
          </w:p>
        </w:tc>
        <w:tc>
          <w:tcPr>
            <w:tcW w:w="180" w:type="dxa"/>
            <w:vAlign w:val="bottom"/>
            <w:tcBorders>
              <w:top w:val="single" w:sz="8" w:color="0000EE"/>
            </w:tcBorders>
            <w:gridSpan w:val="3"/>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4.</w:t>
              </w:r>
            </w:hyperlink>
          </w:p>
        </w:tc>
        <w:tc>
          <w:tcPr>
            <w:tcW w:w="10000" w:type="dxa"/>
            <w:vAlign w:val="bottom"/>
            <w:gridSpan w:val="29"/>
          </w:tcPr>
          <w:p>
            <w:pPr>
              <w:ind w:left="4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7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ITEM 5.</w:t>
              </w:r>
            </w:hyperlink>
          </w:p>
        </w:tc>
        <w:tc>
          <w:tcPr>
            <w:tcW w:w="580" w:type="dxa"/>
            <w:vAlign w:val="bottom"/>
            <w:tcBorders>
              <w:top w:val="single" w:sz="8" w:color="CCEEFF"/>
            </w:tcBorders>
            <w:gridSpan w:val="4"/>
          </w:tcPr>
          <w:p>
            <w:pPr>
              <w:spacing w:after="0"/>
              <w:rPr>
                <w:sz w:val="15"/>
                <w:szCs w:val="15"/>
                <w:color w:val="auto"/>
              </w:rPr>
            </w:pPr>
          </w:p>
        </w:tc>
        <w:tc>
          <w:tcPr>
            <w:tcW w:w="10000" w:type="dxa"/>
            <w:vAlign w:val="bottom"/>
            <w:tcBorders>
              <w:top w:val="single" w:sz="8" w:color="CCEEFF"/>
            </w:tcBorders>
            <w:gridSpan w:val="29"/>
          </w:tcPr>
          <w:p>
            <w:pPr>
              <w:ind w:left="4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MARKET FOR REGISTRANT’S COMMON EQUITY, RELATED STOCKHOLDER MATTERS AND ISSUER</w:t>
              </w:r>
            </w:hyperlink>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PURCHASES OF EQUITY SECURITIES</w:t>
              </w:r>
            </w:hyperlink>
          </w:p>
        </w:tc>
        <w:tc>
          <w:tcPr>
            <w:tcW w:w="1260" w:type="dxa"/>
            <w:vAlign w:val="bottom"/>
          </w:tcPr>
          <w:p>
            <w:pPr>
              <w:spacing w:after="0"/>
              <w:rPr>
                <w:sz w:val="17"/>
                <w:szCs w:val="17"/>
                <w:color w:val="auto"/>
              </w:rPr>
            </w:pPr>
          </w:p>
        </w:tc>
        <w:tc>
          <w:tcPr>
            <w:tcW w:w="200" w:type="dxa"/>
            <w:vAlign w:val="bottom"/>
            <w:gridSpan w:val="4"/>
          </w:tcPr>
          <w:p>
            <w:pPr>
              <w:jc w:val="right"/>
              <w:ind w:right="20"/>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6.</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SELECTED FINANCIAL DATA</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7.</w:t>
              </w:r>
            </w:hyperlink>
          </w:p>
        </w:tc>
        <w:tc>
          <w:tcPr>
            <w:tcW w:w="10000" w:type="dxa"/>
            <w:vAlign w:val="bottom"/>
            <w:gridSpan w:val="29"/>
          </w:tcPr>
          <w:p>
            <w:pPr>
              <w:ind w:left="4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w:t>
              </w:r>
            </w:hyperlink>
          </w:p>
        </w:tc>
        <w:tc>
          <w:tcPr>
            <w:tcW w:w="180" w:type="dxa"/>
            <w:vAlign w:val="bottom"/>
            <w:gridSpan w:val="3"/>
            <w:vMerge w:val="restart"/>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OPERATIONS</w:t>
              </w:r>
            </w:hyperlink>
          </w:p>
        </w:tc>
        <w:tc>
          <w:tcPr>
            <w:tcW w:w="6640" w:type="dxa"/>
            <w:vAlign w:val="bottom"/>
            <w:tcBorders>
              <w:top w:val="single" w:sz="8" w:color="0000EE"/>
            </w:tcBorders>
            <w:gridSpan w:val="20"/>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180" w:type="dxa"/>
            <w:vAlign w:val="bottom"/>
            <w:tcBorders>
              <w:bottom w:val="single" w:sz="8" w:color="0000EE"/>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ITEM 7A.</w:t>
              </w:r>
            </w:hyperlink>
          </w:p>
        </w:tc>
        <w:tc>
          <w:tcPr>
            <w:tcW w:w="4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1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8"/>
              </w:rPr>
            </w:pPr>
            <w:hyperlink w:anchor="page82">
              <w:r>
                <w:rPr>
                  <w:rFonts w:ascii="Arial" w:cs="Arial" w:eastAsia="Arial" w:hAnsi="Arial"/>
                  <w:sz w:val="18"/>
                  <w:szCs w:val="18"/>
                  <w:color w:val="0000EE"/>
                  <w:w w:val="98"/>
                </w:rPr>
                <w:t>QUANTITATIVE AND QUALITATIVE DISCLOSURES ABOUT MARKET RISK</w:t>
              </w:r>
            </w:hyperlink>
          </w:p>
        </w:tc>
        <w:tc>
          <w:tcPr>
            <w:tcW w:w="3340" w:type="dxa"/>
            <w:vAlign w:val="bottom"/>
            <w:tcBorders>
              <w:bottom w:val="single" w:sz="8" w:color="CCEEFF"/>
            </w:tcBorders>
            <w:gridSpan w:val="6"/>
            <w:shd w:val="clear" w:color="auto" w:fill="CCEEFF"/>
          </w:tcPr>
          <w:p>
            <w:pPr>
              <w:spacing w:after="0"/>
              <w:rPr>
                <w:sz w:val="15"/>
                <w:szCs w:val="15"/>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8.</w:t>
              </w:r>
            </w:hyperlink>
          </w:p>
        </w:tc>
        <w:tc>
          <w:tcPr>
            <w:tcW w:w="10000" w:type="dxa"/>
            <w:vAlign w:val="bottom"/>
            <w:gridSpan w:val="29"/>
          </w:tcPr>
          <w:p>
            <w:pPr>
              <w:ind w:left="48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FINANCIAL STATEMENTS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9.</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w:t>
              </w:r>
            </w:hyperlink>
          </w:p>
        </w:tc>
        <w:tc>
          <w:tcPr>
            <w:tcW w:w="180" w:type="dxa"/>
            <w:vAlign w:val="bottom"/>
            <w:gridSpan w:val="3"/>
            <w:vMerge w:val="restart"/>
            <w:shd w:val="clear" w:color="auto" w:fill="CCEEFF"/>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0000EE"/>
              <w:bottom w:val="single" w:sz="8" w:color="0000EE"/>
            </w:tcBorders>
            <w:gridSpan w:val="5"/>
            <w:shd w:val="clear" w:color="auto" w:fill="CCEEFF"/>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DISCLOSURE</w:t>
              </w:r>
            </w:hyperlink>
          </w:p>
        </w:tc>
        <w:tc>
          <w:tcPr>
            <w:tcW w:w="6780" w:type="dxa"/>
            <w:vAlign w:val="bottom"/>
            <w:tcBorders>
              <w:top w:val="single" w:sz="8" w:color="0000EE"/>
              <w:bottom w:val="single" w:sz="8" w:color="CCEEFF"/>
            </w:tcBorders>
            <w:gridSpan w:val="20"/>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0000EE"/>
            </w:tcBorders>
            <w:gridSpan w:val="3"/>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5"/>
          </w:tcPr>
          <w:p>
            <w:pPr>
              <w:spacing w:after="0" w:line="17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ITEM 9A.</w:t>
              </w:r>
            </w:hyperlink>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20" w:type="dxa"/>
            <w:vAlign w:val="bottom"/>
            <w:gridSpan w:val="28"/>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top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ITEM 9B.</w:t>
              </w:r>
            </w:hyperlink>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0" w:type="dxa"/>
            <w:vAlign w:val="bottom"/>
            <w:tcBorders>
              <w:top w:val="single" w:sz="8" w:color="0000EE"/>
            </w:tcBorders>
            <w:gridSpan w:val="1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6920" w:type="dxa"/>
            <w:vAlign w:val="bottom"/>
            <w:gridSpan w:val="14"/>
            <w:shd w:val="clear" w:color="auto" w:fill="CCEEFF"/>
          </w:tcPr>
          <w:p>
            <w:pPr>
              <w:spacing w:after="0"/>
              <w:rPr>
                <w:sz w:val="15"/>
                <w:szCs w:val="15"/>
                <w:color w:val="auto"/>
              </w:rPr>
            </w:pPr>
          </w:p>
        </w:tc>
        <w:tc>
          <w:tcPr>
            <w:tcW w:w="180" w:type="dxa"/>
            <w:vAlign w:val="bottom"/>
            <w:tcBorders>
              <w:top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gridSpan w:val="4"/>
          </w:tcPr>
          <w:p>
            <w:pPr>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500" w:type="dxa"/>
            <w:vAlign w:val="bottom"/>
            <w:tcBorders>
              <w:top w:val="single" w:sz="8" w:color="CCEEFF"/>
            </w:tcBorders>
            <w:gridSpan w:val="2"/>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ITEM 10.</w:t>
              </w:r>
            </w:hyperlink>
          </w:p>
        </w:tc>
        <w:tc>
          <w:tcPr>
            <w:tcW w:w="520" w:type="dxa"/>
            <w:vAlign w:val="bottom"/>
            <w:tcBorders>
              <w:bottom w:val="single" w:sz="8" w:color="CCEEFF"/>
            </w:tcBorders>
            <w:gridSpan w:val="3"/>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DIRECTORS, EXECUTIVE OFFICERS AND CORPORATE GOVERNANCE</w:t>
              </w:r>
            </w:hyperlink>
          </w:p>
        </w:tc>
        <w:tc>
          <w:tcPr>
            <w:tcW w:w="3680" w:type="dxa"/>
            <w:vAlign w:val="bottom"/>
            <w:tcBorders>
              <w:bottom w:val="single" w:sz="8" w:color="CCEEFF"/>
            </w:tcBorders>
            <w:gridSpan w:val="7"/>
            <w:shd w:val="clear" w:color="auto" w:fill="CCEEFF"/>
          </w:tcPr>
          <w:p>
            <w:pPr>
              <w:spacing w:after="0"/>
              <w:rPr>
                <w:sz w:val="15"/>
                <w:szCs w:val="15"/>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ITEM 11.</w:t>
              </w:r>
            </w:hyperlink>
          </w:p>
        </w:tc>
        <w:tc>
          <w:tcPr>
            <w:tcW w:w="52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tcBorders>
              <w:bottom w:val="single" w:sz="8" w:color="0000EE"/>
            </w:tcBorders>
            <w:gridSpan w:val="13"/>
          </w:tcPr>
          <w:p>
            <w:pPr>
              <w:spacing w:after="0" w:line="17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EXECUTIVE COMPENSATION</w:t>
              </w:r>
            </w:hyperlink>
          </w:p>
        </w:tc>
        <w:tc>
          <w:tcPr>
            <w:tcW w:w="7020" w:type="dxa"/>
            <w:vAlign w:val="bottom"/>
            <w:gridSpan w:val="15"/>
          </w:tcPr>
          <w:p>
            <w:pPr>
              <w:spacing w:after="0"/>
              <w:rPr>
                <w:sz w:val="15"/>
                <w:szCs w:val="15"/>
                <w:color w:val="auto"/>
              </w:rPr>
            </w:pPr>
          </w:p>
        </w:tc>
        <w:tc>
          <w:tcPr>
            <w:tcW w:w="180" w:type="dxa"/>
            <w:vAlign w:val="bottom"/>
            <w:tcBorders>
              <w:bottom w:val="single" w:sz="8" w:color="0000EE"/>
            </w:tcBorders>
            <w:gridSpan w:val="3"/>
          </w:tcPr>
          <w:p>
            <w:pPr>
              <w:jc w:val="right"/>
              <w:spacing w:after="0" w:line="17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6"/>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12.</w:t>
              </w:r>
            </w:hyperlink>
          </w:p>
        </w:tc>
        <w:tc>
          <w:tcPr>
            <w:tcW w:w="10000" w:type="dxa"/>
            <w:vAlign w:val="bottom"/>
            <w:gridSpan w:val="29"/>
            <w:shd w:val="clear" w:color="auto" w:fill="CCEEFF"/>
          </w:tcPr>
          <w:p>
            <w:pPr>
              <w:ind w:left="48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SECURITY OWNERSHIP OF CERTAIN BENEFICIAL OWNERS AND MANAGEMENT AND RELATED</w:t>
              </w:r>
            </w:hyperlink>
          </w:p>
        </w:tc>
        <w:tc>
          <w:tcPr>
            <w:tcW w:w="180" w:type="dxa"/>
            <w:vAlign w:val="bottom"/>
            <w:gridSpan w:val="3"/>
            <w:vMerge w:val="restart"/>
            <w:shd w:val="clear" w:color="auto" w:fill="CCEEFF"/>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0000EE"/>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2220" w:type="dxa"/>
            <w:vAlign w:val="bottom"/>
            <w:tcBorders>
              <w:top w:val="single" w:sz="8" w:color="0000EE"/>
              <w:bottom w:val="single" w:sz="8" w:color="0000EE"/>
            </w:tcBorders>
            <w:gridSpan w:val="10"/>
            <w:shd w:val="clear" w:color="auto" w:fill="CCEEFF"/>
          </w:tcPr>
          <w:p>
            <w:pPr>
              <w:spacing w:after="0" w:line="182"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STOCKHOLDER MATTERS</w:t>
              </w:r>
            </w:hyperlink>
          </w:p>
        </w:tc>
        <w:tc>
          <w:tcPr>
            <w:tcW w:w="5800" w:type="dxa"/>
            <w:vAlign w:val="bottom"/>
            <w:tcBorders>
              <w:top w:val="single" w:sz="8" w:color="0000EE"/>
              <w:bottom w:val="single" w:sz="8" w:color="CCEEFF"/>
            </w:tcBorders>
            <w:gridSpan w:val="16"/>
            <w:shd w:val="clear" w:color="auto" w:fill="CCEEFF"/>
          </w:tcPr>
          <w:p>
            <w:pPr>
              <w:spacing w:after="0"/>
              <w:rPr>
                <w:sz w:val="16"/>
                <w:szCs w:val="16"/>
                <w:color w:val="auto"/>
              </w:rPr>
            </w:pPr>
          </w:p>
        </w:tc>
        <w:tc>
          <w:tcPr>
            <w:tcW w:w="15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0000EE"/>
            </w:tcBorders>
            <w:gridSpan w:val="3"/>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ITEM 13.</w:t>
              </w:r>
            </w:hyperlink>
          </w:p>
        </w:tc>
        <w:tc>
          <w:tcPr>
            <w:tcW w:w="52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7700" w:type="dxa"/>
            <w:vAlign w:val="bottom"/>
            <w:tcBorders>
              <w:bottom w:val="single" w:sz="8" w:color="0000EE"/>
            </w:tcBorders>
            <w:gridSpan w:val="23"/>
          </w:tcPr>
          <w:p>
            <w:pPr>
              <w:spacing w:after="0" w:line="17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CERTAIN RELATIONSHIPS AND RELATED TRANSACTIONS AND DIRECTOR INDEPENDENCE</w:t>
              </w:r>
            </w:hyperlink>
          </w:p>
        </w:tc>
        <w:tc>
          <w:tcPr>
            <w:tcW w:w="1820" w:type="dxa"/>
            <w:vAlign w:val="bottom"/>
            <w:gridSpan w:val="5"/>
          </w:tcPr>
          <w:p>
            <w:pPr>
              <w:spacing w:after="0"/>
              <w:rPr>
                <w:sz w:val="15"/>
                <w:szCs w:val="15"/>
                <w:color w:val="auto"/>
              </w:rPr>
            </w:pPr>
          </w:p>
        </w:tc>
        <w:tc>
          <w:tcPr>
            <w:tcW w:w="180" w:type="dxa"/>
            <w:vAlign w:val="bottom"/>
            <w:tcBorders>
              <w:bottom w:val="single" w:sz="8" w:color="0000EE"/>
            </w:tcBorders>
            <w:gridSpan w:val="3"/>
          </w:tcPr>
          <w:p>
            <w:pPr>
              <w:jc w:val="right"/>
              <w:spacing w:after="0" w:line="17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ITEM 14.</w:t>
              </w:r>
            </w:hyperlink>
          </w:p>
        </w:tc>
        <w:tc>
          <w:tcPr>
            <w:tcW w:w="520" w:type="dxa"/>
            <w:vAlign w:val="bottom"/>
            <w:tcBorders>
              <w:bottom w:val="single" w:sz="8" w:color="CCEEFF"/>
            </w:tcBorders>
            <w:gridSpan w:val="3"/>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PRINCIPAL ACCOUNTING FEES AND SERVICES</w:t>
              </w:r>
            </w:hyperlink>
          </w:p>
        </w:tc>
        <w:tc>
          <w:tcPr>
            <w:tcW w:w="5540" w:type="dxa"/>
            <w:vAlign w:val="bottom"/>
            <w:tcBorders>
              <w:bottom w:val="single" w:sz="8" w:color="CCEEFF"/>
            </w:tcBorders>
            <w:gridSpan w:val="9"/>
            <w:shd w:val="clear" w:color="auto" w:fill="CCEEFF"/>
          </w:tcPr>
          <w:p>
            <w:pPr>
              <w:spacing w:after="0"/>
              <w:rPr>
                <w:sz w:val="15"/>
                <w:szCs w:val="15"/>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IV</w:t>
              </w:r>
            </w:hyperlink>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top w:val="single" w:sz="8" w:color="0000EE"/>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ITEM 15.</w:t>
              </w:r>
            </w:hyperlink>
          </w:p>
        </w:tc>
        <w:tc>
          <w:tcPr>
            <w:tcW w:w="520" w:type="dxa"/>
            <w:vAlign w:val="bottom"/>
            <w:tcBorders>
              <w:bottom w:val="single" w:sz="8" w:color="CCEEFF"/>
            </w:tcBorders>
            <w:gridSpan w:val="3"/>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8660" w:type="dxa"/>
            <w:vAlign w:val="bottom"/>
            <w:tcBorders>
              <w:bottom w:val="single" w:sz="8" w:color="CCEEFF"/>
            </w:tcBorders>
            <w:gridSpan w:val="27"/>
            <w:shd w:val="clear" w:color="auto" w:fill="CCEEFF"/>
          </w:tcPr>
          <w:p>
            <w:pPr>
              <w:spacing w:after="0"/>
              <w:rPr>
                <w:sz w:val="15"/>
                <w:szCs w:val="15"/>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ITEM 16.</w:t>
              </w:r>
            </w:hyperlink>
          </w:p>
        </w:tc>
        <w:tc>
          <w:tcPr>
            <w:tcW w:w="52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FORM 10-K SUMMARY</w:t>
              </w:r>
            </w:hyperlink>
          </w:p>
        </w:tc>
        <w:tc>
          <w:tcPr>
            <w:tcW w:w="7580" w:type="dxa"/>
            <w:vAlign w:val="bottom"/>
            <w:gridSpan w:val="20"/>
          </w:tcPr>
          <w:p>
            <w:pPr>
              <w:spacing w:after="0"/>
              <w:rPr>
                <w:sz w:val="15"/>
                <w:szCs w:val="15"/>
                <w:color w:val="auto"/>
              </w:rPr>
            </w:pPr>
          </w:p>
        </w:tc>
        <w:tc>
          <w:tcPr>
            <w:tcW w:w="180" w:type="dxa"/>
            <w:vAlign w:val="bottom"/>
            <w:tcBorders>
              <w:bottom w:val="single" w:sz="8" w:color="0000EE"/>
            </w:tcBorders>
            <w:gridSpan w:val="3"/>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statements as to:</w:t>
      </w:r>
    </w:p>
    <w:p>
      <w:pPr>
        <w:spacing w:after="0" w:line="19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the timing of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the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Arial" w:cs="Arial" w:eastAsia="Arial" w:hAnsi="Arial"/>
          <w:sz w:val="18"/>
          <w:szCs w:val="18"/>
          <w:i w:val="1"/>
          <w:iCs w:val="1"/>
          <w:color w:val="auto"/>
        </w:rPr>
        <w:t>Securities Act of 1933</w:t>
      </w:r>
      <w:r>
        <w:rPr>
          <w:rFonts w:ascii="Arial" w:cs="Arial" w:eastAsia="Arial" w:hAnsi="Arial"/>
          <w:sz w:val="18"/>
          <w:szCs w:val="18"/>
          <w:color w:val="auto"/>
        </w:rPr>
        <w:t xml:space="preserve">, as amended; (iv) “Exchange Act” refers to the United States </w:t>
      </w:r>
      <w:r>
        <w:rPr>
          <w:rFonts w:ascii="Arial" w:cs="Arial" w:eastAsia="Arial" w:hAnsi="Arial"/>
          <w:sz w:val="18"/>
          <w:szCs w:val="18"/>
          <w:i w:val="1"/>
          <w:iCs w:val="1"/>
          <w:color w:val="auto"/>
        </w:rPr>
        <w:t>Securities Exchange Act of 1934</w:t>
      </w:r>
      <w:r>
        <w:rPr>
          <w:rFonts w:ascii="Arial" w:cs="Arial" w:eastAsia="Arial" w:hAnsi="Arial"/>
          <w:sz w:val="18"/>
          <w:szCs w:val="18"/>
          <w:color w:val="auto"/>
        </w:rPr>
        <w:t>, as amended; and (v) all dollar amounts refer to United States dollars unless otherwise indicated.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cell-based immunotherapies and innovative peptide-based vaccines for the treatment of hematological malignancies and solid tumor indications. Our MultiTAA T cell technology is based on the selective expansion of non-engineered, tumor-specific T cells that recognize tumor associated antigens (“TAA” i.e. tumor targets) and kill tumor cells expressing those targets. Once infused into patients, this population of T cells recognizes multiple tumor targets to produce broad spectrum anti-tumor activity. Because we do not genetically engineer our T cells, when compared to current engineered chimeric antigen receptor (“CAR”) and T cell receptor (“TCR”)-based approaches, our products are significantly less expensive to manufacture and appear to be markedly less toxic, and yet are associated with meaningful clinical benefit. As a result, we believe our portfolio of T cell therapies has a compelling therapeutic product profile, as compared to current gene-modified CAR and TCR-based therapies. In addition, our Folate Receptor Alpha program (TPIV200) for breast and ovarian cancers and our HER2/neu program (TPIV100/110) are in Phase II clinical trials. In parallel, we are developing a proprietary nucleic acid-based antigen expression technology named PolyStart™ to improve the ability of the immune system to recognize and destroy diseased cells.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Immuno-oncology, which utilizes a patient’s own immune system to combat cancer, is one of the most actively pursued areas of research by biotechnology and pharmaceutical companies today. Interest and excitement about immunotherapy are driven by compelling efficacy data in cancers with historically bleak outcomes, and the potential to achieve a cure or functional cure for some patients. Harnessing the power of the immune system is an important component of fighting cancerous cells in the body. Our MultiTAA T cell therapy platform identifies and selects effectively all T cells that are specific for any peptide from the antigens that we target (e.g., WT1, MAGE-A4, PRAME, Survivin, NY-ESO-1, and SSX2). Our in-vitro manufacturing process promotes proliferation of very rare cancer-killing T cells and augments their anti-tumor properties to provide benefit to patients following their infusion. By using the multi-antigen targeted approach, our proprietary technology can kill heterogeneous tumor cell populations more effectively than single-antigen targeted approaches, thereby reducing the likelihood of tumor escape and potentially increasing the durability of a patient’s response to therapy.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therapy presents a promising innovation in immuno-oncology. Our therapy has been developed through our collaboration with the Cell and Gene Therapy Center at Baylor College of Medicine (“BCM”) founded by Malcolm K. Brenner, M.D., Ph.D., a recognized pioneer in immuno-oncology. Our cell therapy founders include Drs. Malcolm Brenner M.D., Ph.D., Ann Leen, Ph.D., Juan Vera, M.D., Helen Heslop, M.D., DSc (Hon) and Cliona Rooney, Ph.D., who all have significant experience in this field. Dr. James P. Allison, Dr. Malcom K. Brenner, Dr. Helen E. Heslop, Dr. Cliona M. Rooney and Dr. Padmanee Sharma serve on our Scientific Advisory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goal is to be the leader in the development and commercialization of transformative immunotherapies for the treatment of hematological malignancies and solid tumors. We will be developing a portfolio of highly-differentiated T cell therapies utilizing our MultiTAA platform that has the potential to significantly disrupt the current cell therapy landscape, while substantially improving survival and quality of life for patients with cancers.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Expedite clinical development, regulatory approval, and commercialization of our lead product candidates.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results in the Phase I clinical trials conducted at BCM, we plan to advance our lead product candidates into Phase II clinical trials and facilitate the initiation of company-sponsored clinical trials in post-transplant acute myeloid leukemia (AML) and in other tumor types based on emerging data. We expect to finalize our first clinical trial protocol by end of second quarter of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plan to initiate a Phase II clinical trial in post-transplant AML in the second half of 2019 and in other tumor types based on emerging data in the future. We anticipate that product manufacturing in support of those clinical trials will be conducted at BCM’s Good Manufacturing Practices (“GMP”) cell manufacturing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color w:val="auto"/>
        </w:rPr>
        <w:t>In 2019, we expect to begin the technology transfer process and begin the planning and implementation of additional GMP manufacturing capacity capable of supporting our manufacturing needs with respect to pivotal trials. If the results of our Phase II studies are positive, we will explore potential avenues to achieve regulatory approval for the use of our products in these indications, including any potential avenues for obtaining accelerated approval. The U.S. Food and Drug Administration (“FDA”) may grant accelerated approval for product candidates used to treat serious conditions that fill an unmet medical need based on a surrogate or intermediate endpoint. We believe that an accelerated approval strategy may be warranted given the limited options available for patients with post-transplant AML. However, if the FDA grants accelerated approval, confirmatory trials will be required by the FDA.</w:t>
      </w:r>
    </w:p>
    <w:p>
      <w:pPr>
        <w:spacing w:after="0" w:line="165" w:lineRule="exact"/>
        <w:rPr>
          <w:sz w:val="20"/>
          <w:szCs w:val="20"/>
          <w:color w:val="auto"/>
        </w:rPr>
      </w:pPr>
    </w:p>
    <w:p>
      <w:pPr>
        <w:ind w:right="20" w:firstLine="8"/>
        <w:spacing w:after="0" w:line="277" w:lineRule="auto"/>
        <w:tabs>
          <w:tab w:leader="none" w:pos="207"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Continue collaboration with our partners and increase our internal research and development activities to improve and develop adoptive cell therapy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finalized a strategic alliance with BCM, in which we will sponsor selected research at the institution in support of our technology. In conjunction with this strategic alliance, BCM will conduct selected Phase I/II clinical trials using our technology. If data from these early clinical trials appear positive, we will consider the therapeutic and commercial potential for such therapies to be advanced as new products for us.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plan to use BCM facilities to enable the process development and manufacturing required to support the Phase II clinical trials of our product candidates. Outside of our relationship with BCM, we will invest in our own research and development and chemistry, manufacturing and controls (“CMC”) capabilities to enhance our ability to conduct process development to optimize our manufacturing process, product quality and commercial scalability.</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the G-Rex® (G-Rex® is a registered trademark of Wilson Wolf Manufacturing Corporation (“Wilson Wolf:”)) based manufacturing process we have in place is highly robust and scalable, and we will continue to invest resources in further refining the manufacturing process to create a product with highly attractive commercial attributes. We plan to engage Wilson Wolf (a company controlled by John Wilson, a director of the Company) to further customize the G-Rex® to optimally match our manufacturing requirements and to develop a scalability plan to drive efficiencies for a commercial product.</w:t>
      </w:r>
    </w:p>
    <w:p>
      <w:pPr>
        <w:spacing w:after="0" w:line="15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platform to maximize the beneficial outcomes for cancer patients.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plan to explore new product opportunities by expanding and/or customizing the antigens we target to expand the indications in which our products may be used, including solid tumors or other hematologic malignancies. Additionally, our research and development efforts may include the exploration of dosing and/or frequency of product administration and the relationship of these factors with potential therapeutic benefit.</w:t>
      </w:r>
    </w:p>
    <w:p>
      <w:pPr>
        <w:spacing w:after="0" w:line="16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relationships with our founding institutions, scientific founders and other scientific advisors.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the Mayo Foundation and our other major institutional partners, to advance our therapies through the clinic and into commercialization.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of our therapeutic products or programs. Such strategic review and evaluations are to be a priority and an important part of our ongoing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MultiTAA T Cell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 Tumor-Associated Antigen (“MultiTAA”) Approach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448945</wp:posOffset>
            </wp:positionV>
            <wp:extent cx="2744470" cy="182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the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immune escape. Our solution to the problem of tumor heterogeneity was to develop T cell products that simultaneously attack multiple tumor-expressed antigens and thereby enable more complete initial tumor targeting, thus minimizing the subsequent opportunity for the cancer to engage escape mechanisms. Data suggest this strategy may be responsible for recruitment and activation of unique cancer-killing cells from the patient’s own immune repertoire to participate in cancer eradication, further minimizing the possibility for tumor cell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129540</wp:posOffset>
            </wp:positionV>
            <wp:extent cx="2538730" cy="2058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proprietary MultiTAA T cell platform may have meaningful advantages over CAR and TCR-engineered cell therapy approaches. Compared to current gene-modified T cell therapies, our programs are characterized by the following:</w:t>
      </w:r>
    </w:p>
    <w:p>
      <w:pPr>
        <w:spacing w:after="0" w:line="166" w:lineRule="exact"/>
        <w:rPr>
          <w:sz w:val="20"/>
          <w:szCs w:val="20"/>
          <w:color w:val="auto"/>
        </w:rPr>
      </w:pPr>
    </w:p>
    <w:p>
      <w:pPr>
        <w:jc w:val="both"/>
        <w:ind w:firstLine="8"/>
        <w:spacing w:after="0" w:line="303"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Demonstrated clinical benefit, without the need for lymphodepletion before infusion: </w:t>
      </w:r>
      <w:r>
        <w:rPr>
          <w:rFonts w:ascii="Arial" w:cs="Arial" w:eastAsia="Arial" w:hAnsi="Arial"/>
          <w:sz w:val="16"/>
          <w:szCs w:val="16"/>
          <w:color w:val="auto"/>
        </w:rPr>
        <w:t>In BCM’s Phase I lymphoma study, we saw complete responses</w:t>
      </w:r>
      <w:r>
        <w:rPr>
          <w:rFonts w:ascii="Arial" w:cs="Arial" w:eastAsia="Arial" w:hAnsi="Arial"/>
          <w:sz w:val="16"/>
          <w:szCs w:val="16"/>
          <w:b w:val="1"/>
          <w:bCs w:val="1"/>
          <w:color w:val="auto"/>
        </w:rPr>
        <w:t xml:space="preserve"> </w:t>
      </w:r>
      <w:r>
        <w:rPr>
          <w:rFonts w:ascii="Arial" w:cs="Arial" w:eastAsia="Arial" w:hAnsi="Arial"/>
          <w:sz w:val="16"/>
          <w:szCs w:val="16"/>
          <w:color w:val="auto"/>
        </w:rPr>
        <w:t>(“CRs”) in six of its evaluable patients, including three CRs in patients with diffuse large B-cell lymphoma (“DLBCL”). We believe it is significant that no patient with a CR has subsequently relapsed with disease, whereas typically 30% or more of patients with CR in reported CAR-T studies relapse within one year. In patient results to date, observed therapeutic responses appear to be highly durable, with some patients being relapse-free beyond five years.</w:t>
      </w:r>
    </w:p>
    <w:p>
      <w:pPr>
        <w:spacing w:after="0" w:line="151" w:lineRule="exact"/>
        <w:rPr>
          <w:rFonts w:ascii="Arial" w:cs="Arial" w:eastAsia="Arial" w:hAnsi="Arial"/>
          <w:sz w:val="16"/>
          <w:szCs w:val="16"/>
          <w:color w:val="auto"/>
        </w:rPr>
      </w:pPr>
    </w:p>
    <w:p>
      <w:pPr>
        <w:jc w:val="both"/>
        <w:ind w:firstLine="8"/>
        <w:spacing w:after="0" w:line="266"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Non-gene-modified: </w:t>
      </w:r>
      <w:r>
        <w:rPr>
          <w:rFonts w:ascii="Arial" w:cs="Arial" w:eastAsia="Arial" w:hAnsi="Arial"/>
          <w:sz w:val="18"/>
          <w:szCs w:val="18"/>
          <w:color w:val="auto"/>
        </w:rPr>
        <w:t>Unlike CAR-T and TCR approaches, our therapy requires no genetic modification of T cells, a costly and complex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complicates the manufacturing of a patient product. We believe our therapy can be manufactured at a fraction of the cost of a gene-modified T cell product.</w:t>
      </w:r>
    </w:p>
    <w:p>
      <w:pPr>
        <w:spacing w:after="0" w:line="176" w:lineRule="exact"/>
        <w:rPr>
          <w:rFonts w:ascii="Arial" w:cs="Arial" w:eastAsia="Arial" w:hAnsi="Arial"/>
          <w:sz w:val="18"/>
          <w:szCs w:val="18"/>
          <w:color w:val="auto"/>
        </w:rPr>
      </w:pPr>
    </w:p>
    <w:p>
      <w:pPr>
        <w:jc w:val="both"/>
        <w:ind w:firstLine="8"/>
        <w:spacing w:after="0" w:line="261" w:lineRule="auto"/>
        <w:tabs>
          <w:tab w:leader="none" w:pos="20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Low incidence rate of adverse events: </w:t>
      </w:r>
      <w:r>
        <w:rPr>
          <w:rFonts w:ascii="Arial" w:cs="Arial" w:eastAsia="Arial" w:hAnsi="Arial"/>
          <w:sz w:val="18"/>
          <w:szCs w:val="18"/>
          <w:color w:val="auto"/>
        </w:rPr>
        <w:t>In 78 patients treated to date, BCM has seen only one grade III adverse reaction possibly related to its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This appears favorable compared to published CD19 CAR-T studies, wherein up to 95% of patients had associated grade III or higher adverse events during treatment. There have been no cases of cytokine-release syndrome (“CRS”), or related serious adverse events (“SAEs”) in patients treated with our therapy to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jc w:val="both"/>
        <w:ind w:firstLine="8"/>
        <w:spacing w:after="0" w:line="281" w:lineRule="auto"/>
        <w:tabs>
          <w:tab w:leader="none" w:pos="247"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Capable of addressing a broad repertoire of cancer cells: </w:t>
      </w:r>
      <w:r>
        <w:rPr>
          <w:rFonts w:ascii="Arial" w:cs="Arial" w:eastAsia="Arial" w:hAnsi="Arial"/>
          <w:sz w:val="17"/>
          <w:szCs w:val="17"/>
          <w:color w:val="auto"/>
        </w:rPr>
        <w:t>While CAR-T and TCR therapies generally target a single epitope, our manufacturing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selects T cells that are specific for multiple peptides derived from several targeted antigens. Deep gene sequencing of the clinical products shows that a typical patient dose usually consists of approximately 4,000 unique T cell clonotypes targeting up to five different tumor-associated antigens. The five antigen targets can be recognized by a very wide range of T cells, facilitating robust killing of targeted cancer cells.</w:t>
      </w:r>
    </w:p>
    <w:p>
      <w:pPr>
        <w:spacing w:after="0" w:line="164" w:lineRule="exact"/>
        <w:rPr>
          <w:rFonts w:ascii="Arial" w:cs="Arial" w:eastAsia="Arial" w:hAnsi="Arial"/>
          <w:sz w:val="17"/>
          <w:szCs w:val="17"/>
          <w:color w:val="auto"/>
        </w:rPr>
      </w:pPr>
    </w:p>
    <w:p>
      <w:pPr>
        <w:jc w:val="both"/>
        <w:ind w:firstLine="8"/>
        <w:spacing w:after="0" w:line="277"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Appears to drive endogenous immune responses: </w:t>
      </w:r>
      <w:r>
        <w:rPr>
          <w:rFonts w:ascii="Arial" w:cs="Arial" w:eastAsia="Arial" w:hAnsi="Arial"/>
          <w:sz w:val="17"/>
          <w:szCs w:val="17"/>
          <w:color w:val="auto"/>
        </w:rPr>
        <w:t>We see evidence of “epitope spreading” in the treated patients, meaning that the therapy is potentially</w:t>
      </w:r>
      <w:r>
        <w:rPr>
          <w:rFonts w:ascii="Arial" w:cs="Arial" w:eastAsia="Arial" w:hAnsi="Arial"/>
          <w:sz w:val="17"/>
          <w:szCs w:val="17"/>
          <w:b w:val="1"/>
          <w:bCs w:val="1"/>
          <w:color w:val="auto"/>
        </w:rPr>
        <w:t xml:space="preserve"> </w:t>
      </w:r>
      <w:r>
        <w:rPr>
          <w:rFonts w:ascii="Arial" w:cs="Arial" w:eastAsia="Arial" w:hAnsi="Arial"/>
          <w:sz w:val="17"/>
          <w:szCs w:val="17"/>
          <w:color w:val="auto"/>
        </w:rPr>
        <w:t>inducing an enhanced response by the patient’s own T cells (specific for an expanded set of tumor-associated antigens beyond those targeted by the infused product). BCM’s correlative analyses show expansion of endogenous T cells, other than those present in our product, in the months following the infusion of our product. This phenomenon, also known as “antigen spreading,” is potentially important in generating a durable response for a patient, because it enables the killing of tumors that do not express any of the antigens initially targeted by our product.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Peptide Vaccine Products and Technologies in Development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contrast to standard therapies for cancer treatment including surgery, radiation therapy and chemotherapy that target both cancer cells and normal cells, we are also developing vaccines that precisely target breast and ovarian cancers. We are currently developing three core technology platforms:</w:t>
      </w:r>
    </w:p>
    <w:p>
      <w:pPr>
        <w:spacing w:after="0" w:line="147" w:lineRule="exact"/>
        <w:rPr>
          <w:sz w:val="20"/>
          <w:szCs w:val="20"/>
          <w:color w:val="auto"/>
        </w:rPr>
      </w:pPr>
    </w:p>
    <w:p>
      <w:pPr>
        <w:ind w:firstLine="8"/>
        <w:spacing w:after="0" w:line="27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 and methods of use) for the treatment of breast cancers that overexpress Human Epidermal Growth Factor Receptor 2 (HER2/neu) (TPIV100/110),</w:t>
      </w:r>
    </w:p>
    <w:p>
      <w:pPr>
        <w:spacing w:after="0" w:line="170" w:lineRule="exact"/>
        <w:rPr>
          <w:sz w:val="20"/>
          <w:szCs w:val="20"/>
          <w:color w:val="auto"/>
        </w:rPr>
      </w:pPr>
    </w:p>
    <w:p>
      <w:pPr>
        <w:ind w:right="20" w:firstLine="8"/>
        <w:spacing w:after="0" w:line="277" w:lineRule="auto"/>
        <w:tabs>
          <w:tab w:leader="none" w:pos="2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 and methods of use) for treating breast and ovarian cancers that overexpress Folate Receptor Alpha (TPIV200), and</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wholly-owned nucleic acid-based vaccine (composition and methods of use) technology (PolyStart™) for treatment of various cancers or infectious disease.</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peptide vaccines are derived from naturally processed T cell antigens and are potentially effective standalone therapies but may also enhance the efficacy of other immunotherapy approaches such as CAR-T cell therapies and PD-1 inhibitors, for example, as well as our own MultiTAA T cell therapies.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status of our development of other products and technologies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Product/Candidate</w:t>
            </w:r>
          </w:p>
        </w:tc>
        <w:tc>
          <w:tcPr>
            <w:tcW w:w="240" w:type="dxa"/>
            <w:vAlign w:val="bottom"/>
          </w:tcPr>
          <w:p>
            <w:pPr>
              <w:spacing w:after="0"/>
              <w:rPr>
                <w:sz w:val="20"/>
                <w:szCs w:val="20"/>
                <w:color w:val="auto"/>
              </w:rPr>
            </w:pPr>
          </w:p>
        </w:tc>
        <w:tc>
          <w:tcPr>
            <w:tcW w:w="202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ind w:left="800"/>
              <w:spacing w:after="0"/>
              <w:rPr>
                <w:sz w:val="20"/>
                <w:szCs w:val="20"/>
                <w:color w:val="auto"/>
              </w:rPr>
            </w:pPr>
            <w:r>
              <w:rPr>
                <w:rFonts w:ascii="Arial" w:cs="Arial" w:eastAsia="Arial" w:hAnsi="Arial"/>
                <w:sz w:val="18"/>
                <w:szCs w:val="18"/>
                <w:b w:val="1"/>
                <w:bCs w:val="1"/>
                <w:color w:val="auto"/>
              </w:rPr>
              <w:t>Application</w:t>
            </w:r>
          </w:p>
        </w:tc>
        <w:tc>
          <w:tcPr>
            <w:tcW w:w="2620" w:type="dxa"/>
            <w:vAlign w:val="bottom"/>
          </w:tcPr>
          <w:p>
            <w:pPr>
              <w:ind w:left="106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TPIV100/110 HER2/neu Breast Cancer</w:t>
            </w:r>
          </w:p>
        </w:tc>
        <w:tc>
          <w:tcPr>
            <w:tcW w:w="24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Treatment of HER2/neu+ Breast</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Phase I trial completed Phase I(b)</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Vaccine</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Cancer</w:t>
            </w:r>
          </w:p>
        </w:tc>
        <w:tc>
          <w:tcPr>
            <w:tcW w:w="2620" w:type="dxa"/>
            <w:vAlign w:val="bottom"/>
          </w:tcPr>
          <w:p>
            <w:pPr>
              <w:spacing w:after="0"/>
              <w:rPr>
                <w:sz w:val="20"/>
                <w:szCs w:val="20"/>
                <w:color w:val="auto"/>
              </w:rPr>
            </w:pPr>
            <w:r>
              <w:rPr>
                <w:rFonts w:ascii="Arial" w:cs="Arial" w:eastAsia="Arial" w:hAnsi="Arial"/>
                <w:sz w:val="18"/>
                <w:szCs w:val="18"/>
                <w:color w:val="auto"/>
              </w:rPr>
              <w:t>trial to start in 2019 (TPIV100)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I/II to start in 2019</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(TPIV110)</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w w:val="95"/>
              </w:rPr>
              <w:t>TPIV200 Folate Receptor Alpha Vaccine</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Peptide Vaccine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Treatment of Folate Receptor</w:t>
            </w:r>
          </w:p>
        </w:tc>
        <w:tc>
          <w:tcPr>
            <w:tcW w:w="2620" w:type="dxa"/>
            <w:vAlign w:val="bottom"/>
          </w:tcPr>
          <w:p>
            <w:pPr>
              <w:spacing w:after="0"/>
              <w:rPr>
                <w:sz w:val="20"/>
                <w:szCs w:val="20"/>
                <w:color w:val="auto"/>
              </w:rPr>
            </w:pPr>
            <w:r>
              <w:rPr>
                <w:rFonts w:ascii="Arial" w:cs="Arial" w:eastAsia="Arial" w:hAnsi="Arial"/>
                <w:sz w:val="18"/>
                <w:szCs w:val="18"/>
                <w:color w:val="auto"/>
              </w:rPr>
              <w:t>Phase I trial completed Multiple</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Alpha+/Triple-Negative Breast</w:t>
            </w:r>
          </w:p>
        </w:tc>
        <w:tc>
          <w:tcPr>
            <w:tcW w:w="2620" w:type="dxa"/>
            <w:vAlign w:val="bottom"/>
          </w:tcPr>
          <w:p>
            <w:pPr>
              <w:spacing w:after="0"/>
              <w:rPr>
                <w:sz w:val="20"/>
                <w:szCs w:val="20"/>
                <w:color w:val="auto"/>
              </w:rPr>
            </w:pPr>
            <w:r>
              <w:rPr>
                <w:rFonts w:ascii="Arial" w:cs="Arial" w:eastAsia="Arial" w:hAnsi="Arial"/>
                <w:sz w:val="18"/>
                <w:szCs w:val="18"/>
                <w:color w:val="auto"/>
                <w:w w:val="96"/>
              </w:rPr>
              <w:t>Phase II trials started in 2016 and</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 Ovarian Cancer</w:t>
            </w:r>
          </w:p>
        </w:tc>
        <w:tc>
          <w:tcPr>
            <w:tcW w:w="2620" w:type="dxa"/>
            <w:vAlign w:val="bottom"/>
          </w:tcPr>
          <w:p>
            <w:pPr>
              <w:spacing w:after="0"/>
              <w:rPr>
                <w:sz w:val="20"/>
                <w:szCs w:val="20"/>
                <w:color w:val="auto"/>
              </w:rPr>
            </w:pPr>
            <w:r>
              <w:rPr>
                <w:rFonts w:ascii="Arial" w:cs="Arial" w:eastAsia="Arial" w:hAnsi="Arial"/>
                <w:sz w:val="18"/>
                <w:szCs w:val="18"/>
                <w:color w:val="auto"/>
                <w:w w:val="95"/>
              </w:rPr>
              <w:t>2017 and enrollment completed in</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2018</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PolyStart™</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Nucleic acid expression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Broad Application to “Prime”-</w:t>
            </w:r>
          </w:p>
        </w:tc>
        <w:tc>
          <w:tcPr>
            <w:tcW w:w="262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technology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 “Boost”</w:t>
            </w:r>
          </w:p>
        </w:tc>
        <w:tc>
          <w:tcPr>
            <w:tcW w:w="2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Background and History of Cancer Immunotherapies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can activate specific, potent immune cells, leading to improved safety and efficacy. Within the immunotherapy category, treatments have included vaccines, cytokine therapies, antibody therapies, and adoptive cell therapies.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1996, Dr. Dana Leach, Dr. Matthew Krummel and Dr. James Allison reported that monoclonal antibodies (“mAbs”) blocking CTLA-4 could treat tumors in animal models. Subsequently, mAbs that targeted CTLA-4 and PD-1 became known as “immune checkpoint inhibitors”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 Cell Therapy Overview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field of adoptive cell transfer (“ACT”)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immune cells into a patient. Immune cells used for immunotherapy treatments can either be collected from the patient (autologous) or harvested from a donor (allogeneic). The cells are retrieved and either genetically modified to express tumor-specific CARs or TCRs or mixed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of time, providing immunological memory, thus leading to longer and more durable responses.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TCRs and CARs have distinct signaling properties and antigen sensitivities. TCRs recognize peptide fragments from proteins expressed either inside the cell or on the cell surface, which are presented to T cells via a major histocompatibility complex (“MHC”). CARs are programmed to recognize a specific cell surface protein. Because CARs are specific for a single antigen, or more precisely a single epitope within the single antigen, they are very narrowly focused and come with limitations. When a CAR-T cell product is applied to a specific antigen of a heterogeneous disease, CAR-T cells may leave behind tumor cells that do not express the target antigen, which can lead to tumor relapse due to immune escape.</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manipulation consisting of co-culturing a patient’s or donor’s antigen presenting cells with patient (or donor) peripheral blood mononuclear cells (“PBMCs”), respectively. As a source of antigen, we use overlapping peptide libraries spanning each of several immunogenic target antigens that are typically associated with certain types of cancer. These peptides are 15 amino acids in length, overlapping by 11 amino acids and span the entire length of each of the target antigens. This typical footprint of peptides allows us to induce both CD4</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(helper) and CD8</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(cytotoxic) T cells. Following manufacture, these cells are frozen and stored for later infusion.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Once infused, the natural characteristics of T cells take over and the T cells multiply in quantity, forming an army of T cells that kill the targeted cancer cells.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Process Development and Manufacturing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advancing two MultiTAA T cell products through clinical development:(a) Mixed Antigen Peptide Pool (“MAPP”) T cells currently used for patients with lymphoma, multiple myeloma (“MM”) and selected solid tumors, is an autologous product that targets the NY-ESO-1, PRAME, MAGE-A4, Survivin and SSX2 antigens; and (b) Leukemia Antigen Peptide Pool (“LAPP”) T cells, currently used for patients with AML, is an allogeneic product targeting the WT1, NY-ESO-1, PRAME, and Survivin antigens using the blood of the stem cell donor as a source of the cells used for therapy. While the blood source and the antigens for stimulation differ between the LAPP and the MAPP products, the manufacturing process for each product is otherwise identical.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manufacturing process, blood is drawn from either the individual patient (in the case of the autologous MAPP T cells) or from the allogeneic stem cell transplant donor (in the case of the allogeneic LAPP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(i) identify the T cells specific for the antigens that we intend to target, (ii) restore these T cells to functionality with respect to their anti-tumor capability and (iii) expand the population of those T cells specific for our targets to achieve the required patient dose.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blood is drawn, PBMCs are isolated and cryopreserved. Sufficient numbers of cryopreserved PBMCs are taken to be used to manufacture a patient-specific product. These cells are placed inside a G-Rex® manufacturing device or standard plasticware and combined with an experimentally optimized mix of GMP-grade cytokines that is used to restore and enhance the functional capability of the cultured T cells.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libraries of overlapping peptides (“pepmix”) spanning the target antigens are combined and added to the cell culture. Each peptide within the pepmix represents a small segment of a target antigen, which a T cell might recognize. Each library represents the entire protein sequence of a target antigen, with each peptide in the pepmix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G-Rex® is a cell culture device manufactured by Wilson Wolf used by many cell therapy developers, both in commercial and academic settings. The device allows a user to introduce cells, media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Inside the G-Rex® or the regular plasticware, PBMCs are co-cultured with antigen-presenting cells that have been exposed to the stimulating pepmixes. This results in the selective expansion of T cells that specifically recognize the target antigens. At the end of the manufacturing process, the resulting product is a mix of helper (CD4</w:t>
      </w:r>
      <w:r>
        <w:rPr>
          <w:rFonts w:ascii="Arial" w:cs="Arial" w:eastAsia="Arial" w:hAnsi="Arial"/>
          <w:sz w:val="30"/>
          <w:szCs w:val="30"/>
          <w:color w:val="auto"/>
          <w:vertAlign w:val="superscript"/>
        </w:rPr>
        <w:t>+</w:t>
      </w:r>
      <w:r>
        <w:rPr>
          <w:rFonts w:ascii="Arial" w:cs="Arial" w:eastAsia="Arial" w:hAnsi="Arial"/>
          <w:sz w:val="18"/>
          <w:szCs w:val="18"/>
          <w:color w:val="auto"/>
        </w:rPr>
        <w:t>) and cytotoxic (CD8</w:t>
      </w:r>
      <w:r>
        <w:rPr>
          <w:rFonts w:ascii="Arial" w:cs="Arial" w:eastAsia="Arial" w:hAnsi="Arial"/>
          <w:sz w:val="30"/>
          <w:szCs w:val="30"/>
          <w:color w:val="auto"/>
          <w:vertAlign w:val="superscript"/>
        </w:rPr>
        <w:t>+</w:t>
      </w:r>
      <w:r>
        <w:rPr>
          <w:rFonts w:ascii="Arial" w:cs="Arial" w:eastAsia="Arial" w:hAnsi="Arial"/>
          <w:sz w:val="18"/>
          <w:szCs w:val="18"/>
          <w:color w:val="auto"/>
        </w:rPr>
        <w:t>) T cells that recognize the antigens we are targeting.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Once cell manufacturing is complete, the product is tested for identity, sterility, phenotype, and safety before it is released for infusion into a patient.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Sampling of product indicates that, on average, approximately 4,000 different T cell clonotypes are present in a typical 5-antigen-specific patient product.</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release of the final patient product, the cells are frozen and transported to the site where the cells will be administered. The standard dose for patients with lymphoma, AML or myeloma ranges from 5 – 20 million cells per meter squared (compared to typical doses of 10 – 40 million cells per adult patient). These cell doses represent a significantly smaller dose of cells, when compared to CAR-T or TCR therapies. As a result, our therapy requires only a very small infusion volume that can be administered to 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448945</wp:posOffset>
            </wp:positionV>
            <wp:extent cx="5822950" cy="3464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2295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Clinical-stage MultiTAA T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095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 Baylor College of Medicine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MAPP and LAPP product candidates identify and select for substantially all T cells that are specific for any peptide derived from the targeted antigens, thereby recognizing and killing heterogeneous tumors more effectively than single-antigen targeted approaches. These product candidates are currently in Phase I clinical trials for lymphoma, AML/myelodysplastic syndromes (“MDS”), and multiple myeloma (“MM”) at BCM and each of these programs is ready for initiation of Phase II. BCM has also initiated Phase I trials in acute lymphocytic leukemia (“ALL”), breast and pancreatic cancers.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lymphoma, MAPP T cell therapy is currently in a Phase I trial that has treated 15 patients with active disease (“lymphoma active group”), of which all 15 patients had follow-up date beyond 3 months post-infusion, and 17 patients in remission (“lymphoma adjuvant group”). No SAEs or CRS have been observed in any of these patients.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the 15 patients in the lymphoma active group, 6 patients demonstrated a complete response, 3 patients had durable stable disease and 6 patients had transient disease stabilization (range 3 – 9 months). None of the complete responder patients has subsequently progressed after receiving MAPP T cells. The duration of response for the complete responder patients ranged from 5 months to over 5 years (ongoing). Of the 17 patients in the lymphoma adjuvant group, 15 patients were in a continuing complete response, at the time of data cutoff. The duration of response for these patients ranged from 3 to over 48 months.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post-transplant AML, a setting where currently the only available alternative therapy is a donor lymphocyte infusion (“DLI”), we have seen significant therapeutic benefit for patients, without causing graft-versus-host disease (“GVHD”) — a frequent side effect of DLIs. LAPP T cell therapy is currently in a Phase I trial that has treated 6 patients with active disease (“AML/MDS active group”) after allogeneic hematopoietic stem cell transplant (“HSCT”), and 13 patients in remission after HSCT (“AML/MDS adjuvant group”), of which 11 patients were evaluable. One patient had a transient elevation in liver enzymes. Otherwise there were no possibly/probably related SAEs, nor episodes of CRS.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Of the 6 evaluable patients in the AML/MDS active group, 1 patient demonstrated a complete response which was durable for 13 months, 1 patient demonstrated a partial response that enabled that patient to receive a second allogeneic stem cell transplant, and 2 additional patients, who did not meet partial response criteria, experienced disease stabilization enabling a 2-month delay to next-line therapy. Two patients were non-responsive to MultiTAA therapy and progressed with relapsed/refractory disease. One patient demonstrated ongoing stable disease. The duration of response for the complete or partial response patients ranged from 7 to 11 months. Overall survival ranged from 4 to 21 months after T cell infusions. Of the 11 evaluable patients in the AML/MDS adjuvant group, 9 patients demonstrated a continued complete response. The duration of response for these patients ranged from 6 weeks to 2.5 years. Two patients saw local relapse in the central nervous system, but in both cases these patients were successfully treated with local therapy alone. One patient saw extramedullary relapse and was subsequently treated in the active disease arm of the trial, generating a CR that was durable for 13 months. One patient relapsed 8 months after receiving MultiTAA T cells but following a second allogeneic stem cell transplant this patient remains alive in relapse 1.5 years following his initial T cell infusion.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MAPP T cell therapy is also being evaluated at BCM in a Phase I/II trial for patients with MM. One arm of this trial assessed patients who received MAPP T cells more than 90 days after an autologous stem cell transplant (“ASCT”), while a second arm assessed patients who received MAPP T cells within 90 days of ASCT. We have not seen a meaningful difference in response rates or durability between the two arms and intend to standardize future trials based upon a protocol wherein patients will receive MAPP T cells immediately post ASCT.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patients evaluated in the MM trial, there were 10 patients with residual active disease, 8 of whom were evaluable with greater than 3 months of available follow-up date. Of these evaluable patients, 1 patient demonstrated complete response and 3 patients demonstrated partial responses. The duration of response ranged from 6 to 29 months. Additionally, there were 8 patients treated in remission after ASCT and all were evaluable. Seven of the 8 patients remain in continuing complete remission. The duration of response for these patients ranged from 6 to 22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BCM Exclusive License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2018, we entered into an exclusive license agreement (the “BCM License Agreement”) with BCM, under which we received a worldwide, exclusive license to BCM’s rights in and to certain intellectual property rights including European patent EP 2470644 (estimated expiration date August 24, 2030) to develop and commercialize MultiTAA product candidates in exchange for an initial issuance of equity in the Company and future royalties and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“Pepmixes to Generate Multiviral CTLs with Broad Specificity”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“Immunogenic Antigen Identification from a Pathogen and Correlation to Clinical Efficacy”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partial consideration for the exclusive rights granted under the BCM License Agreement, prior to the Merger, Marker Cell issued shares of Marker Cell common stock to BCM valued at approximately $5.0 million at the time of issuance. Such initial equity issuance was exchanged into merger consideration of 1,490,813 shares of our common stock and warrants to acquire 540,643 shares of our common stock. Additional consideration includes a royalty paid on net sales by us to BCM according to the royalty schedule in the BCM License Agreement. The royalty fee schedule is based on aggregate net sales in four different ranges: (1) less than $500M, (2) $500M to $1.0B, (3) $1.0B and over, and (4) $2.0B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one-time milestone payments upon the occurrence of nine particular milestones relating to completion of the first dosing in clinical trials for a first and second distinct product, receipt of approval from the FDA, and hitting certain net sales goals. Under the agreement, we may be obligated to make aggregate milestone payments of up to $64.85 million. We are also responsible for sublicensing fees. In addition, under the BCM License Agreement, we are responsible for reimbursing BCM for patent-related expenses. We will be responsible for filing, prosecuting and maintaining all patent applications and patents included in the licensed patent rights and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In addition, upon a liquidity event (as defined in the BCM License Agreement) of the Company, BCM will receive a liquidity incentive payment of 0.5% of the liquidity event proceeds (as defined in the BCM License Agreement) received by us or our stockholders in the liquidity event.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terminated sooner, the license will expire on a licensed product-by-product basis and country by country basis, on the later of (i) the date of expiration of the last valid claim of patent rights to expire that covers the sale of such licensed product in such country, or (ii)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(i) we have provided BCM with a written plan that is reasonably calculated to effect a cure, (ii) such plan is reasonably acceptable to BCM, in its sole but reasonable discretion, and (iii)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(i) become involved in insolvency, dissolution, bankruptcy or receivership proceedings affecting the operation of our business, (ii) make an assignment of all or substantially all of our assets for the benefit of creditors, or (iii) if a receiver or trustee is appointed for us and we shall, after the expiration of 30 days following any of the enumerated events, are unable to secure a dismissal, stay or other suspension of such proceedings.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its possession at the effective date of termination, provided that we continue to pay to BCM royalties on all such sales in accordance with the license agreement and otherwise complies with the terms of the license agreement and sells all such licensed products within six months after the effective date of the termination.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16, 2018, in furtherance of the BCM License Agreement and as contemplated by the terms thereof, we entered into a Sponsored Research Agreement (“SRA”) with BCM, which provided for the conduct of research for us by credentialed personnel at BCM’s Center for Cell and Gene Therapy. Each of Dr. Vera and Dr. Leen also serve as our Chief Development Officer and Chief Scientific Officer, respectively. The SRA has a four-year term and the research is to be supervised at BCM by co-investigators Dr. Vera and Dr. Leen. Pursuant to the SRA, we have agreed to pay BCM up to $256,272 for years one and two under the SRA with $76,882 paid up front and $153,764 paid in equal monthly installments over two years. Payments for years three and four are to be covered by an amendment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need to enter into additional agreements with BCM with respect to (i) a strategic alliance to advance pre-clinical research, early stage clinical trials, and Phase II clinical trials with respect to our product candidates, as well as continued access to our clinical data, and (ii) product manufacturing and support, including personnel and space at the institution for the foreseeable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exclusively licensed the intellectual property for our TPIV100/110 HER2/neu breast cancer vaccine and TPIV200 folate receptor alpha vaccine product candidates from the Mayo Foundation for Medical Education and Research (the “Mayo Foundation”).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Patent &amp; Know-How License: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2012, we entered into a Patent &amp; Know-How License Agreement with the Mayo Foundation pursuant to which we acquired certain intellectual property rights from the Mayo Foundation for the development and commercialization of certain products, methods and processes property relating to a proprietary HER2/neu technology.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prophylactic and therapeutic use. This license is an exclusive license for products that are based on the intellectual property and non-exclusive for products that are based on Mayo Foundation know–how and materials. The intellectual property licensed includes U.S. patents 9,814,767 (estimated expiration date February 15, 2033) and 10,117,919 (estimated expiration date February 15, 2033) and European patent 2814836 (estimated expiration date February 15, 2033).</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this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controls the prosecution and maintenance of the Patent Rights in consultation with us.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Mayo Foundation granted this license in exchange for an upfront payment of $250,000 that we paid in three installments. In addition to the upfront payment, we are to pay an annual license maintenance fee, milestone fees, royalty fees (which will be subject to a minimum annual royalty fee once royalty fees are due), and a $500,000 diligence fee had a Phase I clinical trial for a Licensed Product not been initiated prior to the fifth anniversary of the agreement and a $2,000,000 diligence fee if we fail to initiate a Phase II clinical trial for a Licensed Product prior to the eighth anniversary of the agreement.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any affiliate, or any sub-licensee; (ii) research, development, design, manufacture, distribution, use, sale, importation, exportation or other disposition of Licensed Products; (iii) our, any affiliates, or any sub-licensee’s act or omission; and (iv) third party suits for patent infringement involving a Licensed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this agreement runs from March 25, 2012 until the date of the last to expire of the Valid Claims (as defined in the agreement), provided that Mayo Foundation may terminate the agreement if, among other matters, (i) 45 days after providing us with notice of a material breach of this agreement, we fail to cure such breach, (ii) we fail to initiate a Phase III clinical trial for a Licensed Product prior to the tenth anniversary of the agreement, and (iii) we cease to conduct business in the normal event of operations or become insolvent or bankrupt. We may voluntarily terminate the agreement at any time upon written notice to Mayo Foundation.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4, 2016, we entered into a License and Assignment Agreement with Mayo Foundation (“Mayo Foundation HER2/neu License”) pursuant to which we acquired certain intellectual property rights from the Mayo Foundation for the development and commercialization of certain products, methods and processes property relating to any cancer indication in which the HER2/neu antigen is overexpressed. The Mayo Foundation HER2/neu License resulted from our exercise of an option that was issued pursuant to a Technology Option Agreement that we entered into with the Mayo Foundation on May 25, 2010.</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licensed includes European patent 2215111 (estimated expiration date October 30, 2028).</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Mayo Foundation HER2/neu License, and subject to certain exceptions, we are responsible for, among other things, developing the technology under the Patent Rights to bring Licensed Products (both as defined in the Mayo Foundation HER2/neu License) to market and costs of filing, prosecution and maintenance of the Patent Rights. Mayo Foundation has sole control over the protection, defense, enforcement, maintenance abandonment and other handling of the Know-How (as defined in the Mayo Foundation HER2/neu License) and Materials (as defined in the Mayo Foundation HER2/neu License).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Mayo Foundation granted this license in exchange for an initial payment of $300,000. The Mayo Foundation assigned to us IND # 14749, and we assumed all responsibility and liability for this investigational new drug application. In addition to the initial payment, we are to pay an annual license maintenance fee, milestone fees and royalty fees (which will be subject to a minimum annual royalty fee once royalty fees are due).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 involving a Licensed Product.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FRa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FRa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licensed includes US patents 8,486,412 (estimated expiration date April 3, 2029), 8,858,952 (estimated expiration date March 10, 2031), 9,243,033 (July 10, 2027) and 9,915,646 (estimated expiration date June 1, 2027).</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Mayo Foundation FRa License, and subject to certain exceptions, we are responsible for, among other things, developing the technology under the Patent Rights to bring Licensed Products (both as defined in the Mayo Foundation FRa License) to market and costs of filing, prosecution and maintenance of the Patent Rights. Mayo Foundation has sole control over the protection, defense, enforcement, maintenance abandonment and other handling of the Know-How (as defined in the Mayo Foundation FRa License) and Materials (as defined in the Mayo Foundation FRa License).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The Mayo Foundation assigned to us IND # 14546, and we assumed all responsibility and liability for this investigational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FRa License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 involving a Licensed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FRa License and, once initiated, keep current on all of our Phase II funding obligations and (b) initiate a Phase IIB or III clinical trial for a Licensed Product prior to the 5th anniversary of the Mayo Foundation FRa License, (iii) we fail to make a sale of a Licensed Product by July 21, 2025 and (iv) we cease to conduct business in the normal event of operations or become insolvent or bankrupt. We may voluntarily terminate the Mayo Foundation FRa License at any time upon written notice to Mayo Foundation.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the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in other words, the rights obtained under exclusive license arrangements such as those pursuant to our BCM License Agreement and our Mayo Foundation licenses.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achieve this objective, a strategic focus for us has been to identify and license key patents and patent applications that serve to enhance our intellectual property and technology position. Currently, all of our MultiTAA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the information disclosed elsewhere in this annual report under “Risk Factors”. We reassess the value of each patent at the time maintenance fees are due, and in cases where maintaining the patent is judged to be of no significant strategic value, we decline to pay the maintenance fee.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our patents, and any patents that may be issued or licensed to us in the future, will afford protection against competitors with similar technology. In addition, no assurances can be given that the patents issued or licensed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a number of issued and pending patents covering composition of matter of our PolyStart™ technology including: U.S. 9,364,523 (estimated expiration date March 17, 2035); U.S. 9,655,956 (estimated expiration date March 17, 2035); U.S. 9,988,643 (estimated expiration date March 17, 2035); and U.S. 10,030,252 (estimated expiration date March 17, 2035)</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w:t>
      </w:r>
    </w:p>
    <w:p>
      <w:pPr>
        <w:jc w:val="both"/>
        <w:ind w:firstLine="8"/>
        <w:spacing w:after="0" w:line="253" w:lineRule="auto"/>
        <w:tabs>
          <w:tab w:leader="none" w:pos="2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will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“USPTO”)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strategy is to contract with BCM and other third parties to manufacture our MultiTAA-specific T cells, as well as the raw materials, our active pharmaceutical ingredients (“API”) and finished solid dose products for our peptide vaccines for clinical and ultimately commercial uses. We currently do not operate manufacturing facilities for clinical or commercial production of our drug candidates. In addition, we expect for the foreseeable future to continue to rely on third parties for the manufacture of our clinical and commercial supply of MultiTAA-specific T cells, and of the raw materials, API and finished drug product for our peptide vaccines. Of note, we anticipate that product manufacturing of MultiTAA-specific cells in support of Phase I/II clinical trials will be conducted at BCM within its GMP cell manufacturing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this manner, we expect to continue to build and maintain our supply chain and quality assurance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supply chain for manufacturing raw materials, API, peptide vaccines, as well as MultiTAA-specific T cell products ready for distribution and commercialization is a multi-step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contract with third parties to manufacture our peptide vaccines and MultiTAA-specific T cells for clinical purposes. Third-party manufacturers supply us with raw materials for the peptide vaccines, and other third-party manufacturers convert these raw materials into API or convert the API into final dosage form. For most of our peptide vaccine candidates, once our raw materials are produced, we rely on different third parties to manufacture the API, to make finished drug product and to lyophilize, package and label the finished product. While we currently have focused on single vendors for manufacturing of peptide, formulation development, and lyophilization and vialing, we have access to numerous other vendors, if required. Similarly, BCM is currently the sole manufacturer of our MultiTAA-specific T cells.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We may not be able to obtain sufficient quantities of any of our raw materials or peptide vaccine candidates if our designated manufacturers do not have the capacity or capability to manufacture our products according to our schedule and specifications. If any of these single source suppliers become unable or unwilling to supply us with API or finished product that complies with applicable regulatory requirements, we could incur significant delays in our clinical trials which could have a material adverse effect on our business. Similarly, if BCM become unable or unwilling to manufacture our MultiTAA-specific T cells that comply with applicable regulatory requirements, we could incur significant delays in our clinical trials which could have a material adverse effect on our business.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future products, we may continue contracting third-party suppliers to manufacture sufficient quantities of our peptide vaccine and MultiTAA-specific T cell candidates for clinical and commercial supply.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third-party manufacturers are independent entities subject to their own unique operational and financial risks which are out of our control. If our third-party manufacturers fail to perform as required, this could impair our ability to deliver our products on a timely basis or cause delays in our clinical trials and applications for regulatory approval. To the extent that these risks materialize and affect their performance obligations to us, our financial results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there are multiple third-party suppliers available to provide most of the materials and services needed to manufacture our product candidates, and proper inventory planning is required for the materials that cannot be second-sourced, there is always a risk that we may underestimate demand and that our manufacturing capacity through third-party manufacturers may not be sufficient.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Supplies and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it could significantly delay our drug candidates in development for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Genzyme Molecular Oncology, Immune Design, Oncothyreon, Celldex, BN Immunotherapeutics, Immunocellular, SELLAS Life Sciences Group, Inc. (formerly) Galena BioPharma, Antigen Express, Transgene S. A., and Bavarian Nordic. In addition, other adoptive T-cell therapies, monoclonal antibodies and checkpoint inhibitors also provide competition in the oncology space. In these areas, competitors include Iovance, Immatics, Torque Therapeutics, AdaptImmune, Mana Therapeutics, Juno Therapeutics/Celgene/Bristol Myers Squibb, Kite Pharma/Gilead, Novartis, Roche Pharmaceuticals, Merck &amp; Co, AstraZeneca plc and Medimmune, LLC. We believe that our non-engineered T cells therapy and our in vivo T-cell therapy approaches will be synergistic and may improve therapies being developed by these competitors.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technical and human resources, and significantly greater experience than we do in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and maintain products that reach the market first, are technologically superior to and/or are of lower cost than other products in the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 The government regulations below may apply to any of our product candidates or anticipated pipeline of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(“GLP”) and Good Manufacturing Practice (“GMP”) regulations;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of a New Drug Application (“NDA”) or Biologics License Application (“BLA”) to the FDA for review;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which are further parsed into hold and non-hold questions/issues. In the case of hold issues, the IND sponsor and the FDA must resolve all FDA concerns or questions before clinical trials can proceed. We cannot be sure that submission of an IND will result in the FDA allowing clinical trials to commence.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 SPA agreement, even if the clinical outcome is positive.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1"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 and Accelerated Approval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is required to facilitate the development, and expedite the review, of biologics that are intended for the treatment of a serious or life-threatening disease or condition for which there is no effective treatment, and which demonstrate the potential to address unmet medical needs for the condition. Under the fast track program, the sponsor of a new biologic candidate may request that the FDA designate the candidate for a specific indication as a fast track biologic concurrent with, or after, the filing of the IND for the candidate. The FDA must determine if the biologic candidate qualifies for fast track designation within 60 days of receipt of the sponsor’s request.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fast track program and FDA’s accelerated approval regulations, the FDA may approve a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biologic candidate approved on this basis is subject to rigorous post-marketing compliance requirements, including the completion of Phase 4 or post-approval clinical trials to confirm the effect on the clinical endpoint. Failure to conduct required post-approval trials, or confirm a clinical benefit during post-marketing trials, will allow the FDA to withdraw the biologic from the market on an expedited basis. All promotional materials for biologic candidates approved under accelerated regulations are subject to prior review by the FDA.</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other benefits such as the ability to use surrogate endpoints and engage in more frequent interactions with the FDA, the FDA may initiate review of sections of a fast track product’s BLA before the application is complete. This rolling review is available if the applicant provides, and the FDA approves, a schedule for the submission of the remaining information and the applicant pays applicable user fees. However, the FDA’s time period goal for reviewing an application does not begin until the last section of the BLA is submitted. Additionally, the fast track designation may be withdrawn by the FDA if the FDA believes that the designation is no longer supported by data emerging in the clinical trial process.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is also required to expedite the development and review of the application for approval of biological products that are intended to treat a serious or life-threatening disease or condition where preliminary clinical evidence indicates that the biologic may demonstrate substantial improvement over existing therapies on one or more clinically significant endpoints.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breakthrough therapy program, the sponsor of a new biologic candidate may request that the FDA designate the candidate for a specific indication as a breakthrough therapy concurrent with, or after, the filing of the IND for the biologic candidate. The FDA must determine if the biological product qualifies for breakthrough therapy designation within 60 days of receipt of the sponsor’s request.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Canada, the Therapeutic Products Directorate and the Biologics and Genetic Therapies Directorate of Health Canada (“HC”) ensure that clinical trials are properly designed and undertaken and that subjects are not exposed to undue risk. Regulations define specific Investigational New Drug submission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through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i w:val="1"/>
          <w:iCs w:val="1"/>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seven-year exclusive marketing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Sponsors of human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help reduce the increased risk of the introduction of adventitious agents, the Public Health Service Act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Manufacturing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third-party manufacturers are subject to current Good Manufacturing Practices (“GMP”), which are extensive regulations governing manufacturing processes, including but not limited to stability testing, record-keeping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to ensure full compliance.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Law Compliance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and Reimbursement and Pricing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spacing w:after="0" w:line="267" w:lineRule="auto"/>
        <w:rPr>
          <w:sz w:val="20"/>
          <w:szCs w:val="20"/>
          <w:color w:val="auto"/>
        </w:rPr>
      </w:pPr>
      <w:r>
        <w:rPr>
          <w:rFonts w:ascii="Arial" w:cs="Arial" w:eastAsia="Arial" w:hAnsi="Arial"/>
          <w:sz w:val="17"/>
          <w:szCs w:val="17"/>
          <w:color w:val="auto"/>
        </w:rPr>
        <w:t>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Payors may require physicians to seek approval from them before a product will be reimbursed or covered, commonly referred to as prior authorization. In particular, many public and private health care payors limit reimbursement and coverage to the uses of a drug that is either approved by the FDA or appears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and State Regulatory Requirements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Centers for Medicare &amp; Medicaid Services, or CMS, has issued a final rule that implements a statutory requirement under the Healthcare Reform Act that requires applicable manufacturers of drugs, devices, biologicals, or medical supplies that are covered under Medicare, Medicaid, or the Children’s Health Insurance Program, or CHIP, to begin collecting and reporting annually information on payments or transfers of value to physicians and teaching hospitals, as well as investment interests held by physicians and their immediate family members. Manufacturers had to begin collecting information in 2013, with the first reports due in 2014. On September 30, 2014, CMS posted the first round of data in searchable form on a public website. Failure to submit required information may result in civil monetary penalties.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several states now require prescription drug companies to report expenses relating to the marketing and promotion of drug products and to report gifts and payments to individual physicians in these states. Other states prohibit various other marketing-related activities. Still other states require the posting of information relating to clinical trials and their outcomes. In addition, California, Connecticut, Nevada, and Massachusetts require pharmaceutical companies to implement compliance programs and/or marketing codes. Several additional states are considering similar proposals. Compliance with these laws is difficult and time consuming, and companies that do not comply with these state laws face civil penalties.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2018, we had 11 full-time employees. Three were in research and development and eight were in finance, legal, human resources or administrative support. None of our employees is subject to a collective bargaining agreement. We consider our relationship with our employees to be good.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www.markertherapeutics.com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it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sustained losses from operations in each fiscal year since our inception, and we expect losses to continue for the indefinite future due to the substantial investment in research and development. As of December 31, 2018, we had an accumulated deficit of approximately $306.1 million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does not gain regulatory approval, we may never generate revenue. Even if we generate revenue in the future, we may not be able to become profitable or sustain profitability in subsequent periods.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highly dependent upon our key personnel, and our ability to attract, retain, and motivate additional qualified personnel.</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Ann Leen, Ph.D., our Chief Scientific Officer, Juan Vera, M.D., our Chief Development Officer, and Mythili Koneru, M.D., Ph.D. our Senior Vice President, Clinical Development,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Baylor College of Medicine, or BCM, is dependent, in part, upon our relationship with key medical and scientific personnel and advisors.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MultiTAA T cell therapy has been developed through our collaboration with the Center for Cell and Gene Therapy at BCM, founded by Malcolm K. Brenner, M.D., Ph.D., a recognized pioneer in immuno-oncology. In addition to Dr. Brenner, Marker Cell’s founders include Ann Leen, Ph.D., Juan Vera, M.D., Helen Heslop, M.D., DSc (Hon) and Cliona Rooney, Ph.D., who all have significant experience in this field and are all affiliated with the Center for Cell and Gene Therapy at BCM. Dr. Leen and Dr. Vera are our Chief Scientific Officer and Chief Development Officer, respectively. In addition, Dr. Brenner, Dr. Heslop and Dr. Rooney have joined our newly-formed Scientific Advisory Board.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strategic relationship with BCM is dependent, in part, on our relationship with these key employees and advisors, and in particular Dr. Leen and Dr. Vera, who are also employed with the Center for Cell and Gene Therapy at BCM. If we lose Dr. Leen or Dr. Vera, or if either leaves their position at BCM, our relationship with BCM may deteriorate, and our business could be harmed.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key medical and scientific personnel, will need additional agreements in place with BCM to expand our development, manufacture, and clinical trial efforts.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 product candidates, we will need to enter into additional agreements with BCM with respect to (i) a strategic alliance to advance pre-clinical research, early stage clinical trials, and Phase II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multiple roles of certain of our officers and directors could limit their time and availability to us, and create, or appear to create, conflicts of interest.</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Dr. Leen and Dr. Vera are employees of BCM and are contractually obligated to spend a significant portion of their time with BCM. In addition, Dr. Leen and Dr. Vera are co-founders and members of ViraCyte and perform services from time to time for ViraCyte LLC (“ViraCyte”). ViraCyte is owned by the same principal stockholder group as Marker Cell prior to the Merger and has technology which is being developed under a license agreement with BCM by the same research group at BCM. ViraCyte is a clinical-stage biopharmaceutical company, which is investigating and developing virus-specific T cell therapy technology for the prevention and/or treatment of viral infections. Accordingly, Dr. Leen and Dr. Vera may have other commitments that would, at times, limit their availability to us. Other research being conducted by Dr. Leen and Dr. Vera may, at times, receive higher priority than research on our programs, which may, in turn, delay the development or commercialization of our product candidates.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John Wilson is a member, director and officer of ViraCyte and is a director of the Company. Dr. Leen and Dr. Vera are also co-founders and members of ViraCyte, and perform services for ViraCyte from time to time, and Dr. Vera is a director of the Company. All of these individuals have certain fiduciary or other obligations to us and certain fiduciary or other obligations to ViraCyte and, in the case of Dr. Leen and Dr. Vera, to BCM. Such multiple obligations may in the future result in a conflict of interest with respect to presenting other potential business opportunities to us or to ViraCyte.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us than for ViraCyte. Consequently, there is no assurance that these members of our board and management will always act in our best interests in all situations should a conflict arise.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II, Phase III, or other clinical trials we may conduct will demonstrate consistent or adequate efficacy and safety with respect to the proposed indication for use sufficient to receive regulatory approval or market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the immunotherapy from being commercialized.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once approved, market acceptance and commercial success would be reduced.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current Good Clinical Practices (“cGCPs”)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second half of 2012, BCM began enrollment of the investigator-sponsored, Phase 1 clinical trial to establish the feasibility of one of our lead products, MAPP, and to assess its overall safety, inclusion of multiple antigens, and dosage tolerance in patients with lymphoma. During the second quarter of 2016, BCM began enrollment of the investigator-sponsored Phase 1 clinical trial to establish the feasibility of one of our lead products, LAPP, and to assess its overall safety, inclusion of multiple antigens, and dosage tolerance in patients with acute myeloid leukemia (“AML”)/myelodysplastic syndromes (“MDS”). However, 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medical institutions, academic institutions, and clinical research organizations to conduct, supervise, or monitor some or all aspects of clinical trials involving our products.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while BCM will continue to support our trials with production of MAPP and LAPP T cells under contract, we anticipate that we will have to rely on third parties (contract manufacturing organizations or “CMOs”) or internal facilities yet to be developed for the commercial manufacture of our multi-antigen specific T cell therapy products for clinical trials and eventual licensure. If they fail to commence or complete, or experience delays in, manufacturing our multi-antigen specific T cell therapy products, our planned clinical trials with respect to such products will be delayed, and we may experience delays in our clinical development and/or commercialization plans.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encounter difficulties enrolling patients in our clinical trials, our clinical development activities could be delayed or otherwise adversely affected.</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2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225"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clinicians’ and patients’ perceptions of the potential advantages and side effects of the product candidate being studied in relation to other available therapies, including any new drugs or treatments that may be approved for the indications we are investigating;</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of cancer treatment, potential patients and their doctors may be inclined to use conventional therapies, such as chemotherapy and approved immunotherapies, rather than enroll patients in any future clinical trial. In addition, potential enrollees in our MultiTAA T cell product clinical trials may opt to participate in alternate clinical trials because of the length of time between the time that the patient’s or the donor’s blood is drawn and the time when the product is infused back into the patient.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we can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 T cell therapy products, are not normally encountered in the general patient population and by medical personnel. Any of these occurrences may harm our business, financial condition and prospects significantly.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MultiTAA T cell therapy research and development efforts are to a large extent dependent upon BCM’s investigators.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will take time to fully develop our research and development infrastructure. We currently depend upon and will continue to depend upon independent investigators and collaborators, such as BCM, and which in the future may include other universities, medical institutions, and strategic partners, to conduct our preclinical studies and clinical trials. If we need to enter into alternative arrangements, our product development activities would be delayed. Agreements with such third parties might terminate for a variety of reasons, including a failure to perform by the third parties.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We expect to use the results of BCM’s research to support the filing with the FDA of IND applications to conduct more advanced clinical trials of our products. However, we have limited control over the nature or timing of BCM’s clinical trials and limited visibility into their day-to-day activities. The research we are funding constitutes only a small portion of BCM’s overall research. Other research being conducted by Dr. Ann Leen and Dr. Juan Vera may at times receive higher priority than research on our programs. These factors could adversely affect the timing of our IND filings and our ability to conduct future planned clinical trials.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reviewing trial results, we or our collaborators may abandon products that we might previously have believed to be promising;</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testing is very expensive, can take many years, and the outcome is uncertain. For example, it can take as much as 12 months or more before we learn the results from any clinical trial using our MultiTAA T cell therapy. The data collected from our clinical trials may not be sufficient to support approval by the FDA of our MultiTAA T cell therapy-based product candidates for the treatment of hematological malignancies, or our Folate Receptor Alpha (TPIV200) product for breast and ovarian cancers, HER2/neu peptide antigen product (TPIV100/110) or possible future clinical trials utilizing our DNA expression PolyStart™ product.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own any facility that may be used as our clinical-scale manufacturing and processing facility. We currently rely on third-party Contract Manufacturing Organizations, or CMOs, for manufacture of our vaccine products. We anticipate we will initially rely solely on the Good Manufacturing Practices (“cGMP”) manufacturing facility within BCM for the manufacturing of our MultiTAA T cell therapy-based product candidates. If the cGMP manufacturing facility of BCM, which does manufacture for itself and other parties, experiences capacity constraints, disruptions, or delays in manufacturing our MultiTAA T cell therapy-based product candidate products,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 T cell therapy-based product candidates.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2019 or in 2020, we intend to begin developing additional cGMP manufacturing capacity of our own that would be capable of supporting our manufacturing needs with respect to our clinical trials, particularly with respect to pivotal studies. Our manufacturing strategy going forward will involve the use of one or more CMOs or we will establish our own capabilities and infrastructure, including a manufacturing facility.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7"/>
          <w:szCs w:val="17"/>
          <w:color w:val="auto"/>
        </w:rPr>
        <w:t>We expect that development of our own manufacturing facility could provide us with enhanced control of material supply for both clinical trials and the commercial market, enable the more rapid implementation of process changes, and allow for better long-term margins. However, we do not have any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manufacturing process for any products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Regardless of whether we engage additional CMOs to manufacture our products or establish our own manufacturing facility, in order to transfer our MultiTAA T cell manufacturing from or expand our manufacturing capabilities beyond BCM pursuant to our development plans, whether through additional third parties or by developing our own manufacturing capabilities, we will need access to the Standard Operating Procedures (“SOPs”) and the specific Batch Production Records that are used to manufacture the product candidates. If BCM fails to transfer our manufacturing processes or impedes our ability to transfer the manufacturing processes of its products to us or third-party manufacturers, our planned clinical trials and additional necessary manufacturing capabilities will be delayed, which will adversely affect our ability to conduct and further develop our business as currently planned.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dependent on third-party vendors to design, build, maintain and support our manufacturing and cell processing facilities.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our strategy to outsource our manufacturing, we will rely very heavily on BCM and other third-party manufacturers to perform the manufacturing of our products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products for regulatory approval or the market introduction and subsequent sales of our products. Any such delay may lower our revenues and potential profitability. If any third party breaches or terminates its agreement with us or fails to conduct its activities in a timely manner, the commercialization of our products under development could be slowed down or blocked completely. It is possible that third parties relied upon by us will change their strategic focus, pursue alternative technologies, or develop alternative products,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depend on a limited number of vendors for supply of certain materials and equipment used in the manufacture of our MultiTAA T cell therapy-based product candidates. For example, we will purchase equipment and reagents critical for the manufacture of our product candidates from Wilson Wolf (a company controlled by John Wilson, who is a director of the Company),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 continue to develop and scale our manufacturing process, we may need to obtain rights to and supplies of specific materials and equipment to be used as part of that process. For example, our MultiTAA T cell manufacturing process is based, in part, upon the G-Rex® cell culture device manufactured by Wilson Wolf, which is used by many cell therapy developers, both in commercial and academic settings. We do not own any exclusive rights to the G-Rex® that could be used to prevent third parties from developing similar and competing processes.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For example, the manufacture of our MultiTAA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differences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color w:val="auto"/>
        </w:rPr>
        <w:t>Because our MultiTAA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Currently, our product candidates are manufactured using processes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MultiTAA-based products is dependent.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cooperation with our potential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products in a cGMP facility is subject to many uncertainties and difficulties. We have never manufactured our adoptive T cell therapy product candidate on any scale, commercially or otherwise. As a result, we cannot give any assurance that we will be able to establish a manufacturing process that can produce our products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MultiTAA-based products from existing products may require us to perform additional testing, which will increase the cost, and extend the time for obtaining approval.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MultiTAA T cell therapy platform is based on the adoptive T cell therapy technology that we licensed from BCM and that is presently available as a physician-sponsored investigational therapy at BCM for the treatment of lymphoma, AML/MDS, multiple myeloma and select solid tumors in the U.S. The current method of treatment is labor intensive and expensive. We are performing process optimization that we anticipate will enable more efficient manufacturing of our products. We may have difficulty demonstrating that the products produced from our new processes are identical to the existing products. The FDA may require additional clinical testing before permitting a larger clinical trial with the new processes, and the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may enter into one or more transactions with entities controlled by one of our directors, which could pose a conflict of interest.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John Wilson, a director of the Company, is also CEO and co-founder of Wilson Wolf, which is the sole source vendor that provides us with the G-Rex® cell culture device for the large-scale production of T cells used in our manufacturing process. We do not currently have a supply contract with Wilson Wolf for the G-Rex®. We plan to negotiate a supply contract with Wilson Wolf for the purchase of G-Rex® devices. We have engaged Wilson Wolf in discussions to customize the G-Rex® further to optimally match our manufacturing requirements, as well as to develop a scalability plan to drive efficiencies for a commercial product. There may be conflicts of interest between us and Wilson Wolf. There can be no assurance that Wilson Wolf will agree to enter into any contract with us, or that the terms of any such agreements will be in the best interests of us or will have terms no less favorable to us than could have been obtained from unaffiliated third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testing is expensive, time-consuming, and subject to uncertainty. We cannot guarantee that any clinical studies will be conducted as planned or completed on schedule, if at all. BCM has submitted INDs to the FDA, which allow the use of MAPP T cells and LAPP T cells for human clinical testing. BCM initiated its first clinical trials for our product candidate, MAPP, in 2012, and clinical trials for LAPP in 2016. Issues may yet arise that could suspend or terminate such clinical trials. We intend to file one or more new INDs to advance these products into Phase II clinical trials, and any delay in filing these INDs may have a material adverse impact on our ability to advance clinical studies in accordance with management’s plans. A failure of one or more clinical studies can occur at any stage of testing, and our future clinical studies may not be successful. Events that may prevent successful or timely completion of clinical development include:</w:t>
      </w:r>
    </w:p>
    <w:p>
      <w:pPr>
        <w:spacing w:after="0" w:line="18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may not allow us to use the clinical trial data from a research institution to support an IND, if we cannot demonstrate the comparability of our product candidates with the product candidate used by the relevant research institution in our clinical studies;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approval at each clinical study site;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departure of a principal investigator from a clinical site, which could cause delays in conducting the clinical trial at a particular clinical site;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(“cGCPs”) requirements, or applicable regulatory guidelines in other countries;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our deciding, or regulators requiring us, to conduct additional clinical studies or abandon product development programs;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transfer of manufacturing processes for MultiTAA T cells from BCM to our contract manufacturers or other larger-scale facilities operated by a CMO, delays or failure by our CMOs or us to make any necessary changes to such manufacturing process, and any inability to obtain all necessary reagents for manufacturing the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shutdown of our sole manufacturing site at BCM for MultiTAA T cells, which would render us unable to produce such products for clinical trials;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transportation between the clinical site and manufacturing facility;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in manufacturing, testing, release, validating, or import/export of sufficient stable quantities of our product candidates for use in clinical studies or the inability to do any of the foregoing, including any quality issues associated with the contract manufacturer.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may conduct clinical and preclinical research in collaboration with other biotechnology and biologics entities in which we combine our technologies with those of our collaborators. Such collaborations may be subject to additional delays because of the management of the trials and the necessity of obtaining additional approvals for therapeutics used in the combination trials. These combination therapies will require additional testing and clinical trials will require additional FDA regulatory approval and will increase our future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or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commercialize our product candidates successfully and may harm our business and the results of our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with the USPTO.</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7" w:lineRule="exact"/>
        <w:rPr>
          <w:sz w:val="20"/>
          <w:szCs w:val="20"/>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products, pay licensing fees or cease activities.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us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products conflict with patent rights of others, third parties could bring legal actions against us or our collaborators, licensees, suppliers or customers, claiming damages and seeking to enjoin manufacturing and marketing of the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6"/>
          <w:szCs w:val="16"/>
          <w:i w:val="1"/>
          <w:iCs w:val="1"/>
          <w:color w:val="auto"/>
        </w:rPr>
        <w:t>inter-partes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7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 product candidates. As a result of these in-licenses, we could lose the right to develop each of the technologies if:</w:t>
      </w:r>
    </w:p>
    <w:p>
      <w:pPr>
        <w:spacing w:after="0" w:line="187"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limited financial resources from which to budget and allocate among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for acceptance of our immunotherapies;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it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jc w:val="center"/>
        <w:ind w:left="5640" w:right="1000" w:hanging="4984"/>
        <w:spacing w:after="0" w:line="528" w:lineRule="auto"/>
        <w:tabs>
          <w:tab w:leader="none" w:pos="13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its research and development programs or the commercialization, marketing or distribution of its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newly developed MultiTAA T cell technology from BCM and others.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important element of our intellectual property portfolio is to license additional rights and technologies from BCM. Our inability to license the rights and technologies that we have identified, or newly developed MultiTAA T cell technology that we may in the future identify, could have a material adverse impact on our ability to complete the development of our products or to develop additional products.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often approves new oncology therapies initially only for use in patients with relapsed or refractory metastatic disease. We expect to initially seek approval of our product candidates in this setting. Subsequently, for those products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LAPP,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milestone payments under our license agreement with BCM, and we must meet certain milestones to maintain our license rights.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our license agreement with BCM for our MultiTAA T cell therapy technologies, we are currently required to pay both substantial milestone payments and royalties to BCM based on our revenues from sales of our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There is no assurance that we will be successful in meeting all of the milestones in the future on a timely basis or at all.</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but shall not include the “Merger”)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MultiTAA T cell therapy may be provided to patients in combination with other agents provided by third parties. The cost of such combination therapy may increase the overall cost of MultiTAA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in the field of cancer therapy is intense and is accentuated by the rapid pace of technological development. Research and discoveries by others may result in breakthroughs that may render our products obsolete even before they generate any revenue. There are products currently under development by others that could compete with the products that we are developing. Many of our potential competitors have substantially greater research and development capabilities and manufacturing, marketing, financial and managerial resources than we have. Our competitors may:</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and AdaptImmune, which are focused on genetically engineered T cell technologies to treat cancer, may also be competitors. Furthermore, companies such as Iovance, Immatics, WindMIL Therapeutics, Mana Therapeutics and Torque Therapeutics are developing non-genetically modified T cell therapies such as Tumor Infiltrating Lymphocytes (“TIL”) and Marrow Infiltrating Lymphocytes (“MIL”) therapies that may compete with our products.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lead product candidate, LAPP, is a therapy for the treatment of refractory AML. Currently, there are numerous companies that are developing various alternate treatments for AML. Accordingly, LAPP faces significant competition in the AML treatment space from multiple companies. Even if we obtain regulatory approval for LAPP, the availability and price of competitors’ products could limit the demand and the price we will be able to charge for our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products for use in limited circumstances.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121"/>
        </w:rPr>
        <w:t>We maintain cybersecurity insurance, however, an incident may exceed our coverage premiums.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121"/>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121"/>
        </w:rPr>
        <w:t>We may incur costs of addressing a cybersecurity incident.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121"/>
        </w:rPr>
        <w:t>Cybersecurity incidents have increased in number and severity recently and it is expected that these trends will continue. Should we be affected by such an incident, we may incur substantial costs and suffer other negative consequences, which may include:</w:t>
      </w:r>
    </w:p>
    <w:p>
      <w:pPr>
        <w:spacing w:after="0" w:line="17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212121"/>
        </w:rPr>
      </w:pPr>
      <w:r>
        <w:rPr>
          <w:rFonts w:ascii="Arial" w:cs="Arial" w:eastAsia="Arial" w:hAnsi="Arial"/>
          <w:sz w:val="18"/>
          <w:szCs w:val="18"/>
          <w:color w:val="212121"/>
        </w:rPr>
        <w:t>investigation costs and costs to engage specialized consultants;</w:t>
      </w:r>
    </w:p>
    <w:p>
      <w:pPr>
        <w:spacing w:after="0" w:line="225" w:lineRule="exact"/>
        <w:rPr>
          <w:rFonts w:ascii="Arial" w:cs="Arial" w:eastAsia="Arial" w:hAnsi="Arial"/>
          <w:sz w:val="18"/>
          <w:szCs w:val="18"/>
          <w:color w:val="212121"/>
        </w:rPr>
      </w:pPr>
    </w:p>
    <w:p>
      <w:pPr>
        <w:ind w:left="980" w:hanging="324"/>
        <w:spacing w:after="0" w:line="277" w:lineRule="auto"/>
        <w:tabs>
          <w:tab w:leader="none" w:pos="980" w:val="left"/>
        </w:tabs>
        <w:numPr>
          <w:ilvl w:val="0"/>
          <w:numId w:val="39"/>
        </w:numPr>
        <w:rPr>
          <w:rFonts w:ascii="Arial" w:cs="Arial" w:eastAsia="Arial" w:hAnsi="Arial"/>
          <w:sz w:val="18"/>
          <w:szCs w:val="18"/>
          <w:color w:val="212121"/>
        </w:rPr>
      </w:pPr>
      <w:r>
        <w:rPr>
          <w:rFonts w:ascii="Arial" w:cs="Arial" w:eastAsia="Arial" w:hAnsi="Arial"/>
          <w:sz w:val="18"/>
          <w:szCs w:val="18"/>
          <w:color w:val="212121"/>
        </w:rPr>
        <w:t>remediation costs, such as liability for stolen assets or information, repairs of system damage, and incentives to customers or business partners in an effort to maintain relationships after an attack; and</w:t>
      </w:r>
    </w:p>
    <w:p>
      <w:pPr>
        <w:spacing w:after="0" w:line="170" w:lineRule="exact"/>
        <w:rPr>
          <w:rFonts w:ascii="Arial" w:cs="Arial" w:eastAsia="Arial" w:hAnsi="Arial"/>
          <w:sz w:val="18"/>
          <w:szCs w:val="18"/>
          <w:color w:val="212121"/>
        </w:rPr>
      </w:pPr>
    </w:p>
    <w:p>
      <w:pPr>
        <w:ind w:left="980" w:hanging="324"/>
        <w:spacing w:after="0"/>
        <w:tabs>
          <w:tab w:leader="none" w:pos="980" w:val="left"/>
        </w:tabs>
        <w:numPr>
          <w:ilvl w:val="0"/>
          <w:numId w:val="39"/>
        </w:numPr>
        <w:rPr>
          <w:rFonts w:ascii="Arial" w:cs="Arial" w:eastAsia="Arial" w:hAnsi="Arial"/>
          <w:sz w:val="18"/>
          <w:szCs w:val="18"/>
          <w:color w:val="212121"/>
        </w:rPr>
      </w:pPr>
      <w:r>
        <w:rPr>
          <w:rFonts w:ascii="Arial" w:cs="Arial" w:eastAsia="Arial" w:hAnsi="Arial"/>
          <w:sz w:val="18"/>
          <w:szCs w:val="18"/>
          <w:color w:val="212121"/>
        </w:rPr>
        <w:t>litigation and legal risks, including regulatory actions by state and federal regulators.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adoptive T cell therapy using MultiTAA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products until we obtain FDA approval, and so any delay in obtaining, or inability to obtain, FDA approval would harm our proposed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not previously submitted a Biologics License Application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spacing w:after="0" w:line="16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67" w:lineRule="exact"/>
        <w:rPr>
          <w:sz w:val="20"/>
          <w:szCs w:val="20"/>
          <w:color w:val="auto"/>
        </w:rPr>
      </w:pPr>
    </w:p>
    <w:p>
      <w:pPr>
        <w:ind w:left="1300" w:right="2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 These executive orders and legislative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providers are subject to Medicare payment reductions of 2% per fiscal year through 2027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will begin in 2019.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Further, there has been heightened governmental scrutiny in the United States of pharmaceutical pricing practices in light of the rising cost of prescription drugs and biologics.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7"/>
          <w:szCs w:val="17"/>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9, 2015, we announced that we received Orphan Drug Designation from the FDA’s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of new collaboration agreements with strategic partners or developments by our existing collaboration partners;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large blocks of our stock and sales by insiders and our institutional investors;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affecting BCM,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discussion of the Company or our stock price by the financial and scientific press and in online investor communities.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shares upon the exercise of outstanding warrants or the issuance of preferred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and biotech industries generally;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its securities and the ability of stockholders to sell its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Exchange Act. If we fail to file such reports in a timely manner, or if we fail to meet any other listing requirements, the shares of our common stock would eventually cease to be listed on the Nasdaq Capital Market, and the market liquidity for our securities could be severely adversely affected by limiting the ability of broker-dealers to sell its securities and the ability of stockholders to sell their securities in the secondary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currently authorized to issue 150 million shares of our common stock. As of December 31, 2018, we had 45,440,704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2018, there were outstanding warrants to purchase up to approximately 23.0 million shares of our common stock at a weighted average exercise price of $4.78 per share, and options exercisable for an aggregate of approximately 4.1 million shares of common stock at a weighted average exercise price of $8.69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2018, the fair value of the derivative liability-warrants was $49,000.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own any real estate or other properties. We lease office space at 5 West Forsyth Street, Suite 200, Jacksonville, Florida 32202, for our principal business office on a five-year agreement due to expire on June 30, 2022. The base rent is approximately $8,600 per month.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we leased office space at 3200 Southwest Freeway, Suite 2240, Houston, Texas 77027 on a three-year agreement set to expire in November 2021 (the “Houston Office”).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2019, we announced the relocation of our corporate headquarters from the Jacksonville location to the Houston Office. Base rent is approximately $10,000 per month.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also rent an office at the Florida Atlantic Research and Development Authority at 3651 FAU Blvd, Boca Raton, Florida on a month by month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monthly rent for the Boca Raton space is approximately $800 per month.</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2019, we leased a dedicated portion of an existing laboratory located at the Texas Medical Center in Houston for the purpose of conducting laboratory research and other laboratory related activities. The laboratory, referred to as JLABS, was established by Johnson &amp; Johnson at the Texas Medical Center to provide space for research and development stage entities. We signed an 11-month license, which automatically renews for 3-month successive periods for two dedicated suites and access to common space of approximately 20,000 square feet of the JLABS premises located at the Texas Medical Center. The base rent is $6,000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were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for trading on the Nasdaq Capital Market under the symbol “MRKR”. As of February 28, 2019, we had 492 stockholders of record whom are holding shares. The price of our common stock on February 28, 2019 was $6.22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the issuances of the following unregistered securities during the fourth quarter of 2018 pursuant to exemptions under the Securities Act of 1933, including Section 4(2):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2018, 65,000 shares of common stock were issued pursuant to third parties consisting of (i) 50,000 shares to Caro Capital for services pursuant to a vendor agreement and (ii) 15,000 shares to Omnicor Media for services pursuant to a vendor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2018 and December 31, 2017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cell-based immunotherapies and innovative peptide-based vaccines for the treatment of hematological malignancies and solid tumor indications. Our MultiTAA T cell technology is based on the selective expansion of non-engineered, tumor-specific T cells that recognize tumor associated antigens (“TAA” i.e. tumor targets) and kill tumor cells expressing those targets. Once infused into patients, this population of T cells recognizes multiple tumor targets to produce broad spectrum anti-tumor activity. Because we do not genetically engineer our T cells, when compared to current engineered chimeric antigen receptor (“CAR”) and T cell receptor (“TCR”)-based approaches, our products are significantly less expensive to manufacture and appear to be markedly less toxic, and yet are associated with meaningful clinical benefit. As a result, we believe our portfolio of T cell therapies has a compelling therapeutic product profile, as compared to current gene-modified CAR and TCR-based therapies. In addition, our Folate Receptor Alpha program (TPIV200) for breast and ovarian cancers and our HER2/neu program (TPIV100/110) are in Phase II clinical trials. In parallel, we are developing a proprietary nucleic acid-based antigen expression technology named PolyStart™ to improve the ability of the immune system to recognize and destroy diseased cells.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Immuno-oncology, which utilizes a patient’s own immune system to combat cancer, is one of the most actively pursued areas of research by biotechnology and pharmaceutical companies today. Interest and excitement about immunotherapy are driven by compelling efficacy data in cancers with historically bleak outcomes, and the potential to achieve a cure or functional cure for some patients. Harnessing the power of the immune system is an important component of fighting cancerous cells in the body. Our MultiTAA T cell therapy platform identifies and selects effectively all T cells that are specific for any peptide from the antigens that we target (e.g., WT1, MAGE-A4, PRAME, Survivin, NY-ESO-1, and SSX2). Our in-vitro manufacturing process promotes proliferation of very rare cancer-killing T cells and augments their anti-tumor properties to provide benefit to patients following their infusion. By using the multi-antigen targeted approach, our proprietary technology can kill heterogeneous tumor cell populations more effectively than single-antigen targeted approaches, thereby reducing the likelihood of tumor escape and potentially increasing the durability of a patient’s response to therapy.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Change in Headquarters. </w:t>
      </w:r>
      <w:r>
        <w:rPr>
          <w:rFonts w:ascii="Arial" w:cs="Arial" w:eastAsia="Arial" w:hAnsi="Arial"/>
          <w:sz w:val="17"/>
          <w:szCs w:val="17"/>
          <w:color w:val="auto"/>
        </w:rPr>
        <w:t>On February 15, 2019 we announced a change in our corporate headquarters from Jacksonville, Florida to Houston, Texas.</w:t>
      </w:r>
    </w:p>
    <w:p>
      <w:pPr>
        <w:spacing w:after="0" w:line="2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Presentations at American Society for Blood and Marrow Transplantation and the </w:t>
      </w:r>
      <w:r>
        <w:rPr>
          <w:rFonts w:ascii="Arial" w:cs="Arial" w:eastAsia="Arial" w:hAnsi="Arial"/>
          <w:sz w:val="16"/>
          <w:szCs w:val="16"/>
          <w:b w:val="1"/>
          <w:bCs w:val="1"/>
          <w:i w:val="1"/>
          <w:iCs w:val="1"/>
          <w:color w:val="auto"/>
        </w:rPr>
        <w:t>Center for International Blood and Marrow Transplant Research</w:t>
      </w:r>
      <w:r>
        <w:rPr>
          <w:rFonts w:ascii="Arial" w:cs="Arial" w:eastAsia="Arial" w:hAnsi="Arial"/>
          <w:sz w:val="16"/>
          <w:szCs w:val="16"/>
          <w:b w:val="1"/>
          <w:bCs w:val="1"/>
          <w:color w:val="auto"/>
        </w:rPr>
        <w:t xml:space="preserve"> (ASBMT and CIBMTR). </w:t>
      </w:r>
      <w:r>
        <w:rPr>
          <w:rFonts w:ascii="Arial" w:cs="Arial" w:eastAsia="Arial" w:hAnsi="Arial"/>
          <w:sz w:val="16"/>
          <w:szCs w:val="16"/>
          <w:color w:val="auto"/>
        </w:rPr>
        <w:t>Between February 20-23, 2019, four abstracts, including three oral presentations, were presented at the Transplantation &amp; Cellular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Therapy (TCT) Meetings of the American Society for Blood and Marrow Transplantation and the </w:t>
      </w:r>
      <w:r>
        <w:rPr>
          <w:rFonts w:ascii="Arial" w:cs="Arial" w:eastAsia="Arial" w:hAnsi="Arial"/>
          <w:sz w:val="16"/>
          <w:szCs w:val="16"/>
          <w:i w:val="1"/>
          <w:iCs w:val="1"/>
          <w:color w:val="auto"/>
        </w:rPr>
        <w:t>Center for International Blood and Marrow Transplant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(ASBMT and CIBMTR). The studies summarize data achieved using multi-tumor antigen specific T cells that were developed at Baylor College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in the laboratories of Dr. Swati Naik, Dr. Ann Leen, Dr. Premal Lulla and Dr. Juan Vera, and exclusively licensed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Presentations at 60th American Society of Hematology Annual Meeting (ASH 2018). </w:t>
      </w:r>
      <w:r>
        <w:rPr>
          <w:rFonts w:ascii="Arial" w:cs="Arial" w:eastAsia="Arial" w:hAnsi="Arial"/>
          <w:sz w:val="18"/>
          <w:szCs w:val="18"/>
          <w:color w:val="auto"/>
        </w:rPr>
        <w:t>Between December 1-3, 2018 three presentations, including one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presentation were presented at 60th American Society of Hematology Annual Meeting. The studies describe results achieved using multi-tumor antigen specific T cells that were developed at the Baylor College of Medicine in the laboratories of Dr. Swati Naik, Dr. Premal Lulla, Dr. Ann Leen and Dr. Juan Vera, and exclusively licensed to Marker.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On October 17, 2018, the Company completed its previously announced acquisition with Marker Cell Therapy, Inc., formerly known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issuance of the shares of Company common stock to the former stockholders of Marker Cell in connection with the Merger and related transactions was approved by the Company’s stockholders at the 2018 annual meeting of stockholders (the “2018 Annual Meeting”) held on October 16, 2018.</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the Company filed an amendment to its articles of incorporation in Nevada to increase the authorized shares of common stock from 41,666,667 shares to 150,000,000 shares and to change the Company’s name to Marker Therapeutics, Inc. (“Certificate of Amendment”). The Company then reincorporated from a Nevada corporation to a Delaware corporation and filed its certificate of incorporation in Delaware. Finally, a certificate of merger was filed in Delaware to merge Marker Cell Therapy, Inc. (f/k/a Marker Therapeutics, Inc.) with and into Merger Sub, with Marker Cell Therapy, Inc. being the surviving corporation and wholly owned subsidiary of the Company. The name change, reincorporation and Merger were all effective as of October 17, 2018. Beginning as of the market open on October 18, 2018, shares of the Company’s common stock commenced trading on The Nasdaq Capital Market under its new ticker symbol “MRKR”.</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Securities Purchase Agreements</w:t>
      </w:r>
      <w:r>
        <w:rPr>
          <w:rFonts w:ascii="Arial" w:cs="Arial" w:eastAsia="Arial" w:hAnsi="Arial"/>
          <w:sz w:val="17"/>
          <w:szCs w:val="17"/>
          <w:color w:val="auto"/>
        </w:rPr>
        <w:t>. On October 17, 2018, concurrent with the completion of the Merger, the Company issued to certain accredited investors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private placement transaction (the “Financing”), an aggregate of 17,500,000 shares of its common stock, and warrants to purchase 13,437,500 shares of common stock at an exercise price of $5.00 per share with a five-year term, for aggregate proceeds of $70 million pursuant to the terms of the Securities Purchase Agreements, dated June 8, 2018, by and among the Company and certain accredited investors.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taking into account the issuance of shares in the Financing described above, immediately following the effective time of the Merger, the pro forma ownership of the issued and outstanding shares of Company common stock on a fully diluted basis (assuming all issued and outstanding warrants and options are exercised) was approximately as follows: Marker Cell’s former stockholders 27.5%, Company stockholders prior to the Merger 27.5%, and the private placement stockholders 45%. Following the completion of the Merger and the Financing, there were 45,328,510 issued and outstanding shares of the Company’s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Products and Technology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our products and technologies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6003290" cy="48882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3290" cy="488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MultiTAA T Cell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two MultiTAA T cell products through clinical development:</w:t>
      </w:r>
    </w:p>
    <w:p>
      <w:pPr>
        <w:spacing w:after="0" w:line="225" w:lineRule="exact"/>
        <w:rPr>
          <w:sz w:val="20"/>
          <w:szCs w:val="20"/>
          <w:color w:val="auto"/>
        </w:rPr>
      </w:pPr>
    </w:p>
    <w:p>
      <w:pPr>
        <w:ind w:left="660" w:hanging="328"/>
        <w:spacing w:after="0" w:line="274"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Mixed Antigen Peptide Pool (“MAPP”) T cells is a product currently being studied for patients with lymphoma, multiple myeloma and selected solid tumors in Phase 1. MAPP is an autologous product that targets the NY-ESO-1, PRAME, MAGE-A4, Survivin and SSX2 antigens, and</w:t>
      </w:r>
    </w:p>
    <w:p>
      <w:pPr>
        <w:jc w:val="both"/>
        <w:ind w:left="6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Leukemia Antigen Peptide Pool (“LAPP”) T cells is a product currently being studied for patients with AML and MDS in Phase 1. LAPP is an allogeneic product targeting the WT1, NY-ESO-1, PRAME, and Survivin antigens and the stem cell donor is used as the source of the cells manufactured for therapy.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the blood source and the antigens for stimulation differ between the LAPP and the MAPP products, the manufacturing process for each product is otherwise identical.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7"/>
          <w:szCs w:val="17"/>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 to the problem of tumor heterogeneity was to develop T cell products that simultaneously attack multiple tumor-expressed antigens and thereby enable more complete initial tumor targeting, thus minimizing the subsequent opportunity for the cancer to engage escape mechanisms. Of note, data suggest this strategy may be responsible for recruitment and activation of unique cancer-killing cells from the patient’s own immune repertoire to participate in cancer eradication, further minimizing the possibility for tumor cell escape.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proprietary MultiTAA T cell platform may have meaningful advantages over current CAR-T and TCR cell therapy approaches. Compared to current gene-modified T cell therapies, our programs are characterized by the following:</w:t>
      </w:r>
    </w:p>
    <w:p>
      <w:pPr>
        <w:spacing w:after="0" w:line="166" w:lineRule="exact"/>
        <w:rPr>
          <w:sz w:val="20"/>
          <w:szCs w:val="20"/>
          <w:color w:val="auto"/>
        </w:rPr>
      </w:pPr>
    </w:p>
    <w:p>
      <w:pPr>
        <w:jc w:val="both"/>
        <w:ind w:left="660" w:hanging="4"/>
        <w:spacing w:after="0" w:line="281" w:lineRule="auto"/>
        <w:tabs>
          <w:tab w:leader="none" w:pos="763"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Demonstrated clinical benefit, without the need for lymphodepletion before infusion: </w:t>
      </w:r>
      <w:r>
        <w:rPr>
          <w:rFonts w:ascii="Arial" w:cs="Arial" w:eastAsia="Arial" w:hAnsi="Arial"/>
          <w:sz w:val="17"/>
          <w:szCs w:val="17"/>
          <w:color w:val="auto"/>
        </w:rPr>
        <w:t>In BCM’s Phase I lymphoma study, we saw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responses (“CRs”) in 50 – 60% of its evaluable patients. We believe it is significant that no patient with a CR has subsequently relapsed with disease, whereas typically 30% or more of patients with CR in reported CAR-T studies relapse within one year. In patient results to date, observed therapeutic responses appear to be highly durable, with some patients being relapse-free beyond five years.</w:t>
      </w:r>
    </w:p>
    <w:p>
      <w:pPr>
        <w:spacing w:after="0" w:line="164" w:lineRule="exact"/>
        <w:rPr>
          <w:rFonts w:ascii="Arial" w:cs="Arial" w:eastAsia="Arial" w:hAnsi="Arial"/>
          <w:sz w:val="17"/>
          <w:szCs w:val="17"/>
          <w:color w:val="auto"/>
        </w:rPr>
      </w:pPr>
    </w:p>
    <w:p>
      <w:pPr>
        <w:jc w:val="both"/>
        <w:ind w:left="660" w:hanging="4"/>
        <w:spacing w:after="0" w:line="266" w:lineRule="auto"/>
        <w:tabs>
          <w:tab w:leader="none" w:pos="75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Non-gene-modified</w:t>
      </w:r>
      <w:r>
        <w:rPr>
          <w:rFonts w:ascii="Arial" w:cs="Arial" w:eastAsia="Arial" w:hAnsi="Arial"/>
          <w:sz w:val="18"/>
          <w:szCs w:val="18"/>
          <w:color w:val="auto"/>
        </w:rPr>
        <w:t>: Unlike CAR-T and TCR approaches, our therapy requires no genetic modification of T cells, a costly and complex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that significantly complicates the manufacturing of a patient product. We believe our therapy can be manufactured at a fraction of the cost of a gene-modified T cell product, with substantially reduced complexity of manufacturing.</w:t>
      </w:r>
    </w:p>
    <w:p>
      <w:pPr>
        <w:spacing w:after="0" w:line="176" w:lineRule="exact"/>
        <w:rPr>
          <w:rFonts w:ascii="Arial" w:cs="Arial" w:eastAsia="Arial" w:hAnsi="Arial"/>
          <w:sz w:val="18"/>
          <w:szCs w:val="18"/>
          <w:color w:val="auto"/>
        </w:rPr>
      </w:pPr>
    </w:p>
    <w:p>
      <w:pPr>
        <w:jc w:val="both"/>
        <w:ind w:left="660" w:hanging="4"/>
        <w:spacing w:after="0" w:line="261" w:lineRule="auto"/>
        <w:tabs>
          <w:tab w:leader="none" w:pos="75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Low incidence rate of adverse events</w:t>
      </w:r>
      <w:r>
        <w:rPr>
          <w:rFonts w:ascii="Arial" w:cs="Arial" w:eastAsia="Arial" w:hAnsi="Arial"/>
          <w:sz w:val="18"/>
          <w:szCs w:val="18"/>
          <w:color w:val="auto"/>
        </w:rPr>
        <w:t>: In 78 patients treated to date, we have seen only one grade III adverse reaction considered possibly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our therapy. This appears to compare favorably with published CD19 CAR-T studies, wherein up to 95% of patients had associated grade III or higher adverse events during treatment. We believe that it is notable that there have been no cases of cytokine-release syndrome (“CRS”), or related serious adverse events (“SAEs”) in patients treated with MAPP or LAPP therapy to date.</w:t>
      </w:r>
    </w:p>
    <w:p>
      <w:pPr>
        <w:spacing w:after="0" w:line="180" w:lineRule="exact"/>
        <w:rPr>
          <w:rFonts w:ascii="Arial" w:cs="Arial" w:eastAsia="Arial" w:hAnsi="Arial"/>
          <w:sz w:val="18"/>
          <w:szCs w:val="18"/>
          <w:color w:val="auto"/>
        </w:rPr>
      </w:pPr>
    </w:p>
    <w:p>
      <w:pPr>
        <w:jc w:val="both"/>
        <w:ind w:left="660" w:hanging="4"/>
        <w:spacing w:after="0" w:line="303" w:lineRule="auto"/>
        <w:tabs>
          <w:tab w:leader="none" w:pos="75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Capable of addressing a broad repertoire of cancer cells</w:t>
      </w:r>
      <w:r>
        <w:rPr>
          <w:rFonts w:ascii="Arial" w:cs="Arial" w:eastAsia="Arial" w:hAnsi="Arial"/>
          <w:sz w:val="16"/>
          <w:szCs w:val="16"/>
          <w:color w:val="auto"/>
        </w:rPr>
        <w:t>: While CAR-T and TCR therapies generally target a single epitope, our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selects for T cells that are specific for multiple peptides derived from several targeted antigens. Deep gene sequencing of our products shows that a typical patient dose usually consists of approximately 4,000 unique T cell clonotypes targeting up to five different tumor-associated antigens. In layman’s terms, the five antigen targets can be recognized by a very wide range of T cells, facilitating robust killing of targeted cancer cells.</w:t>
      </w:r>
    </w:p>
    <w:p>
      <w:pPr>
        <w:spacing w:after="0" w:line="151" w:lineRule="exact"/>
        <w:rPr>
          <w:rFonts w:ascii="Arial" w:cs="Arial" w:eastAsia="Arial" w:hAnsi="Arial"/>
          <w:sz w:val="16"/>
          <w:szCs w:val="16"/>
          <w:color w:val="auto"/>
        </w:rPr>
      </w:pPr>
    </w:p>
    <w:p>
      <w:pPr>
        <w:jc w:val="both"/>
        <w:ind w:left="660" w:hanging="4"/>
        <w:spacing w:after="0" w:line="298" w:lineRule="auto"/>
        <w:tabs>
          <w:tab w:leader="none" w:pos="75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Appears to drive endogenous immune responses</w:t>
      </w:r>
      <w:r>
        <w:rPr>
          <w:rFonts w:ascii="Arial" w:cs="Arial" w:eastAsia="Arial" w:hAnsi="Arial"/>
          <w:sz w:val="16"/>
          <w:szCs w:val="16"/>
          <w:color w:val="auto"/>
        </w:rPr>
        <w:t>: We see evidence of “epitope spreading” in our patients, meaning that our therapy is potentially</w:t>
      </w:r>
      <w:r>
        <w:rPr>
          <w:rFonts w:ascii="Arial" w:cs="Arial" w:eastAsia="Arial" w:hAnsi="Arial"/>
          <w:sz w:val="16"/>
          <w:szCs w:val="16"/>
          <w:b w:val="1"/>
          <w:bCs w:val="1"/>
          <w:color w:val="auto"/>
        </w:rPr>
        <w:t xml:space="preserve"> </w:t>
      </w:r>
      <w:r>
        <w:rPr>
          <w:rFonts w:ascii="Arial" w:cs="Arial" w:eastAsia="Arial" w:hAnsi="Arial"/>
          <w:sz w:val="16"/>
          <w:szCs w:val="16"/>
          <w:color w:val="auto"/>
        </w:rPr>
        <w:t>inducing an enhanced response by the patient’s own T cells (specific for an expanded set of tumor-associated antigens beyond those targeted by our infused product). Our correlative analyses show expansion of endogenous T cells, other than those present in our product, in the months following the infusion of our product. This phenomenon, also known as “antigen spreading,” is potentially important in generating a durable response for a patient, because it enables the killing of tumors that do not express any of the antigens initially targeted by our product.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Folate Receptor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creating a very important and urgent clinical need for a new therapeutic strategy. Time to recurrence is relatively short for ovarian cancer and survival prognosis is extremely poor after recurrence. In the United States alone, there are approximately 30,000 ovarian cancer patients and 40,000 triple-negative breast cancer patients newly diagnosed every year. The FRa vaccine (now called TPIV200) intended to treat these conditions is composed of a mixture of five FRa immunogenic peptides adjuvanted with low-dose granulocyte-macrophage colony-stimulating factor (“GM-CSF”).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GMP Manufacturing Scale Up of TPIV200 and Production to Supply Additional Phase II Clinical Trials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developed a commercial-quality lyophilized formulation of the TPIV200 peptides in a single vial for reconstitution and injection. Multi-gram peptide production scale-up has been successfully concluded, and so has the GMP manufacturing of a recent clinical lot of the TPIV200 peptides. The supply will be used in the company’s ongoing Phase II study in platinum-sensitive ovarian cancer, as well as the 280-patient Phase II study sponsored by the Mayo Foundation and funded by the U.S. Department of Defense (“DoD”) for treating triple-negative breast cancer. We also made various improvements to the vaccine manufacturing process, resulting in what we believe to be a superior formulation of the vaccine that is more amenable to large-scale manufacturing and commercialization. Thus, Good Manufacturing Practice (“GMP”) manufacturing development for the Phase II trials has been completed.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 – </w:t>
      </w:r>
      <w:r>
        <w:rPr>
          <w:rFonts w:ascii="Arial" w:cs="Arial" w:eastAsia="Arial" w:hAnsi="Arial"/>
          <w:sz w:val="18"/>
          <w:szCs w:val="18"/>
          <w:b w:val="1"/>
          <w:bCs w:val="1"/>
          <w:color w:val="auto"/>
        </w:rPr>
        <w:t>Folate Receptor Alpha Breast and Ovarian Cancers – Mayo Foundation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the proprietary FRa vaccine technology for all cancer indications. As part of this agreement, the IND for the Folate Receptor alpha Phase I trial was transferred from Mayo Foundation to the Company for Phase II clinical trials as our lead peptide vaccine product.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from the initial 21-patient Phase I clinical trial for the FRa vaccine have now been reported. Twenty-one patients with breast or ovarian cancer, who had undergone standard surgery and adjuvant treatment, were treated with one cycle of cyclophosphamide. Following this, patients were vaccinated intradermally with TPIV200 on day one of a 28-day cycle for a maximum of six vaccination cycles. On March 15, 2018, we announced the publication of the clinical data from this trial. The results show that over 90% of patients developed robust and durable antigen-specific immune responses against FRa without regard for HLA type, which aligns with the intended mechanism of action of the vaccine. TPIV200 vaccine was safe and well-tolerated; 20 out of 21 evaluable patients showed positive immune responses, providing a strong rationale for progressing to Phase II trials. Further, the data showed that 16 out of 16 patients in the observation stage showed persistent immune responses (Source: published online 15Mar2018; DOI: 10.1158/1078-0432.CCR-17-2499).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Development of TPIV200 for Triple-negative Breast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Triple-negative breast cancer (“TNBC”) is one of the most difficult cancers to treat and represents a clear unmet medical need. On September 15, 2015, we announced that our collaborators at the Mayo Foundation had been awarded a grant of $13.3 million from the DoD. This grant led by Dr. Keith Knutson of the Mayo Clinic in Jacksonville, Florida covers the costs for a 280-patient Phase II clinical trial of the FRa vaccine in patients with TNBC. We are working closely with Mayo Foundation on this clinical trial by providing clinical and manufacturing expertise, as well as providing GMP vaccine formulations under contract. This Phase II study of TPIV200 in the treatment of triple-negative breast cancer began enrolling patients in late 2017 and enrollment continues. Details regarding this trial can be found at www.clinicaltrials.gov under identifier numbers NCT03012100 and RU011501I.</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21, 2016, we announced the initiation of a randomized four-arm Phase II trial of TNBC that is sponsored and conducted by the Company (FRV-002), enrolling women with stage I-III disease who have completed initial surgery and chemo/radiation therapy. This open-label, 80-patient clinical trial is designed to evaluate dosing regimens, pre-treatment, efficacy, and immune responses. The study is evaluating two doses of TPIV200 (a high dose and a low dose), each of which will be tested both with and without cyclophosphamide prior to vaccination. Key data from the trial are expected to be included in a future Biologics License Application submission to the FDA for marketing clearance. We completed enrollment in late 2017 and are now treating and following the patients. An independent Data Safety Monitoring Board (“DSMB”) reviews the safety in this ongoing Phase II study; no safety issues have been identified to date. Details regarding this trial can be found at www.clinicaltrials.gov under the identifier number NCT02593227.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Phase II Development of TPIV200 for Ovarian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cancers. On February 3, 2016, we announced that the U.S. FDA designated the investigation of the multiple-epitope TPIV200 vaccine for maintenance therapy in subjects with platinum-sensitive advanced ovarian cancer who achieved stable disease or partial response following completion of standard-of-care chemotherapy, as a Fast Track Development Program.</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21, 2016, we announced our participation in an ovarian cancer study sponsored by Memorial Sloan Kettering Cancer Center (“MSKCC”) in New York City in collaboration with AstraZeneca Pharmaceuticals in ovarian cancer patients who are not responsive to platinum, a commonly used chemotherapy for ovarian cancer. This study, an open-label Phase II study of TPIV200 in 40 patients is designed to look at the effects of combination therapy with AstraZeneca’s checkpoint inhibitor durvalumab (anti-PD-L1). Interim results from the first 27 patients were presented at the AACR-Rivkin Symposium in September 2018; safety of the combination was established in these heavily-pretreated patients and a subset of patients exhibited durable disease stabilization. ORR and PFS with combination treatment was not superior from the expected efficacy of single-agent PD-1/PD-L1 blockade.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are paying for one-half of the costs of the clinical study, in addition to providing our TPIV200 for the study. Details regarding this trial can be found at www.clinicaltrials.gov under identifier numbers NCT02764333.</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10, 2017, we announced the initiation of a Company-sponsored Phase II study in platinum-sensitive ovarian cancer patients (FRV-004). This multi-center, double-blind efficacy study is designed to evaluate TPIV200 compared to GM-CSF alone in a randomized, placebo-controlled fashion during the first maintenance period after primary surgery and chemotherapy. We have opened multiple clinical sites and enrollment of the 120 patients has been</w:t>
      </w:r>
    </w:p>
    <w:p>
      <w:pPr>
        <w:jc w:val="both"/>
        <w:spacing w:after="0" w:line="217" w:lineRule="auto"/>
        <w:rPr>
          <w:sz w:val="20"/>
          <w:szCs w:val="20"/>
          <w:color w:val="auto"/>
        </w:rPr>
      </w:pPr>
      <w:r>
        <w:rPr>
          <w:rFonts w:ascii="Arial" w:cs="Arial" w:eastAsia="Arial" w:hAnsi="Arial"/>
          <w:sz w:val="18"/>
          <w:szCs w:val="18"/>
          <w:color w:val="auto"/>
        </w:rPr>
        <w:t>completed ahead of schedule.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subject was given the study drug on December 10, 2018. Safety is reviewed by an independent DSMB quarterly and an interim efficacy analysis is planned in 2019, once 50 patients have progressed. Details regarding this trial can be found at www.clinicaltrials.gov under the identifier number NCT02978222.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 100/110 – HER2/neu peptides with GM-CSF</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Human epidermal growth factor receptor 2 (“HER2/neu”) amplification/overexpression results in an effective therapeutic target in breast and gastric cancer. Over-expressed HER2 is detected predominantly in malignancies of epithelial origin, such as breast, gastric, esophageal, colorectal, salivary gland, pancreatic, 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still subsequently develop metastatic disease. The continued prevalence of these cancers represents a high unmet medical need, justifying the targeted development of immunotherapeutic strategies.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have added a Class I-restricted peptide, also licensed from the Mayo Foundation on April 16, 2012, to the four Class II-restricted peptides in TPIV100, resulting in TPIV 110 after the five peptides are mixed with GM-CSF. Management believes that the combination of Class I and Class II HER2/neu antigens, gives us the leading HER2/neu vaccine platform. We have amended the IND to incorporate the fifth peptide and will use TPIV110 in subsequent studies with the goal of producing an even more robust vaccine activating both CD4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(helper) and CD8</w:t>
      </w:r>
      <w:r>
        <w:rPr>
          <w:rFonts w:ascii="Arial" w:cs="Arial" w:eastAsia="Arial" w:hAnsi="Arial"/>
          <w:sz w:val="28"/>
          <w:szCs w:val="28"/>
          <w:color w:val="auto"/>
          <w:vertAlign w:val="superscript"/>
        </w:rPr>
        <w:t>+</w:t>
      </w:r>
      <w:r>
        <w:rPr>
          <w:rFonts w:ascii="Arial" w:cs="Arial" w:eastAsia="Arial" w:hAnsi="Arial"/>
          <w:sz w:val="17"/>
          <w:szCs w:val="17"/>
          <w:color w:val="auto"/>
        </w:rPr>
        <w:t xml:space="preserve"> (killer) T cells.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of the HER2/neu Vaccine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7, 2016, we announced that the Company had exercised its option agreement with Mayo Foundation and signed a worldwide license agreement to the proprietary HER2/neu vaccine technology. The license gives the Company the right to develop and commercialize the technology in any cancer indication in which the Her2/neu antigen is overexpressed. As part of this agreement, the IND for the HER2/neu Phase I Trial was transferred from Mayo Foundation to the Company for Phase II clinical trials as TPIV100, our second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 xml:space="preserve">Phase I Human Clinical Trial – </w:t>
      </w:r>
      <w:r>
        <w:rPr>
          <w:rFonts w:ascii="Arial" w:cs="Arial" w:eastAsia="Arial" w:hAnsi="Arial"/>
          <w:sz w:val="18"/>
          <w:szCs w:val="18"/>
          <w:b w:val="1"/>
          <w:bCs w:val="1"/>
          <w:color w:val="auto"/>
        </w:rPr>
        <w:t>HER2/neu+ Breast Cancer – Mayo Foundation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Phase I study using a vaccine containing four HER2/neu peptides in combination with GM-CSF (now called TPIV100) was initiated in 2012 at the Mayo Clinic and the primary readout was completed in 2015. Final safety analysis on all the patients treated showed that the vaccine was safe in that context. In addition, 19 out of 20 evaluable patients showed robust T-cell immune responses to the antigens in the vaccine composition providing a case for advancement to Phase II. Data from the study was presented at the San Antonio Breast Cancer Symposium on December 10, 2015. An additional secondary endpoint incorporated into this Phase I Trial was a two-year follow-on recording the time to disease recurrence in the participating breast cancer patients. Details regarding this trial can be found at www.clinicaltrials.gov under the identifier number NCT01632332.</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14, 2017, we announced that our partners at the Mayo Clinic received a $3.8 million grant from the DoD to conduct a Phase Ib study of the HER2-targeted vaccine candidate (TPIV100) in an early form of breast cancer called ductal carcinoma in situ (“DCIS”). This is the second Company vaccine to be tested in a fully-funded study sponsored by the Mayo Foundation. We are working closely with Mayo Foundation on this clinical trial by providing clinical and manufacturing expertise, as well as providing GMP vaccine formulations under contract. If the study is successful, our HER2/neu vaccine may eventually augment or even replace standard surgery and chemotherapy, and potentially could become part of a routine immunization schedule for preventing breast cancer in healthy women. The study is expected to enroll 40 – 45 women with DCIS and commence such enrollment during the first quarter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Development of the HER2/neu TPIV110 Vaccine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10, 2018, we announced that Mayo Clinic had been awarded a grant of $11 million from the DoD. This grant is intended to cover the costs of a large randomized, double-blind Phase II study of the Company’s HER2/neu-targeted breast cancer vaccine, TPIV110 with maintenance ado-trastuzumab emtansine (T-DM1) compared to GM-CSF alone, in combination with standard one year of T-DM1 maintenance therapy, for treating up to 190 women with HER2/neu-positive breast cancer. We are working closely with Mayo Foundation on this clinical trial by providing clinical and manufacturing expertise, as well as providing GMP vaccine formulations under contract. The study will ask whether the administration of vaccine during T-DM1 maintenance therapy in patients with residual disease post-neoadjuvant chemotherapy effectively blocks disease recurrence and the development of metastatic breast cancer. By prevention of recurrence and metastasis, the expectation is that mortality associated with breast cancer will be decreased.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 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clinical developments, our peptide vaccine technology can be coupled with our PolyStart™ nucleic acid-based technology, which is designed to make vaccines significantly more effective by producing four times the required peptides for the immune systems to recognize and act 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Note 3 in the Notes to Consolidated Financial Statements in this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 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7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income tax expense for the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interest income, change in fair value of warrant liabilities and debt extinguishment gain.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Results of Operations For the Years Ended December 31, 2018 and 2017</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results of our operations (rounded to the thousand except for per share amounts) for the years ended December 31, 2018 and 2017, together with the changes to those items: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Years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87"/>
              </w:rPr>
              <w:t>Increase / (decrease)</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Grant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6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 intellectual property acquired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116,045,000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116,045,000</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5,251,000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2,702,000</w:t>
            </w:r>
          </w:p>
        </w:tc>
        <w:tc>
          <w:tcPr>
            <w:tcW w:w="6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24,380,000</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6,412,000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17,968,000</w:t>
            </w: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148,378,000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11,663,000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136,715,000</w:t>
            </w:r>
          </w:p>
        </w:tc>
        <w:tc>
          <w:tcPr>
            <w:tcW w:w="2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1172</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(148,172,000)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(136,692,000)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(46,000)</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254,000</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extinguishment gain</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(492,000)</w:t>
            </w: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(147,958,000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(10,982,000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(136,976,000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1247</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6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19,092,000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9,639,000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did not generate any revenue during the years ended December 31, 2018 and 2017, respectively from the sales or licensing of our product candidates. During the year ended December 31, 2018, we recognized $206,000 of revenue associated with a grant awarded to Mayo Foundation from the US Department of Defense for the Phase II Clinical Trial of TPIV200 which Mayo paid to us for clinical supplies manufactured by us and provided for the clinical study funded by the grant. During the year ended December 31, 2017, we also recognized $183,000 of grant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fiscal year ended December 31, 2018 were $148.4 million compared to $11.7 million in the prior year. Significant changes and expenditures are outlined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Expense-Intellectual Property Acquired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 Intellectual Property Acquired, increased $116.0 million in the year ended December 31, 2018 and represented the fair market value of assets acquired by us in connection with the Merger. Because the Merger was accounted for as an asset acquisition and the assets acquired consisted of intellectual property that has not received regulatory approval, the total purchase price was immediately expensed as in process research and development or intellectual property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51% to $8.0 million for the year ended December 31, 2018 from $5.3 million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expenses are highly dependent on the phases of our research projects and therefore fluctuate from period to period.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The increase in our research and development expenses of $2.7 million for the year ended December 31, 2018 compared to the same period in 2017 was primarily due to our increases from prior period for expenses relating to our planned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280% to $24.4 million for the year ended December 31, 2018 from $6.4 million during the prior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$18.0 million was primarily attributable to the following:</w:t>
      </w:r>
    </w:p>
    <w:p>
      <w:pPr>
        <w:spacing w:after="0" w:line="21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$12.5 million of stock-based compensation expenses for employees and outside consultants,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$0.7 million of headcount-related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$4.0 million of legal, accounting and professional expenses relating to the merger agreement inclusive of $0.2 million to settle shareholder litigation filed in connection with our proxy statement,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$0.2 million of investor relations expenses,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$0.2 million of costs associated with Sarbanes Oxley and cybersecurity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change in fair value of warrant liabilities for fiscal year ended December 31, 2018 was $40,000 as compared to ($6,000) for the fiscal year ended December 31, 2017. This increase by $40,000 for the fiscal year ended December 31, 2018 is reflected by a corresponding loss in other income (expense) in the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was approximately $0.3 million for the year ended December 31, 2018 and was attributable to interest income relating to a significant portion of the net proceeds received from our equity financing in October which are held in U.S. Treasury notes and U.S. government agency-backed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extinguishment gain was approximately $0.5 million for the year ended December 31, 2017 due to the extinguishment of liabilities we recorded in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 net loss of $148.0 million or ($7.75) basic and diluted per share during the year ended December 31, 2018 compared to a net loss of $11.0 million or ($1.16) basic and diluted per share during the year ended December 31, 2017. The weighted average number of shares outstanding was 19.1 million basic and diluted for the year ended December 31, 2018 compared to 9.5 million basic and diluted for the year ended December 31, 2017. The increase in our net losses in 2018, as compared to 2017, was due to the research and development intellectual property acquired,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 In addition, our general and administrative expenses increased in 2018 due to the increase in headcount and stock-based equity awards related to existing and new executives and key consultants.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working capital as of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61,747,000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5,129,000</w:t>
            </w:r>
          </w:p>
        </w:tc>
        <w:tc>
          <w:tcPr>
            <w:tcW w:w="100" w:type="dxa"/>
            <w:vAlign w:val="bottom"/>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59,193,000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3,658,000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6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(14,480,000)</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(8,439,000)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(148,000)</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71,245,000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5,717,000</w:t>
            </w:r>
          </w:p>
        </w:tc>
        <w:tc>
          <w:tcPr>
            <w:tcW w:w="100" w:type="dxa"/>
            <w:vAlign w:val="bottom"/>
          </w:tcPr>
          <w:p>
            <w:pPr>
              <w:spacing w:after="0"/>
              <w:rPr>
                <w:sz w:val="19"/>
                <w:szCs w:val="19"/>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cash</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Private Placement Transaction Common Stock Purchase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18, 2018, we closed on the sale of 1,300,000 shares of common stock for $2.40 per share pursuant to a Common Stock Purchase Agreement with an existing accredited investor in a private placement under Rule 506 of Regulation D pursuant to the terms of a Common Stock Purchase Agreement. Aggregate gross proceeds were approximately $3.1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Exercise of Warrants Held by Existing Institutional Investors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May 18, 2018, we and certain existing institutional investors, who are holders of various warrants to purchase shares of Company common stock, closed on Warrant Exercise Agreements in which we agreed to reduce the exercise price for a portion of the investors’ previously purchased Series C, Series D, Series E and Series F warrants from $6.00, $9.00, $15.00 and $7.20, respectively per share to $2.50 per share, provided that the investors exercise such warrants for cash immediately, which they did, for 782,506 shares and aggregate proceeds of approximately $2.0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2017, we completed private placements of units with certain accredited investors. In the private placement transaction, we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We issued and sold an aggregate of 1,503,567 million units for aggregate gross proceeds of $6.2 million. We incurred $0.8 million in agency fees and legal costs. In connection with the offering, we reduced the exercise price for the warrants to purchase an aggregate of 653,187 shares of common stock issued to investors in the private placement that closed in August 2016 from $6.00 per share to $3.97 per share.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auto"/>
        </w:rPr>
        <w:t>October 2018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2018, concurrent with the completion of the Merger, we issued to certain accredited investors in a private placement transaction an aggregate of 17,500,000 shares of its common stock, and warrants to purchase 13,437,500 shares of common stock at an exercise price of $5.00 per share with a five-year term, for aggregate proceeds of $70.0 million pursuant to the terms of the Securities Purchase Agreements, dated June 8, 2018, by and among us and certain accredited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third-party clinical and research and development services, laboratory and related supplies, clinical costs, legal and other regulatory expenses, facility costs and general overhead costs.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successful development of any of our product candidates is highly uncertain. As such, at this time, we cannot reasonably estimate or know the nature, timing and costs of the efforts that will be necessary to complete the development of our product candidates. We are also unable to predict when, if ever, material net cash inflows will commence from the sale of product candidates. This is due to the numerous risks and uncertainties associated with developing medical treatments, including, but not limited to, the uncertainty of:</w:t>
      </w:r>
    </w:p>
    <w:p>
      <w:pPr>
        <w:spacing w:after="0" w:line="18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 enrollment in, and successful completion of, clinical trials;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9" w:lineRule="exact"/>
        <w:rPr>
          <w:rFonts w:ascii="Arial" w:cs="Arial" w:eastAsia="Arial" w:hAnsi="Arial"/>
          <w:sz w:val="18"/>
          <w:szCs w:val="18"/>
          <w:color w:val="auto"/>
        </w:rPr>
      </w:pPr>
    </w:p>
    <w:p>
      <w:pPr>
        <w:ind w:left="660" w:right="420" w:hanging="652"/>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 and market acceptance of our products, if and when approved;</w:t>
      </w: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successfully negotiating reimbursement for our products from various third-party payors;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partnering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Any of these actions could harm our business, results of operations and future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our clinical and research and development plans and our timing expectations related to the progress of our programs, we expect that our cash, cash equivalents and investment securities as of December 31, 2018 will enable us to fund our operating expenses and capital expenditure requirements through at least the second quarter of 2020. We have based this estimate on assumptions that may prove to be wrong, and we could utilize our available capital resources sooner than we currently expect. Furthermore, our operating plan may change, and we may need additional funds to meet operational needs and capital requirements for product development and commercialization sooner than planned.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seek to discover additional product candidates; seek regulatory approvals for our product candidates if they successfully complete clinical trials;</w:t>
      </w:r>
    </w:p>
    <w:p>
      <w:pPr>
        <w:ind w:left="660" w:hanging="652"/>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transactions we may undertake; and</w:t>
      </w:r>
    </w:p>
    <w:p>
      <w:pPr>
        <w:spacing w:after="0" w:line="9"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have approximately $57.0 million of federal and $37.3 million of state Net Operating Loss (“NOL”s) that may be available to offset future taxable income, if any. The federal net operating loss carryforwards of $41.6 million, if not utilized, will expire between 2029 and 2037. The federal net operating loss carryforwards of $15.4 million generated in 2018 are subject to an 80% limitation on taxable income, do not expire and will carry forward indefinitely. The state net operating loss carryforwards of $21.8 million, if not utilized, will begin to expire in 2035. The state net operating loss carryforwards of $15.4 million generated in 2018 are subject to an 80% limitation on taxable income, do not expire and will carry forward indefinitely. Any change in ownership greater than 50% under Section 382 of the Internal Revenue Code, or the “Code”, places significant annual limitations on the use of such net operating loss carryforwards.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and 2017, we recorded a 100% valuation allowance against our deferred tax assets of approximately $20.0 million and $11.9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are incorporated herein by reference to pages F-1 to F-27 at the end of this report and the supplementary data is 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changes in, or disagreements with our principal independent accountants.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2018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2018. Based on that evaluation, our principal executive officer and principal financial officer concluded that our disclosure controls and procedures were effective as of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financial and accounting officer, we conducted an evaluation of the effectiveness of our internal control over financial reporting as of December 31, 2018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2018.</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registered public accounting firm, Marcum LLP, has issued an attestation report on our internal control over financial reporting. The report on the audit of internal control over financial reporting is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ind w:left="12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Marker Therapeutics, Inc.'s (the “Company”) internal control over financial reporting as of December 31,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December 31, 2018 and 2017 and the related consolidated statements of operations, shareholders’ equity (deficit), and cash flows and the related notes for each of the two years in the period ended December 31, 2018 of the Company, and our report dated March 15, 2019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disclosure set forth below is filed in lieu of a Form 8-K that otherwise would have been required with respect to Item 5.02 Departure of Directors or Certain Officers; Election of Directors; Appointment of Certain Officers; Compensatory Arrangements of Certain Officers, particularly 5.02 (e) Compensatory Arrangements of Certain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Awards 2018</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14, 2019 the Board of Directors approved a discretionary bonus to Mr. Hoang, the Company’s President and Chief Executive Officer, of $181,250 to be paid in cash and determined that no other discretionary cash bonuses would be paid for 2018 to any of our other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Mr. Hoang’s Option Award Agreement.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14, 2019, the Company and Mr. Hoang entered into an amendment to Mr. Hoang’s stock option award agreement (the “Amended Option Agreement”). Pursuant to the terms of the Amended Option Agreement, Mr. Hoang’s prior grant of 1,359,855 options to purchase common stock, which previously vested immediately was revised to add a vesting requirement over four years. The Amended Option Agreement provides for the 1,359,855 options to vest monthly over four years through September 2022. All other terms of the original award relating to the exercise price and grant date remained unchanged from the initial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Mr. Hoang’s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14, 2019, the Company and Mr. Hoang entered into an amendment to Mr. Hoang’s employment agreement to make the following changes:</w:t>
      </w:r>
    </w:p>
    <w:p>
      <w:pPr>
        <w:spacing w:after="0" w:line="23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reflect an increase of Mr. Hoang’s annual base salary from $362,500 to $380,000 per year effective January 1, 2019;</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eliminate references to future equity awards in the second and third anniversary of the Employment Agreement of one percent (1%) of outstanding shares and to eliminate references to the initial equity award Mr. Hoang already received and to eliminate the first anniversary equity award that was not paid by the Company to Mr. Hoang;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revise the Company’s products and services applicable to the non-compete provision;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change the notice provision to the new headquarter location in Texas and the governing law to Texas.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other terms of Mr. Hoang’s employment agreement not modified by the Amendment remain unchanged and in place. The description of the Amendment is qualified in its entirety by reference to the Amendment filed hereto as Exhibit 10.40.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Bonus Program</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March 14, 2019, the Board of Directors approved the 2019 bonus program for Mr. Peter Hoang, our Chief Executive Officer and President, Mr. Anthony Kim, our Chief Financial Officer and Mr. Michael J. Loiacono, our Chief Accounting Officer, as recommended by the Compensation Committee of the Board of Directors. Under such bonus program, Mr. Hoang, Mr. Kim and Mr. Loiacono are eligible for bonuses of up to $190,000 $150,000 and $96,250, respectively, equaling up to 50%, 40% and 35%, of their respective base salaries (each a “Bonus Target”).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Mr. Hoang are to be based upon the achievement of the following objectives: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 up to 40% of the Bonus Target for meeting regulatory and clinical objectives associated with the Company’s AML product candidate;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ind w:left="880" w:right="700" w:firstLine="450"/>
        <w:spacing w:after="0" w:line="277" w:lineRule="auto"/>
        <w:tabs>
          <w:tab w:leader="none" w:pos="15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35% of the Bonus Target for financial performance and corporate objectives including related to capital management and partnership outreach undertakings;</w:t>
      </w:r>
    </w:p>
    <w:p>
      <w:pPr>
        <w:spacing w:after="0" w:line="170" w:lineRule="exact"/>
        <w:rPr>
          <w:rFonts w:ascii="Arial" w:cs="Arial" w:eastAsia="Arial" w:hAnsi="Arial"/>
          <w:sz w:val="18"/>
          <w:szCs w:val="18"/>
          <w:color w:val="auto"/>
        </w:rPr>
      </w:pPr>
    </w:p>
    <w:p>
      <w:pPr>
        <w:ind w:left="880" w:right="260" w:firstLine="450"/>
        <w:spacing w:after="0" w:line="277" w:lineRule="auto"/>
        <w:tabs>
          <w:tab w:leader="none" w:pos="16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15% of the Bonus Target for meeting scientific and technical objectives relating to the manufacturing processes and laboratory development; and</w:t>
      </w:r>
    </w:p>
    <w:p>
      <w:pPr>
        <w:spacing w:after="0" w:line="170" w:lineRule="exact"/>
        <w:rPr>
          <w:rFonts w:ascii="Arial" w:cs="Arial" w:eastAsia="Arial" w:hAnsi="Arial"/>
          <w:sz w:val="18"/>
          <w:szCs w:val="18"/>
          <w:color w:val="auto"/>
        </w:rPr>
      </w:pPr>
    </w:p>
    <w:p>
      <w:pPr>
        <w:ind w:left="1640" w:hanging="310"/>
        <w:spacing w:after="0"/>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10% of the Bonus Target for product manufacturing objectives.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 to 40% of the Bonus Target related to capital management activities;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 to 20% of the Bonus Target related to the Company’s operating budget;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 to 20% of the Bonus Target related to investor relations; and</w:t>
      </w:r>
    </w:p>
    <w:p>
      <w:pPr>
        <w:spacing w:after="0" w:line="225" w:lineRule="exact"/>
        <w:rPr>
          <w:rFonts w:ascii="Arial" w:cs="Arial" w:eastAsia="Arial" w:hAnsi="Arial"/>
          <w:sz w:val="18"/>
          <w:szCs w:val="18"/>
          <w:color w:val="auto"/>
        </w:rPr>
      </w:pPr>
    </w:p>
    <w:p>
      <w:pPr>
        <w:ind w:right="3920" w:firstLine="1305"/>
        <w:spacing w:after="0" w:line="563" w:lineRule="auto"/>
        <w:tabs>
          <w:tab w:leader="none" w:pos="19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 to 20% of the Bonus Target related to partnership outreach undertakings. The bonuses payable to Mr. Loiacono are to be based upon the achievement of the following objectives:</w:t>
      </w:r>
    </w:p>
    <w:p>
      <w:pPr>
        <w:spacing w:after="0" w:line="1" w:lineRule="exact"/>
        <w:rPr>
          <w:sz w:val="20"/>
          <w:szCs w:val="20"/>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 to 40% of the Bonus Target related to compliance matters;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 to 30% of the Bonus Target related to the Company’s operating budget;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 to 20% of the Bonus Target related to implementation of cybersecurity matters;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 to 10% of the Bonus Target related to capital management activities.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payments of any bonuses pursuant to the above are qualified and subject to (i) the Company having sufficient capital to operate its business for the ensuing twelve months, and (ii) the successful attainment of at least 85% of each person’s objectives. The bonuses are able to be paid in a combination of cash and common stock at the discretion of the Compensation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and not set forth below will be set forth in the sections headed “Election of Directors,” “Management and Named Executive Officers” and “Section 16(a) Beneficial Ownership Reporting Compliance” in our definitive proxy statement for our 2018 Annual Meeting of Stockholders, or our Proxy Statement, to be filed with the SEC within 120 days after the end of the fiscal year ended December 31, 2018, and is incorporated herein by reference.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Compensation-Compensation Discussion and Analysis” in our Proxy Statement and is incorporated herein by reference.</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“Equity Compensation Plan Information” and “Security Ownership of Management and Certain Beneficial Owners” in our Proxy Statement and is incorporated herein by reference.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Compensation-Compensation Discussion and Analysis” and “Board of Directors and Corporate Governance” in our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“Certain Relationships and Related Transactions” and “Board of Directors and Corporate Governance” in our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“Independent Auditors’ Fees and Services” in our Proxy Statement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firstLine="8"/>
        <w:spacing w:after="0" w:line="277" w:lineRule="auto"/>
        <w:tabs>
          <w:tab w:leader="none" w:pos="9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F-27.</w:t>
      </w:r>
    </w:p>
    <w:p>
      <w:pPr>
        <w:spacing w:after="0" w:line="170" w:lineRule="exact"/>
        <w:rPr>
          <w:rFonts w:ascii="Arial" w:cs="Arial" w:eastAsia="Arial" w:hAnsi="Arial"/>
          <w:sz w:val="18"/>
          <w:szCs w:val="18"/>
          <w:color w:val="auto"/>
        </w:rPr>
      </w:pPr>
    </w:p>
    <w:p>
      <w:pPr>
        <w:ind w:firstLine="8"/>
        <w:spacing w:after="0" w:line="277" w:lineRule="auto"/>
        <w:tabs>
          <w:tab w:leader="none" w:pos="7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left="860" w:hanging="852"/>
        <w:spacing w:after="0"/>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exhibits required to be filed by this report or able to be incorporated by reference are listed in the “Exhibit Index” following the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statements.</w:t>
      </w:r>
    </w:p>
    <w:p>
      <w:pPr>
        <w:spacing w:after="0" w:line="21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Exhibits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Exhibits required by Item 601 of Regulation S-K are submitted (or incorporated by reference) and listed in a separate section herein immediately following the “Exhibit Index” and are incorporated herein by reference.</w:t>
      </w:r>
    </w:p>
    <w:p>
      <w:pPr>
        <w:spacing w:after="0" w:line="18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Marker Therapeutics, Inc.</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Peter Hoang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Anthony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officers and directors of Marker Therapeutics, Inc., hereby constitutes and appoints Peter Hoang and Anthony Kim,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15, 2019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68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w:t>
            </w:r>
          </w:p>
        </w:tc>
        <w:tc>
          <w:tcPr>
            <w:tcW w:w="2840" w:type="dxa"/>
            <w:vAlign w:val="bottom"/>
          </w:tcPr>
          <w:p>
            <w:pPr>
              <w:ind w:left="1240"/>
              <w:spacing w:after="0"/>
              <w:rPr>
                <w:sz w:val="20"/>
                <w:szCs w:val="20"/>
                <w:color w:val="auto"/>
              </w:rPr>
            </w:pPr>
            <w:r>
              <w:rPr>
                <w:rFonts w:ascii="Arial" w:cs="Arial" w:eastAsia="Arial" w:hAnsi="Arial"/>
                <w:sz w:val="18"/>
                <w:szCs w:val="18"/>
                <w:b w:val="1"/>
                <w:bCs w:val="1"/>
                <w:color w:val="auto"/>
              </w:rPr>
              <w:t>Date</w:t>
            </w:r>
          </w:p>
        </w:tc>
      </w:tr>
      <w:tr>
        <w:trPr>
          <w:trHeight w:val="210"/>
        </w:trPr>
        <w:tc>
          <w:tcPr>
            <w:tcW w:w="20" w:type="dxa"/>
            <w:vAlign w:val="bottom"/>
            <w:tcBorders>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240" w:type="dxa"/>
            <w:vAlign w:val="bottom"/>
          </w:tcPr>
          <w:p>
            <w:pPr>
              <w:spacing w:after="0"/>
              <w:rPr>
                <w:sz w:val="18"/>
                <w:szCs w:val="18"/>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c>
          <w:tcPr>
            <w:tcW w:w="2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Peter Hoang</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Frederick Wasserman</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Laskow-Pooley</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Wilson</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John Wilson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Juan Vera</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Juan Vera</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 David Eansor</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N. David Eansor</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Kim</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r>
              <w:rPr>
                <w:rFonts w:ascii="Arial" w:cs="Arial" w:eastAsia="Arial" w:hAnsi="Arial"/>
                <w:sz w:val="18"/>
                <w:szCs w:val="18"/>
                <w:color w:val="auto"/>
              </w:rPr>
              <w:t>March 15,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6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1700"/>
              <w:spacing w:after="0"/>
              <w:rPr>
                <w:sz w:val="20"/>
                <w:szCs w:val="20"/>
                <w:color w:val="auto"/>
              </w:rPr>
            </w:pPr>
            <w:r>
              <w:rPr>
                <w:rFonts w:ascii="Arial" w:cs="Arial" w:eastAsia="Arial" w:hAnsi="Arial"/>
                <w:sz w:val="18"/>
                <w:szCs w:val="18"/>
                <w:color w:val="auto"/>
              </w:rPr>
              <w:t>S-1</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20" w:type="dxa"/>
            <w:vAlign w:val="bottom"/>
            <w:gridSpan w:val="3"/>
          </w:tcPr>
          <w:p>
            <w:pPr>
              <w:jc w:val="center"/>
              <w:ind w:right="3290"/>
              <w:spacing w:after="0"/>
              <w:rPr>
                <w:sz w:val="20"/>
                <w:szCs w:val="20"/>
                <w:color w:val="auto"/>
              </w:rPr>
            </w:pPr>
            <w:r>
              <w:rPr>
                <w:rFonts w:ascii="Arial" w:cs="Arial" w:eastAsia="Arial" w:hAnsi="Arial"/>
                <w:sz w:val="18"/>
                <w:szCs w:val="18"/>
                <w:b w:val="1"/>
                <w:bCs w:val="1"/>
                <w:color w:val="auto"/>
              </w:rPr>
              <w:t>MARKER THERAPEUTICS, INC.</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20" w:type="dxa"/>
            <w:vAlign w:val="bottom"/>
            <w:gridSpan w:val="3"/>
          </w:tcPr>
          <w:p>
            <w:pPr>
              <w:jc w:val="center"/>
              <w:ind w:right="3270"/>
              <w:spacing w:after="0"/>
              <w:rPr>
                <w:sz w:val="20"/>
                <w:szCs w:val="20"/>
                <w:color w:val="auto"/>
              </w:rPr>
            </w:pPr>
            <w:r>
              <w:rPr>
                <w:rFonts w:ascii="Arial" w:cs="Arial" w:eastAsia="Arial" w:hAnsi="Arial"/>
                <w:sz w:val="18"/>
                <w:szCs w:val="18"/>
                <w:b w:val="1"/>
                <w:bCs w:val="1"/>
                <w:color w:val="auto"/>
              </w:rPr>
              <w:t>CONSOLIDATED FINANCIAL STATEMENTS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tcPr>
          <w:p>
            <w:pPr>
              <w:jc w:val="center"/>
              <w:ind w:right="4150"/>
              <w:spacing w:after="0"/>
              <w:rPr>
                <w:sz w:val="20"/>
                <w:szCs w:val="20"/>
                <w:color w:val="auto"/>
              </w:rPr>
            </w:pPr>
            <w:r>
              <w:rPr>
                <w:rFonts w:ascii="Arial" w:cs="Arial" w:eastAsia="Arial" w:hAnsi="Arial"/>
                <w:sz w:val="18"/>
                <w:szCs w:val="18"/>
                <w:b w:val="1"/>
                <w:bCs w:val="1"/>
                <w:color w:val="auto"/>
                <w:w w:val="96"/>
              </w:rPr>
              <w:t>DECEMBER 31, 2018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Report of Independent Registered Public Accounting Firm</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0">
              <w:r>
                <w:rPr>
                  <w:rFonts w:ascii="Arial" w:cs="Arial" w:eastAsia="Arial" w:hAnsi="Arial"/>
                  <w:sz w:val="18"/>
                  <w:szCs w:val="18"/>
                  <w:b w:val="1"/>
                  <w:bCs w:val="1"/>
                  <w:color w:val="0000EE"/>
                  <w:w w:val="88"/>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Consolidated Balance Sheets</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1">
              <w:r>
                <w:rPr>
                  <w:rFonts w:ascii="Arial" w:cs="Arial" w:eastAsia="Arial" w:hAnsi="Arial"/>
                  <w:sz w:val="18"/>
                  <w:szCs w:val="18"/>
                  <w:b w:val="1"/>
                  <w:bCs w:val="1"/>
                  <w:color w:val="0000EE"/>
                  <w:w w:val="88"/>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Consolidated Statements of Operations</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2">
              <w:r>
                <w:rPr>
                  <w:rFonts w:ascii="Arial" w:cs="Arial" w:eastAsia="Arial" w:hAnsi="Arial"/>
                  <w:sz w:val="18"/>
                  <w:szCs w:val="18"/>
                  <w:b w:val="1"/>
                  <w:bCs w:val="1"/>
                  <w:color w:val="0000EE"/>
                  <w:w w:val="88"/>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Consolidated Statement of Stockholders’ Equity (Deficit)</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3">
              <w:r>
                <w:rPr>
                  <w:rFonts w:ascii="Arial" w:cs="Arial" w:eastAsia="Arial" w:hAnsi="Arial"/>
                  <w:sz w:val="18"/>
                  <w:szCs w:val="18"/>
                  <w:b w:val="1"/>
                  <w:bCs w:val="1"/>
                  <w:color w:val="0000EE"/>
                  <w:w w:val="88"/>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Consolidated Statements of Cash Flows</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4">
              <w:r>
                <w:rPr>
                  <w:rFonts w:ascii="Arial" w:cs="Arial" w:eastAsia="Arial" w:hAnsi="Arial"/>
                  <w:sz w:val="18"/>
                  <w:szCs w:val="18"/>
                  <w:b w:val="1"/>
                  <w:bCs w:val="1"/>
                  <w:color w:val="0000EE"/>
                  <w:w w:val="88"/>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Notes to the Consolidated Financial Statements</w:t>
              </w:r>
            </w:hyperlink>
          </w:p>
        </w:tc>
        <w:tc>
          <w:tcPr>
            <w:tcW w:w="260" w:type="dxa"/>
            <w:vAlign w:val="bottom"/>
            <w:shd w:val="clear" w:color="auto" w:fill="CCEEFF"/>
          </w:tcPr>
          <w:p>
            <w:pPr>
              <w:spacing w:after="0" w:line="176" w:lineRule="exact"/>
              <w:rPr>
                <w:rFonts w:ascii="Arial" w:cs="Arial" w:eastAsia="Arial" w:hAnsi="Arial"/>
                <w:sz w:val="18"/>
                <w:szCs w:val="18"/>
                <w:b w:val="1"/>
                <w:bCs w:val="1"/>
                <w:color w:val="0000EE"/>
                <w:w w:val="88"/>
              </w:rPr>
            </w:pPr>
            <w:hyperlink w:anchor="page96">
              <w:r>
                <w:rPr>
                  <w:rFonts w:ascii="Arial" w:cs="Arial" w:eastAsia="Arial" w:hAnsi="Arial"/>
                  <w:sz w:val="18"/>
                  <w:szCs w:val="18"/>
                  <w:b w:val="1"/>
                  <w:bCs w:val="1"/>
                  <w:color w:val="0000EE"/>
                  <w:w w:val="88"/>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640" w:type="dxa"/>
            <w:vAlign w:val="bottom"/>
            <w:tcBorders>
              <w:top w:val="single" w:sz="8" w:color="CCEEFF"/>
              <w:bottom w:val="single" w:sz="8" w:color="auto"/>
            </w:tcBorders>
          </w:tcPr>
          <w:p>
            <w:pPr>
              <w:jc w:val="center"/>
              <w:ind w:right="4150"/>
              <w:spacing w:after="0"/>
              <w:rPr>
                <w:sz w:val="20"/>
                <w:szCs w:val="20"/>
                <w:color w:val="auto"/>
              </w:rPr>
            </w:pPr>
            <w:r>
              <w:rPr>
                <w:rFonts w:ascii="Arial" w:cs="Arial" w:eastAsia="Arial" w:hAnsi="Arial"/>
                <w:sz w:val="18"/>
                <w:szCs w:val="18"/>
                <w:color w:val="auto"/>
                <w:w w:val="88"/>
              </w:rPr>
              <w:t>F-1</w:t>
            </w: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9" w:name="page90"/>
    <w:bookmarkEnd w:id="89"/>
    <w:p>
      <w:pPr>
        <w:ind w:left="282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Marker Therapeutics, Inc. (the “Company”) as of December 31, 2018 and 2017, the related consolidated statements of operations, stockholders’ equity (deficit)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r>
        <w:rPr>
          <w:rFonts w:ascii="Arial" w:cs="Arial" w:eastAsia="Arial" w:hAnsi="Arial"/>
          <w:sz w:val="17"/>
          <w:szCs w:val="17"/>
          <w:b w:val="1"/>
          <w:bCs w:val="1"/>
          <w:color w:val="auto"/>
        </w:rPr>
        <w: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the criteria established in Internal Control - Integrated Framework issued by the Committee of Sponsoring Organizations of the Treadway Commission (COSO) in 2013 and our report dated March 15, 2019</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w:t>
      </w:r>
      <w:r>
        <w:rPr>
          <w:rFonts w:ascii="Arial" w:cs="Arial" w:eastAsia="Arial" w:hAnsi="Arial"/>
          <w:sz w:val="16"/>
          <w:szCs w:val="16"/>
          <w:b w:val="1"/>
          <w:bCs w:val="1"/>
          <w:color w:val="auto"/>
        </w:rPr>
        <w:t>s</w:t>
      </w:r>
      <w:r>
        <w:rPr>
          <w:rFonts w:ascii="Arial" w:cs="Arial" w:eastAsia="Arial" w:hAnsi="Arial"/>
          <w:sz w:val="16"/>
          <w:szCs w:val="16"/>
          <w:color w:val="auto"/>
        </w:rPr>
        <w: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in accordance with the standards of the PCAOB. Those standards require that we plan and perform the audit</w:t>
      </w:r>
      <w:r>
        <w:rPr>
          <w:rFonts w:ascii="Arial" w:cs="Arial" w:eastAsia="Arial" w:hAnsi="Arial"/>
          <w:sz w:val="17"/>
          <w:szCs w:val="17"/>
          <w:b w:val="1"/>
          <w:bCs w:val="1"/>
          <w:color w:val="auto"/>
        </w:rPr>
        <w:t>s</w:t>
      </w:r>
      <w:r>
        <w:rPr>
          <w:rFonts w:ascii="Arial" w:cs="Arial" w:eastAsia="Arial" w:hAnsi="Arial"/>
          <w:sz w:val="17"/>
          <w:szCs w:val="17"/>
          <w:color w:val="auto"/>
        </w:rPr>
        <w:t xml:space="preserve">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Prepaid expenses and deposits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receivable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7"/>
          <w:szCs w:val="17"/>
          <w:b w:val="1"/>
          <w:bCs w:val="1"/>
          <w:color w:val="auto"/>
        </w:rPr>
        <w:t>CONSOLIDATED BALANCE SHEETS</w:t>
      </w:r>
    </w:p>
    <w:p>
      <w:pPr>
        <w:spacing w:after="0" w:line="218"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627"/>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61,746,748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5,129,289</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141,717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51,150</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108,177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61,996,642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5,180,439</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147,668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62,144,310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5,180,439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-1174115</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-891540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-616585</wp:posOffset>
            </wp:positionV>
            <wp:extent cx="72466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-325120</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-16510</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40" w:space="720"/>
            <w:col w:w="7260"/>
          </w:cols>
          <w:pgMar w:left="240" w:top="688" w:right="2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2,754,572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1,513,312</w:t>
            </w:r>
          </w:p>
        </w:tc>
      </w:tr>
      <w:tr>
        <w:trPr>
          <w:trHeight w:val="230"/>
        </w:trPr>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r>
      <w:tr>
        <w:trPr>
          <w:trHeight w:val="210"/>
        </w:trPr>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r>
    </w:tbl>
    <w:p>
      <w:pPr>
        <w:spacing w:after="0" w:line="200" w:lineRule="exact"/>
        <w:rPr>
          <w:sz w:val="20"/>
          <w:szCs w:val="20"/>
          <w:color w:val="auto"/>
        </w:rPr>
      </w:pPr>
    </w:p>
    <w:p>
      <w:pPr>
        <w:sectPr>
          <w:pgSz w:w="11900" w:h="16838" w:orient="portrait"/>
          <w:cols w:equalWidth="0" w:num="2">
            <w:col w:w="7400" w:space="720"/>
            <w:col w:w="3300"/>
          </w:cols>
          <w:pgMar w:left="240" w:top="68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2"/>
              </w:rPr>
              <w:t>Preferred stock - $0.001 par value, 5 million shares authorized at December 31, 2018 and 2017, respectively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Series A, $0.001 par value, 1.25 million shares designated, 0 shares issued and outstanding as of December</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2018 and 2017, respectively</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160"/>
              <w:spacing w:after="0" w:line="201" w:lineRule="exact"/>
              <w:rPr>
                <w:sz w:val="20"/>
                <w:szCs w:val="20"/>
                <w:color w:val="auto"/>
              </w:rPr>
            </w:pPr>
            <w:r>
              <w:rPr>
                <w:rFonts w:ascii="Arial" w:cs="Arial" w:eastAsia="Arial" w:hAnsi="Arial"/>
                <w:sz w:val="18"/>
                <w:szCs w:val="18"/>
                <w:color w:val="auto"/>
                <w:w w:val="91"/>
              </w:rPr>
              <w:t>Series B, $0.001 par value, 1.5 million shares designated, 0 shares issued and outstanding as of December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31, 2018 and 2017, respectively</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150 million shares authorized, 45.4 million and 10.6 million shares issued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as of December 31, 2018 and 2017, respectively</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365,400,748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161,067,538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(306,105,450)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(157,420,027)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3,658,127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62,144,310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Grant income</w:t>
            </w:r>
          </w:p>
        </w:tc>
        <w:tc>
          <w:tcPr>
            <w:tcW w:w="2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205,994</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 intellectual property acquired</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116,044,886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7,952,870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5,250,985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24,379,871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6,412,121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148,377,627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11,663,106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(148,171,633)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(11,480,042)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253,723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extinguishment gain</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(147,957,910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(10,982,177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19,091,926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9,453,483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5820" w:type="dxa"/>
            <w:vAlign w:val="bottom"/>
          </w:tcPr>
          <w:p>
            <w:pPr>
              <w:spacing w:after="0"/>
              <w:rPr>
                <w:sz w:val="16"/>
                <w:szCs w:val="16"/>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Additional Paid-</w:t>
            </w:r>
          </w:p>
        </w:tc>
        <w:tc>
          <w:tcPr>
            <w:tcW w:w="104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582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6"/>
              </w:rPr>
              <w:t>Par value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3"/>
                <w:szCs w:val="13"/>
                <w:color w:val="auto"/>
              </w:rPr>
            </w:pPr>
          </w:p>
        </w:tc>
        <w:tc>
          <w:tcPr>
            <w:tcW w:w="920" w:type="dxa"/>
            <w:vAlign w:val="bottom"/>
            <w:gridSpan w:val="2"/>
          </w:tcPr>
          <w:p>
            <w:pPr>
              <w:jc w:val="right"/>
              <w:ind w:right="33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142"/>
        </w:trPr>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2017</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8,421,185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8,421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151,991,974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(145,815,808)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6,184,587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and warrants in private placement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1,503,567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1,504</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6,188,499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6,190,003</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Fees and legal costs relating to private placement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(781,660)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(781,660)</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Exercise of warrants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167,926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666,498</w:t>
            </w: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666,666</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Legal costs relating to exercise of warrants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(47,043)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(47,043)</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Fair value of repriced warrants as inducement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622,042</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620,685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2,737,623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2,738,244</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Repurchase of common stock to pay for employee withholding taxes</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w:t>
            </w:r>
          </w:p>
        </w:tc>
        <w:tc>
          <w:tcPr>
            <w:tcW w:w="1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(310,395)</w:t>
            </w: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(310,493)</w:t>
            </w:r>
          </w:p>
        </w:tc>
      </w:tr>
      <w:tr>
        <w:trPr>
          <w:trHeight w:val="162"/>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(10,982,177)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(10,982,177)</w:t>
            </w: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2017</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10,615,724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10,616</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161,067,538</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(157,420,027)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3,658,127</w:t>
            </w:r>
          </w:p>
        </w:tc>
        <w:tc>
          <w:tcPr>
            <w:tcW w:w="100" w:type="dxa"/>
            <w:vAlign w:val="bottom"/>
          </w:tcPr>
          <w:p>
            <w:pPr>
              <w:spacing w:after="0"/>
              <w:rPr>
                <w:sz w:val="12"/>
                <w:szCs w:val="12"/>
                <w:color w:val="auto"/>
              </w:rPr>
            </w:pP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of common stock for research and development intellectual property</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13,914,255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13,914</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116,030,972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116,044,886</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and warrants in private placement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18,800,000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18,800</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73,101,200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73,120,000</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Fees and legal costs relating to private placement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(6,175,000)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(6,175,000)</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Stock options exercised for cash</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18,115</w:t>
            </w: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18,125</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warrants exercised for cash</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1,499,324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1,499</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4,352,129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4,353,628</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Stock warrants cashless exercised</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280,760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w:t>
            </w: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327,786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16,350,263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16,350,592</w:t>
            </w:r>
          </w:p>
        </w:tc>
      </w:tr>
      <w:tr>
        <w:trPr>
          <w:trHeight w:val="149"/>
        </w:trPr>
        <w:tc>
          <w:tcPr>
            <w:tcW w:w="5820" w:type="dxa"/>
            <w:vAlign w:val="bottom"/>
          </w:tcPr>
          <w:p>
            <w:pPr>
              <w:ind w:left="180"/>
              <w:spacing w:after="0" w:line="149" w:lineRule="exact"/>
              <w:rPr>
                <w:sz w:val="20"/>
                <w:szCs w:val="20"/>
                <w:color w:val="auto"/>
              </w:rPr>
            </w:pPr>
            <w:r>
              <w:rPr>
                <w:rFonts w:ascii="Arial" w:cs="Arial" w:eastAsia="Arial" w:hAnsi="Arial"/>
                <w:sz w:val="14"/>
                <w:szCs w:val="14"/>
                <w:color w:val="auto"/>
              </w:rPr>
              <w:t>Repurchase of common stock to pay for employee withholding taxes</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(71,702)</w:t>
            </w:r>
          </w:p>
        </w:tc>
        <w:tc>
          <w:tcPr>
            <w:tcW w:w="12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(71,710)</w:t>
            </w:r>
          </w:p>
        </w:tc>
      </w:tr>
      <w:tr>
        <w:trPr>
          <w:trHeight w:val="149"/>
        </w:trPr>
        <w:tc>
          <w:tcPr>
            <w:tcW w:w="5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Fair value of repriced warrants as inducement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727,513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(727,513)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5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4"/>
                <w:szCs w:val="14"/>
                <w:color w:val="auto"/>
                <w:w w:val="94"/>
              </w:rPr>
              <w:t>(147,957,910)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(147,957,910)</w:t>
            </w:r>
          </w:p>
        </w:tc>
      </w:tr>
      <w:tr>
        <w:trPr>
          <w:trHeight w:val="156"/>
        </w:trPr>
        <w:tc>
          <w:tcPr>
            <w:tcW w:w="58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2018</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45,440,704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45,440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365,400,748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4"/>
              </w:rPr>
              <w:t>(306,105,450</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59,340,738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(147,957,910)</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(10,982,177)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Changes in fair value of warrant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16,350,592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Debt extinguishment gain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 intellectual property acquired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116,044,886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b w:val="1"/>
                <w:bCs w:val="1"/>
                <w:color w:val="auto"/>
              </w:rPr>
              <w:t>Changes in operating assets and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deposits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(108,177)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1,241,260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(14,479,916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(8,439,427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(147,668)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Proceeds from issuance of common stock and warrants in private placement, net of offering costs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66,945,000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Proceeds from exercise of stock warrants, net of offering costs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4,353,628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Repurchase of common stock to pay for employee withholding taxes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(71,710)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(310,493)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71,245,043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56,617,459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(2,721,954)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5,129,289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7,851,243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repriced warrants as inducement</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727,513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Stock warrants cashless exercised</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Marker Therapeutics, Inc., a Delaware corporation formerly known as TapImmune, Inc. (the “Company” or “we”),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the Company does not genetically engineer its T cells, when compared to current engineered CAR-T and TCR-based approaches, its products (i) are significantly less expensive to manufacture, (ii) appear to be markedly less toxic, and (iii) are associated with potentially meaningful clinical benefit. As a result, the Company believes its portfolio of T cell therapies has a potentially compelling therapeutic product profile, as compared to current gene-modified CAR-T and TCR-based therapies. In addition, the Company’s Folate Receptor Alpha program (TPIV200) for breast and ovarian cancers and our HER2/neu program (TPIV100/110) are in five Phase II clinical trials. In parallel, the Company has been working on a proprietary nucleic acid-based antigen expression technology named PolyStart™ to improve the ability of the immune system to recognize and destroy diseased cells. The Company was incorporated in Nevada in 1992 and reincorporated in Delaware in October 2018 in connection with the Marker Transaction.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17, 2018, the Company completed its previously announced acquisition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 AND MANAGEMENT PLANS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generated any revenue from product sales to date and, if the Company does not successfully obtain regulatory approval and commercialize any of its product candidates, the Company will not be able to generate product revenue or achieve profitability.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risks common to companies in the biotechnology industry and the future success of the Company is dependent on its ability to successfully complete the development of, and obtain regulatory approval for its product candidates, manage the growth of the organization, obtain additional financing necessary in order to develop, launch and commercialize its product candidates, and compete successfully with other companies in its industry. These financial statements are presented in United States dollars and have been prepared in accordance with accounting principles generally accepted in the United States of America (“GAAP”). In the opinion of management, the accompanying audited consolidated financial statements reflect all adjustments, consisting of normal recurring adjustments, considered necessary for a fair presentation of such annual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Prior period grant income that was included in other income (expense) in the December 31, 2017 consolidated statement of operations has been reclassified to revenues for comparability with the December 31, 2018 presentation. This reclassification had no effect on previously reported net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 Intellectual Property Acquired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concluded that its acquisition with Marker Cell Therapy, Inc. completed on October 17, 2018 should be accounted for as an asset acquisition rather than a business combination under Accounting Standards Codification (ASC) 805, Business Combinations. The merger was accounted for as an asset acquisition because substantially all the fair value of the assets being acquired are concentrated in a group of similar assets. Furthermore, the acquired assets did not have outputs or employees. The assets acquired by the Company under the merger included a license, other associated intellectual property, documentation and records, and related materials. Because Marker’s intellectual property had not received regulatory approval, the $116.0 million purchase price paid for these assets was immediately expensed in the Company’s statement of operations as research and development – intellectual property acquired.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yet generated any revenue from product sales. The Company’s source of revenue in 2018 and 2017 has been from grants. When grant funds are received after costs have been incurred, the Company records grant revenue upon the receipt of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at December 31, 2018 consisted of cash and certificates of deposit in institutions in the United States. Balances at certain institutions have exceeded Federal Deposit Insurance Corporation insured limits and U.S. government agency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in accounts which are in excess of the Federal Deposit Insurance Corporation (“FDIC”) insured limits of $250,000. As of December 31, 2018, and 2017, approximately $3.4 million and $4.9 million, respectively, in cash was uninsured based upon the FDIC insurance coverage limits.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and Deferred Rent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rent expense for leases with increasing annual rents on a straight-line basis over the term of the lease. The amount of rent expense in excess of cash payments is classified as deferred rent. Any lease incentives received are deferred and amortized over the term of the lease.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1"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incurs stock-based compensation expense related to restricted stock units and stock options. The fair value of restricted stock is determined by the closing market price of the Company's common stock on the date of grant.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 The Company amortizes the fair value of the awards expected to vest on a straight-line basis over the requisite service period of the awards. Expected volatility is based on historical volatility. The expected life of options granted is based on historical expected life. The risk-free interest rate is based on the U.S. Treasury yield in effect at the time of grant. The forfeiture rate is based on historical data, and the Company records stock-based compensation expense only for those awards that are expected to vest. The dividend yield is based on the fact that no dividends have been paid historically and none are currently expected to be paid in the foreseeable future:</w:t>
      </w:r>
    </w:p>
    <w:p>
      <w:pPr>
        <w:spacing w:after="0" w:line="18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simplified method, which is the half-life from vesting to the end of its contractual term.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8" w:name="page99"/>
    <w:bookmarkEnd w:id="98"/>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2018, and 2017,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2018 and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options, warrants or other contracts to determine if those contracts or embedded components of those contracts qualify as derivatives to be separately accounted for. This accounting treatment requires that the carrying amounts of embedded derivatives be marked-to-market at each balance sheet date and carried at fair value. If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9" w:name="page100"/>
    <w:bookmarkEnd w:id="99"/>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free-standing warrants that contain contingently putable cash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2014-09, “Revenue from Contracts with Customers (Topic 606)” issued by the Financial Accounting Standards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loss per share include only the weighted average common shares outstanding, without consideration of potentially dilutive securities. Diluted loss per share include the weighted average common shares outstanding and any potentially dilutive common stock equivalent shares in the calculation.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as modified by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effective January 1, 2018, using the modified retrospective approach. The only impact of the adoption of ASU 2014-09 was to reclassify the Company's grant income as revenue.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Improvements to Non-Employee Share-Based Payment Accounting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Early adoption is permitted, but no earlier than an entity’s adoption date of Topic 606. The Company is currently evaluating the impact of the new standard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2016-02, Leases (Topic 842) in order to increase transparency and comparability among organizations by, among other provisions, recognizing lease assets and lease liabilities on the balance sheet for those leases classified as operating leases under previous GAAP. For public companies, ASU 2016-02 is effective for fiscal years beginning after December 15, 2018 (including interim periods within those periods) using a modified retrospective approach and early adoption is permitted.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Leases (Topic 842): Targeted Improvements, which provides entities an optional transition method to apply the guidance under Topic 842 as of the adoption date, rather than as of the earliest period presented. The Company adopted Topic 842 on January 1, 2019, using the optional transition method to apply the new guidance as of January 1, 2019, rather than as of the earliest period presented, and elected the package of practical expedients described above. Based on the analysis, the Company expects to recognize additional operating liabilities of approximately $670,000, with corresponding ROU assets of approximately the same amount as of January 1, 2019 based on the present value of the remaining lease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 Disclosure Update and Simplification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is evaluating the impact of this guidance on its consolidated financial statements. The Company anticipates its first presentation of changes in shareholders’ equity in accordance with the new guidance, will be included in its Form 10-Q for the quarter ended March 31, 2019.</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ASSET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Acquisition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17, 2018, the Company completed its acquisition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Securities Purchase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gross proceeds of $70 million pursuant to the terms of the Securities Purchase Agreements, dated June 8, 2018, by and among the Company and certain accredited investors (the “Securities Purchase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concluded that the merger should be accounted for as an asset acquisition by the Company rather than as a business combination under Accounting Standards Codification (ASC) 805, Business Combinations. The merger was accounted for as an asset acquisition because substantially all the fair value of the assets being acquired are concentrated in a group of similar assets. Furthermore, the acquired assets did not have outputs or employees. The assets acquired by the Company under the merger include a license, other associated intellectual property, documentation and records, and related materials. Because Marker’s intellectual property had not yet received regulatory approval, the $116.0 million purchase price paid for these assets was expensed in the Company’s statement of operations for the fiscal year ended December 31, 2018. The Common Stock issued for the asset acquisition was valued at $116.0 million which is equal to the 13,914,255 common shares issued to Marker multiplied by $8.34, the closing price of the Company’s Common Stock as of October 17, 2018.</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considered whether the merger should be accounted for as a reverse acquisition by Marker. The purpose of the merger is for the Company to acquire the assets of Marker so that the Company can expand its product and service offerings. While the former TapImmune and Marker stockholders hold an equal number of Board seats in the combined entity, the Company concluded that Marker would not be deemed the accounting acquirer under ASC 805, and therefore the merger is not a reverse acquisition.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LOSS PER SHARE APPLICABLE TO COMMON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Applicable to Common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following table sets forth the computation of loss per share for the years ended December 31, 2018 and 2017,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(147,957,910)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(10,982,177)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19,091,926</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9,453,483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 and Diluted</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66"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14605</wp:posOffset>
            </wp:positionV>
            <wp:extent cx="17151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purchase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 of the following as of December 31, 2018 and 2017, respectively: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2018</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95"/>
        </w:trPr>
        <w:tc>
          <w:tcPr>
            <w:tcW w:w="10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7"/>
              </w:rPr>
              <w:t>4,120,000</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489,000</w:t>
            </w:r>
          </w:p>
        </w:tc>
        <w:tc>
          <w:tcPr>
            <w:tcW w:w="20" w:type="dxa"/>
            <w:vAlign w:val="bottom"/>
          </w:tcPr>
          <w:p>
            <w:pPr>
              <w:spacing w:after="0"/>
              <w:rPr>
                <w:sz w:val="16"/>
                <w:szCs w:val="16"/>
                <w:color w:val="auto"/>
              </w:rPr>
            </w:pPr>
          </w:p>
        </w:tc>
      </w:tr>
      <w:tr>
        <w:trPr>
          <w:trHeight w:val="230"/>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22,989,000</w:t>
            </w:r>
          </w:p>
        </w:tc>
        <w:tc>
          <w:tcPr>
            <w:tcW w:w="1260" w:type="dxa"/>
            <w:vAlign w:val="bottom"/>
          </w:tcPr>
          <w:p>
            <w:pPr>
              <w:jc w:val="right"/>
              <w:spacing w:after="0"/>
              <w:rPr>
                <w:sz w:val="20"/>
                <w:szCs w:val="20"/>
                <w:color w:val="auto"/>
              </w:rPr>
            </w:pPr>
            <w:r>
              <w:rPr>
                <w:rFonts w:ascii="Arial" w:cs="Arial" w:eastAsia="Arial" w:hAnsi="Arial"/>
                <w:sz w:val="18"/>
                <w:szCs w:val="18"/>
                <w:color w:val="auto"/>
              </w:rPr>
              <w:t>6,517,500</w:t>
            </w:r>
          </w:p>
        </w:tc>
        <w:tc>
          <w:tcPr>
            <w:tcW w:w="20" w:type="dxa"/>
            <w:vAlign w:val="bottom"/>
          </w:tcPr>
          <w:p>
            <w:pPr>
              <w:spacing w:after="0"/>
              <w:rPr>
                <w:sz w:val="19"/>
                <w:szCs w:val="19"/>
                <w:color w:val="auto"/>
              </w:rPr>
            </w:pPr>
          </w:p>
        </w:tc>
      </w:tr>
      <w:tr>
        <w:trPr>
          <w:trHeight w:val="230"/>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27,000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r>
      <w:tr>
        <w:trPr>
          <w:trHeight w:val="223"/>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27,136,000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7,010,000</w:t>
            </w: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-25400</wp:posOffset>
            </wp:positionV>
            <wp:extent cx="7975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-8255</wp:posOffset>
            </wp:positionV>
            <wp:extent cx="7975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-179705</wp:posOffset>
            </wp:positionV>
            <wp:extent cx="7975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59"/>
        <w:spacing w:after="0"/>
        <w:rPr>
          <w:sz w:val="20"/>
          <w:szCs w:val="20"/>
          <w:color w:val="auto"/>
        </w:rPr>
      </w:pPr>
      <w:r>
        <w:rPr>
          <w:rFonts w:ascii="Arial" w:cs="Arial" w:eastAsia="Arial" w:hAnsi="Arial"/>
          <w:sz w:val="15"/>
          <w:szCs w:val="15"/>
          <w:b w:val="1"/>
          <w:bCs w:val="1"/>
          <w:color w:val="auto"/>
        </w:rPr>
        <w:t>For the years ended</w:t>
      </w:r>
    </w:p>
    <w:p>
      <w:pPr>
        <w:spacing w:after="0" w:line="62" w:lineRule="exact"/>
        <w:rPr>
          <w:sz w:val="20"/>
          <w:szCs w:val="20"/>
          <w:color w:val="auto"/>
        </w:rPr>
      </w:pPr>
    </w:p>
    <w:p>
      <w:pPr>
        <w:jc w:val="center"/>
        <w:ind w:left="-459"/>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p>
      <w:pPr>
        <w:sectPr>
          <w:pgSz w:w="11900" w:h="16838" w:orient="portrait"/>
          <w:cols w:equalWidth="0" w:num="2">
            <w:col w:w="7060" w:space="300"/>
            <w:col w:w="406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4"/>
              </w:rPr>
              <w:t>Estimated Useful Lives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62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Computers and equipment</w:t>
            </w:r>
          </w:p>
        </w:tc>
        <w:tc>
          <w:tcPr>
            <w:tcW w:w="1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3-5 Years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66,000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Office furniture</w:t>
            </w: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5 Years</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Furniture and computer equipment were placed in use on January 1, 2019, therefore no depreciation expense was recorded during the year ended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03" w:name="page104"/>
    <w:bookmarkEnd w:id="103"/>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December 31, 2018 and 2017,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30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payable</w:t>
            </w:r>
          </w:p>
        </w:tc>
        <w:tc>
          <w:tcPr>
            <w:tcW w:w="3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Compensation and benefits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416,000</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2"/>
              </w:rPr>
              <w:t>Professional fees</w:t>
            </w:r>
          </w:p>
        </w:tc>
        <w:tc>
          <w:tcPr>
            <w:tcW w:w="3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Technology license fees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relations fees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NOTE 8:</w:t>
            </w:r>
          </w:p>
        </w:tc>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WARRANT LIABILITY</w:t>
            </w: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vMerge w:val="continue"/>
          </w:tcPr>
          <w:p>
            <w:pPr>
              <w:spacing w:after="0"/>
              <w:rPr>
                <w:sz w:val="24"/>
                <w:szCs w:val="24"/>
                <w:color w:val="auto"/>
              </w:rPr>
            </w:pPr>
          </w:p>
        </w:tc>
        <w:tc>
          <w:tcPr>
            <w:tcW w:w="38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categorized within Level 3 of the fair value hierarchy for the years ended December 31, 2018 and 2017,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400" w:type="dxa"/>
            <w:vAlign w:val="bottom"/>
            <w:tcBorders>
              <w:bottom w:val="single" w:sz="8" w:color="auto"/>
            </w:tcBorders>
            <w:gridSpan w:val="4"/>
          </w:tcPr>
          <w:p>
            <w:pPr>
              <w:jc w:val="center"/>
              <w:ind w:left="276"/>
              <w:spacing w:after="0"/>
              <w:rPr>
                <w:sz w:val="20"/>
                <w:szCs w:val="20"/>
                <w:color w:val="auto"/>
              </w:rPr>
            </w:pPr>
            <w:r>
              <w:rPr>
                <w:rFonts w:ascii="Arial" w:cs="Arial" w:eastAsia="Arial" w:hAnsi="Arial"/>
                <w:sz w:val="18"/>
                <w:szCs w:val="18"/>
                <w:b w:val="1"/>
                <w:bCs w:val="1"/>
                <w:color w:val="auto"/>
                <w:w w:val="90"/>
              </w:rPr>
              <w:t>Weighted Average Inputs</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6780" w:type="dxa"/>
            <w:vAlign w:val="bottom"/>
          </w:tcPr>
          <w:p>
            <w:pPr>
              <w:spacing w:after="0"/>
              <w:rPr>
                <w:sz w:val="17"/>
                <w:szCs w:val="17"/>
                <w:color w:val="auto"/>
              </w:rPr>
            </w:pPr>
          </w:p>
        </w:tc>
        <w:tc>
          <w:tcPr>
            <w:tcW w:w="2400" w:type="dxa"/>
            <w:vAlign w:val="bottom"/>
            <w:gridSpan w:val="4"/>
          </w:tcPr>
          <w:p>
            <w:pPr>
              <w:jc w:val="center"/>
              <w:ind w:left="276"/>
              <w:spacing w:after="0" w:line="205" w:lineRule="exact"/>
              <w:rPr>
                <w:sz w:val="20"/>
                <w:szCs w:val="20"/>
                <w:color w:val="auto"/>
              </w:rPr>
            </w:pPr>
            <w:r>
              <w:rPr>
                <w:rFonts w:ascii="Arial" w:cs="Arial" w:eastAsia="Arial" w:hAnsi="Arial"/>
                <w:sz w:val="18"/>
                <w:szCs w:val="18"/>
                <w:b w:val="1"/>
                <w:bCs w:val="1"/>
                <w:color w:val="auto"/>
                <w:w w:val="91"/>
              </w:rPr>
              <w:t>For the Years Ended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3.92</w:t>
            </w: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Exercise price</w:t>
            </w: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9.72</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1.20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Volatility (annual)</w:t>
            </w:r>
          </w:p>
        </w:tc>
        <w:tc>
          <w:tcPr>
            <w:tcW w:w="3900" w:type="dxa"/>
            <w:vAlign w:val="bottom"/>
          </w:tcPr>
          <w:p>
            <w:pPr>
              <w:jc w:val="right"/>
              <w:ind w:right="510"/>
              <w:spacing w:after="0"/>
              <w:rPr>
                <w:sz w:val="20"/>
                <w:szCs w:val="20"/>
                <w:color w:val="auto"/>
              </w:rPr>
            </w:pPr>
            <w:r>
              <w:rPr>
                <w:rFonts w:ascii="Arial" w:cs="Arial" w:eastAsia="Arial" w:hAnsi="Arial"/>
                <w:sz w:val="18"/>
                <w:szCs w:val="18"/>
                <w:color w:val="auto"/>
              </w:rPr>
              <w:t>99%</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3900" w:type="dxa"/>
            <w:vAlign w:val="bottom"/>
          </w:tcPr>
          <w:p>
            <w:pPr>
              <w:jc w:val="right"/>
              <w:ind w:right="51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changes in Level 3 warrant liabilities, reflected in accrued expenses measured at fair value for the years ended December 31, 2018 and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w:t>
            </w:r>
          </w:p>
        </w:tc>
        <w:tc>
          <w:tcPr>
            <w:tcW w:w="4560" w:type="dxa"/>
            <w:vAlign w:val="bottom"/>
          </w:tcPr>
          <w:p>
            <w:pPr>
              <w:spacing w:after="0"/>
              <w:rPr>
                <w:sz w:val="19"/>
                <w:szCs w:val="19"/>
                <w:color w:val="auto"/>
              </w:rPr>
            </w:pPr>
          </w:p>
        </w:tc>
      </w:t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Liability</w:t>
            </w:r>
          </w:p>
        </w:tc>
        <w:tc>
          <w:tcPr>
            <w:tcW w:w="4560" w:type="dxa"/>
            <w:vAlign w:val="bottom"/>
          </w:tcPr>
          <w:p>
            <w:pPr>
              <w:spacing w:after="0"/>
              <w:rPr>
                <w:sz w:val="20"/>
                <w:szCs w:val="20"/>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c>
          <w:tcPr>
            <w:tcW w:w="4560" w:type="dxa"/>
            <w:vAlign w:val="bottom"/>
          </w:tcPr>
          <w:p>
            <w:pPr>
              <w:spacing w:after="0"/>
              <w:rPr>
                <w:sz w:val="19"/>
                <w:szCs w:val="19"/>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4560" w:type="dxa"/>
            <w:vAlign w:val="bottom"/>
          </w:tcPr>
          <w:p>
            <w:pPr>
              <w:spacing w:after="0"/>
              <w:rPr>
                <w:sz w:val="19"/>
                <w:szCs w:val="19"/>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13"/>
        </w:trPr>
        <w:tc>
          <w:tcPr>
            <w:tcW w:w="5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color w:val="auto"/>
              </w:rPr>
              <w:t>F-16</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04" w:name="page105"/>
    <w:bookmarkEnd w:id="104"/>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Fair value measured at December 31, 2018</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78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1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markets</w:t>
            </w:r>
          </w:p>
        </w:tc>
        <w:tc>
          <w:tcPr>
            <w:tcW w:w="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 inputs</w:t>
            </w:r>
          </w:p>
        </w:tc>
        <w:tc>
          <w:tcPr>
            <w:tcW w:w="60" w:type="dxa"/>
            <w:vAlign w:val="bottom"/>
          </w:tcPr>
          <w:p>
            <w:pPr>
              <w:spacing w:after="0"/>
              <w:rPr>
                <w:sz w:val="19"/>
                <w:szCs w:val="19"/>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unobservable inputs</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4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Fair value measured at December 31, 2017</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20" w:type="dxa"/>
            <w:vAlign w:val="bottom"/>
          </w:tcPr>
          <w:p>
            <w:pPr>
              <w:spacing w:after="0"/>
              <w:rPr>
                <w:sz w:val="16"/>
                <w:szCs w:val="16"/>
                <w:color w:val="auto"/>
              </w:rPr>
            </w:pPr>
          </w:p>
        </w:tc>
        <w:tc>
          <w:tcPr>
            <w:tcW w:w="178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1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markets</w:t>
            </w:r>
          </w:p>
        </w:tc>
        <w:tc>
          <w:tcPr>
            <w:tcW w:w="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 inputs</w:t>
            </w:r>
          </w:p>
        </w:tc>
        <w:tc>
          <w:tcPr>
            <w:tcW w:w="60" w:type="dxa"/>
            <w:vAlign w:val="bottom"/>
          </w:tcPr>
          <w:p>
            <w:pPr>
              <w:spacing w:after="0"/>
              <w:rPr>
                <w:sz w:val="19"/>
                <w:szCs w:val="19"/>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unobservable inputs</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years ended December 31, 2018 and 2017, respectively.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authorized up to 5,000,000 shares of preferred stock, $0.0001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A Preferred Stock - </w:t>
      </w:r>
      <w:r>
        <w:rPr>
          <w:rFonts w:ascii="Arial" w:cs="Arial" w:eastAsia="Arial" w:hAnsi="Arial"/>
          <w:sz w:val="18"/>
          <w:szCs w:val="18"/>
          <w:color w:val="auto"/>
        </w:rPr>
        <w:t>The Company has designated up to 1,250,000 shares of Series A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A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B Preferred Stock - </w:t>
      </w:r>
      <w:r>
        <w:rPr>
          <w:rFonts w:ascii="Arial" w:cs="Arial" w:eastAsia="Arial" w:hAnsi="Arial"/>
          <w:sz w:val="18"/>
          <w:szCs w:val="18"/>
          <w:color w:val="auto"/>
        </w:rPr>
        <w:t>The Company has designated up to 1,500,000 shares of Series B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B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up to 150,000,000 shares of common stock, $0.0001 par value per share, for issuance. Significant 2018 and 2017 common stock transactions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2018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Merger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Merger discussed in Note 4 above, the Company issued 13,914,255 shares of common stock to shareholders of Marker Cell Therapy, Inc. The fair market value of the shares issued pursuant to the asset acquisition was $116.0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Purchase Agreements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financing discussed in Note 4 above, the Company issued 17,500,000 shares of its common stock to the participating accredited investors. Net proceeds, after transaction offering costs of $6.2 million, were $63.8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Purchase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Weighted Average Inputs</w:t>
            </w:r>
          </w:p>
        </w:tc>
      </w:t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Before</w:t>
            </w:r>
          </w:p>
        </w:tc>
        <w:tc>
          <w:tcPr>
            <w:tcW w:w="16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After</w:t>
            </w:r>
          </w:p>
        </w:tc>
      </w:tr>
      <w:tr>
        <w:trPr>
          <w:trHeight w:val="234"/>
        </w:trPr>
        <w:tc>
          <w:tcPr>
            <w:tcW w:w="2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Modification</w:t>
            </w:r>
          </w:p>
        </w:tc>
        <w:tc>
          <w:tcPr>
            <w:tcW w:w="16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Modification</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Risk-free rate</w:t>
            </w: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exercise and repricing of warrants discussed above, during the twelve months ended December 31, 2018, certain outstanding warrants were exercised by warrant holders providing aggregate proceeds to the Company of approximately $2.4 million and resulted in the issuance of 716,819 shares of common stock.</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280,760 of the stock warrants exercised were exercised on a cashless basis, which resulted in approximately 204,000 of warrant shares being cancelled due to use of cashless exercise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10,416 shares of common stock were issued pursuant to stock option exercises at an exercise price equal to $1.74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twelve months ended December 31, 2018, the Company issued 274,012 shares of common stock in connection with consulting agreements. The fair value of the common stock of approximately $1.8 million was recognized as stock-based compensation expense, $1.7 million in general and administrative expenses and $0.1 million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Management and Board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ended December 31, 2018, the Company issued 53,774 shares of common stock in connection with board of director and management agreements. The fair value of the common stock of approximately $0.5 million was recognized as stock-based compensation expense in general and administrative expenses. 7,561 shares of common stock, with a fair value of $0.1 million, were withheld to satisfy certain payroll liabilities, as applicable to an award to a former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million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150,357 shares of Company common stock for $3.97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8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8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Warrant Shares</w:t>
            </w:r>
          </w:p>
        </w:tc>
        <w:tc>
          <w:tcPr>
            <w:tcW w:w="1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Pre-reduced</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Post-reduced</w:t>
            </w:r>
          </w:p>
        </w:tc>
        <w:tc>
          <w:tcPr>
            <w:tcW w:w="4560" w:type="dxa"/>
            <w:vAlign w:val="bottom"/>
          </w:tcPr>
          <w:p>
            <w:pPr>
              <w:spacing w:after="0"/>
              <w:rPr>
                <w:sz w:val="18"/>
                <w:szCs w:val="18"/>
                <w:color w:val="auto"/>
              </w:rPr>
            </w:pPr>
          </w:p>
        </w:tc>
      </w:tr>
      <w:tr>
        <w:trPr>
          <w:trHeight w:val="234"/>
        </w:trPr>
        <w:tc>
          <w:tcPr>
            <w:tcW w:w="2120" w:type="dxa"/>
            <w:vAlign w:val="bottom"/>
          </w:tcPr>
          <w:p>
            <w:pPr>
              <w:ind w:left="1020"/>
              <w:spacing w:after="0"/>
              <w:rPr>
                <w:sz w:val="20"/>
                <w:szCs w:val="20"/>
                <w:color w:val="auto"/>
              </w:rPr>
            </w:pPr>
            <w:r>
              <w:rPr>
                <w:rFonts w:ascii="Arial" w:cs="Arial" w:eastAsia="Arial" w:hAnsi="Arial"/>
                <w:sz w:val="18"/>
                <w:szCs w:val="18"/>
                <w:b w:val="1"/>
                <w:bCs w:val="1"/>
                <w:color w:val="auto"/>
              </w:rPr>
              <w:t>Series</w:t>
            </w:r>
          </w:p>
        </w:tc>
        <w:tc>
          <w:tcPr>
            <w:tcW w:w="20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Repriced</w:t>
            </w:r>
          </w:p>
        </w:tc>
        <w:tc>
          <w:tcPr>
            <w:tcW w:w="18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Price</w:t>
            </w:r>
          </w:p>
        </w:tc>
        <w:tc>
          <w:tcPr>
            <w:tcW w:w="4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Price</w:t>
            </w:r>
          </w:p>
        </w:tc>
        <w:tc>
          <w:tcPr>
            <w:tcW w:w="4560" w:type="dxa"/>
            <w:vAlign w:val="bottom"/>
          </w:tcPr>
          <w:p>
            <w:pPr>
              <w:spacing w:after="0"/>
              <w:rPr>
                <w:sz w:val="20"/>
                <w:szCs w:val="20"/>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56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Series D</w:t>
            </w:r>
          </w:p>
        </w:tc>
        <w:tc>
          <w:tcPr>
            <w:tcW w:w="2080" w:type="dxa"/>
            <w:vAlign w:val="bottom"/>
          </w:tcPr>
          <w:p>
            <w:pPr>
              <w:jc w:val="right"/>
              <w:spacing w:after="0"/>
              <w:rPr>
                <w:sz w:val="20"/>
                <w:szCs w:val="20"/>
                <w:color w:val="auto"/>
              </w:rPr>
            </w:pPr>
            <w:r>
              <w:rPr>
                <w:rFonts w:ascii="Arial" w:cs="Arial" w:eastAsia="Arial" w:hAnsi="Arial"/>
                <w:sz w:val="18"/>
                <w:szCs w:val="18"/>
                <w:color w:val="auto"/>
              </w:rPr>
              <w:t>312,500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456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560" w:type="dxa"/>
            <w:vAlign w:val="bottom"/>
          </w:tcPr>
          <w:p>
            <w:pPr>
              <w:spacing w:after="0"/>
              <w:rPr>
                <w:sz w:val="18"/>
                <w:szCs w:val="18"/>
                <w:color w:val="auto"/>
              </w:rPr>
            </w:pPr>
          </w:p>
        </w:tc>
      </w:tr>
      <w:tr>
        <w:trPr>
          <w:trHeight w:val="432"/>
        </w:trPr>
        <w:tc>
          <w:tcPr>
            <w:tcW w:w="2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F-19</w:t>
            </w:r>
          </w:p>
        </w:tc>
        <w:tc>
          <w:tcPr>
            <w:tcW w:w="9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Before</w:t>
            </w:r>
          </w:p>
        </w:tc>
        <w:tc>
          <w:tcPr>
            <w:tcW w:w="16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After</w:t>
            </w:r>
          </w:p>
        </w:tc>
      </w:tr>
      <w:tr>
        <w:trPr>
          <w:trHeight w:val="234"/>
        </w:trPr>
        <w:tc>
          <w:tcPr>
            <w:tcW w:w="2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Modification</w:t>
            </w:r>
          </w:p>
        </w:tc>
        <w:tc>
          <w:tcPr>
            <w:tcW w:w="16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Modification</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3.34</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Risk-free rate</w:t>
            </w: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Management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9, 2017, the Company issued 12,761 shares of stock to Dr. Glynn Wilson. The fair value of the common stock of $55,000 was recognized as stock-based compensation in general and administrative expenses. The issuance was based on the closing price or our common stock of $4.31 per share.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9, 2017, the Company issued 5,220 shares of stock to our former Chief Operating Officer. The fair value of the common stock of $22,500 was recognized as stock-based compensation in general and administrative expenses. The issuance was based on the closing price or our common stock of $4.31 per share.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2017, the Company granted Mr. Hoang 250,000 shares of unregistered, fully vested restricted common stock. The Company recorded $0.8 million of stock-based compensation based on the fair value of the common stock at September 22, 2017. 70,289 shares of common stock, with a fair value of $0.2 million, were withheld (at the closing price of the Company's common stock on the NASDAQ Capital Market on September 22, 2017) to satisfy certain payroll liabilities, as applicable to the award.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2017, the Company granted Dr. Wilson 100,000 shares of unregistered, fully vested restricted common stock. The Company recorded $0.3 million of stock-based compensation based on the fair value of the common stock at September 22, 2017. 27,350 shares of common stock, with a fair value of $0.1 million, were withheld (at the closing price of the Company's common stock on the NASDAQ Capital Market on September 22, 2017) to satisfy certain payroll liabilities, as applicable to the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the Company issued 0.2 million shares of common stock as part of consulting agreements. The fair value of the common stock of $0.6 million was recognized as stock-based compensation in general and administrative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2018 and 2017, respectively, and changes during the period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80" w:type="dxa"/>
            <w:vAlign w:val="bottom"/>
          </w:tcPr>
          <w:p>
            <w:pPr>
              <w:spacing w:after="0"/>
              <w:rPr>
                <w:sz w:val="19"/>
                <w:szCs w:val="19"/>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9"/>
                <w:szCs w:val="19"/>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 Contractual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378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 Price</w:t>
            </w:r>
          </w:p>
        </w:tc>
        <w:tc>
          <w:tcPr>
            <w:tcW w:w="2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Life (in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1,654,000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Exercised for cash</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Expired or cancelled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30.50</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18,484,000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Exercised for cash</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(1,499,000)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23,016,000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20" w:type="dxa"/>
            <w:vAlign w:val="bottom"/>
          </w:tcPr>
          <w:p>
            <w:pPr>
              <w:spacing w:after="0"/>
              <w:rPr>
                <w:sz w:val="19"/>
                <w:szCs w:val="19"/>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Merger discussed in Note 4 above, the Company issued 5,046,003 stock warrants to shareholders of Marker Cell Therapy, Inc. at an exercise price of $2.99 per share with a five-year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Purchase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financing discussed in Note 4 above, the Company issued 13,437,500 stock warrants to certain accredited investors at an exercise price of $5.00 per share with a five-year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Weighted Average Inputs</w:t>
            </w:r>
          </w:p>
        </w:tc>
        <w:tc>
          <w:tcPr>
            <w:tcW w:w="45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Before</w:t>
            </w:r>
          </w:p>
        </w:tc>
        <w:tc>
          <w:tcPr>
            <w:tcW w:w="16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After</w:t>
            </w:r>
          </w:p>
        </w:tc>
        <w:tc>
          <w:tcPr>
            <w:tcW w:w="45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Modification</w:t>
            </w:r>
          </w:p>
        </w:tc>
        <w:tc>
          <w:tcPr>
            <w:tcW w:w="16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Modification</w:t>
            </w:r>
          </w:p>
        </w:tc>
        <w:tc>
          <w:tcPr>
            <w:tcW w:w="4560" w:type="dxa"/>
            <w:vAlign w:val="bottom"/>
          </w:tcPr>
          <w:p>
            <w:pPr>
              <w:spacing w:after="0"/>
              <w:rPr>
                <w:sz w:val="20"/>
                <w:szCs w:val="20"/>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45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45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5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Risk-free rate</w:t>
            </w: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45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560" w:type="dxa"/>
            <w:vAlign w:val="bottom"/>
          </w:tcPr>
          <w:p>
            <w:pPr>
              <w:spacing w:after="0"/>
              <w:rPr>
                <w:sz w:val="18"/>
                <w:szCs w:val="18"/>
                <w:color w:val="auto"/>
              </w:rPr>
            </w:pPr>
          </w:p>
        </w:tc>
      </w:tr>
      <w:tr>
        <w:trPr>
          <w:trHeight w:val="432"/>
        </w:trPr>
        <w:tc>
          <w:tcPr>
            <w:tcW w:w="2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F-21</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exercise and repricing of warrants discussed above, during the twelve months ended December 31, 2018, certain outstanding warrants were exercised by warrant holders providing aggregate proceeds to the Company of approximately $2.4 million and resulted in the issuance of 716,819 shares of common stock.</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280,760 of the stock warrants exercised were exercised on a cashless basis, which resulted in approximately 204,000 of warrant shares being cancelled due to use of cashless exercise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Private Placement Transaction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million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8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8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Warrant Shares</w:t>
            </w:r>
          </w:p>
        </w:tc>
        <w:tc>
          <w:tcPr>
            <w:tcW w:w="1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Pre-reduced</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Post-reduced</w:t>
            </w:r>
          </w:p>
        </w:tc>
      </w:tr>
      <w:tr>
        <w:trPr>
          <w:trHeight w:val="234"/>
        </w:trPr>
        <w:tc>
          <w:tcPr>
            <w:tcW w:w="2120" w:type="dxa"/>
            <w:vAlign w:val="bottom"/>
          </w:tcPr>
          <w:p>
            <w:pPr>
              <w:ind w:left="1020"/>
              <w:spacing w:after="0"/>
              <w:rPr>
                <w:sz w:val="20"/>
                <w:szCs w:val="20"/>
                <w:color w:val="auto"/>
              </w:rPr>
            </w:pPr>
            <w:r>
              <w:rPr>
                <w:rFonts w:ascii="Arial" w:cs="Arial" w:eastAsia="Arial" w:hAnsi="Arial"/>
                <w:sz w:val="18"/>
                <w:szCs w:val="18"/>
                <w:b w:val="1"/>
                <w:bCs w:val="1"/>
                <w:color w:val="auto"/>
              </w:rPr>
              <w:t>Series</w:t>
            </w:r>
          </w:p>
        </w:tc>
        <w:tc>
          <w:tcPr>
            <w:tcW w:w="20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Repriced</w:t>
            </w: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1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Price</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Series D</w:t>
            </w:r>
          </w:p>
        </w:tc>
        <w:tc>
          <w:tcPr>
            <w:tcW w:w="2080" w:type="dxa"/>
            <w:vAlign w:val="bottom"/>
          </w:tcPr>
          <w:p>
            <w:pPr>
              <w:jc w:val="right"/>
              <w:spacing w:after="0"/>
              <w:rPr>
                <w:sz w:val="20"/>
                <w:szCs w:val="20"/>
                <w:color w:val="auto"/>
              </w:rPr>
            </w:pPr>
            <w:r>
              <w:rPr>
                <w:rFonts w:ascii="Arial" w:cs="Arial" w:eastAsia="Arial" w:hAnsi="Arial"/>
                <w:sz w:val="18"/>
                <w:szCs w:val="18"/>
                <w:color w:val="auto"/>
              </w:rPr>
              <w:t>312,500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an agency agreement, dated May 12, 2017, by and between Katalyst Securities LLC and us, Katalyst agreed to act as our placement agent in connection with the June 26, 2017 private placement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agreement, we agreed to pay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our common stock equal to 10% of the number of shares sold in the offering. The Katalyst Warrants have the same terms as the private placement warrants issued in the offering. Based on the 1,503,567 shares of common stock sold in the private placement, we issued five-year warrants to Katalyst providing for the purchase of up to 150,357 shares of Company common stock for $3.97 per share.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0" w:name="page111"/>
    <w:bookmarkEnd w:id="110"/>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STOCK OPTION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Stock Omnibus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19, 2014, the Board adopted the 2014 Omnibus Stock Option Plan (“2014 Plan”), which replaced the 2009 Stock Incentive Plan. The 2014 Plan allowed for grants of stock options, restricted shares, stock bonuses and other equity-based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2014 Plan was amended in February 2015 to provide for grants to consultants, and again in November 2015 to (i) increase the number of shares reserved for issuance under the Plan to 0.6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August 29, 2017, the 2014 Plan was amended to increase the shares reserved under the Plan to 1.4 million shares, and on October 16, 2018 the 2014 Plan was amended to increase the shares reserved under the Plan to 8.0 million shares. As of December 31, 2018, approximately 3.4 million options are available to be issued from the 2014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employee stock option activity is as follows for stock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Weighted Average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 (in</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14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Exercise Price</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Total Intrinsic Value</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(34,827)</w:t>
            </w: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2,464,855</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(10,416)</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(63,226)</w:t>
            </w: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2,827,010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1,761,567</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193,000</w:t>
            </w:r>
          </w:p>
        </w:tc>
        <w:tc>
          <w:tcPr>
            <w:tcW w:w="220" w:type="dxa"/>
            <w:vAlign w:val="bottom"/>
            <w:vMerge w:val="continue"/>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F-23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A summary of the Company’s non-employee stock option activity is as follows for stock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Weighted Average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 (in</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14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Exercise Price</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Total Intrinsic Value</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1,240,000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53,458</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147,000</w:t>
            </w:r>
          </w:p>
        </w:tc>
        <w:tc>
          <w:tcPr>
            <w:tcW w:w="220" w:type="dxa"/>
            <w:vAlign w:val="bottom"/>
            <w:vMerge w:val="continue"/>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2018, 2017, respectively,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6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8280" w:type="dxa"/>
            <w:vAlign w:val="bottom"/>
            <w:gridSpan w:val="6"/>
          </w:tcPr>
          <w:p>
            <w:pPr>
              <w:spacing w:after="0"/>
              <w:rPr>
                <w:sz w:val="20"/>
                <w:szCs w:val="20"/>
                <w:color w:val="auto"/>
              </w:rPr>
            </w:pPr>
            <w:r>
              <w:rPr>
                <w:rFonts w:ascii="Arial" w:cs="Arial" w:eastAsia="Arial" w:hAnsi="Arial"/>
                <w:sz w:val="18"/>
                <w:szCs w:val="18"/>
                <w:color w:val="auto"/>
                <w:w w:val="97"/>
              </w:rPr>
              <w:t>The following table sets forth stock-based compensation expenses recorded during the respective periods: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9"/>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Compensation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1,265,000</w:t>
            </w:r>
          </w:p>
        </w:tc>
        <w:tc>
          <w:tcPr>
            <w:tcW w:w="4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98,000</w:t>
            </w:r>
          </w:p>
        </w:tc>
      </w:tr>
      <w:tr>
        <w:trPr>
          <w:trHeight w:val="23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15,086,000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2,640,000</w:t>
            </w:r>
          </w:p>
        </w:tc>
        <w:tc>
          <w:tcPr>
            <w:tcW w:w="80" w:type="dxa"/>
            <w:vAlign w:val="bottom"/>
            <w:shd w:val="clear" w:color="auto" w:fill="CCEEFF"/>
          </w:tcPr>
          <w:p>
            <w:pPr>
              <w:spacing w:after="0"/>
              <w:rPr>
                <w:sz w:val="19"/>
                <w:szCs w:val="19"/>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16,351,000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2,738,000</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 December 31, 2018, the total stock-based compensation cost related to unvested awards not yet recognized was $14.7 million. The expected weighted average period compensation costs to be recognized was 2.0 years. Future option grants will impact the compensation expense recognized.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2" w:name="page113"/>
    <w:bookmarkEnd w:id="112"/>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years ended December 31, 2018 and 2017, the Company received $0.2 million of a grant awarded to Mayo Foundation from the U.S. Department of Defense for the Phase II Clinical Trial of TPIV200. The grant compensated the Company for clinical supplies manufactured and provided by the Company for the clinical study. In accordance with Accounting Standards Update No. 2014-09, “Revenue from Contracts with Customers (Topic 606)” issued by the Financial Accounting Standards Board, the Company recorded the $0.2 million of grant income as revenue.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a party to several operating leases as of December 31, 2018, primarily for office space at certain locations.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minimum annual payments under operating leases at December 31, 2018,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Operating Leases</w:t>
            </w:r>
          </w:p>
        </w:tc>
      </w:tr>
      <w:tr>
        <w:trPr>
          <w:trHeight w:val="210"/>
        </w:trPr>
        <w:tc>
          <w:tcPr>
            <w:tcW w:w="5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234,000</w:t>
            </w:r>
          </w:p>
        </w:tc>
      </w:tr>
      <w:tr>
        <w:trPr>
          <w:trHeight w:val="216"/>
        </w:trPr>
        <w:tc>
          <w:tcPr>
            <w:tcW w:w="5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229,000</w:t>
            </w:r>
          </w:p>
        </w:tc>
      </w:tr>
      <w:tr>
        <w:trPr>
          <w:trHeight w:val="216"/>
        </w:trPr>
        <w:tc>
          <w:tcPr>
            <w:tcW w:w="5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71,000</w:t>
            </w:r>
          </w:p>
        </w:tc>
      </w:tr>
      <w:tr>
        <w:trPr>
          <w:trHeight w:val="216"/>
        </w:trPr>
        <w:tc>
          <w:tcPr>
            <w:tcW w:w="5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30"/>
        </w:trPr>
        <w:tc>
          <w:tcPr>
            <w:tcW w:w="5960" w:type="dxa"/>
            <w:vAlign w:val="bottom"/>
          </w:tcPr>
          <w:p>
            <w:pPr>
              <w:jc w:val="center"/>
              <w:spacing w:after="0"/>
              <w:rPr>
                <w:sz w:val="20"/>
                <w:szCs w:val="20"/>
                <w:color w:val="auto"/>
              </w:rPr>
            </w:pPr>
            <w:r>
              <w:rPr>
                <w:rFonts w:ascii="Arial" w:cs="Arial" w:eastAsia="Arial" w:hAnsi="Arial"/>
                <w:sz w:val="18"/>
                <w:szCs w:val="18"/>
                <w:color w:val="auto"/>
                <w:w w:val="91"/>
              </w:rPr>
              <w:t>Thereafter</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59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Total minimum rentals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rental expense under the Company’s operating leases was $175,600 and $121,200 for the years ended December 31, 2018 and 2017, respectively.</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Payment made to Mr. John Wilson. </w:t>
      </w:r>
      <w:r>
        <w:rPr>
          <w:rFonts w:ascii="Arial" w:cs="Arial" w:eastAsia="Arial" w:hAnsi="Arial"/>
          <w:sz w:val="17"/>
          <w:szCs w:val="17"/>
          <w:color w:val="auto"/>
        </w:rPr>
        <w:t>In connection with the Merger discussed in Note 4, Mr. John Wilson, the former CEO of Marker Cell, was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reimbursed for certain funds he advanced to Marker Cell prior to the closing of the Merger. Following the consummation of the Merger, in connection with the obligation to reimburse Mr. Wilson for such expenses, the Company paid Mr. Wilson $100,000 as part of the transaction expenses the Company incurred. At the effective time of the Merger, and as part of the terms thereof, Mr. Wilson became a director of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3" w:name="page114"/>
    <w:bookmarkEnd w:id="113"/>
    <w:p>
      <w:pPr>
        <w:jc w:val="both"/>
        <w:spacing w:after="0" w:line="270" w:lineRule="auto"/>
        <w:rPr>
          <w:sz w:val="20"/>
          <w:szCs w:val="20"/>
          <w:color w:val="auto"/>
        </w:rPr>
      </w:pPr>
      <w:r>
        <w:rPr>
          <w:rFonts w:ascii="Arial" w:cs="Arial" w:eastAsia="Arial" w:hAnsi="Arial"/>
          <w:sz w:val="17"/>
          <w:szCs w:val="17"/>
          <w:i w:val="1"/>
          <w:iCs w:val="1"/>
          <w:color w:val="auto"/>
        </w:rPr>
        <w:t xml:space="preserve">The Baylor College of Medicine (“BCM”) Sponsored Research Agreement. </w:t>
      </w:r>
      <w:r>
        <w:rPr>
          <w:rFonts w:ascii="Arial" w:cs="Arial" w:eastAsia="Arial" w:hAnsi="Arial"/>
          <w:sz w:val="17"/>
          <w:szCs w:val="17"/>
          <w:color w:val="auto"/>
        </w:rPr>
        <w:t>On November 16, 2018, in furtherance of the BCM License Agreement and as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the terms thereof, the Company entered in a Sponsored Research Agreement (“SRA”) with BCM, which provided for the conduct of research for the Company by credentialed personnel at Baylor’s Center for Cell and Gene Therapy. The research is to be supervised by the BCM’s Co-Investigators Dr. Vera and Dr. Leen as set forth and named in the SRA. The SRA has a four-year term. Pursuant to the SRA, the Company has agreed to pay BCM up to $256,272 for years one and two under the SRA with $76,882 paid up front and $153,764 paid in equal monthly installments over two years and a final payment of $25,626 after receipt of the final written report. Payments for years three and four are to be covered by an amendment. During the year ended December 31, 2018, the Company paid BCM $0 under the SRA as the upfront payment was made in January 2019. Neither Dr. Vera nor Dr. Leen received any of these payments or are entitled to receive any portion of these payments. Dr. Vera and Dr. Leen do however indirectly benefit from such payments in connection with their status as BCM employees.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The Consulting Agreement-Dr. Vera. </w:t>
      </w:r>
      <w:r>
        <w:rPr>
          <w:rFonts w:ascii="Arial" w:cs="Arial" w:eastAsia="Arial" w:hAnsi="Arial"/>
          <w:sz w:val="17"/>
          <w:szCs w:val="17"/>
          <w:color w:val="auto"/>
        </w:rPr>
        <w:t>On October 19, 2018, after the closing of the Merger, the Company entered into a consulting agreement with Dr. Juan</w:t>
      </w:r>
      <w:r>
        <w:rPr>
          <w:rFonts w:ascii="Arial" w:cs="Arial" w:eastAsia="Arial" w:hAnsi="Arial"/>
          <w:sz w:val="17"/>
          <w:szCs w:val="17"/>
          <w:i w:val="1"/>
          <w:iCs w:val="1"/>
          <w:color w:val="auto"/>
        </w:rPr>
        <w:t xml:space="preserve"> </w:t>
      </w:r>
      <w:r>
        <w:rPr>
          <w:rFonts w:ascii="Arial" w:cs="Arial" w:eastAsia="Arial" w:hAnsi="Arial"/>
          <w:sz w:val="17"/>
          <w:szCs w:val="17"/>
          <w:color w:val="auto"/>
        </w:rPr>
        <w:t>Vera, a member of the Company’s Board of Directors, to serve as the Company’s Chief Development Officer. The consulting agreement provided for the payment of an annual base consulting fee of $350,000 for services to the Company, discretionary cash payment by the Company up to a maximum of 35% of the base consulting fee, and an award of 500,000 stock options. The consulting agreement is terminable by either party upon 30 days prior written notice. One quarter of the stock options awarded vest on the first anniversary of the award and the remainder vest evenly in equal monthly installments over a three-year period upon the continued performance of consulting services by Dr. Vera over such period. Dr. Vera, an accomplished individual in his field, has another consulting arrangement with parties unrelated to the Company, that have licensed intellectual property from BCM that resulted from his research and development efforts. He may pursue similar arrangements in the future. During the year ended December 31, 2018, Dr. Vera was paid $60,577 by the Company under his consulting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income tax expense due to operating losses incurred for the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2018 and 2017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5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13,596,000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9,690,000</w:t>
            </w:r>
          </w:p>
        </w:tc>
        <w:tc>
          <w:tcPr>
            <w:tcW w:w="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1,556,000</w:t>
            </w: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206,000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223,000</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406,000</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(19,952,000)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(11,878,000)</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which makes broad and complex changes to the U.S. tax code. Certain of these changes may be applicable to the Company, including but not limited to, reducing the U.S. federal corporate tax rate from 34 percent to 21 percent, creating a new limitation on deductible interest expense, eliminating the corporate alternative minimum tax (“AMT”), modifying the rules related to uses and limitations of net operating loss carryforwards generated in tax years ending after December 31, 2017, and changing the rules pertaining to the taxation of profits earned abroad. Changes in tax rates and tax laws are accounted for in the period of enactment. The Tax Act reduces the corporate tax rate to 21 percent, effective January 1,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4" w:name="page115"/>
    <w:bookmarkEnd w:id="114"/>
    <w:p>
      <w:pPr>
        <w:jc w:val="both"/>
        <w:spacing w:after="0" w:line="255" w:lineRule="auto"/>
        <w:rPr>
          <w:sz w:val="20"/>
          <w:szCs w:val="20"/>
          <w:color w:val="auto"/>
        </w:rPr>
      </w:pPr>
      <w:r>
        <w:rPr>
          <w:rFonts w:ascii="Arial" w:cs="Arial" w:eastAsia="Arial" w:hAnsi="Arial"/>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2018 and 2017. The Company decreased the prior period deferred tax asset by $4.8 million with a corresponding increase in its valuation allowance. This immaterial adjustment related to the reduction in the federal tax rates from 34% to 21% and had no impact on the prior period financial statements. Consequently, the valuation allowance increased by $8.1 million as of December 31, 2018. The Company has research and development tax credit carryforwards of $406,000 to offset future federal income taxes. The research and development tax credit carryforwards begin to expire in 2030.</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approximately $57.0 million of federal and $37.3 million of state Net Operating Losses (“NOL”s) that may be available to offset future taxable income, if any. The federal net operating loss carryforwards of $41.6 million, if not utilized, will expire between 2029 and 2037. The federal net operating loss carryforwards of $15.4 million generated in 2018 are subject to an 80% limitation on taxable income, do not expire and will carry forward indefinitely. The state net operating loss carryforwards of $21.8 million, if not utilized, will begin to expire in 2035. The state net operating loss carryforwards of $15.4 million generated in 2018 are subject to an 80% limitation on taxable income, do not expire and will carry forward indefinitely.</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2018 and 2017, the expected tax expense (benefit) based on the U. S. federal statutory rate is reconciled with the actual tax provision (benefit)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6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years ended</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5"/>
              </w:rPr>
              <w:t>December 31,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0"/>
              </w:rPr>
              <w:t>December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2018</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(31,071,000)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(3,734,000)</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(1,383,000)</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(416,000)</w:t>
            </w: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3.79%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 change</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6,275,000</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-57.14%</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Permanent Differences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Non-deductible write-off of acquired R&amp;D expenses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24,369,000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 Change in fair value of derivative liabilities</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Other permanent differences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(161,000)</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8,073,000</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(1,914,000)</w:t>
            </w: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17.43%</w:t>
            </w: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(48,000)</w:t>
            </w: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2018, and 2017, there were no unrecognized tax benefits. The Company recognizes accrued interest and penalties as income tax expense. No amounts were accrued for the payment of interest and penalties at December 31, 2018 and 2017. The Company is currently not aware of any issues under review that could result in significant payments, accruals or material deviation from its position in the next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3"/>
          </w:tcPr>
          <w:p>
            <w:pPr>
              <w:ind w:left="56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80" w:type="dxa"/>
            <w:vAlign w:val="bottom"/>
            <w:gridSpan w:val="5"/>
            <w:vMerge w:val="restart"/>
          </w:tcPr>
          <w:p>
            <w:pPr>
              <w:ind w:left="30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Incorporated by Reference</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38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Filing</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5"/>
          </w:tcPr>
          <w:p>
            <w:pPr>
              <w:ind w:left="28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 description</w:t>
            </w:r>
          </w:p>
        </w:tc>
        <w:tc>
          <w:tcPr>
            <w:tcW w:w="6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Form</w:t>
            </w:r>
          </w:p>
        </w:tc>
        <w:tc>
          <w:tcPr>
            <w:tcW w:w="4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File no.</w:t>
            </w:r>
          </w:p>
        </w:tc>
        <w:tc>
          <w:tcPr>
            <w:tcW w:w="12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gridSpan w:val="15"/>
          </w:tcPr>
          <w:p>
            <w:pPr>
              <w:spacing w:after="0"/>
              <w:rPr>
                <w:rFonts w:ascii="Arial" w:cs="Arial" w:eastAsia="Arial" w:hAnsi="Arial"/>
                <w:sz w:val="18"/>
                <w:szCs w:val="18"/>
                <w:color w:val="0000EE"/>
              </w:rPr>
            </w:pPr>
            <w:hyperlink r:id="rId141">
              <w:r>
                <w:rPr>
                  <w:rFonts w:ascii="Arial" w:cs="Arial" w:eastAsia="Arial" w:hAnsi="Arial"/>
                  <w:sz w:val="18"/>
                  <w:szCs w:val="18"/>
                  <w:color w:val="0000EE"/>
                </w:rPr>
                <w:t>Certificate of Incorporation</w:t>
              </w:r>
            </w:hyperlink>
          </w:p>
        </w:tc>
        <w:tc>
          <w:tcPr>
            <w:tcW w:w="100" w:type="dxa"/>
            <w:vAlign w:val="bottom"/>
          </w:tcPr>
          <w:p>
            <w:pPr>
              <w:spacing w:after="0"/>
              <w:rPr>
                <w:sz w:val="24"/>
                <w:szCs w:val="24"/>
                <w:color w:val="auto"/>
              </w:rPr>
            </w:pPr>
          </w:p>
        </w:tc>
        <w:tc>
          <w:tcPr>
            <w:tcW w:w="580" w:type="dxa"/>
            <w:vAlign w:val="bottom"/>
            <w:gridSpan w:val="3"/>
          </w:tcPr>
          <w:p>
            <w:pPr>
              <w:jc w:val="center"/>
              <w:ind w:right="300"/>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001-37939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center"/>
              <w:ind w:right="140"/>
              <w:spacing w:after="0"/>
              <w:rPr>
                <w:rFonts w:ascii="Arial" w:cs="Arial" w:eastAsia="Arial" w:hAnsi="Arial"/>
                <w:sz w:val="18"/>
                <w:szCs w:val="18"/>
                <w:color w:val="0000EE"/>
                <w:w w:val="82"/>
              </w:rPr>
            </w:pPr>
            <w:hyperlink r:id="rId141">
              <w:r>
                <w:rPr>
                  <w:rFonts w:ascii="Arial" w:cs="Arial" w:eastAsia="Arial" w:hAnsi="Arial"/>
                  <w:sz w:val="18"/>
                  <w:szCs w:val="18"/>
                  <w:color w:val="0000EE"/>
                  <w:w w:val="82"/>
                </w:rPr>
                <w:t>10/17/18</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Bylaws of Marker Therapeutics, Inc.</w:t>
              </w:r>
            </w:hyperlink>
          </w:p>
        </w:tc>
        <w:tc>
          <w:tcPr>
            <w:tcW w:w="2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000-37939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center"/>
              <w:ind w:right="140"/>
              <w:spacing w:after="0"/>
              <w:rPr>
                <w:rFonts w:ascii="Arial" w:cs="Arial" w:eastAsia="Arial" w:hAnsi="Arial"/>
                <w:sz w:val="18"/>
                <w:szCs w:val="18"/>
                <w:color w:val="0000EE"/>
                <w:w w:val="82"/>
              </w:rPr>
            </w:pPr>
            <w:hyperlink r:id="rId142">
              <w:r>
                <w:rPr>
                  <w:rFonts w:ascii="Arial" w:cs="Arial" w:eastAsia="Arial" w:hAnsi="Arial"/>
                  <w:sz w:val="18"/>
                  <w:szCs w:val="18"/>
                  <w:color w:val="0000EE"/>
                  <w:w w:val="82"/>
                </w:rPr>
                <w:t>10/17/18</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0</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Common Stock Certificate of Marker Therapeutics,</w:t>
              </w:r>
            </w:hyperlink>
          </w:p>
        </w:tc>
        <w:tc>
          <w:tcPr>
            <w:tcW w:w="680" w:type="dxa"/>
            <w:vAlign w:val="bottom"/>
            <w:gridSpan w:val="2"/>
          </w:tcPr>
          <w:p>
            <w:pPr>
              <w:spacing w:after="0"/>
              <w:rPr>
                <w:sz w:val="24"/>
                <w:szCs w:val="24"/>
                <w:color w:val="auto"/>
              </w:rPr>
            </w:pPr>
          </w:p>
        </w:tc>
        <w:tc>
          <w:tcPr>
            <w:tcW w:w="680" w:type="dxa"/>
            <w:vAlign w:val="bottom"/>
            <w:gridSpan w:val="4"/>
          </w:tcPr>
          <w:p>
            <w:pPr>
              <w:jc w:val="center"/>
              <w:ind w:right="220"/>
              <w:spacing w:after="0"/>
              <w:rPr>
                <w:rFonts w:ascii="Arial" w:cs="Arial" w:eastAsia="Arial" w:hAnsi="Arial"/>
                <w:sz w:val="18"/>
                <w:szCs w:val="18"/>
                <w:color w:val="0000EE"/>
              </w:rPr>
            </w:pPr>
            <w:hyperlink r:id="rId143">
              <w:r>
                <w:rPr>
                  <w:rFonts w:ascii="Arial" w:cs="Arial" w:eastAsia="Arial" w:hAnsi="Arial"/>
                  <w:sz w:val="18"/>
                  <w:szCs w:val="18"/>
                  <w:color w:val="0000EE"/>
                </w:rPr>
                <w:t>8-A/A</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000-37939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center"/>
              <w:ind w:right="140"/>
              <w:spacing w:after="0"/>
              <w:rPr>
                <w:rFonts w:ascii="Arial" w:cs="Arial" w:eastAsia="Arial" w:hAnsi="Arial"/>
                <w:sz w:val="18"/>
                <w:szCs w:val="18"/>
                <w:color w:val="0000EE"/>
                <w:w w:val="82"/>
              </w:rPr>
            </w:pPr>
            <w:hyperlink r:id="rId143">
              <w:r>
                <w:rPr>
                  <w:rFonts w:ascii="Arial" w:cs="Arial" w:eastAsia="Arial" w:hAnsi="Arial"/>
                  <w:sz w:val="18"/>
                  <w:szCs w:val="18"/>
                  <w:color w:val="0000EE"/>
                  <w:w w:val="82"/>
                </w:rPr>
                <w:t>10/17/18</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Inc.</w:t>
              </w:r>
            </w:hyperlink>
          </w:p>
        </w:tc>
        <w:tc>
          <w:tcPr>
            <w:tcW w:w="680" w:type="dxa"/>
            <w:vAlign w:val="bottom"/>
            <w:gridSpan w:val="2"/>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gridSpan w:val="12"/>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Form of Common Stock Purchase Warrant</w:t>
              </w:r>
            </w:hyperlink>
          </w:p>
        </w:tc>
        <w:tc>
          <w:tcPr>
            <w:tcW w:w="19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8/14/14</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1/12/15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Warrants-Series A</w:t>
              </w:r>
            </w:hyperlink>
          </w:p>
        </w:tc>
        <w:tc>
          <w:tcPr>
            <w:tcW w:w="3020" w:type="dxa"/>
            <w:vAlign w:val="bottom"/>
            <w:tcBorders>
              <w:top w:val="single" w:sz="8" w:color="0000EE"/>
            </w:tcBorders>
            <w:gridSpan w:val="9"/>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1/12/15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46">
              <w:r>
                <w:rPr>
                  <w:rFonts w:ascii="Arial" w:cs="Arial" w:eastAsia="Arial" w:hAnsi="Arial"/>
                  <w:sz w:val="18"/>
                  <w:szCs w:val="18"/>
                  <w:color w:val="0000EE"/>
                  <w:w w:val="87"/>
                </w:rPr>
                <w:t>Warrants-Series C</w:t>
              </w:r>
            </w:hyperlink>
          </w:p>
        </w:tc>
        <w:tc>
          <w:tcPr>
            <w:tcW w:w="3040" w:type="dxa"/>
            <w:vAlign w:val="bottom"/>
            <w:tcBorders>
              <w:top w:val="single" w:sz="8" w:color="0000EE"/>
            </w:tcBorders>
            <w:gridSpan w:val="10"/>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1/12/15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Warrants-Series D</w:t>
              </w:r>
            </w:hyperlink>
          </w:p>
        </w:tc>
        <w:tc>
          <w:tcPr>
            <w:tcW w:w="3020" w:type="dxa"/>
            <w:vAlign w:val="bottom"/>
            <w:tcBorders>
              <w:top w:val="single" w:sz="8" w:color="0000EE"/>
            </w:tcBorders>
            <w:gridSpan w:val="9"/>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000-27239</w:t>
              </w:r>
            </w:hyperlink>
          </w:p>
        </w:tc>
        <w:tc>
          <w:tcPr>
            <w:tcW w:w="1260" w:type="dxa"/>
            <w:vAlign w:val="bottom"/>
            <w:gridSpan w:val="5"/>
          </w:tcPr>
          <w:p>
            <w:pPr>
              <w:jc w:val="center"/>
              <w:ind w:right="220"/>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540" w:type="dxa"/>
            <w:vAlign w:val="bottom"/>
          </w:tcPr>
          <w:p>
            <w:pPr>
              <w:jc w:val="cente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1/12/15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Warrants-Series E</w:t>
              </w:r>
            </w:hyperlink>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9">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3/10/15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Warrants-Series A-1</w:t>
              </w:r>
            </w:hyperlink>
          </w:p>
        </w:tc>
        <w:tc>
          <w:tcPr>
            <w:tcW w:w="2860" w:type="dxa"/>
            <w:vAlign w:val="bottom"/>
            <w:tcBorders>
              <w:top w:val="single" w:sz="8" w:color="0000EE"/>
            </w:tcBorders>
            <w:gridSpan w:val="6"/>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3/10/15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Warrants-Series C-1</w:t>
              </w:r>
            </w:hyperlink>
          </w:p>
        </w:tc>
        <w:tc>
          <w:tcPr>
            <w:tcW w:w="2880" w:type="dxa"/>
            <w:vAlign w:val="bottom"/>
            <w:tcBorders>
              <w:top w:val="single" w:sz="8" w:color="0000EE"/>
            </w:tcBorders>
            <w:gridSpan w:val="7"/>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1">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3/10/15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Warrants-Series D-1</w:t>
              </w:r>
            </w:hyperlink>
          </w:p>
        </w:tc>
        <w:tc>
          <w:tcPr>
            <w:tcW w:w="2860" w:type="dxa"/>
            <w:vAlign w:val="bottom"/>
            <w:tcBorders>
              <w:top w:val="single" w:sz="8" w:color="0000EE"/>
            </w:tcBorders>
            <w:gridSpan w:val="6"/>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9</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gridSpan w:val="13"/>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Form of Placement Agent Warrant Common Stock Purchase</w:t>
              </w:r>
            </w:hyperlink>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000-27239</w:t>
              </w:r>
            </w:hyperlink>
          </w:p>
        </w:tc>
        <w:tc>
          <w:tcPr>
            <w:tcW w:w="1260" w:type="dxa"/>
            <w:vAlign w:val="bottom"/>
            <w:gridSpan w:val="5"/>
          </w:tcPr>
          <w:p>
            <w:pPr>
              <w:jc w:val="center"/>
              <w:ind w:right="220"/>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540" w:type="dxa"/>
            <w:vAlign w:val="bottom"/>
          </w:tcPr>
          <w:p>
            <w:pPr>
              <w:jc w:val="cente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3/10/15</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Warrants-Series E-1</w:t>
              </w:r>
            </w:hyperlink>
          </w:p>
        </w:tc>
        <w:tc>
          <w:tcPr>
            <w:tcW w:w="2900" w:type="dxa"/>
            <w:vAlign w:val="bottom"/>
            <w:tcBorders>
              <w:top w:val="single" w:sz="8" w:color="0000EE"/>
            </w:tcBorders>
            <w:gridSpan w:val="8"/>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64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Form of Amended Series A Warrant</w:t>
              </w:r>
            </w:hyperlink>
          </w:p>
        </w:tc>
        <w:tc>
          <w:tcPr>
            <w:tcW w:w="2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3">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64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Form of Amended Series C Warrant</w:t>
              </w:r>
            </w:hyperlink>
          </w:p>
        </w:tc>
        <w:tc>
          <w:tcPr>
            <w:tcW w:w="2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64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Form of Amended Series D Warrant</w:t>
              </w:r>
            </w:hyperlink>
          </w:p>
        </w:tc>
        <w:tc>
          <w:tcPr>
            <w:tcW w:w="2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64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Form of Amended Series E Warrant</w:t>
              </w:r>
            </w:hyperlink>
          </w:p>
        </w:tc>
        <w:tc>
          <w:tcPr>
            <w:tcW w:w="2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6">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640" w:type="dxa"/>
            <w:vAlign w:val="bottom"/>
          </w:tcPr>
          <w:p>
            <w:pPr>
              <w:spacing w:after="0"/>
              <w:rPr>
                <w:sz w:val="24"/>
                <w:szCs w:val="24"/>
                <w:color w:val="auto"/>
              </w:rPr>
            </w:pPr>
          </w:p>
        </w:tc>
        <w:tc>
          <w:tcPr>
            <w:tcW w:w="5040" w:type="dxa"/>
            <w:vAlign w:val="bottom"/>
            <w:gridSpan w:val="15"/>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Amended Series A-1 Warrant</w:t>
              </w:r>
            </w:hyperlink>
          </w:p>
        </w:tc>
        <w:tc>
          <w:tcPr>
            <w:tcW w:w="100" w:type="dxa"/>
            <w:vAlign w:val="bottom"/>
          </w:tcPr>
          <w:p>
            <w:pPr>
              <w:spacing w:after="0"/>
              <w:rPr>
                <w:sz w:val="24"/>
                <w:szCs w:val="24"/>
                <w:color w:val="auto"/>
              </w:rPr>
            </w:pPr>
          </w:p>
        </w:tc>
        <w:tc>
          <w:tcPr>
            <w:tcW w:w="580" w:type="dxa"/>
            <w:vAlign w:val="bottom"/>
            <w:gridSpan w:val="3"/>
          </w:tcPr>
          <w:p>
            <w:pPr>
              <w:jc w:val="center"/>
              <w:ind w:right="300"/>
              <w:spacing w:after="0"/>
              <w:rPr>
                <w:rFonts w:ascii="Arial" w:cs="Arial" w:eastAsia="Arial" w:hAnsi="Arial"/>
                <w:sz w:val="18"/>
                <w:szCs w:val="18"/>
                <w:color w:val="0000EE"/>
                <w:w w:val="99"/>
              </w:rPr>
            </w:pPr>
            <w:hyperlink r:id="rId157">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3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640" w:type="dxa"/>
            <w:vAlign w:val="bottom"/>
          </w:tcPr>
          <w:p>
            <w:pPr>
              <w:spacing w:after="0"/>
              <w:rPr>
                <w:sz w:val="24"/>
                <w:szCs w:val="24"/>
                <w:color w:val="auto"/>
              </w:rPr>
            </w:pPr>
          </w:p>
        </w:tc>
        <w:tc>
          <w:tcPr>
            <w:tcW w:w="5040" w:type="dxa"/>
            <w:vAlign w:val="bottom"/>
            <w:gridSpan w:val="15"/>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Amended Series D-1 Warrant</w:t>
              </w:r>
            </w:hyperlink>
          </w:p>
        </w:tc>
        <w:tc>
          <w:tcPr>
            <w:tcW w:w="100" w:type="dxa"/>
            <w:vAlign w:val="bottom"/>
          </w:tcPr>
          <w:p>
            <w:pPr>
              <w:spacing w:after="0"/>
              <w:rPr>
                <w:sz w:val="24"/>
                <w:szCs w:val="24"/>
                <w:color w:val="auto"/>
              </w:rPr>
            </w:pPr>
          </w:p>
        </w:tc>
        <w:tc>
          <w:tcPr>
            <w:tcW w:w="580" w:type="dxa"/>
            <w:vAlign w:val="bottom"/>
            <w:gridSpan w:val="3"/>
          </w:tcPr>
          <w:p>
            <w:pPr>
              <w:jc w:val="center"/>
              <w:ind w:right="300"/>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3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5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16</w:t>
              </w:r>
            </w:hyperlink>
          </w:p>
        </w:tc>
        <w:tc>
          <w:tcPr>
            <w:tcW w:w="64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Form of Amended Series E-1 Warrant</w:t>
              </w:r>
            </w:hyperlink>
          </w:p>
        </w:tc>
        <w:tc>
          <w:tcPr>
            <w:tcW w:w="23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EE"/>
                <w:w w:val="85"/>
              </w:rPr>
            </w:pPr>
            <w:hyperlink r:id="rId16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17</w:t>
              </w:r>
            </w:hyperlink>
          </w:p>
        </w:tc>
        <w:tc>
          <w:tcPr>
            <w:tcW w:w="64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Series F Warrant</w:t>
              </w:r>
            </w:hyperlink>
          </w:p>
        </w:tc>
        <w:tc>
          <w:tcPr>
            <w:tcW w:w="23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0">
              <w:r>
                <w:rPr>
                  <w:rFonts w:ascii="Arial" w:cs="Arial" w:eastAsia="Arial" w:hAnsi="Arial"/>
                  <w:sz w:val="18"/>
                  <w:szCs w:val="18"/>
                  <w:color w:val="0000EE"/>
                  <w:w w:val="99"/>
                </w:rPr>
                <w:t>8-K</w:t>
              </w:r>
            </w:hyperlink>
          </w:p>
        </w:tc>
        <w:tc>
          <w:tcPr>
            <w:tcW w:w="3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000-27239</w:t>
              </w:r>
            </w:hyperlink>
          </w:p>
        </w:tc>
        <w:tc>
          <w:tcPr>
            <w:tcW w:w="620" w:type="dxa"/>
            <w:vAlign w:val="bottom"/>
            <w:gridSpan w:val="3"/>
          </w:tcPr>
          <w:p>
            <w:pPr>
              <w:jc w:val="center"/>
              <w:ind w:left="310"/>
              <w:spacing w:after="0"/>
              <w:rPr>
                <w:rFonts w:ascii="Arial" w:cs="Arial" w:eastAsia="Arial" w:hAnsi="Arial"/>
                <w:sz w:val="18"/>
                <w:szCs w:val="18"/>
                <w:color w:val="0000EE"/>
                <w:w w:val="87"/>
              </w:rPr>
            </w:pPr>
            <w:hyperlink r:id="rId1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jc w:val="cente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8/11/16</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4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5"/>
            <w:vMerge w:val="restart"/>
          </w:tcPr>
          <w:p>
            <w:pPr>
              <w:ind w:left="30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Incorporated by Reference</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380" w:type="dxa"/>
            <w:vAlign w:val="bottom"/>
            <w:gridSpan w:val="5"/>
            <w:vMerge w:val="continue"/>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Filing</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5"/>
          </w:tcPr>
          <w:p>
            <w:pPr>
              <w:ind w:left="280"/>
              <w:spacing w:after="0"/>
              <w:rPr>
                <w:sz w:val="20"/>
                <w:szCs w:val="20"/>
                <w:color w:val="auto"/>
              </w:rPr>
            </w:pPr>
            <w:r>
              <w:rPr>
                <w:rFonts w:ascii="Arial" w:cs="Arial" w:eastAsia="Arial" w:hAnsi="Arial"/>
                <w:sz w:val="18"/>
                <w:szCs w:val="18"/>
                <w:b w:val="1"/>
                <w:bCs w:val="1"/>
                <w:color w:val="auto"/>
              </w:rPr>
              <w:t>number</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20"/>
          </w:tcPr>
          <w:p>
            <w:pPr>
              <w:ind w:left="64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Form</w:t>
            </w:r>
          </w:p>
        </w:tc>
        <w:tc>
          <w:tcPr>
            <w:tcW w:w="4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File no.</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18</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gridSpan w:val="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Form of Series F-1 Warrant</w:t>
              </w:r>
            </w:hyperlink>
          </w:p>
        </w:tc>
        <w:tc>
          <w:tcPr>
            <w:tcW w:w="2820" w:type="dxa"/>
            <w:vAlign w:val="bottom"/>
            <w:gridSpan w:val="18"/>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520" w:type="dxa"/>
            <w:vAlign w:val="bottom"/>
            <w:gridSpan w:val="2"/>
          </w:tcPr>
          <w:p>
            <w:pPr>
              <w:jc w:val="cente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19</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gridSpan w:val="10"/>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Form of August 2016 Private Placement Warrant</w:t>
              </w:r>
            </w:hyperlink>
          </w:p>
        </w:tc>
        <w:tc>
          <w:tcPr>
            <w:tcW w:w="128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000-27239</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2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20</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gridSpan w:val="9"/>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Form of 2016 Private Placement Agent Warrant</w:t>
              </w:r>
            </w:hyperlink>
          </w:p>
        </w:tc>
        <w:tc>
          <w:tcPr>
            <w:tcW w:w="80" w:type="dxa"/>
            <w:vAlign w:val="bottom"/>
          </w:tcPr>
          <w:p>
            <w:pPr>
              <w:spacing w:after="0"/>
              <w:rPr>
                <w:sz w:val="24"/>
                <w:szCs w:val="24"/>
                <w:color w:val="auto"/>
              </w:rPr>
            </w:pPr>
          </w:p>
        </w:tc>
        <w:tc>
          <w:tcPr>
            <w:tcW w:w="128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000-27239</w:t>
              </w:r>
            </w:hyperlink>
          </w:p>
        </w:tc>
        <w:tc>
          <w:tcPr>
            <w:tcW w:w="620" w:type="dxa"/>
            <w:vAlign w:val="bottom"/>
            <w:gridSpan w:val="2"/>
          </w:tcPr>
          <w:p>
            <w:pPr>
              <w:jc w:val="center"/>
              <w:ind w:left="210"/>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11</w:t>
              </w:r>
            </w:hyperlink>
          </w:p>
        </w:tc>
        <w:tc>
          <w:tcPr>
            <w:tcW w:w="62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21</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gridSpan w:val="9"/>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Form of June 2017 Private Placement Warrant</w:t>
              </w:r>
            </w:hyperlink>
          </w:p>
        </w:tc>
        <w:tc>
          <w:tcPr>
            <w:tcW w:w="136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001-37939</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6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20" w:type="dxa"/>
            <w:vAlign w:val="bottom"/>
          </w:tcPr>
          <w:p>
            <w:pPr>
              <w:spacing w:after="0"/>
              <w:rPr>
                <w:sz w:val="24"/>
                <w:szCs w:val="24"/>
                <w:color w:val="auto"/>
              </w:rPr>
            </w:pPr>
          </w:p>
        </w:tc>
        <w:tc>
          <w:tcPr>
            <w:tcW w:w="740" w:type="dxa"/>
            <w:vAlign w:val="bottom"/>
            <w:gridSpan w:val="3"/>
          </w:tcPr>
          <w:p>
            <w:pPr>
              <w:jc w:val="center"/>
              <w:ind w:right="180"/>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22</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gridSpan w:val="9"/>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2017 Private Placement Agent Warrant</w:t>
              </w:r>
            </w:hyperlink>
          </w:p>
        </w:tc>
        <w:tc>
          <w:tcPr>
            <w:tcW w:w="136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001-37939</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20" w:type="dxa"/>
            <w:vAlign w:val="bottom"/>
          </w:tcPr>
          <w:p>
            <w:pPr>
              <w:spacing w:after="0"/>
              <w:rPr>
                <w:sz w:val="24"/>
                <w:szCs w:val="24"/>
                <w:color w:val="auto"/>
              </w:rPr>
            </w:pPr>
          </w:p>
        </w:tc>
        <w:tc>
          <w:tcPr>
            <w:tcW w:w="740" w:type="dxa"/>
            <w:vAlign w:val="bottom"/>
            <w:gridSpan w:val="3"/>
          </w:tcPr>
          <w:p>
            <w:pPr>
              <w:jc w:val="center"/>
              <w:ind w:right="180"/>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23</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Registration Rights Agreement August 2016 Private</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520" w:type="dxa"/>
            <w:vAlign w:val="bottom"/>
            <w:gridSpan w:val="2"/>
          </w:tcPr>
          <w:p>
            <w:pPr>
              <w:jc w:val="cente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6">
              <w:r>
                <w:rPr>
                  <w:rFonts w:ascii="Arial" w:cs="Arial" w:eastAsia="Arial" w:hAnsi="Arial"/>
                  <w:sz w:val="18"/>
                  <w:szCs w:val="18"/>
                  <w:color w:val="0000EE"/>
                  <w:w w:val="86"/>
                </w:rPr>
                <w:t>Placement</w:t>
              </w:r>
            </w:hyperlink>
          </w:p>
        </w:tc>
        <w:tc>
          <w:tcPr>
            <w:tcW w:w="3640" w:type="dxa"/>
            <w:vAlign w:val="bottom"/>
            <w:tcBorders>
              <w:top w:val="single" w:sz="8" w:color="0000EE"/>
            </w:tcBorders>
            <w:gridSpan w:val="16"/>
          </w:tcPr>
          <w:p>
            <w:pPr>
              <w:spacing w:after="0"/>
              <w:rPr>
                <w:sz w:val="17"/>
                <w:szCs w:val="17"/>
                <w:color w:val="auto"/>
              </w:rPr>
            </w:pPr>
          </w:p>
        </w:tc>
        <w:tc>
          <w:tcPr>
            <w:tcW w:w="4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24</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Registration Rights Agreement June 2017 Private</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7">
              <w:r>
                <w:rPr>
                  <w:rFonts w:ascii="Arial" w:cs="Arial" w:eastAsia="Arial" w:hAnsi="Arial"/>
                  <w:sz w:val="18"/>
                  <w:szCs w:val="18"/>
                  <w:color w:val="0000EE"/>
                  <w:w w:val="86"/>
                </w:rPr>
                <w:t>Placement</w:t>
              </w:r>
            </w:hyperlink>
          </w:p>
        </w:tc>
        <w:tc>
          <w:tcPr>
            <w:tcW w:w="3440" w:type="dxa"/>
            <w:vAlign w:val="bottom"/>
            <w:tcBorders>
              <w:top w:val="single" w:sz="8" w:color="0000EE"/>
            </w:tcBorders>
            <w:gridSpan w:val="13"/>
          </w:tcPr>
          <w:p>
            <w:pPr>
              <w:spacing w:after="0"/>
              <w:rPr>
                <w:sz w:val="17"/>
                <w:szCs w:val="17"/>
                <w:color w:val="auto"/>
              </w:rPr>
            </w:pPr>
          </w:p>
        </w:tc>
        <w:tc>
          <w:tcPr>
            <w:tcW w:w="6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gridSpan w:val="17"/>
          </w:tcPr>
          <w:p>
            <w:pPr>
              <w:spacing w:after="0"/>
              <w:rPr>
                <w:rFonts w:ascii="Arial" w:cs="Arial" w:eastAsia="Arial" w:hAnsi="Arial"/>
                <w:sz w:val="18"/>
                <w:szCs w:val="18"/>
                <w:color w:val="0000EE"/>
                <w:w w:val="88"/>
              </w:rPr>
            </w:pPr>
            <w:hyperlink r:id="rId168">
              <w:r>
                <w:rPr>
                  <w:rFonts w:ascii="Arial" w:cs="Arial" w:eastAsia="Arial" w:hAnsi="Arial"/>
                  <w:sz w:val="18"/>
                  <w:szCs w:val="18"/>
                  <w:color w:val="0000EE"/>
                  <w:w w:val="88"/>
                </w:rPr>
                <w:t>Form of Securities Purchase Agreement, dated as of January</w:t>
              </w:r>
            </w:hyperlink>
          </w:p>
        </w:tc>
        <w:tc>
          <w:tcPr>
            <w:tcW w:w="46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1/12/15</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6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12, 2015, by and among the Company and the Purchasers</w:t>
              </w:r>
            </w:hyperlink>
          </w:p>
        </w:tc>
        <w:tc>
          <w:tcPr>
            <w:tcW w:w="46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00" w:type="dxa"/>
            <w:vAlign w:val="bottom"/>
            <w:gridSpan w:val="20"/>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Securities Purchase Agreement, dated as of March 9, 2015, by</w:t>
              </w:r>
            </w:hyperlink>
          </w:p>
        </w:tc>
        <w:tc>
          <w:tcPr>
            <w:tcW w:w="32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3/9/15</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and among the Company and Eastern Capital Limited</w:t>
              </w:r>
            </w:hyperlink>
          </w:p>
        </w:tc>
        <w:tc>
          <w:tcPr>
            <w:tcW w:w="620" w:type="dxa"/>
            <w:vAlign w:val="bottom"/>
            <w:tcBorders>
              <w:top w:val="single" w:sz="8" w:color="0000EE"/>
            </w:tcBorders>
            <w:gridSpan w:val="8"/>
          </w:tcPr>
          <w:p>
            <w:pPr>
              <w:spacing w:after="0"/>
              <w:rPr>
                <w:sz w:val="17"/>
                <w:szCs w:val="17"/>
                <w:color w:val="auto"/>
              </w:rPr>
            </w:pPr>
          </w:p>
        </w:tc>
        <w:tc>
          <w:tcPr>
            <w:tcW w:w="3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Restructuring Agreement dated May 28, 2015</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6/3/15</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20" w:type="dxa"/>
            <w:vAlign w:val="bottom"/>
            <w:gridSpan w:val="19"/>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Amended and Restated Restructuring Agreement, dated as of</w:t>
              </w:r>
            </w:hyperlink>
          </w:p>
        </w:tc>
        <w:tc>
          <w:tcPr>
            <w:tcW w:w="40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6/5/15</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June 2, 2015</w:t>
              </w:r>
            </w:hyperlink>
          </w:p>
        </w:tc>
        <w:tc>
          <w:tcPr>
            <w:tcW w:w="4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40" w:type="dxa"/>
            <w:vAlign w:val="bottom"/>
            <w:gridSpan w:val="13"/>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Subscription Agreement August 2016 Private</w:t>
              </w:r>
            </w:hyperlink>
          </w:p>
        </w:tc>
        <w:tc>
          <w:tcPr>
            <w:tcW w:w="88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20" w:type="dxa"/>
            <w:vAlign w:val="bottom"/>
            <w:gridSpan w:val="2"/>
          </w:tcPr>
          <w:p>
            <w:pPr>
              <w:jc w:val="cente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Placement</w:t>
              </w:r>
            </w:hyperlink>
          </w:p>
        </w:tc>
        <w:tc>
          <w:tcPr>
            <w:tcW w:w="3180" w:type="dxa"/>
            <w:vAlign w:val="bottom"/>
            <w:tcBorders>
              <w:top w:val="single" w:sz="8" w:color="0000EE"/>
            </w:tcBorders>
            <w:gridSpan w:val="11"/>
          </w:tcPr>
          <w:p>
            <w:pPr>
              <w:spacing w:after="0"/>
              <w:rPr>
                <w:sz w:val="17"/>
                <w:szCs w:val="17"/>
                <w:color w:val="auto"/>
              </w:rPr>
            </w:pPr>
          </w:p>
        </w:tc>
        <w:tc>
          <w:tcPr>
            <w:tcW w:w="88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Registration Rights Agreement August 2016 Private</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520" w:type="dxa"/>
            <w:vAlign w:val="bottom"/>
            <w:gridSpan w:val="2"/>
          </w:tcPr>
          <w:p>
            <w:pPr>
              <w:jc w:val="cente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6">
              <w:r>
                <w:rPr>
                  <w:rFonts w:ascii="Arial" w:cs="Arial" w:eastAsia="Arial" w:hAnsi="Arial"/>
                  <w:sz w:val="18"/>
                  <w:szCs w:val="18"/>
                  <w:color w:val="0000EE"/>
                  <w:w w:val="86"/>
                </w:rPr>
                <w:t>Placement</w:t>
              </w:r>
            </w:hyperlink>
          </w:p>
        </w:tc>
        <w:tc>
          <w:tcPr>
            <w:tcW w:w="3640" w:type="dxa"/>
            <w:vAlign w:val="bottom"/>
            <w:tcBorders>
              <w:top w:val="single" w:sz="8" w:color="0000EE"/>
            </w:tcBorders>
            <w:gridSpan w:val="16"/>
          </w:tcPr>
          <w:p>
            <w:pPr>
              <w:spacing w:after="0"/>
              <w:rPr>
                <w:sz w:val="17"/>
                <w:szCs w:val="17"/>
                <w:color w:val="auto"/>
              </w:rPr>
            </w:pPr>
          </w:p>
        </w:tc>
        <w:tc>
          <w:tcPr>
            <w:tcW w:w="4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gridSpan w:val="21"/>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Warrant Amendment Agreement August 2016 Private</w:t>
              </w:r>
            </w:hyperlink>
          </w:p>
        </w:tc>
        <w:tc>
          <w:tcPr>
            <w:tcW w:w="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73">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520" w:type="dxa"/>
            <w:vAlign w:val="bottom"/>
            <w:gridSpan w:val="2"/>
          </w:tcPr>
          <w:p>
            <w:pPr>
              <w:jc w:val="center"/>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3">
              <w:r>
                <w:rPr>
                  <w:rFonts w:ascii="Arial" w:cs="Arial" w:eastAsia="Arial" w:hAnsi="Arial"/>
                  <w:sz w:val="18"/>
                  <w:szCs w:val="18"/>
                  <w:color w:val="0000EE"/>
                  <w:w w:val="86"/>
                </w:rPr>
                <w:t>Placement</w:t>
              </w:r>
            </w:hyperlink>
          </w:p>
        </w:tc>
        <w:tc>
          <w:tcPr>
            <w:tcW w:w="3760" w:type="dxa"/>
            <w:vAlign w:val="bottom"/>
            <w:tcBorders>
              <w:top w:val="single" w:sz="8" w:color="0000EE"/>
            </w:tcBorders>
            <w:gridSpan w:val="19"/>
          </w:tcPr>
          <w:p>
            <w:pPr>
              <w:spacing w:after="0"/>
              <w:rPr>
                <w:sz w:val="17"/>
                <w:szCs w:val="17"/>
                <w:color w:val="auto"/>
              </w:rPr>
            </w:pPr>
          </w:p>
        </w:tc>
        <w:tc>
          <w:tcPr>
            <w:tcW w:w="3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74">
              <w:r>
                <w:rPr>
                  <w:rFonts w:ascii="Arial" w:cs="Arial" w:eastAsia="Arial" w:hAnsi="Arial"/>
                  <w:sz w:val="18"/>
                  <w:szCs w:val="18"/>
                  <w:color w:val="0000EE"/>
                </w:rPr>
                <w:t>Agency Agreement August 2016 Private Placement</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000-27239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520" w:type="dxa"/>
            <w:vAlign w:val="bottom"/>
            <w:gridSpan w:val="2"/>
          </w:tcPr>
          <w:p>
            <w:pPr>
              <w:jc w:val="cente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8/11/16</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gridSpan w:val="21"/>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Form of Subscription Agreement June 2017 Private Placement</w:t>
              </w:r>
            </w:hyperlink>
          </w:p>
        </w:tc>
        <w:tc>
          <w:tcPr>
            <w:tcW w:w="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6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Registration Rights Agreement June 2017 Private</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7">
              <w:r>
                <w:rPr>
                  <w:rFonts w:ascii="Arial" w:cs="Arial" w:eastAsia="Arial" w:hAnsi="Arial"/>
                  <w:sz w:val="18"/>
                  <w:szCs w:val="18"/>
                  <w:color w:val="0000EE"/>
                  <w:w w:val="86"/>
                </w:rPr>
                <w:t>Placement</w:t>
              </w:r>
            </w:hyperlink>
          </w:p>
        </w:tc>
        <w:tc>
          <w:tcPr>
            <w:tcW w:w="3440" w:type="dxa"/>
            <w:vAlign w:val="bottom"/>
            <w:tcBorders>
              <w:top w:val="single" w:sz="8" w:color="0000EE"/>
            </w:tcBorders>
            <w:gridSpan w:val="13"/>
          </w:tcPr>
          <w:p>
            <w:pPr>
              <w:spacing w:after="0"/>
              <w:rPr>
                <w:sz w:val="17"/>
                <w:szCs w:val="17"/>
                <w:color w:val="auto"/>
              </w:rPr>
            </w:pPr>
          </w:p>
        </w:tc>
        <w:tc>
          <w:tcPr>
            <w:tcW w:w="6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00" w:type="dxa"/>
            <w:vAlign w:val="bottom"/>
            <w:gridSpan w:val="3"/>
          </w:tcPr>
          <w:p>
            <w:pPr>
              <w:jc w:val="center"/>
              <w:spacing w:after="0"/>
              <w:rPr>
                <w:rFonts w:ascii="Arial" w:cs="Arial" w:eastAsia="Arial" w:hAnsi="Arial"/>
                <w:sz w:val="18"/>
                <w:szCs w:val="18"/>
                <w:color w:val="0000EE"/>
                <w:w w:val="88"/>
              </w:rPr>
            </w:pPr>
            <w:hyperlink r:id="rId17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00" w:type="dxa"/>
            <w:vAlign w:val="bottom"/>
          </w:tcPr>
          <w:p>
            <w:pPr>
              <w:spacing w:after="0"/>
              <w:rPr>
                <w:sz w:val="24"/>
                <w:szCs w:val="24"/>
                <w:color w:val="auto"/>
              </w:rPr>
            </w:pPr>
          </w:p>
        </w:tc>
        <w:tc>
          <w:tcPr>
            <w:tcW w:w="2720" w:type="dxa"/>
            <w:vAlign w:val="bottom"/>
            <w:gridSpan w:val="7"/>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Form of Warrant Exercise Agreement</w:t>
              </w:r>
            </w:hyperlink>
          </w:p>
        </w:tc>
        <w:tc>
          <w:tcPr>
            <w:tcW w:w="2100" w:type="dxa"/>
            <w:vAlign w:val="bottom"/>
            <w:gridSpan w:val="16"/>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8-K</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center"/>
              <w:ind w:right="240"/>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7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77">
              <w:r>
                <w:rPr>
                  <w:rFonts w:ascii="Arial" w:cs="Arial" w:eastAsia="Arial" w:hAnsi="Arial"/>
                  <w:sz w:val="18"/>
                  <w:szCs w:val="18"/>
                  <w:color w:val="0000EE"/>
                </w:rPr>
                <w:t>Agency Agreement June 2017 Private Placement</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77">
              <w:r>
                <w:rPr>
                  <w:rFonts w:ascii="Arial" w:cs="Arial" w:eastAsia="Arial" w:hAnsi="Arial"/>
                  <w:sz w:val="18"/>
                  <w:szCs w:val="18"/>
                  <w:color w:val="0000EE"/>
                  <w:w w:val="93"/>
                </w:rPr>
                <w:t>6/22/17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7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78">
              <w:r>
                <w:rPr>
                  <w:rFonts w:ascii="Arial" w:cs="Arial" w:eastAsia="Arial" w:hAnsi="Arial"/>
                  <w:sz w:val="18"/>
                  <w:szCs w:val="18"/>
                  <w:color w:val="0000EE"/>
                </w:rPr>
                <w:t>First Amendment to Agency Agreement June 2017 Private</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40" w:type="dxa"/>
            <w:vAlign w:val="bottom"/>
            <w:gridSpan w:val="3"/>
          </w:tcPr>
          <w:p>
            <w:pPr>
              <w:jc w:val="center"/>
              <w:ind w:right="180"/>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6/26/17</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Placement</w:t>
              </w:r>
            </w:hyperlink>
          </w:p>
        </w:tc>
        <w:tc>
          <w:tcPr>
            <w:tcW w:w="3480" w:type="dxa"/>
            <w:vAlign w:val="bottom"/>
            <w:tcBorders>
              <w:top w:val="single" w:sz="8" w:color="0000EE"/>
            </w:tcBorders>
            <w:gridSpan w:val="14"/>
          </w:tcPr>
          <w:p>
            <w:pPr>
              <w:spacing w:after="0"/>
              <w:rPr>
                <w:sz w:val="17"/>
                <w:szCs w:val="17"/>
                <w:color w:val="auto"/>
              </w:rPr>
            </w:pPr>
          </w:p>
        </w:tc>
        <w:tc>
          <w:tcPr>
            <w:tcW w:w="5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7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w w:val="96"/>
              </w:rPr>
            </w:pPr>
            <w:hyperlink r:id="rId179">
              <w:r>
                <w:rPr>
                  <w:rFonts w:ascii="Arial" w:cs="Arial" w:eastAsia="Arial" w:hAnsi="Arial"/>
                  <w:sz w:val="18"/>
                  <w:szCs w:val="18"/>
                  <w:color w:val="0000EE"/>
                  <w:w w:val="96"/>
                </w:rPr>
                <w:t>Form of Securities Purchase Agreement (including registration</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001-37939</w:t>
              </w:r>
            </w:hyperlink>
          </w:p>
        </w:tc>
        <w:tc>
          <w:tcPr>
            <w:tcW w:w="1240" w:type="dxa"/>
            <w:vAlign w:val="bottom"/>
            <w:gridSpan w:val="3"/>
          </w:tcPr>
          <w:p>
            <w:pPr>
              <w:jc w:val="center"/>
              <w:ind w:right="200"/>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6/8/18</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rights)</w:t>
              </w:r>
            </w:hyperlink>
          </w:p>
        </w:tc>
        <w:tc>
          <w:tcPr>
            <w:tcW w:w="4060" w:type="dxa"/>
            <w:vAlign w:val="bottom"/>
            <w:tcBorders>
              <w:top w:val="single" w:sz="8" w:color="0000EE"/>
            </w:tcBorders>
            <w:gridSpan w:val="21"/>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80">
              <w:r>
                <w:rPr>
                  <w:rFonts w:ascii="Arial" w:cs="Arial" w:eastAsia="Arial" w:hAnsi="Arial"/>
                  <w:sz w:val="18"/>
                  <w:szCs w:val="18"/>
                  <w:color w:val="0000EE"/>
                </w:rPr>
                <w:t>Form of Private Placement Warrant</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001-37939</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2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6/8/18</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81">
              <w:r>
                <w:rPr>
                  <w:rFonts w:ascii="Arial" w:cs="Arial" w:eastAsia="Arial" w:hAnsi="Arial"/>
                  <w:sz w:val="18"/>
                  <w:szCs w:val="18"/>
                  <w:color w:val="0000EE"/>
                </w:rPr>
                <w:t>Form of Private Placement Warrant</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001-37393</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2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6/8/18</w:t>
              </w:r>
            </w:hyperlink>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600" w:type="dxa"/>
            <w:vAlign w:val="bottom"/>
          </w:tcPr>
          <w:p>
            <w:pPr>
              <w:spacing w:after="0"/>
              <w:rPr>
                <w:sz w:val="24"/>
                <w:szCs w:val="24"/>
                <w:color w:val="auto"/>
              </w:rPr>
            </w:pPr>
          </w:p>
        </w:tc>
        <w:tc>
          <w:tcPr>
            <w:tcW w:w="4820" w:type="dxa"/>
            <w:vAlign w:val="bottom"/>
            <w:gridSpan w:val="23"/>
          </w:tcPr>
          <w:p>
            <w:pPr>
              <w:spacing w:after="0"/>
              <w:rPr>
                <w:rFonts w:ascii="Arial" w:cs="Arial" w:eastAsia="Arial" w:hAnsi="Arial"/>
                <w:sz w:val="18"/>
                <w:szCs w:val="18"/>
                <w:color w:val="0000EE"/>
              </w:rPr>
            </w:pPr>
            <w:hyperlink r:id="rId182">
              <w:r>
                <w:rPr>
                  <w:rFonts w:ascii="Arial" w:cs="Arial" w:eastAsia="Arial" w:hAnsi="Arial"/>
                  <w:sz w:val="18"/>
                  <w:szCs w:val="18"/>
                  <w:color w:val="0000EE"/>
                </w:rPr>
                <w:t>Form of Marker Warrant</w:t>
              </w:r>
            </w:hyperlink>
          </w:p>
        </w:tc>
        <w:tc>
          <w:tcPr>
            <w:tcW w:w="320" w:type="dxa"/>
            <w:vAlign w:val="bottom"/>
          </w:tcPr>
          <w:p>
            <w:pPr>
              <w:spacing w:after="0"/>
              <w:rPr>
                <w:sz w:val="24"/>
                <w:szCs w:val="24"/>
                <w:color w:val="auto"/>
              </w:rPr>
            </w:pPr>
          </w:p>
        </w:tc>
        <w:tc>
          <w:tcPr>
            <w:tcW w:w="580" w:type="dxa"/>
            <w:vAlign w:val="bottom"/>
            <w:gridSpan w:val="2"/>
          </w:tcPr>
          <w:p>
            <w:pPr>
              <w:jc w:val="center"/>
              <w:ind w:right="300"/>
              <w:spacing w:after="0"/>
              <w:rPr>
                <w:rFonts w:ascii="Arial" w:cs="Arial" w:eastAsia="Arial" w:hAnsi="Arial"/>
                <w:sz w:val="18"/>
                <w:szCs w:val="18"/>
                <w:color w:val="0000EE"/>
                <w:w w:val="99"/>
              </w:rPr>
            </w:pPr>
            <w:hyperlink r:id="rId182">
              <w:r>
                <w:rPr>
                  <w:rFonts w:ascii="Arial" w:cs="Arial" w:eastAsia="Arial" w:hAnsi="Arial"/>
                  <w:sz w:val="18"/>
                  <w:szCs w:val="18"/>
                  <w:color w:val="0000EE"/>
                  <w:w w:val="99"/>
                </w:rPr>
                <w:t>8-K</w:t>
              </w:r>
            </w:hyperlink>
          </w:p>
        </w:tc>
        <w:tc>
          <w:tcPr>
            <w:tcW w:w="1440" w:type="dxa"/>
            <w:vAlign w:val="bottom"/>
            <w:gridSpan w:val="3"/>
          </w:tcPr>
          <w:p>
            <w:pPr>
              <w:jc w:val="center"/>
              <w:ind w:left="90"/>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001-37939</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18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620" w:type="dxa"/>
            <w:vAlign w:val="bottom"/>
          </w:tcPr>
          <w:p>
            <w:pPr>
              <w:spacing w:after="0"/>
              <w:rPr>
                <w:sz w:val="24"/>
                <w:szCs w:val="24"/>
                <w:color w:val="auto"/>
              </w:rPr>
            </w:pPr>
          </w:p>
        </w:tc>
        <w:tc>
          <w:tcPr>
            <w:tcW w:w="740" w:type="dxa"/>
            <w:vAlign w:val="bottom"/>
            <w:gridSpan w:val="3"/>
          </w:tcPr>
          <w:p>
            <w:pPr>
              <w:jc w:val="center"/>
              <w:ind w:right="180"/>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5/15/18</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2"/>
        </w:trPr>
        <w:tc>
          <w:tcPr>
            <w:tcW w:w="38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008"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gridSpan w:val="3"/>
            <w:vMerge w:val="restart"/>
          </w:tcPr>
          <w:p>
            <w:pPr>
              <w:jc w:val="center"/>
              <w:ind w:left="13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3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Filing</w:t>
            </w: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number</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24"/>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8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Form</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b w:val="1"/>
                <w:bCs w:val="1"/>
                <w:color w:val="auto"/>
              </w:rPr>
              <w:t>File no.</w:t>
            </w:r>
          </w:p>
        </w:tc>
        <w:tc>
          <w:tcPr>
            <w:tcW w:w="11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780" w:type="dxa"/>
            <w:vAlign w:val="bottom"/>
            <w:gridSpan w:val="2"/>
          </w:tcPr>
          <w:p>
            <w:pPr>
              <w:jc w:val="center"/>
              <w:ind w:left="290"/>
              <w:spacing w:after="0"/>
              <w:rPr>
                <w:rFonts w:ascii="Arial" w:cs="Arial" w:eastAsia="Arial" w:hAnsi="Arial"/>
                <w:sz w:val="18"/>
                <w:szCs w:val="18"/>
                <w:color w:val="0000EE"/>
                <w:w w:val="88"/>
              </w:rPr>
            </w:pPr>
            <w:hyperlink r:id="rId1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2">
              <w:r>
                <w:rPr>
                  <w:rFonts w:ascii="Arial" w:cs="Arial" w:eastAsia="Arial" w:hAnsi="Arial"/>
                  <w:sz w:val="18"/>
                  <w:szCs w:val="18"/>
                  <w:color w:val="0000EE"/>
                </w:rPr>
                <w:t>Registration Rights Agreement</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82">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560" w:type="dxa"/>
            <w:vAlign w:val="bottom"/>
            <w:gridSpan w:val="3"/>
          </w:tcPr>
          <w:p>
            <w:pPr>
              <w:jc w:val="center"/>
              <w:ind w:left="250"/>
              <w:spacing w:after="0"/>
              <w:rPr>
                <w:rFonts w:ascii="Arial" w:cs="Arial" w:eastAsia="Arial" w:hAnsi="Arial"/>
                <w:sz w:val="18"/>
                <w:szCs w:val="18"/>
                <w:color w:val="0000EE"/>
                <w:w w:val="87"/>
              </w:rPr>
            </w:pPr>
            <w:hyperlink r:id="rId18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gridSpan w:val="3"/>
          </w:tcPr>
          <w:p>
            <w:pPr>
              <w:jc w:val="cente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5/15/18</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0" w:type="dxa"/>
            <w:vAlign w:val="bottom"/>
            <w:tcBorders>
              <w:right w:val="single" w:sz="8" w:color="0000EE"/>
            </w:tcBorders>
            <w:gridSpan w:val="36"/>
          </w:tcPr>
          <w:p>
            <w:pPr>
              <w:spacing w:after="0" w:line="20" w:lineRule="exact"/>
              <w:rPr>
                <w:sz w:val="1"/>
                <w:szCs w:val="1"/>
                <w:color w:val="auto"/>
              </w:rPr>
            </w:pPr>
          </w:p>
        </w:tc>
        <w:tc>
          <w:tcPr>
            <w:tcW w:w="2200" w:type="dxa"/>
            <w:vAlign w:val="bottom"/>
            <w:tcBorders>
              <w:right w:val="single" w:sz="8" w:color="0000EE"/>
            </w:tcBorders>
            <w:gridSpan w:val="10"/>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6"/>
              </w:rPr>
            </w:pPr>
            <w:hyperlink r:id="rId183">
              <w:r>
                <w:rPr>
                  <w:rFonts w:ascii="Arial" w:cs="Arial" w:eastAsia="Arial" w:hAnsi="Arial"/>
                  <w:sz w:val="18"/>
                  <w:szCs w:val="18"/>
                  <w:color w:val="0000EE"/>
                  <w:w w:val="96"/>
                </w:rPr>
                <w:t>License and Assignment Agreement, dated July 21, 2015, with</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jc w:val="center"/>
              <w:ind w:right="320"/>
              <w:spacing w:after="0"/>
              <w:rPr>
                <w:rFonts w:ascii="Arial" w:cs="Arial" w:eastAsia="Arial" w:hAnsi="Arial"/>
                <w:sz w:val="18"/>
                <w:szCs w:val="18"/>
                <w:color w:val="0000EE"/>
                <w:w w:val="94"/>
              </w:rPr>
            </w:pPr>
            <w:hyperlink r:id="rId183">
              <w:r>
                <w:rPr>
                  <w:rFonts w:ascii="Arial" w:cs="Arial" w:eastAsia="Arial" w:hAnsi="Arial"/>
                  <w:sz w:val="18"/>
                  <w:szCs w:val="18"/>
                  <w:color w:val="0000EE"/>
                  <w:w w:val="94"/>
                </w:rPr>
                <w:t>10-Q</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640" w:type="dxa"/>
            <w:vAlign w:val="bottom"/>
            <w:gridSpan w:val="3"/>
          </w:tcPr>
          <w:p>
            <w:pPr>
              <w:jc w:val="center"/>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8/14/15</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The Mayo Foundation for Medical Education and Research**</w:t>
              </w:r>
            </w:hyperlink>
          </w:p>
        </w:tc>
        <w:tc>
          <w:tcPr>
            <w:tcW w:w="40" w:type="dxa"/>
            <w:vAlign w:val="bottom"/>
            <w:tcBorders>
              <w:top w:val="single" w:sz="8" w:color="0000EE"/>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6"/>
              </w:rPr>
            </w:pPr>
            <w:hyperlink r:id="rId184">
              <w:r>
                <w:rPr>
                  <w:rFonts w:ascii="Arial" w:cs="Arial" w:eastAsia="Arial" w:hAnsi="Arial"/>
                  <w:sz w:val="18"/>
                  <w:szCs w:val="18"/>
                  <w:color w:val="0000EE"/>
                  <w:w w:val="96"/>
                </w:rPr>
                <w:t>License and Assignment Agreement with Mayo Foundation for</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jc w:val="center"/>
              <w:ind w:right="320"/>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10-Q</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640" w:type="dxa"/>
            <w:vAlign w:val="bottom"/>
            <w:gridSpan w:val="3"/>
          </w:tcPr>
          <w:p>
            <w:pPr>
              <w:jc w:val="center"/>
              <w:spacing w:after="0"/>
              <w:rPr>
                <w:rFonts w:ascii="Arial" w:cs="Arial" w:eastAsia="Arial" w:hAnsi="Arial"/>
                <w:sz w:val="18"/>
                <w:szCs w:val="18"/>
                <w:color w:val="0000EE"/>
                <w:w w:val="93"/>
              </w:rPr>
            </w:pPr>
            <w:hyperlink r:id="rId184">
              <w:r>
                <w:rPr>
                  <w:rFonts w:ascii="Arial" w:cs="Arial" w:eastAsia="Arial" w:hAnsi="Arial"/>
                  <w:sz w:val="18"/>
                  <w:szCs w:val="18"/>
                  <w:color w:val="0000EE"/>
                  <w:w w:val="93"/>
                </w:rPr>
                <w:t>8/15/16</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5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Medical Education and Research dated May 19, 2016**</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Exclusive License Agreement between Baylor College of</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Medicine and Marker Therapeutics, Inc. dated March 16,</w:t>
              </w:r>
            </w:hyperlink>
          </w:p>
        </w:tc>
        <w:tc>
          <w:tcPr>
            <w:tcW w:w="68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2018***</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w:anchor="page15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Sponsored Research Contract between Baylor College of</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29"/>
          </w:tcPr>
          <w:p>
            <w:pPr>
              <w:spacing w:after="0" w:line="196" w:lineRule="exact"/>
              <w:rPr>
                <w:rFonts w:ascii="Arial" w:cs="Arial" w:eastAsia="Arial" w:hAnsi="Arial"/>
                <w:sz w:val="18"/>
                <w:szCs w:val="18"/>
                <w:color w:val="0000EE"/>
                <w:w w:val="99"/>
              </w:rPr>
            </w:pPr>
            <w:hyperlink w:anchor="page159">
              <w:r>
                <w:rPr>
                  <w:rFonts w:ascii="Arial" w:cs="Arial" w:eastAsia="Arial" w:hAnsi="Arial"/>
                  <w:sz w:val="18"/>
                  <w:szCs w:val="18"/>
                  <w:color w:val="0000EE"/>
                  <w:w w:val="99"/>
                </w:rPr>
                <w:t>Medicine and Marker Therapeutics, Inc. dated November 16,</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0000EE"/>
            </w:tcBorders>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2018***</w:t>
              </w:r>
            </w:hyperlink>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59">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5">
              <w:r>
                <w:rPr>
                  <w:rFonts w:ascii="Arial" w:cs="Arial" w:eastAsia="Arial" w:hAnsi="Arial"/>
                  <w:sz w:val="18"/>
                  <w:szCs w:val="18"/>
                  <w:color w:val="0000EE"/>
                </w:rPr>
                <w:t>2009 Stock Incentive Plan*</w:t>
              </w:r>
            </w:hyperlink>
          </w:p>
        </w:tc>
        <w:tc>
          <w:tcPr>
            <w:tcW w:w="100" w:type="dxa"/>
            <w:vAlign w:val="bottom"/>
          </w:tcPr>
          <w:p>
            <w:pPr>
              <w:spacing w:after="0"/>
              <w:rPr>
                <w:sz w:val="24"/>
                <w:szCs w:val="24"/>
                <w:color w:val="auto"/>
              </w:rPr>
            </w:pPr>
          </w:p>
        </w:tc>
        <w:tc>
          <w:tcPr>
            <w:tcW w:w="860" w:type="dxa"/>
            <w:vAlign w:val="bottom"/>
            <w:gridSpan w:val="6"/>
          </w:tcPr>
          <w:p>
            <w:pPr>
              <w:jc w:val="center"/>
              <w:ind w:right="160"/>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DEF14-C</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620"/>
              <w:spacing w:after="0"/>
              <w:rPr>
                <w:rFonts w:ascii="Arial" w:cs="Arial" w:eastAsia="Arial" w:hAnsi="Arial"/>
                <w:sz w:val="18"/>
                <w:szCs w:val="18"/>
                <w:color w:val="0000EE"/>
                <w:w w:val="99"/>
              </w:rPr>
            </w:pPr>
            <w:hyperlink r:id="rId185">
              <w:r>
                <w:rPr>
                  <w:rFonts w:ascii="Arial" w:cs="Arial" w:eastAsia="Arial" w:hAnsi="Arial"/>
                  <w:sz w:val="18"/>
                  <w:szCs w:val="18"/>
                  <w:color w:val="0000EE"/>
                  <w:w w:val="99"/>
                </w:rPr>
                <w:t>B</w:t>
              </w:r>
            </w:hyperlink>
          </w:p>
        </w:tc>
        <w:tc>
          <w:tcPr>
            <w:tcW w:w="640" w:type="dxa"/>
            <w:vAlign w:val="bottom"/>
            <w:gridSpan w:val="3"/>
          </w:tcPr>
          <w:p>
            <w:pPr>
              <w:jc w:val="cente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1/29/10</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6">
              <w:r>
                <w:rPr>
                  <w:rFonts w:ascii="Arial" w:cs="Arial" w:eastAsia="Arial" w:hAnsi="Arial"/>
                  <w:sz w:val="18"/>
                  <w:szCs w:val="18"/>
                  <w:color w:val="0000EE"/>
                </w:rPr>
                <w:t>2014 Omnibus Stock Ownership Plan, as amended through</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86">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600" w:type="dxa"/>
            <w:vAlign w:val="bottom"/>
            <w:gridSpan w:val="2"/>
          </w:tcPr>
          <w:p>
            <w:pPr>
              <w:jc w:val="cente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9/5/17</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August 29, 2017*</w:t>
              </w:r>
            </w:hyperlink>
          </w:p>
        </w:tc>
        <w:tc>
          <w:tcPr>
            <w:tcW w:w="2960" w:type="dxa"/>
            <w:vAlign w:val="bottom"/>
            <w:tcBorders>
              <w:top w:val="single" w:sz="8" w:color="0000EE"/>
            </w:tcBorders>
            <w:gridSpan w:val="15"/>
          </w:tcPr>
          <w:p>
            <w:pPr>
              <w:spacing w:after="0"/>
              <w:rPr>
                <w:sz w:val="17"/>
                <w:szCs w:val="17"/>
                <w:color w:val="auto"/>
              </w:rPr>
            </w:pPr>
          </w:p>
        </w:tc>
        <w:tc>
          <w:tcPr>
            <w:tcW w:w="5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7">
              <w:r>
                <w:rPr>
                  <w:rFonts w:ascii="Arial" w:cs="Arial" w:eastAsia="Arial" w:hAnsi="Arial"/>
                  <w:sz w:val="18"/>
                  <w:szCs w:val="18"/>
                  <w:color w:val="0000EE"/>
                </w:rPr>
                <w:t>Amendment to 2014 Omnibus Stock Ownership Plan, as</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87">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560" w:type="dxa"/>
            <w:vAlign w:val="bottom"/>
            <w:gridSpan w:val="3"/>
          </w:tcPr>
          <w:p>
            <w:pPr>
              <w:jc w:val="center"/>
              <w:ind w:left="250"/>
              <w:spacing w:after="0"/>
              <w:rPr>
                <w:rFonts w:ascii="Arial" w:cs="Arial" w:eastAsia="Arial" w:hAnsi="Arial"/>
                <w:sz w:val="18"/>
                <w:szCs w:val="18"/>
                <w:color w:val="0000EE"/>
                <w:w w:val="87"/>
              </w:rPr>
            </w:pPr>
            <w:hyperlink r:id="rId18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4"/>
          </w:tcPr>
          <w:p>
            <w:pPr>
              <w:jc w:val="center"/>
              <w:ind w:right="140"/>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10/17/18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amended *</w:t>
              </w:r>
            </w:hyperlink>
          </w:p>
        </w:tc>
        <w:tc>
          <w:tcPr>
            <w:tcW w:w="3280" w:type="dxa"/>
            <w:vAlign w:val="bottom"/>
            <w:tcBorders>
              <w:top w:val="single" w:sz="8" w:color="0000EE"/>
            </w:tcBorders>
            <w:gridSpan w:val="13"/>
          </w:tcPr>
          <w:p>
            <w:pPr>
              <w:spacing w:after="0"/>
              <w:rPr>
                <w:sz w:val="17"/>
                <w:szCs w:val="17"/>
                <w:color w:val="auto"/>
              </w:rPr>
            </w:pPr>
          </w:p>
        </w:tc>
        <w:tc>
          <w:tcPr>
            <w:tcW w:w="74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8">
              <w:r>
                <w:rPr>
                  <w:rFonts w:ascii="Arial" w:cs="Arial" w:eastAsia="Arial" w:hAnsi="Arial"/>
                  <w:sz w:val="18"/>
                  <w:szCs w:val="18"/>
                  <w:color w:val="0000EE"/>
                </w:rPr>
                <w:t>Form of Stock Option Award Agreement –Employee*</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88">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780" w:type="dxa"/>
            <w:vAlign w:val="bottom"/>
            <w:gridSpan w:val="4"/>
          </w:tcPr>
          <w:p>
            <w:pPr>
              <w:jc w:val="center"/>
              <w:ind w:right="140"/>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10/23/18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89">
              <w:r>
                <w:rPr>
                  <w:rFonts w:ascii="Arial" w:cs="Arial" w:eastAsia="Arial" w:hAnsi="Arial"/>
                  <w:sz w:val="18"/>
                  <w:szCs w:val="18"/>
                  <w:color w:val="0000EE"/>
                </w:rPr>
                <w:t>Form of Stock Option Award Agreement – Non-Employee</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80"/>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S-8</w:t>
              </w:r>
            </w:hyperlink>
          </w:p>
        </w:tc>
        <w:tc>
          <w:tcPr>
            <w:tcW w:w="1400" w:type="dxa"/>
            <w:vAlign w:val="bottom"/>
            <w:gridSpan w:val="5"/>
          </w:tcPr>
          <w:p>
            <w:pPr>
              <w:jc w:val="center"/>
              <w:ind w:left="30"/>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333-228056</w:t>
              </w:r>
            </w:hyperlink>
          </w:p>
        </w:tc>
        <w:tc>
          <w:tcPr>
            <w:tcW w:w="1180" w:type="dxa"/>
            <w:vAlign w:val="bottom"/>
            <w:gridSpan w:val="5"/>
          </w:tcPr>
          <w:p>
            <w:pPr>
              <w:jc w:val="center"/>
              <w:ind w:right="180"/>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80" w:type="dxa"/>
            <w:vAlign w:val="bottom"/>
            <w:gridSpan w:val="4"/>
          </w:tcPr>
          <w:p>
            <w:pPr>
              <w:jc w:val="center"/>
              <w:ind w:right="140"/>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10/30/18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r:id="rId189">
              <w:r>
                <w:rPr>
                  <w:rFonts w:ascii="Arial" w:cs="Arial" w:eastAsia="Arial" w:hAnsi="Arial"/>
                  <w:sz w:val="18"/>
                  <w:szCs w:val="18"/>
                  <w:color w:val="0000EE"/>
                  <w:w w:val="97"/>
                </w:rPr>
                <w:t>Director*</w:t>
              </w:r>
            </w:hyperlink>
          </w:p>
        </w:tc>
        <w:tc>
          <w:tcPr>
            <w:tcW w:w="3540" w:type="dxa"/>
            <w:vAlign w:val="bottom"/>
            <w:tcBorders>
              <w:top w:val="single" w:sz="8" w:color="0000EE"/>
            </w:tcBorders>
            <w:gridSpan w:val="16"/>
          </w:tcPr>
          <w:p>
            <w:pPr>
              <w:spacing w:after="0"/>
              <w:rPr>
                <w:sz w:val="17"/>
                <w:szCs w:val="17"/>
                <w:color w:val="auto"/>
              </w:rPr>
            </w:pPr>
          </w:p>
        </w:tc>
        <w:tc>
          <w:tcPr>
            <w:tcW w:w="5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0">
              <w:r>
                <w:rPr>
                  <w:rFonts w:ascii="Arial" w:cs="Arial" w:eastAsia="Arial" w:hAnsi="Arial"/>
                  <w:sz w:val="18"/>
                  <w:szCs w:val="18"/>
                  <w:color w:val="0000EE"/>
                </w:rPr>
                <w:t>Form of Stock Option Award Agreement – Consultant*</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0">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780" w:type="dxa"/>
            <w:vAlign w:val="bottom"/>
            <w:gridSpan w:val="4"/>
          </w:tcPr>
          <w:p>
            <w:pPr>
              <w:jc w:val="center"/>
              <w:ind w:right="140"/>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10/23/18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1">
              <w:r>
                <w:rPr>
                  <w:rFonts w:ascii="Arial" w:cs="Arial" w:eastAsia="Arial" w:hAnsi="Arial"/>
                  <w:sz w:val="18"/>
                  <w:szCs w:val="18"/>
                  <w:color w:val="0000EE"/>
                </w:rPr>
                <w:t>Form of Restricted Stock Award Agreement – Consultant*</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jc w:val="center"/>
              <w:ind w:right="320"/>
              <w:spacing w:after="0"/>
              <w:rPr>
                <w:rFonts w:ascii="Arial" w:cs="Arial" w:eastAsia="Arial" w:hAnsi="Arial"/>
                <w:sz w:val="18"/>
                <w:szCs w:val="18"/>
                <w:color w:val="0000EE"/>
                <w:w w:val="94"/>
              </w:rPr>
            </w:pPr>
            <w:hyperlink r:id="rId191">
              <w:r>
                <w:rPr>
                  <w:rFonts w:ascii="Arial" w:cs="Arial" w:eastAsia="Arial" w:hAnsi="Arial"/>
                  <w:sz w:val="18"/>
                  <w:szCs w:val="18"/>
                  <w:color w:val="0000EE"/>
                  <w:w w:val="94"/>
                </w:rPr>
                <w:t>10-Q</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640" w:type="dxa"/>
            <w:vAlign w:val="bottom"/>
            <w:gridSpan w:val="3"/>
          </w:tcPr>
          <w:p>
            <w:pPr>
              <w:jc w:val="cente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11/16/15</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2">
              <w:r>
                <w:rPr>
                  <w:rFonts w:ascii="Arial" w:cs="Arial" w:eastAsia="Arial" w:hAnsi="Arial"/>
                  <w:sz w:val="18"/>
                  <w:szCs w:val="18"/>
                  <w:color w:val="0000EE"/>
                </w:rPr>
                <w:t>Employment Agreement between TapImmune, Inc. and Dr.</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jc w:val="center"/>
              <w:ind w:right="320"/>
              <w:spacing w:after="0"/>
              <w:rPr>
                <w:rFonts w:ascii="Arial" w:cs="Arial" w:eastAsia="Arial" w:hAnsi="Arial"/>
                <w:sz w:val="18"/>
                <w:szCs w:val="18"/>
                <w:color w:val="0000EE"/>
                <w:w w:val="94"/>
              </w:rPr>
            </w:pPr>
            <w:hyperlink r:id="rId192">
              <w:r>
                <w:rPr>
                  <w:rFonts w:ascii="Arial" w:cs="Arial" w:eastAsia="Arial" w:hAnsi="Arial"/>
                  <w:sz w:val="18"/>
                  <w:szCs w:val="18"/>
                  <w:color w:val="0000EE"/>
                  <w:w w:val="94"/>
                </w:rPr>
                <w:t>10-Q</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640" w:type="dxa"/>
            <w:vAlign w:val="bottom"/>
            <w:gridSpan w:val="3"/>
          </w:tcPr>
          <w:p>
            <w:pPr>
              <w:jc w:val="cente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11/16/15</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Glynn Wilson, dated November 12, 2015*</w:t>
              </w:r>
            </w:hyperlink>
          </w:p>
        </w:tc>
        <w:tc>
          <w:tcPr>
            <w:tcW w:w="5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8"/>
              </w:rPr>
            </w:pPr>
            <w:hyperlink r:id="rId193">
              <w:r>
                <w:rPr>
                  <w:rFonts w:ascii="Arial" w:cs="Arial" w:eastAsia="Arial" w:hAnsi="Arial"/>
                  <w:sz w:val="18"/>
                  <w:szCs w:val="18"/>
                  <w:color w:val="0000EE"/>
                  <w:w w:val="98"/>
                </w:rPr>
                <w:t>Amendment to Employment Agreement between TapImmune</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3">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640" w:type="dxa"/>
            <w:vAlign w:val="bottom"/>
            <w:gridSpan w:val="3"/>
          </w:tcPr>
          <w:p>
            <w:pPr>
              <w:jc w:val="center"/>
              <w:spacing w:after="0"/>
              <w:rPr>
                <w:rFonts w:ascii="Arial" w:cs="Arial" w:eastAsia="Arial" w:hAnsi="Arial"/>
                <w:sz w:val="18"/>
                <w:szCs w:val="18"/>
                <w:color w:val="0000EE"/>
                <w:w w:val="93"/>
              </w:rPr>
            </w:pPr>
            <w:hyperlink r:id="rId193">
              <w:r>
                <w:rPr>
                  <w:rFonts w:ascii="Arial" w:cs="Arial" w:eastAsia="Arial" w:hAnsi="Arial"/>
                  <w:sz w:val="18"/>
                  <w:szCs w:val="18"/>
                  <w:color w:val="0000EE"/>
                  <w:w w:val="93"/>
                </w:rPr>
                <w:t>7/19/16</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Inc. and Glynn Wilson, dated as of July 18, 2016*</w:t>
              </w:r>
            </w:hyperlink>
          </w:p>
        </w:tc>
        <w:tc>
          <w:tcPr>
            <w:tcW w:w="840" w:type="dxa"/>
            <w:vAlign w:val="bottom"/>
            <w:tcBorders>
              <w:top w:val="single" w:sz="8" w:color="0000EE"/>
            </w:tcBorders>
            <w:gridSpan w:val="1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8"/>
              </w:rPr>
            </w:pPr>
            <w:hyperlink r:id="rId194">
              <w:r>
                <w:rPr>
                  <w:rFonts w:ascii="Arial" w:cs="Arial" w:eastAsia="Arial" w:hAnsi="Arial"/>
                  <w:sz w:val="18"/>
                  <w:szCs w:val="18"/>
                  <w:color w:val="0000EE"/>
                  <w:w w:val="98"/>
                </w:rPr>
                <w:t>Amendment to Employment Agreement between TapImmune</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4">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640" w:type="dxa"/>
            <w:vAlign w:val="bottom"/>
            <w:gridSpan w:val="3"/>
          </w:tcPr>
          <w:p>
            <w:pPr>
              <w:jc w:val="cente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9/25/17</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460" w:type="dxa"/>
            <w:vAlign w:val="bottom"/>
            <w:tcBorders>
              <w:top w:val="single" w:sz="8" w:color="0000EE"/>
            </w:tcBorders>
            <w:gridSpan w:val="24"/>
          </w:tcPr>
          <w:p>
            <w:pPr>
              <w:spacing w:after="0" w:line="196" w:lineRule="exact"/>
              <w:rPr>
                <w:rFonts w:ascii="Arial" w:cs="Arial" w:eastAsia="Arial" w:hAnsi="Arial"/>
                <w:sz w:val="18"/>
                <w:szCs w:val="18"/>
                <w:color w:val="0000EE"/>
                <w:w w:val="98"/>
              </w:rPr>
            </w:pPr>
            <w:hyperlink r:id="rId194">
              <w:r>
                <w:rPr>
                  <w:rFonts w:ascii="Arial" w:cs="Arial" w:eastAsia="Arial" w:hAnsi="Arial"/>
                  <w:sz w:val="18"/>
                  <w:szCs w:val="18"/>
                  <w:color w:val="0000EE"/>
                  <w:w w:val="98"/>
                </w:rPr>
                <w:t>Inc. and Glynn Wilson, dated as of September 22, 2017*</w:t>
              </w:r>
            </w:hyperlink>
          </w:p>
        </w:tc>
        <w:tc>
          <w:tcPr>
            <w:tcW w:w="3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Employment Agreement between TapImmune Inc. and Peter</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640" w:type="dxa"/>
            <w:vAlign w:val="bottom"/>
            <w:gridSpan w:val="3"/>
          </w:tcPr>
          <w:p>
            <w:pPr>
              <w:jc w:val="center"/>
              <w:spacing w:after="0"/>
              <w:rPr>
                <w:rFonts w:ascii="Arial" w:cs="Arial" w:eastAsia="Arial" w:hAnsi="Arial"/>
                <w:sz w:val="18"/>
                <w:szCs w:val="18"/>
                <w:color w:val="0000EE"/>
                <w:w w:val="93"/>
              </w:rPr>
            </w:pPr>
            <w:hyperlink r:id="rId195">
              <w:r>
                <w:rPr>
                  <w:rFonts w:ascii="Arial" w:cs="Arial" w:eastAsia="Arial" w:hAnsi="Arial"/>
                  <w:sz w:val="18"/>
                  <w:szCs w:val="18"/>
                  <w:color w:val="0000EE"/>
                  <w:w w:val="93"/>
                </w:rPr>
                <w:t>9/25/17</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3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Hoang dated as of September 22, 2017*</w:t>
              </w:r>
            </w:hyperlink>
          </w:p>
        </w:tc>
        <w:tc>
          <w:tcPr>
            <w:tcW w:w="4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6"/>
              </w:rPr>
            </w:pPr>
            <w:hyperlink r:id="rId196">
              <w:r>
                <w:rPr>
                  <w:rFonts w:ascii="Arial" w:cs="Arial" w:eastAsia="Arial" w:hAnsi="Arial"/>
                  <w:sz w:val="18"/>
                  <w:szCs w:val="18"/>
                  <w:color w:val="0000EE"/>
                  <w:w w:val="96"/>
                </w:rPr>
                <w:t>Employment Agreement by and between TapImmune Inc. and</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6">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000-27239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640" w:type="dxa"/>
            <w:vAlign w:val="bottom"/>
            <w:gridSpan w:val="3"/>
          </w:tcPr>
          <w:p>
            <w:pPr>
              <w:jc w:val="center"/>
              <w:spacing w:after="0"/>
              <w:rPr>
                <w:rFonts w:ascii="Arial" w:cs="Arial" w:eastAsia="Arial" w:hAnsi="Arial"/>
                <w:sz w:val="18"/>
                <w:szCs w:val="18"/>
                <w:color w:val="0000EE"/>
                <w:w w:val="93"/>
              </w:rPr>
            </w:pPr>
            <w:hyperlink r:id="rId196">
              <w:r>
                <w:rPr>
                  <w:rFonts w:ascii="Arial" w:cs="Arial" w:eastAsia="Arial" w:hAnsi="Arial"/>
                  <w:sz w:val="18"/>
                  <w:szCs w:val="18"/>
                  <w:color w:val="0000EE"/>
                  <w:w w:val="93"/>
                </w:rPr>
                <w:t>8/25/16</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Michael J. Loiacono dated as of August 25, 2016*</w:t>
              </w:r>
            </w:hyperlink>
          </w:p>
        </w:tc>
        <w:tc>
          <w:tcPr>
            <w:tcW w:w="860" w:type="dxa"/>
            <w:vAlign w:val="bottom"/>
            <w:tcBorders>
              <w:top w:val="single" w:sz="8" w:color="0000EE"/>
            </w:tcBorders>
            <w:gridSpan w:val="14"/>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7">
              <w:r>
                <w:rPr>
                  <w:rFonts w:ascii="Arial" w:cs="Arial" w:eastAsia="Arial" w:hAnsi="Arial"/>
                  <w:sz w:val="18"/>
                  <w:szCs w:val="18"/>
                  <w:color w:val="0000EE"/>
                </w:rPr>
                <w:t>Amendment to Employment Agreement between Marker</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7">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640" w:type="dxa"/>
            <w:vAlign w:val="bottom"/>
            <w:gridSpan w:val="3"/>
          </w:tcPr>
          <w:p>
            <w:pPr>
              <w:jc w:val="cente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12/3/18</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0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Therapeutics, Inc. and Michael J. Loiacono dated as of</w:t>
              </w:r>
            </w:hyperlink>
          </w:p>
        </w:tc>
        <w:tc>
          <w:tcPr>
            <w:tcW w:w="74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November 27, 2018*</w:t>
              </w:r>
            </w:hyperlink>
          </w:p>
        </w:tc>
        <w:tc>
          <w:tcPr>
            <w:tcW w:w="2460" w:type="dxa"/>
            <w:vAlign w:val="bottom"/>
            <w:tcBorders>
              <w:top w:val="single" w:sz="8" w:color="0000EE"/>
            </w:tcBorders>
            <w:gridSpan w:val="10"/>
          </w:tcPr>
          <w:p>
            <w:pPr>
              <w:spacing w:after="0"/>
              <w:rPr>
                <w:sz w:val="17"/>
                <w:szCs w:val="17"/>
                <w:color w:val="auto"/>
              </w:rPr>
            </w:pPr>
          </w:p>
        </w:tc>
        <w:tc>
          <w:tcPr>
            <w:tcW w:w="82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8">
              <w:r>
                <w:rPr>
                  <w:rFonts w:ascii="Arial" w:cs="Arial" w:eastAsia="Arial" w:hAnsi="Arial"/>
                  <w:sz w:val="18"/>
                  <w:szCs w:val="18"/>
                  <w:color w:val="0000EE"/>
                </w:rPr>
                <w:t>Employment Agreement between Marker Therapeutics, Inc.</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8">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640" w:type="dxa"/>
            <w:vAlign w:val="bottom"/>
            <w:gridSpan w:val="3"/>
          </w:tcPr>
          <w:p>
            <w:pPr>
              <w:jc w:val="center"/>
              <w:spacing w:after="0"/>
              <w:rPr>
                <w:rFonts w:ascii="Arial" w:cs="Arial" w:eastAsia="Arial" w:hAnsi="Arial"/>
                <w:sz w:val="18"/>
                <w:szCs w:val="18"/>
                <w:color w:val="0000EE"/>
                <w:w w:val="93"/>
              </w:rPr>
            </w:pPr>
            <w:hyperlink r:id="rId198">
              <w:r>
                <w:rPr>
                  <w:rFonts w:ascii="Arial" w:cs="Arial" w:eastAsia="Arial" w:hAnsi="Arial"/>
                  <w:sz w:val="18"/>
                  <w:szCs w:val="18"/>
                  <w:color w:val="0000EE"/>
                  <w:w w:val="93"/>
                </w:rPr>
                <w:t>12/3/18</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and Anthony Kim dated as of November 27, 2018*</w:t>
              </w:r>
            </w:hyperlink>
          </w:p>
        </w:tc>
        <w:tc>
          <w:tcPr>
            <w:tcW w:w="640" w:type="dxa"/>
            <w:vAlign w:val="bottom"/>
            <w:tcBorders>
              <w:top w:val="single" w:sz="8" w:color="0000EE"/>
            </w:tcBorders>
            <w:gridSpan w:val="8"/>
          </w:tcPr>
          <w:p>
            <w:pPr>
              <w:spacing w:after="0"/>
              <w:rPr>
                <w:sz w:val="17"/>
                <w:szCs w:val="17"/>
                <w:color w:val="auto"/>
              </w:rPr>
            </w:pPr>
          </w:p>
        </w:tc>
        <w:tc>
          <w:tcPr>
            <w:tcW w:w="48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60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99">
              <w:r>
                <w:rPr>
                  <w:rFonts w:ascii="Arial" w:cs="Arial" w:eastAsia="Arial" w:hAnsi="Arial"/>
                  <w:sz w:val="18"/>
                  <w:szCs w:val="18"/>
                  <w:color w:val="0000EE"/>
                </w:rPr>
                <w:t>Consulting Agreement between Dr. Juan Vera and Marker</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199">
              <w:r>
                <w:rPr>
                  <w:rFonts w:ascii="Arial" w:cs="Arial" w:eastAsia="Arial" w:hAnsi="Arial"/>
                  <w:sz w:val="18"/>
                  <w:szCs w:val="18"/>
                  <w:color w:val="0000EE"/>
                  <w:w w:val="99"/>
                </w:rPr>
                <w:t>8-K</w:t>
              </w:r>
            </w:hyperlink>
          </w:p>
        </w:tc>
        <w:tc>
          <w:tcPr>
            <w:tcW w:w="1200" w:type="dxa"/>
            <w:vAlign w:val="bottom"/>
            <w:gridSpan w:val="4"/>
          </w:tcPr>
          <w:p>
            <w:pPr>
              <w:jc w:val="center"/>
              <w:ind w:left="210"/>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001-37939</w:t>
              </w:r>
            </w:hyperlink>
          </w:p>
        </w:tc>
        <w:tc>
          <w:tcPr>
            <w:tcW w:w="200" w:type="dxa"/>
            <w:vAlign w:val="bottom"/>
          </w:tcPr>
          <w:p>
            <w:pPr>
              <w:spacing w:after="0"/>
              <w:rPr>
                <w:sz w:val="24"/>
                <w:szCs w:val="24"/>
                <w:color w:val="auto"/>
              </w:rPr>
            </w:pPr>
          </w:p>
        </w:tc>
        <w:tc>
          <w:tcPr>
            <w:tcW w:w="1180" w:type="dxa"/>
            <w:vAlign w:val="bottom"/>
            <w:gridSpan w:val="5"/>
          </w:tcPr>
          <w:p>
            <w:pPr>
              <w:jc w:val="center"/>
              <w:ind w:right="180"/>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80" w:type="dxa"/>
            <w:vAlign w:val="bottom"/>
            <w:gridSpan w:val="4"/>
          </w:tcPr>
          <w:p>
            <w:pPr>
              <w:jc w:val="center"/>
              <w:ind w:right="140"/>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10/23/18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2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Therapeutics, Inc. dated October 19, 2018*</w:t>
              </w:r>
            </w:hyperlink>
          </w:p>
        </w:tc>
        <w:tc>
          <w:tcPr>
            <w:tcW w:w="5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380" w:type="dxa"/>
            <w:vAlign w:val="bottom"/>
            <w:tcBorders>
              <w:bottom w:val="single" w:sz="8" w:color="auto"/>
            </w:tcBorders>
            <w:gridSpan w:val="3"/>
          </w:tcPr>
          <w:p>
            <w:pPr>
              <w:spacing w:after="0"/>
              <w:rPr>
                <w:sz w:val="24"/>
                <w:szCs w:val="24"/>
                <w:color w:val="auto"/>
              </w:rPr>
            </w:pPr>
          </w:p>
        </w:tc>
        <w:tc>
          <w:tcPr>
            <w:tcW w:w="3120" w:type="dxa"/>
            <w:vAlign w:val="bottom"/>
            <w:tcBorders>
              <w:top w:val="single" w:sz="8" w:color="0000EE"/>
              <w:bottom w:val="single" w:sz="8" w:color="auto"/>
            </w:tcBorders>
            <w:gridSpan w:val="10"/>
          </w:tcPr>
          <w:p>
            <w:pPr>
              <w:spacing w:after="0"/>
              <w:rPr>
                <w:sz w:val="24"/>
                <w:szCs w:val="24"/>
                <w:color w:val="auto"/>
              </w:rPr>
            </w:pPr>
          </w:p>
        </w:tc>
        <w:tc>
          <w:tcPr>
            <w:tcW w:w="6920" w:type="dxa"/>
            <w:vAlign w:val="bottom"/>
            <w:tcBorders>
              <w:bottom w:val="single" w:sz="8" w:color="auto"/>
            </w:tcBorders>
            <w:gridSpan w:val="4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18" w:name="page119"/>
    <w:bookmarkEnd w:id="118"/>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114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9"/>
              </w:rPr>
              <w:t>Incorporated by Reference</w:t>
            </w:r>
          </w:p>
        </w:tc>
        <w:tc>
          <w:tcPr>
            <w:tcW w:w="900" w:type="dxa"/>
            <w:vAlign w:val="bottom"/>
            <w:tcBorders>
              <w:bottom w:val="single" w:sz="8" w:color="auto"/>
            </w:tcBorders>
          </w:tcPr>
          <w:p>
            <w:pPr>
              <w:spacing w:after="0"/>
              <w:rPr>
                <w:sz w:val="20"/>
                <w:szCs w:val="20"/>
                <w:color w:val="auto"/>
              </w:rPr>
            </w:pPr>
          </w:p>
        </w:tc>
        <w:tc>
          <w:tcPr>
            <w:tcW w:w="900" w:type="dxa"/>
            <w:vAlign w:val="bottom"/>
            <w:gridSpan w:val="3"/>
            <w:vMerge w:val="restart"/>
          </w:tcPr>
          <w:p>
            <w:pPr>
              <w:jc w:val="center"/>
              <w:ind w:left="13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1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number</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20" w:type="dxa"/>
            <w:vAlign w:val="bottom"/>
            <w:gridSpan w:val="14"/>
          </w:tcPr>
          <w:p>
            <w:pPr>
              <w:ind w:left="16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rPr>
              <w:t>Form</w:t>
            </w:r>
          </w:p>
        </w:tc>
        <w:tc>
          <w:tcPr>
            <w:tcW w:w="1380" w:type="dxa"/>
            <w:vAlign w:val="bottom"/>
          </w:tcPr>
          <w:p>
            <w:pPr>
              <w:ind w:left="540"/>
              <w:spacing w:after="0"/>
              <w:rPr>
                <w:sz w:val="20"/>
                <w:szCs w:val="20"/>
                <w:color w:val="auto"/>
              </w:rPr>
            </w:pPr>
            <w:r>
              <w:rPr>
                <w:rFonts w:ascii="Arial" w:cs="Arial" w:eastAsia="Arial" w:hAnsi="Arial"/>
                <w:sz w:val="18"/>
                <w:szCs w:val="18"/>
                <w:b w:val="1"/>
                <w:bCs w:val="1"/>
                <w:color w:val="auto"/>
              </w:rPr>
              <w:t>File no.</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500" w:type="dxa"/>
            <w:vAlign w:val="bottom"/>
            <w:gridSpan w:val="2"/>
          </w:tcPr>
          <w:p>
            <w:pPr>
              <w:jc w:val="center"/>
              <w:ind w:left="10"/>
              <w:spacing w:after="0"/>
              <w:rPr>
                <w:rFonts w:ascii="Arial" w:cs="Arial" w:eastAsia="Arial" w:hAnsi="Arial"/>
                <w:sz w:val="18"/>
                <w:szCs w:val="18"/>
                <w:color w:val="0000EE"/>
                <w:w w:val="88"/>
              </w:rPr>
            </w:pPr>
            <w:hyperlink w:anchor="page17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Consulting Agreement between Dr. Ann Leen and Marker</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175">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Therapeutics, Inc. dated October 19, 2018*</w:t>
              </w:r>
            </w:hyperlink>
          </w:p>
        </w:tc>
        <w:tc>
          <w:tcPr>
            <w:tcW w:w="6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jc w:val="center"/>
              <w:ind w:left="10"/>
              <w:spacing w:after="0"/>
              <w:rPr>
                <w:rFonts w:ascii="Arial" w:cs="Arial" w:eastAsia="Arial" w:hAnsi="Arial"/>
                <w:sz w:val="18"/>
                <w:szCs w:val="18"/>
                <w:color w:val="0000EE"/>
                <w:w w:val="88"/>
              </w:rPr>
            </w:pPr>
            <w:hyperlink w:anchor="page1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Form of Director and Officer Indemnification Agreement*</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186">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jc w:val="center"/>
              <w:ind w:left="10"/>
              <w:spacing w:after="0"/>
              <w:rPr>
                <w:rFonts w:ascii="Arial" w:cs="Arial" w:eastAsia="Arial" w:hAnsi="Arial"/>
                <w:sz w:val="18"/>
                <w:szCs w:val="18"/>
                <w:color w:val="0000EE"/>
                <w:w w:val="88"/>
              </w:rPr>
            </w:pPr>
            <w:hyperlink w:anchor="page2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Amendment to Employment Agreement between Marker</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vMerge w:val="restart"/>
          </w:tcPr>
          <w:p>
            <w:pPr>
              <w:jc w:val="center"/>
              <w:ind w:right="280"/>
              <w:spacing w:after="0"/>
              <w:rPr>
                <w:rFonts w:ascii="Arial" w:cs="Arial" w:eastAsia="Arial" w:hAnsi="Arial"/>
                <w:sz w:val="18"/>
                <w:szCs w:val="18"/>
                <w:color w:val="0000EE"/>
                <w:w w:val="99"/>
              </w:rPr>
            </w:pPr>
            <w:hyperlink w:anchor="page200">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20" w:type="dxa"/>
            <w:vAlign w:val="bottom"/>
            <w:gridSpan w:val="16"/>
            <w:vMerge w:val="restart"/>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Therapeutics, Inc. and Peter Hoang, dated March 14, 2019*</w:t>
              </w:r>
            </w:hyperlink>
          </w:p>
        </w:tc>
        <w:tc>
          <w:tcPr>
            <w:tcW w:w="9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20" w:type="dxa"/>
            <w:vAlign w:val="bottom"/>
            <w:gridSpan w:val="16"/>
            <w:vMerge w:val="continue"/>
          </w:tcPr>
          <w:p>
            <w:pPr>
              <w:spacing w:after="0"/>
              <w:rPr>
                <w:sz w:val="7"/>
                <w:szCs w:val="7"/>
                <w:color w:val="auto"/>
              </w:rPr>
            </w:pPr>
          </w:p>
        </w:tc>
        <w:tc>
          <w:tcPr>
            <w:tcW w:w="9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204">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List of Subsidiaries</w:t>
              </w:r>
            </w:hyperlink>
          </w:p>
        </w:tc>
        <w:tc>
          <w:tcPr>
            <w:tcW w:w="5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204">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205">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Consent of Marcum LLP, an independent public accounting</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firm.</w:t>
              </w:r>
            </w:hyperlink>
          </w:p>
        </w:tc>
        <w:tc>
          <w:tcPr>
            <w:tcW w:w="5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205">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3560" w:type="dxa"/>
            <w:vAlign w:val="bottom"/>
            <w:gridSpan w:val="5"/>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Powers of Attorney (included on signature page).</w:t>
              </w:r>
            </w:hyperlink>
          </w:p>
        </w:tc>
        <w:tc>
          <w:tcPr>
            <w:tcW w:w="126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206">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w w:val="99"/>
              </w:rPr>
            </w:pPr>
            <w:hyperlink w:anchor="page206">
              <w:r>
                <w:rPr>
                  <w:rFonts w:ascii="Arial" w:cs="Arial" w:eastAsia="Arial" w:hAnsi="Arial"/>
                  <w:sz w:val="18"/>
                  <w:szCs w:val="18"/>
                  <w:color w:val="0000EE"/>
                  <w:w w:val="99"/>
                </w:rPr>
                <w:t>Certification of Chief Executive Officer pursuant to Securities</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Exchange Act of 1934 Rule 13a-14(a) or 15d-14(a).</w:t>
              </w:r>
            </w:hyperlink>
          </w:p>
        </w:tc>
        <w:tc>
          <w:tcPr>
            <w:tcW w:w="3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206">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207">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6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07">
              <w:r>
                <w:rPr>
                  <w:rFonts w:ascii="Arial" w:cs="Arial" w:eastAsia="Arial" w:hAnsi="Arial"/>
                  <w:sz w:val="18"/>
                  <w:szCs w:val="18"/>
                  <w:color w:val="0000EE"/>
                  <w:w w:val="92"/>
                </w:rPr>
                <w:t>Certification of Chief Financial Officer pursuant to Securities</w:t>
              </w:r>
            </w:hyperlink>
          </w:p>
        </w:tc>
        <w:tc>
          <w:tcPr>
            <w:tcW w:w="3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20" w:type="dxa"/>
            <w:vAlign w:val="bottom"/>
            <w:gridSpan w:val="1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Exchange Act of 1934 Rule 13a-14(a) or 15d-14(a).</w:t>
              </w:r>
            </w:hyperlink>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207">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208">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08">
              <w:r>
                <w:rPr>
                  <w:rFonts w:ascii="Arial" w:cs="Arial" w:eastAsia="Arial" w:hAnsi="Arial"/>
                  <w:sz w:val="18"/>
                  <w:szCs w:val="18"/>
                  <w:color w:val="0000EE"/>
                  <w:w w:val="92"/>
                </w:rPr>
                <w:t>Certification of Chief Executive Officer pursuant to 18 U. S. C.</w:t>
              </w:r>
            </w:hyperlink>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20" w:type="dxa"/>
            <w:vAlign w:val="bottom"/>
            <w:gridSpan w:val="16"/>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Section 1350 as adopted pursuant to Section 906 of the</w:t>
              </w:r>
            </w:hyperlink>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Sarbanes-Oxley Act of 2002.</w:t>
              </w:r>
            </w:hyperlink>
          </w:p>
        </w:tc>
        <w:tc>
          <w:tcPr>
            <w:tcW w:w="8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208">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640" w:type="dxa"/>
            <w:vAlign w:val="bottom"/>
          </w:tcPr>
          <w:p>
            <w:pPr>
              <w:spacing w:after="0"/>
              <w:rPr>
                <w:sz w:val="24"/>
                <w:szCs w:val="24"/>
                <w:color w:val="auto"/>
              </w:rPr>
            </w:pPr>
          </w:p>
        </w:tc>
        <w:tc>
          <w:tcPr>
            <w:tcW w:w="4820" w:type="dxa"/>
            <w:vAlign w:val="bottom"/>
            <w:gridSpan w:val="16"/>
          </w:tcPr>
          <w:p>
            <w:pPr>
              <w:spacing w:after="0"/>
              <w:rPr>
                <w:rFonts w:ascii="Arial" w:cs="Arial" w:eastAsia="Arial" w:hAnsi="Arial"/>
                <w:sz w:val="18"/>
                <w:szCs w:val="18"/>
                <w:color w:val="0000EE"/>
                <w:w w:val="98"/>
              </w:rPr>
            </w:pPr>
            <w:hyperlink w:anchor="page209">
              <w:r>
                <w:rPr>
                  <w:rFonts w:ascii="Arial" w:cs="Arial" w:eastAsia="Arial" w:hAnsi="Arial"/>
                  <w:sz w:val="18"/>
                  <w:szCs w:val="18"/>
                  <w:color w:val="0000EE"/>
                  <w:w w:val="98"/>
                </w:rPr>
                <w:t>Certification of Chief Financial Officer pursuant to 18 U. S. C.</w:t>
              </w:r>
            </w:hyperlink>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Section 1350 as adopted pursuant to Section 906 of the</w:t>
              </w:r>
            </w:hyperlink>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Sarbanes-Oxley Act of 2002.</w:t>
              </w:r>
            </w:hyperlink>
          </w:p>
        </w:tc>
        <w:tc>
          <w:tcPr>
            <w:tcW w:w="8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209">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72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101.INS</w:t>
            </w:r>
          </w:p>
        </w:tc>
        <w:tc>
          <w:tcPr>
            <w:tcW w:w="21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272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101.SCH</w:t>
            </w:r>
          </w:p>
        </w:tc>
        <w:tc>
          <w:tcPr>
            <w:tcW w:w="48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101.CAL</w:t>
            </w:r>
          </w:p>
        </w:tc>
        <w:tc>
          <w:tcPr>
            <w:tcW w:w="48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101.DEF</w:t>
            </w:r>
          </w:p>
        </w:tc>
        <w:tc>
          <w:tcPr>
            <w:tcW w:w="48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101.LAB</w:t>
            </w:r>
          </w:p>
        </w:tc>
        <w:tc>
          <w:tcPr>
            <w:tcW w:w="48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40" w:type="dxa"/>
            <w:vAlign w:val="bottom"/>
            <w:gridSpan w:val="3"/>
          </w:tcPr>
          <w:p>
            <w:pPr>
              <w:jc w:val="center"/>
              <w:ind w:right="460"/>
              <w:spacing w:after="0"/>
              <w:rPr>
                <w:sz w:val="20"/>
                <w:szCs w:val="20"/>
                <w:color w:val="auto"/>
              </w:rPr>
            </w:pPr>
            <w:r>
              <w:rPr>
                <w:rFonts w:ascii="Arial" w:cs="Arial" w:eastAsia="Arial" w:hAnsi="Arial"/>
                <w:sz w:val="18"/>
                <w:szCs w:val="18"/>
                <w:color w:val="auto"/>
                <w:w w:val="88"/>
              </w:rPr>
              <w:t>101.PRE</w:t>
            </w:r>
          </w:p>
        </w:tc>
        <w:tc>
          <w:tcPr>
            <w:tcW w:w="4820" w:type="dxa"/>
            <w:vAlign w:val="bottom"/>
            <w:gridSpan w:val="16"/>
          </w:tcPr>
          <w:p>
            <w:pPr>
              <w:spacing w:after="0"/>
              <w:rPr>
                <w:sz w:val="20"/>
                <w:szCs w:val="20"/>
                <w:color w:val="auto"/>
              </w:rPr>
            </w:pPr>
            <w:r>
              <w:rPr>
                <w:rFonts w:ascii="Arial" w:cs="Arial" w:eastAsia="Arial" w:hAnsi="Arial"/>
                <w:sz w:val="18"/>
                <w:szCs w:val="18"/>
                <w:color w:val="auto"/>
                <w:w w:val="97"/>
              </w:rPr>
              <w:t>XBRL Taxonomy Extension Presentation Linkbase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ind w:firstLine="9"/>
        <w:spacing w:after="0" w:line="250" w:lineRule="auto"/>
        <w:tabs>
          <w:tab w:leader="none" w:pos="2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61" w:lineRule="auto"/>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conditional treatment and this exhibit has been submitted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BLG 10-001, entitled “Generation of CTL Lines with Specificity Against Multiple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Tumor Antigens or Multiple Viruses;”</w:t>
      </w:r>
    </w:p>
    <w:p>
      <w:pPr>
        <w:spacing w:after="0" w:line="9" w:lineRule="exact"/>
        <w:rPr>
          <w:sz w:val="20"/>
          <w:szCs w:val="20"/>
          <w:color w:val="auto"/>
        </w:rPr>
      </w:pPr>
    </w:p>
    <w:p>
      <w:pPr>
        <w:jc w:val="center"/>
        <w:ind w:right="20"/>
        <w:spacing w:after="0" w:line="255" w:lineRule="auto"/>
        <w:rPr>
          <w:sz w:val="20"/>
          <w:szCs w:val="20"/>
          <w:color w:val="auto"/>
        </w:rPr>
      </w:pPr>
      <w:r>
        <w:rPr>
          <w:rFonts w:ascii="Arial" w:cs="Arial" w:eastAsia="Arial" w:hAnsi="Arial"/>
          <w:sz w:val="18"/>
          <w:szCs w:val="18"/>
          <w:color w:val="auto"/>
        </w:rPr>
        <w:t>BLG 10-048, entitled “Pepmixes to Generate Multiviral CTLs with Broad Specificity;” and BLG 16-019 and BLG 16-100, entitled “Immunogenic Antigen Identification from a Pathogen and Correlation to Clinical Efficacy”</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This Exclusive License Agreement (hereinafter called this “</w:t>
      </w:r>
      <w:r>
        <w:rPr>
          <w:rFonts w:ascii="Arial" w:cs="Arial" w:eastAsia="Arial" w:hAnsi="Arial"/>
          <w:sz w:val="17"/>
          <w:szCs w:val="17"/>
          <w:b w:val="1"/>
          <w:bCs w:val="1"/>
          <w:color w:val="auto"/>
        </w:rPr>
        <w:t>Agreement</w:t>
      </w:r>
      <w:r>
        <w:rPr>
          <w:rFonts w:ascii="Arial" w:cs="Arial" w:eastAsia="Arial" w:hAnsi="Arial"/>
          <w:sz w:val="17"/>
          <w:szCs w:val="17"/>
          <w:color w:val="auto"/>
        </w:rPr>
        <w:t>”), to be effective as of the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March, 2018 (hereinafter called the “</w:t>
      </w:r>
      <w:r>
        <w:rPr>
          <w:rFonts w:ascii="Arial" w:cs="Arial" w:eastAsia="Arial" w:hAnsi="Arial"/>
          <w:sz w:val="17"/>
          <w:szCs w:val="17"/>
          <w:b w:val="1"/>
          <w:bCs w:val="1"/>
          <w:color w:val="auto"/>
        </w:rPr>
        <w:t>Agreement Date</w:t>
      </w:r>
      <w:r>
        <w:rPr>
          <w:rFonts w:ascii="Arial" w:cs="Arial" w:eastAsia="Arial" w:hAnsi="Arial"/>
          <w:sz w:val="17"/>
          <w:szCs w:val="17"/>
          <w:color w:val="auto"/>
        </w:rPr>
        <w:t>”), is by and between Baylor College of Medicine (hereinafter called “</w:t>
      </w:r>
      <w:r>
        <w:rPr>
          <w:rFonts w:ascii="Arial" w:cs="Arial" w:eastAsia="Arial" w:hAnsi="Arial"/>
          <w:sz w:val="17"/>
          <w:szCs w:val="17"/>
          <w:b w:val="1"/>
          <w:bCs w:val="1"/>
          <w:color w:val="auto"/>
        </w:rPr>
        <w:t>BCM</w:t>
      </w:r>
      <w:r>
        <w:rPr>
          <w:rFonts w:ascii="Arial" w:cs="Arial" w:eastAsia="Arial" w:hAnsi="Arial"/>
          <w:sz w:val="17"/>
          <w:szCs w:val="17"/>
          <w:color w:val="auto"/>
        </w:rPr>
        <w:t>”), a Texas nonprofit corporation having its principal place of business at One Baylor Plaza, Houston, Texas 77030, and Marker Therapeutics, Inc., a corporation organized under the laws of Delaware and having a principal place of business at 33 5th Avenue N.W., New Brighton, Minnesota (hereinafter, referred to as “</w:t>
      </w:r>
      <w:r>
        <w:rPr>
          <w:rFonts w:ascii="Arial" w:cs="Arial" w:eastAsia="Arial" w:hAnsi="Arial"/>
          <w:sz w:val="17"/>
          <w:szCs w:val="17"/>
          <w:b w:val="1"/>
          <w:bCs w:val="1"/>
          <w:color w:val="auto"/>
        </w:rPr>
        <w:t>LICENSEE</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WHEREAS, BCM’s mission is to advance human health through the integration of education, research, patient care and community service; 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WHEREAS, BCM is the owner of the Subject Technology and Patent Rights as defined below; and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BCM is willing to grant a royalty bearing, worldwide, exclusive license to BCM’s rights in the Subject Technology and Patent Rights to LICENSEE on the terms set forth herein;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said exclusive license under BCM’s rights in the Subject Technology and Patent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for and in consideration of the promises and other good and valuable consideration, the receipt and sufficiency of which are hereby acknowledged, the Parties hereto expressly agree as follows:</w:t>
      </w:r>
    </w:p>
    <w:p>
      <w:pPr>
        <w:spacing w:after="0" w:line="170" w:lineRule="exact"/>
        <w:rPr>
          <w:sz w:val="20"/>
          <w:szCs w:val="20"/>
          <w:color w:val="auto"/>
        </w:rPr>
      </w:pPr>
    </w:p>
    <w:p>
      <w:pPr>
        <w:ind w:left="780" w:hanging="772"/>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 AS USED HEREIN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The term “Affiliates” shall mean any Person, directly or indirectly, controlling, controlled by or under common control with such Person, for so long as such control exists. For purposes of this definition, “control” means: (a) direct or indirect ownership of at least fifty percent (50%) of the entity’s common stock or other ownership interest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0200" w:type="dxa"/>
            <w:vAlign w:val="bottom"/>
          </w:tcPr>
          <w:p>
            <w:pPr>
              <w:jc w:val="right"/>
              <w:ind w:right="2290"/>
              <w:spacing w:after="0"/>
              <w:rPr>
                <w:sz w:val="20"/>
                <w:szCs w:val="20"/>
                <w:color w:val="auto"/>
              </w:rPr>
            </w:pPr>
            <w:r>
              <w:rPr>
                <w:rFonts w:ascii="Arial" w:cs="Arial" w:eastAsia="Arial" w:hAnsi="Arial"/>
                <w:sz w:val="18"/>
                <w:szCs w:val="18"/>
                <w:color w:val="auto"/>
                <w:w w:val="95"/>
              </w:rPr>
              <w:t>The term “Agreement” shall have the meaning given such term in the first paragraph of this Agreement.</w:t>
            </w:r>
          </w:p>
        </w:tc>
      </w:tr>
      <w:tr>
        <w:trPr>
          <w:trHeight w:val="432"/>
        </w:trPr>
        <w:tc>
          <w:tcPr>
            <w:tcW w:w="12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55"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1.3</w:t>
            </w:r>
          </w:p>
        </w:tc>
        <w:tc>
          <w:tcPr>
            <w:tcW w:w="10200" w:type="dxa"/>
            <w:vAlign w:val="bottom"/>
          </w:tcPr>
          <w:p>
            <w:pPr>
              <w:ind w:left="340"/>
              <w:spacing w:after="0"/>
              <w:rPr>
                <w:sz w:val="20"/>
                <w:szCs w:val="20"/>
                <w:color w:val="auto"/>
              </w:rPr>
            </w:pPr>
            <w:r>
              <w:rPr>
                <w:rFonts w:ascii="Arial" w:cs="Arial" w:eastAsia="Arial" w:hAnsi="Arial"/>
                <w:sz w:val="18"/>
                <w:szCs w:val="18"/>
                <w:color w:val="auto"/>
              </w:rPr>
              <w:t>The term “Agreement Date” shall have the meaning given such term in the first paragraph of this Agreement.</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1.4</w:t>
            </w:r>
          </w:p>
        </w:tc>
        <w:tc>
          <w:tcPr>
            <w:tcW w:w="10200" w:type="dxa"/>
            <w:vAlign w:val="bottom"/>
          </w:tcPr>
          <w:p>
            <w:pPr>
              <w:ind w:left="340"/>
              <w:spacing w:after="0"/>
              <w:rPr>
                <w:sz w:val="20"/>
                <w:szCs w:val="20"/>
                <w:color w:val="auto"/>
              </w:rPr>
            </w:pPr>
            <w:r>
              <w:rPr>
                <w:rFonts w:ascii="Arial" w:cs="Arial" w:eastAsia="Arial" w:hAnsi="Arial"/>
                <w:sz w:val="18"/>
                <w:szCs w:val="18"/>
                <w:color w:val="auto"/>
              </w:rPr>
              <w:t>The term “Annual Progress Report” shall have the meaning given such term in Section 5.1.</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1.5</w:t>
            </w:r>
          </w:p>
        </w:tc>
        <w:tc>
          <w:tcPr>
            <w:tcW w:w="10200" w:type="dxa"/>
            <w:vAlign w:val="bottom"/>
          </w:tcPr>
          <w:p>
            <w:pPr>
              <w:ind w:left="480"/>
              <w:spacing w:after="0"/>
              <w:rPr>
                <w:sz w:val="20"/>
                <w:szCs w:val="20"/>
                <w:color w:val="auto"/>
              </w:rPr>
            </w:pPr>
            <w:r>
              <w:rPr>
                <w:rFonts w:ascii="Arial" w:cs="Arial" w:eastAsia="Arial" w:hAnsi="Arial"/>
                <w:sz w:val="18"/>
                <w:szCs w:val="18"/>
                <w:color w:val="auto"/>
                <w:w w:val="92"/>
              </w:rPr>
              <w:t>The term “Applicable Law” shall mean any United States federal, state, local or foreign law, statute, standard, ordinance, code, rule,</w:t>
            </w:r>
          </w:p>
        </w:tc>
      </w:tr>
    </w:tbl>
    <w:p>
      <w:pPr>
        <w:jc w:val="both"/>
        <w:spacing w:after="0" w:line="261" w:lineRule="auto"/>
        <w:rPr>
          <w:sz w:val="20"/>
          <w:szCs w:val="20"/>
          <w:color w:val="auto"/>
        </w:rPr>
      </w:pPr>
      <w:r>
        <w:rPr>
          <w:rFonts w:ascii="Arial" w:cs="Arial" w:eastAsia="Arial" w:hAnsi="Arial"/>
          <w:sz w:val="18"/>
          <w:szCs w:val="18"/>
          <w:color w:val="auto"/>
        </w:rPr>
        <w:t>regulation, resolution or promulgation, or any governmental order, or any license, franchise, permit or similar right granted under any of the foregoing, or any similar provision having the force or effect of law.</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1.6</w:t>
            </w:r>
          </w:p>
        </w:tc>
        <w:tc>
          <w:tcPr>
            <w:tcW w:w="7420" w:type="dxa"/>
            <w:vAlign w:val="bottom"/>
          </w:tcPr>
          <w:p>
            <w:pPr>
              <w:ind w:left="340"/>
              <w:spacing w:after="0"/>
              <w:rPr>
                <w:sz w:val="20"/>
                <w:szCs w:val="20"/>
                <w:color w:val="auto"/>
              </w:rPr>
            </w:pPr>
            <w:r>
              <w:rPr>
                <w:rFonts w:ascii="Arial" w:cs="Arial" w:eastAsia="Arial" w:hAnsi="Arial"/>
                <w:sz w:val="18"/>
                <w:szCs w:val="18"/>
                <w:color w:val="auto"/>
                <w:w w:val="91"/>
              </w:rPr>
              <w:t>The term “BCM” shall have the meaning given such term in the first paragraph of this Agreement.</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1.7</w:t>
            </w:r>
          </w:p>
        </w:tc>
        <w:tc>
          <w:tcPr>
            <w:tcW w:w="7420" w:type="dxa"/>
            <w:vAlign w:val="bottom"/>
          </w:tcPr>
          <w:p>
            <w:pPr>
              <w:ind w:left="340"/>
              <w:spacing w:after="0"/>
              <w:rPr>
                <w:sz w:val="20"/>
                <w:szCs w:val="20"/>
                <w:color w:val="auto"/>
              </w:rPr>
            </w:pPr>
            <w:r>
              <w:rPr>
                <w:rFonts w:ascii="Arial" w:cs="Arial" w:eastAsia="Arial" w:hAnsi="Arial"/>
                <w:sz w:val="18"/>
                <w:szCs w:val="18"/>
                <w:color w:val="auto"/>
              </w:rPr>
              <w:t>The term “BCM Claims” shall have the meaning given such term in Section 16.1(i).</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1.8</w:t>
            </w:r>
          </w:p>
        </w:tc>
        <w:tc>
          <w:tcPr>
            <w:tcW w:w="7420" w:type="dxa"/>
            <w:vAlign w:val="bottom"/>
          </w:tcPr>
          <w:p>
            <w:pPr>
              <w:ind w:left="340"/>
              <w:spacing w:after="0"/>
              <w:rPr>
                <w:sz w:val="20"/>
                <w:szCs w:val="20"/>
                <w:color w:val="auto"/>
              </w:rPr>
            </w:pPr>
            <w:r>
              <w:rPr>
                <w:rFonts w:ascii="Arial" w:cs="Arial" w:eastAsia="Arial" w:hAnsi="Arial"/>
                <w:sz w:val="18"/>
                <w:szCs w:val="18"/>
                <w:color w:val="auto"/>
              </w:rPr>
              <w:t>The term “BCM Developers” shall mean the following:</w:t>
            </w:r>
          </w:p>
        </w:tc>
      </w:tr>
    </w:tbl>
    <w:p>
      <w:pPr>
        <w:spacing w:after="0" w:line="202" w:lineRule="exact"/>
        <w:rPr>
          <w:sz w:val="20"/>
          <w:szCs w:val="20"/>
          <w:color w:val="auto"/>
        </w:rPr>
      </w:pPr>
    </w:p>
    <w:p>
      <w:pPr>
        <w:ind w:right="20" w:firstLine="1629"/>
        <w:spacing w:after="0" w:line="277" w:lineRule="auto"/>
        <w:tabs>
          <w:tab w:leader="none" w:pos="24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BLG 10-001, entitled “Generation of CTL Lines with Specificity Against Multiple Tumor Antigens or Multiple Viruses,” Ann Leen, Cliona M. Rooney, Ulrike Gerdemann, Juan F. Vera Valdes;</w:t>
      </w:r>
    </w:p>
    <w:p>
      <w:pPr>
        <w:spacing w:after="0" w:line="170" w:lineRule="exact"/>
        <w:rPr>
          <w:rFonts w:ascii="Arial" w:cs="Arial" w:eastAsia="Arial" w:hAnsi="Arial"/>
          <w:sz w:val="18"/>
          <w:szCs w:val="18"/>
          <w:color w:val="auto"/>
        </w:rPr>
      </w:pPr>
    </w:p>
    <w:p>
      <w:pPr>
        <w:ind w:left="2580" w:hanging="951"/>
        <w:spacing w:after="0"/>
        <w:tabs>
          <w:tab w:leader="none" w:pos="2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BLG 10-048, entitled “Pepmixes to Generate Multiviral CTLs with Broad Specificity,” Ann Leen, Juan F. Vera Valdes,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Cliona Rooney, Ulrike Gerdemann;</w:t>
      </w:r>
    </w:p>
    <w:p>
      <w:pPr>
        <w:spacing w:after="0" w:line="210" w:lineRule="exact"/>
        <w:rPr>
          <w:rFonts w:ascii="Arial" w:cs="Arial" w:eastAsia="Arial" w:hAnsi="Arial"/>
          <w:sz w:val="17"/>
          <w:szCs w:val="17"/>
          <w:color w:val="auto"/>
        </w:rPr>
      </w:pPr>
    </w:p>
    <w:p>
      <w:pPr>
        <w:ind w:firstLine="1629"/>
        <w:spacing w:after="0" w:line="277" w:lineRule="auto"/>
        <w:tabs>
          <w:tab w:leader="none" w:pos="25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BLG 16-019, entitled “Immunogenic Antigen Identification from a Pathogen and Correlation to Clinical Efficacy,” Ann Marie Leen, Pailbel Aguayo-Hiraldo, Ifigeneia Tzannou, Juan F. Vera Valdes; and</w:t>
      </w:r>
    </w:p>
    <w:p>
      <w:pPr>
        <w:spacing w:after="0" w:line="170" w:lineRule="exact"/>
        <w:rPr>
          <w:rFonts w:ascii="Arial" w:cs="Arial" w:eastAsia="Arial" w:hAnsi="Arial"/>
          <w:sz w:val="18"/>
          <w:szCs w:val="18"/>
          <w:color w:val="auto"/>
        </w:rPr>
      </w:pPr>
    </w:p>
    <w:p>
      <w:pPr>
        <w:ind w:firstLine="1629"/>
        <w:spacing w:after="0" w:line="277" w:lineRule="auto"/>
        <w:tabs>
          <w:tab w:leader="none" w:pos="25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BLG 16-100, entitled “Immunogenic Antigen Identification from a Pathogen and Correlation to Clinical Efficacy,” Ann Marie Leen, Sarah Kogan Nicholas, and Ifigeneia Tzannou.</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1.9 The term “Commercially Reasonable Efforts” means with respect to the performing Party, its Affiliates and its Sublicenses, a level of efforts and resources, not less than reasonable efforts and resources, that is consistent with the efforts and resources utilized by Persons of similar size, type and stage of development to develop and commercialize products similar to the Licensed Products, as applicable, and would typically devote to a product or compound owned by it or to which is has the rights of the type it has hereunder, taking into account scientific and commercial factors, including the competitiveness of alternative third party products in the marketplace, the patent or other proprietary position of the Licensed Product(s), the regulatory requirements involved and the potential profitability of the Licensed Product(s) marketed or to be marketed.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1.10 The term “Confidential Information” shall mean any proprietary and secret ideas, proprietary technical information, know-how and proprietary commercial information or other similar confidential, non-public or proprietary information that are owned by the disclosing Party. The term “Confidential Information” is further defined in Section 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term “Disclosing Party” shall mean the Party disclosing Confidential Information to the other Party.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1.12 The term “Distinct Product” is a Licensed Product for which a separate and distinct Investigational New Drug (IND) application or Biologics License Application (BLA), or their non-US equivalents, is required by a regulatory authority to be filed with respect thereto to clinically develop in humans and obtain approval to market such product. For the avoidance of doubt, any combination product comprising a Licensed Product on the one hand, and another active agent (whether or not another Licensed Product), on the other hand, shall be deemed to be a Distinct Product separate from any such Licensed Product, if the combination product is subject to a separate and distinct IND or BLA, or their non-US equivalents. For further avoidance of doubt, a Licensed Product which is administered as a concurrent therapy (and not a combination product) along with another product which contains a different active agent, wherein each product is subject to a separate IND or BLA (or their non-US equivalents), shall not be considered a different Distinct Product from the Licensed Product when administered alone.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1.13 The term “Field” shall mean all diagnostic and therapeutic applications or uses in oncology, including, but not limited to, prophylaxis, adjuvant and treatment.</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term “GAAP” shall mean generally accepted accounting principles in the United States as in effect from time to time.</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term “Indemnified Parties” shall have the meaning given such term in Section 16.1(i).</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term “Infringement Claim” shall have the meaning given such term in Section 9.9</w:t>
      </w:r>
      <w:r>
        <w:rPr>
          <w:rFonts w:ascii="Arial" w:cs="Arial" w:eastAsia="Arial" w:hAnsi="Arial"/>
          <w:sz w:val="16"/>
          <w:szCs w:val="16"/>
          <w:color w:val="0000FF"/>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term “Instituting Party” shall have the meaning given such term in Section 9.7(ii).</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1.17 The term “Legal Costs” shall mean all reasonable legal fees and expenses, filing or maintenance fees, assessments and all other costs and expenses related to prosecuting, obtaining and maintaining patent protection on the Patent Rights in the United States and foreign countries.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1.18 The term “Licensed Product(s)” shall mean any product, process or service that incorporates, utilizes or is made with the use of the Subject Technology and/or Patent Rights.</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The term “LICENSEE” shall have the meaning given such term in the first paragraph of this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1.20 The term “Liquidity Event” means the first time one of the following occurs: (i) the closing of any sale, consolidation, merger or other transaction, directly or indirectly, in one or a series of related transactions, in which a “person” or “group” (as such terms are used in Section 13(d) of the Securities Exchange Act of 1934, as amended) acquires securities of LICENSEE constituting more than fifty percent (50%) of the total voting power of all of the then issued and outstanding securities of LICENSEE, or (ii) the sale of all or substantially all of the business or assets of LICENSEE;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Liquidity Event shall not include the TapImmune Transaction;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TapImmune Transaction occurs, the term LICENSEE, as used in this definition, shall mean TapImmune Inc. (or any successor thereto).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1.21 The term “Liquidity Event Proceeds” means the total amount of consideration (including cash, securities or other property) paid or received, or to be paid or received, by LICENSEE or the equity holders of LICENSEE (including holders of options, warrants and convertible securities) from or in connection with a Liquidity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contingent payments will be paid when and if paid to the LICENSEE or the equity holders of LICENSEE. For the purpose of calculating the value of consideration from or received or receivable in connection with or in anticipation of a Liquidity Event, any securities (other than a promissory note) will be valued at the time of the closing of the Liquidity Event on the same basis as such fair market value shall be determined in connection with any fee payable to any investment bank engaged by LICENSEE in connection with such Liquidity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LICENSEE has not engaged any investment bank in connection with such Liquidity Event, then any securities will be valued on the following basis: (i) if such securities are traded on a stock exchange, the securities will be valued at the average last sale or closing price for the ten (10) trading days immediately prior to the closing of the Liquidity Event; and (ii) if such securities are traded primarily in over-the-counter transactions, the securities will be valued at the mean of the closing bid and asked quotations similarly averaged over a ten (10) trading day period immediately prior to the closing of the Liquidity Event. If the TapImmune Transaction occurs, then the term LICENSEE, as used in this definition, shall mean TapImmune Inc. (or any successor thereto).</w:t>
      </w:r>
    </w:p>
    <w:p>
      <w:pPr>
        <w:spacing w:after="0" w:line="18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term “Major Markets” would be any of US, Germany, Italy, France, Spain, The United Kingdom, or Japan.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1.23 The term “Marketing Authorization(s)” shall mean all approvals necessary from the relevant Regulatory Authority to permit a Party or its sublicense(s) to market and sell a Licensed Product in a particular country, including without limitation a New Drug Application and Biologics License Application.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1.24 The term “Net Sales” shall mean on a country-by-country and License Product-by-Licensed Product basis, with respect to any period for each country, the gross amounts invoiced by LICENSEE or its Affiliates or Sublicensees, (each, a “Selling Party”) to unrelated third parties for sales of a Licensed Product in the Field in such country, less the following deductions to the extent included in the gross invoiced sales price for such Licensed Product or otherwise directed paid, incurred, allowed, accrued or specifically allocated, and documented by the Selling Parties with respect to the sale of such Licensed Product in such country:</w:t>
      </w:r>
    </w:p>
    <w:p>
      <w:pPr>
        <w:spacing w:after="0" w:line="188" w:lineRule="exact"/>
        <w:rPr>
          <w:sz w:val="20"/>
          <w:szCs w:val="20"/>
          <w:color w:val="auto"/>
        </w:rPr>
      </w:pPr>
    </w:p>
    <w:p>
      <w:pPr>
        <w:ind w:right="20" w:firstLine="1629"/>
        <w:spacing w:after="0" w:line="277" w:lineRule="auto"/>
        <w:tabs>
          <w:tab w:leader="none" w:pos="23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discounts, including customary trade, quantity or cash discounts, credits adjustments or allowances, including those granted on account of price adjustments, billing errors, rejected or recalled goods, or damaged goods;</w:t>
      </w:r>
    </w:p>
    <w:p>
      <w:pPr>
        <w:spacing w:after="0" w:line="170" w:lineRule="exact"/>
        <w:rPr>
          <w:rFonts w:ascii="Arial" w:cs="Arial" w:eastAsia="Arial" w:hAnsi="Arial"/>
          <w:sz w:val="18"/>
          <w:szCs w:val="18"/>
          <w:color w:val="auto"/>
        </w:rPr>
      </w:pPr>
    </w:p>
    <w:p>
      <w:pPr>
        <w:jc w:val="both"/>
        <w:ind w:firstLine="1629"/>
        <w:spacing w:after="0" w:line="264" w:lineRule="auto"/>
        <w:tabs>
          <w:tab w:leader="none" w:pos="25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rebates and chargebacks allowed, given or accrued (including cash, governmental and managed care rebates, hospital or other buying group chargebacks, cash and non-cash coupons, retroactive price reductions, and governmental taxes in the nature of a rebated based on usage levels or sales of such Licensed Product);</w:t>
      </w:r>
    </w:p>
    <w:p>
      <w:pPr>
        <w:spacing w:after="0" w:line="181" w:lineRule="exact"/>
        <w:rPr>
          <w:rFonts w:ascii="Arial" w:cs="Arial" w:eastAsia="Arial" w:hAnsi="Arial"/>
          <w:sz w:val="18"/>
          <w:szCs w:val="18"/>
          <w:color w:val="auto"/>
        </w:rPr>
      </w:pPr>
    </w:p>
    <w:p>
      <w:pPr>
        <w:jc w:val="both"/>
        <w:ind w:firstLine="1629"/>
        <w:spacing w:after="0" w:line="259" w:lineRule="auto"/>
        <w:tabs>
          <w:tab w:leader="none" w:pos="25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taxes, including but not limited to sales, excise, turnover, inventory, value-added, import, export, excise (including annual fees due under Section 9008 of the United States Patient Protection and Affordable Care Action of 2010 (Pub. L. No. 111-48) and other comparable laws) and other taxes,levied on, absorbed, determined or imposed with respect to the sale, production, transportation, import, export, delivery or use of such Licensed Product (excluding income or net profit taxes or franchise taxes of any kind);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firstLine="1629"/>
        <w:spacing w:after="0" w:line="277" w:lineRule="auto"/>
        <w:tabs>
          <w:tab w:leader="none" w:pos="24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reasonable charges for delivery or transportation of Licensed Products to customers through the use of third party delivery or transportation services, if separately stated.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will be determined in accordance with GAAP. Without limiting the generality of the foregoing, transfers of dispositions of a Licensed Product for charitable, promotional (including samples), pre-clinical, clinical, or regulatory purposes will be excluded from Net Sales, as will sales or transfers of a Licensed Product among the Selling Parties.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above deductions, Net Sales shall be deemed to occur on, and only on, the first sale by a Selling Party to a non-sublicensee third party. If non-monetary consideration is received by a Selling Party for the Licensed Product in the relevant country, Net Sales will be calculated based on the average price charged for such Product, as applicable, during the preceding period, or in the absence of such sales, the fair market value of the Licensed Product, as applicable, as determined by the Parties in good faith.</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term “Non-Instituting Party” shall have the meaning given such term in Section 9.7(ii).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1.26 The term “Orphan Drug Status” shall mean the period of exclusivity accompanying an orphan drug/medicines designation granted by a governmental drug regulatory body, such as FDA or EMA.</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The term “Party” shall mean either LICENSEE or BCM, and “Parties” shall mean LICENSEE and BCM.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1.28 The term “Patent Rights” shall mean only BCM’s ownership rights in the patent applications and patents listed in Appendix A and any and all divisions, reissues, re-examinations, renewals, continuations, continuations-in-part (to the extent the claims in the continuations-in-part are directed to the subject matter described in the patent applications and patents listed in Appendix A), substitutions, and all patents granted thereon and extensions thereof, and all other counterpart, pending or issued patents in all other countries. For the avoidance of doubt, Patent Rights shall also include an exclusive sublicense in the Field to the exclusive license that BCM received from Wilson Wolf Manufacturing under the Reciprocal Exclusive License Agreement, attached as Appendix 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1.29 The term “Person” shall mean any individual or corporation, association, partnership, limited liability company, joint venture, joint stock or other company, business trust, trust, organization, university, college, governmental authority or other entity of any kind.</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The term “Receiving Party” shall mean the Party receiving Confidential Information from the other Party.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1.31 The term “Research Collaboration Agreement” shall mean that certain Research Collaboration Agreement to be negotiated in good faith and signed, within one hundred eighty (180) days from the Agreement Date, between BCM and LICENSEE, encompassing research related to the Patent Rights or Subject Technology created by BCM during the term of the Research Collaboration Agreement.</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term “Royalties” shall have the meaning given such term in Section 4.3.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term “Sale” shall mean the act of selling, leasing, or otherwise transferring, providing, or furnishing for use for any consideration.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Correspondingly, “Sell” shall mean to make or cause to be made a Sale, and "Sold" shall mean to have made or caused to be made a Sale.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1.34 The term “Subject Technology” shall mean BCM’s rights in the technical, scientific information, methods, processes, techniques, data and results, in all cases, whether or not confidential or proprietary, in written, electronic or other forms, directly related to the Patent Rights, and all BCM Confidential Information developed as of the Agreement Date, by the Developers related to the Patent Rights, owned and controlled by BCM and supplied by BCM as of the Agreement Date (identified in Appendix B), or created by BCM during the term of and funded under the Research Collaboration Agreement pertaining to the Field as directed under the LICENSEE’s sponsored research project to develop the deliverables, together with any progeny, mutants or derivatives thereof supplied by BCM or created by LICENSEE.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1.35 The term “Sublicensee” shall mean any third party to which LICENSEE or its Affiliates grants any or all of the rights licensed by BCM to LICENSEE under Section 2.1.</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1.36 The term “Sublicensing Revenue” shall mean all (i) cash, (ii) sublicensing fees and (iii) all other payments and the cash equivalent thereof, which are paid to LICENSEE by the Sublicensees of its rights hereunder, but excluding the following payments:</w:t>
      </w:r>
    </w:p>
    <w:p>
      <w:pPr>
        <w:spacing w:after="0" w:line="170" w:lineRule="exact"/>
        <w:rPr>
          <w:sz w:val="20"/>
          <w:szCs w:val="20"/>
          <w:color w:val="auto"/>
        </w:rPr>
      </w:pPr>
    </w:p>
    <w:p>
      <w:pPr>
        <w:ind w:left="2440" w:hanging="811"/>
        <w:spacing w:after="0"/>
        <w:tabs>
          <w:tab w:leader="none" w:pos="2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payments made in consideration for the issuance of equity or debt securities of LICENSEE to the extent not exceeding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fair market value thereof;</w:t>
      </w:r>
    </w:p>
    <w:p>
      <w:pPr>
        <w:spacing w:after="0" w:line="210" w:lineRule="exact"/>
        <w:rPr>
          <w:rFonts w:ascii="Arial" w:cs="Arial" w:eastAsia="Arial" w:hAnsi="Arial"/>
          <w:sz w:val="16"/>
          <w:szCs w:val="16"/>
          <w:color w:val="auto"/>
        </w:rPr>
      </w:pPr>
    </w:p>
    <w:p>
      <w:pPr>
        <w:jc w:val="both"/>
        <w:ind w:firstLine="1629"/>
        <w:spacing w:after="0" w:line="264" w:lineRule="auto"/>
        <w:tabs>
          <w:tab w:leader="none" w:pos="24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portion of payments for direct or fully burdened expenses (collectively not to exceed one hundred fifty percent (150%) of direct expenses) associated with research or development as calculated in accordance with GAAP, to the extent that such expenses are incurred after the date of and in connection with such sublicense;</w:t>
      </w:r>
    </w:p>
    <w:p>
      <w:pPr>
        <w:spacing w:after="0" w:line="181" w:lineRule="exact"/>
        <w:rPr>
          <w:rFonts w:ascii="Arial" w:cs="Arial" w:eastAsia="Arial" w:hAnsi="Arial"/>
          <w:sz w:val="18"/>
          <w:szCs w:val="18"/>
          <w:color w:val="auto"/>
        </w:rPr>
      </w:pPr>
    </w:p>
    <w:p>
      <w:pPr>
        <w:ind w:left="2540" w:hanging="911"/>
        <w:spacing w:after="0"/>
        <w:tabs>
          <w:tab w:leader="none" w:pos="2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royalties on sales of Licensed Products by the Sublicensee (payment for which has been otherwise provided in Paragraph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4.3);</w:t>
      </w:r>
    </w:p>
    <w:p>
      <w:pPr>
        <w:spacing w:after="0" w:line="210" w:lineRule="exact"/>
        <w:rPr>
          <w:rFonts w:ascii="Arial" w:cs="Arial" w:eastAsia="Arial" w:hAnsi="Arial"/>
          <w:sz w:val="16"/>
          <w:szCs w:val="16"/>
          <w:color w:val="auto"/>
        </w:rPr>
      </w:pPr>
    </w:p>
    <w:p>
      <w:pPr>
        <w:ind w:left="2460" w:hanging="831"/>
        <w:spacing w:after="0"/>
        <w:tabs>
          <w:tab w:leader="none" w:pos="2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milestone payments for Distinct Products by the Sublicensee (payment for which has been otherwise provided in Paragraph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4.4);</w:t>
      </w:r>
    </w:p>
    <w:p>
      <w:pPr>
        <w:spacing w:after="0" w:line="210" w:lineRule="exact"/>
        <w:rPr>
          <w:rFonts w:ascii="Arial" w:cs="Arial" w:eastAsia="Arial" w:hAnsi="Arial"/>
          <w:sz w:val="16"/>
          <w:szCs w:val="16"/>
          <w:color w:val="auto"/>
        </w:rPr>
      </w:pPr>
    </w:p>
    <w:p>
      <w:pPr>
        <w:ind w:left="2380" w:hanging="751"/>
        <w:spacing w:after="0"/>
        <w:tabs>
          <w:tab w:leader="none" w:pos="2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payments for supply of Licensed Products for use in clinical trials by or on behalf of, or for resale by, the Sublicensee;</w:t>
      </w:r>
    </w:p>
    <w:p>
      <w:pPr>
        <w:spacing w:after="0" w:line="236" w:lineRule="exact"/>
        <w:rPr>
          <w:rFonts w:ascii="Arial" w:cs="Arial" w:eastAsia="Arial" w:hAnsi="Arial"/>
          <w:sz w:val="17"/>
          <w:szCs w:val="17"/>
          <w:color w:val="auto"/>
        </w:rPr>
      </w:pPr>
    </w:p>
    <w:p>
      <w:pPr>
        <w:ind w:left="2420" w:hanging="791"/>
        <w:spacing w:after="0"/>
        <w:tabs>
          <w:tab w:leader="none" w:pos="2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withholding taxes or other amounts actually withheld from the amounts paid to LICENSEE; and</w:t>
      </w:r>
    </w:p>
    <w:p>
      <w:pPr>
        <w:spacing w:after="0" w:line="225" w:lineRule="exact"/>
        <w:rPr>
          <w:rFonts w:ascii="Arial" w:cs="Arial" w:eastAsia="Arial" w:hAnsi="Arial"/>
          <w:sz w:val="18"/>
          <w:szCs w:val="18"/>
          <w:color w:val="auto"/>
        </w:rPr>
      </w:pPr>
    </w:p>
    <w:p>
      <w:pPr>
        <w:ind w:right="20" w:firstLine="1629"/>
        <w:spacing w:after="0" w:line="277" w:lineRule="auto"/>
        <w:tabs>
          <w:tab w:leader="none" w:pos="27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received in connection with a merger, consolidation or sale of substantially all of the business or assets of LICENSEE, subject to the one-time liquidity incentive as stipulated in Section 4.6.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1.37 The term “TapImmune Transaction” shall mean the contemplated merger of LICENSEE with and into a wholly-owned subsidiary of TapImmune Inc., pursuant to which, among other things, the shareholders of LICENSEE will receive common stock and warrants of TapImmune Inc. constituting approximately 50% of the issued and outstanding securities of TapImmune Inc. (and, for the avoidance of doubt, any shares of LICENSEE held by BCM shall be treated the same as other outstanding shares of the same class in such transaction). If the TapImmune Transaction occurs, then the term LICENSEE, as used in this definition, shall mean TapImmune Inc. (or any successor thereto).</w:t>
      </w:r>
    </w:p>
    <w:p>
      <w:pPr>
        <w:spacing w:after="0" w:line="18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The term “Term” shall have the meaning given such term in Section 10.</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term “Third Party Activities” shall have the meaning given such term in Section 9.7.</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1.40 The term “Valid Claim” shall mean, with respect to a particular country, (a) a claim of a pending patent application within the Patent Rights that has been pending for no more than seven (7) years following the earliest national stage filing date for such patent or patent application, that is being prosecuted in good faith, and that has not been abandoned, finally rejected or expired without the possibility of appeal or refiling or (b) a claim of an issued and unexpired patent included within the Patent Rights, which has not been revoked, or held unenforceable or invalid by a decision of a court or other governmental agency of competent jurisdiction, which decision is unappealed or unappealable within the time allowed for appeal and which has not been cancelled, withdrawn, abandoned, disclaimed, denied, or admitted to be invalid or unenforceable through reissue, disclaimer or otherwise. For clarity, a claim of a patent application that ceased to be a Valid Claim under clause (a) before it issued because it had been pending too long, but subsequently issued and is otherwise described by this clause (b) shall again be considered to be a Valid Claim once it issues; provided that with respect to the payment of any royalties if said claim with said pendency period subsequently issues said pending claim, shall be considered a Valid Claim, during the entire pendency period in the Patent Rights. A Licensed Product is covered by a Valid Claim if its manufacture, use, sale, offer of sale, marketing, commercialization, distribution, importation or exportation by LICENSEE in a given country would, but for the rights granted by BCM to LICENSEE under this Agreement, infringe such Valid Claim.</w:t>
      </w:r>
    </w:p>
    <w:p>
      <w:pPr>
        <w:spacing w:after="0" w:line="180"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License Grant</w:t>
      </w:r>
      <w:r>
        <w:rPr>
          <w:rFonts w:ascii="Arial" w:cs="Arial" w:eastAsia="Arial" w:hAnsi="Arial"/>
          <w:sz w:val="17"/>
          <w:szCs w:val="17"/>
          <w:color w:val="auto"/>
        </w:rPr>
        <w:t>. Subject to the reservations of rights set forth in Paragraph 2.2, BCM hereby grants to LICENSEE and,</w:t>
      </w:r>
      <w:r>
        <w:rPr>
          <w:rFonts w:ascii="Arial" w:cs="Arial" w:eastAsia="Arial" w:hAnsi="Arial"/>
          <w:sz w:val="17"/>
          <w:szCs w:val="17"/>
          <w:u w:val="single" w:color="auto"/>
          <w:color w:val="auto"/>
        </w:rPr>
        <w:t>GRANT OF LICENSE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reservations of rights set forth in Paragraph 2.2, BCM hereby grants to LICENSEE and, at LICENSEE's option, to its Affiliates, an exclusive, worldwide, sublicensable license under BCM’s rights in the Patent Rights and Subject Technology, to make, have made, use, market, sell, offer to sell, lease, import, or export Licensed Products in the Field.</w:t>
      </w:r>
    </w:p>
    <w:p>
      <w:pPr>
        <w:spacing w:after="0" w:line="18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Restrictions on License</w:t>
      </w:r>
      <w:r>
        <w:rPr>
          <w:rFonts w:ascii="Arial" w:cs="Arial" w:eastAsia="Arial" w:hAnsi="Arial"/>
          <w:sz w:val="16"/>
          <w:szCs w:val="16"/>
          <w:color w:val="auto"/>
        </w:rPr>
        <w:t>. The grant in Section 2.1 shall be further subject to, restricted by and be non-exclusive with respect to:</w:t>
      </w:r>
    </w:p>
    <w:p>
      <w:pPr>
        <w:spacing w:after="0" w:line="225" w:lineRule="exact"/>
        <w:rPr>
          <w:sz w:val="20"/>
          <w:szCs w:val="20"/>
          <w:color w:val="auto"/>
        </w:rPr>
      </w:pPr>
    </w:p>
    <w:p>
      <w:pPr>
        <w:ind w:right="20" w:firstLine="1629"/>
        <w:spacing w:after="0" w:line="277" w:lineRule="auto"/>
        <w:tabs>
          <w:tab w:leader="none" w:pos="25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making or use of the Subject Technology and Patent Rights by BCM for its non-commercial research, patient care, teaching and other educationally related purposes;</w:t>
      </w:r>
    </w:p>
    <w:p>
      <w:pPr>
        <w:spacing w:after="0" w:line="170" w:lineRule="exact"/>
        <w:rPr>
          <w:rFonts w:ascii="Arial" w:cs="Arial" w:eastAsia="Arial" w:hAnsi="Arial"/>
          <w:sz w:val="18"/>
          <w:szCs w:val="18"/>
          <w:color w:val="auto"/>
        </w:rPr>
      </w:pPr>
    </w:p>
    <w:p>
      <w:pPr>
        <w:ind w:left="2440" w:hanging="811"/>
        <w:spacing w:after="0"/>
        <w:tabs>
          <w:tab w:leader="none" w:pos="2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making or use of the Subject Technology and Patent Rights by the Developers for non-commercial research purposes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academic or research institutions;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firstLine="1629"/>
        <w:spacing w:after="0" w:line="277" w:lineRule="auto"/>
        <w:tabs>
          <w:tab w:leader="none" w:pos="25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non-exclusive license of the Subject Technology and/or Patent Rights that BCM grants to other academic or research institutions for non-commercial research purposes;</w:t>
      </w:r>
    </w:p>
    <w:p>
      <w:pPr>
        <w:spacing w:after="0" w:line="170" w:lineRule="exact"/>
        <w:rPr>
          <w:rFonts w:ascii="Arial" w:cs="Arial" w:eastAsia="Arial" w:hAnsi="Arial"/>
          <w:sz w:val="18"/>
          <w:szCs w:val="18"/>
          <w:color w:val="auto"/>
        </w:rPr>
      </w:pPr>
    </w:p>
    <w:p>
      <w:pPr>
        <w:ind w:firstLine="1629"/>
        <w:spacing w:after="0" w:line="277" w:lineRule="auto"/>
        <w:tabs>
          <w:tab w:leader="none" w:pos="25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making or use of the Subject Technology and Patent Rights by academic and research institutions for internal, non-commercial research purposes pursuant to any license granted in accordance with clause (iii) above; and</w:t>
      </w:r>
    </w:p>
    <w:p>
      <w:pPr>
        <w:spacing w:after="0" w:line="170" w:lineRule="exact"/>
        <w:rPr>
          <w:rFonts w:ascii="Arial" w:cs="Arial" w:eastAsia="Arial" w:hAnsi="Arial"/>
          <w:sz w:val="18"/>
          <w:szCs w:val="18"/>
          <w:color w:val="auto"/>
        </w:rPr>
      </w:pPr>
    </w:p>
    <w:p>
      <w:pPr>
        <w:ind w:right="20" w:firstLine="1629"/>
        <w:spacing w:after="0" w:line="308" w:lineRule="auto"/>
        <w:tabs>
          <w:tab w:leader="none" w:pos="24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nonexclusive license of the Subject Technology and/or Patent Rights that BCM is required by law or regulation to grant to the United States of America or to a foreign state pursuant to an existing or future treaty with the United States of America.</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Reservation</w:t>
      </w:r>
      <w:r>
        <w:rPr>
          <w:rFonts w:ascii="Arial" w:cs="Arial" w:eastAsia="Arial" w:hAnsi="Arial"/>
          <w:sz w:val="18"/>
          <w:szCs w:val="18"/>
          <w:color w:val="auto"/>
        </w:rPr>
        <w:t>. Rights under this Agreement are subject to rights required to be granted to the Government of the United States of America pursuant to 35 USC Sections 200-212, including a nonexclusive, nontransferable, irrevocable, paid-up license to practice or have practiced for or on behalf of the United States the subject inventions throughout the world.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Except as otherwise specifically set forth herein, only the licenses granted pursuant to the express terms of this Agreement shall be of any legal force and effect. No license or other intellectual property rights shall be created by implication in any patents, technology and/or Confidential Information owned by BCM or controlled by BCM with the right to license, even if such patents, technology, or Confidential Information is necessary to exploit the Subject Technology and/or Patent Rights.</w:t>
      </w:r>
    </w:p>
    <w:p>
      <w:pPr>
        <w:spacing w:after="0" w:line="187" w:lineRule="exact"/>
        <w:rPr>
          <w:sz w:val="20"/>
          <w:szCs w:val="20"/>
          <w:color w:val="auto"/>
        </w:rPr>
      </w:pPr>
    </w:p>
    <w:p>
      <w:pPr>
        <w:ind w:left="820" w:hanging="812"/>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reservations of rights set forth in Paragraph 2.2, BCM hereby grants to LICENSEE and,</w:t>
      </w:r>
      <w:r>
        <w:rPr>
          <w:rFonts w:ascii="Arial" w:cs="Arial" w:eastAsia="Arial" w:hAnsi="Arial"/>
          <w:sz w:val="18"/>
          <w:szCs w:val="18"/>
          <w:u w:val="single" w:color="auto"/>
          <w:color w:val="auto"/>
        </w:rPr>
        <w:t>DILIGENCE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3.1 LICENSEE will, and will cause its Affiliates and each of its Sublicensees, to use Commercially Reasonable Efforts to develop and commercialize Licensed Product(s) in at least one of the Major Markets as soon as practicable.</w:t>
      </w:r>
    </w:p>
    <w:p>
      <w:pPr>
        <w:sectPr>
          <w:pgSz w:w="11900" w:h="16838" w:orient="portrait"/>
          <w:cols w:equalWidth="0" w:num="1">
            <w:col w:w="11420"/>
          </w:cols>
          <w:pgMar w:left="240" w:top="229" w:right="239" w:bottom="144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dates set forth herein.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development toward a Licensed Product, LICENSEE will accomplish each of the following diligence milestones by the</w:t>
      </w:r>
    </w:p>
    <w:p>
      <w:pPr>
        <w:spacing w:after="0" w:line="430" w:lineRule="exact"/>
        <w:rPr>
          <w:sz w:val="20"/>
          <w:szCs w:val="20"/>
          <w:color w:val="auto"/>
        </w:rPr>
      </w:pPr>
    </w:p>
    <w:p>
      <w:pPr>
        <w:sectPr>
          <w:pgSz w:w="11900" w:h="16838" w:orient="portrait"/>
          <w:cols w:equalWidth="0" w:num="2">
            <w:col w:w="1560" w:space="40"/>
            <w:col w:w="9820"/>
          </w:cols>
          <w:pgMar w:left="240" w:top="229" w:right="239" w:bottom="1440" w:gutter="0" w:footer="0" w:header="0"/>
          <w:type w:val="continuous"/>
        </w:sectPr>
      </w:pPr>
    </w:p>
    <w:p>
      <w:pPr>
        <w:spacing w:after="0" w:line="34" w:lineRule="exact"/>
        <w:rPr>
          <w:sz w:val="20"/>
          <w:szCs w:val="20"/>
          <w:color w:val="auto"/>
        </w:rPr>
      </w:pPr>
    </w:p>
    <w:p>
      <w:pPr>
        <w:ind w:firstLine="1629"/>
        <w:spacing w:after="0" w:line="277" w:lineRule="auto"/>
        <w:tabs>
          <w:tab w:leader="none" w:pos="23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Dosing of first patient in a phase II clinical trial (or foreign equivalent) of a Licensed Product for the first clinical indication on or before the second anniversary of the Agreement Date;</w:t>
      </w:r>
    </w:p>
    <w:p>
      <w:pPr>
        <w:spacing w:after="0" w:line="170" w:lineRule="exact"/>
        <w:rPr>
          <w:rFonts w:ascii="Arial" w:cs="Arial" w:eastAsia="Arial" w:hAnsi="Arial"/>
          <w:sz w:val="18"/>
          <w:szCs w:val="18"/>
          <w:color w:val="auto"/>
        </w:rPr>
      </w:pPr>
    </w:p>
    <w:p>
      <w:pPr>
        <w:ind w:firstLine="1629"/>
        <w:spacing w:after="0" w:line="277" w:lineRule="auto"/>
        <w:tabs>
          <w:tab w:leader="none" w:pos="23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Dosing of first patient in a phase II clinical trial (or foreign equivalent) of a Licensed Product for a second clinical indication on or before the date that is 180 days following the second anniversary of the Agreement Date; and</w:t>
      </w:r>
    </w:p>
    <w:p>
      <w:pPr>
        <w:spacing w:after="0" w:line="170" w:lineRule="exact"/>
        <w:rPr>
          <w:rFonts w:ascii="Arial" w:cs="Arial" w:eastAsia="Arial" w:hAnsi="Arial"/>
          <w:sz w:val="18"/>
          <w:szCs w:val="18"/>
          <w:color w:val="auto"/>
        </w:rPr>
      </w:pPr>
    </w:p>
    <w:p>
      <w:pPr>
        <w:ind w:right="20" w:firstLine="1629"/>
        <w:spacing w:after="0" w:line="277" w:lineRule="auto"/>
        <w:tabs>
          <w:tab w:leader="none" w:pos="24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Dosing of first patient in a phase II clinical trial (or foreign equivalent) of a Licensed Product for a third clinical indication on or before the third anniversary of the Agreement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3.3 Beginning on the first anniversary of the Agreement Date and continuing annually until the first commercial Sale of the first Licensed Product, LICENSEE will, and will cause its Affiliates and each of its Sublicensees to provide annual summary updates to BCM summarizing the activities undertaken by LICENSEE, its Affiliates and each of its Sublicensees to continue the development and commercialization of the Licensed Products. In the event that BCM determines that LICENSEE or its Affiliates and its Sublicensees have not used Commercially Reasonable Efforts to continue the development and commercialization of Licensed Products or has failed to achieve a Diligence Milestone, BCM will have the right to provide a written request to LICENSEE to provide further written evidence that LICENSEE, its Affiliates and each of its Sublicensees has undertaken continual and regular activities to continue the Licensed Products development and commercialization. In the event that LICENSEE is unable to show that it, its Affiliates and/or each of its Sublicensees have undertaken such continual regular activities to develop and commercialize the Licensed Products, then LICENSEE (on behalf of it and its Affiliates and each of its Sublicensees) will have an obligation to provide a detailed development plan to BCM for the continued development and commercialization of the Licensed Products, and would thereafter provide summary updates of activities every six (6) months. If such activities thereafter continued to show a lack of Commercially Reasonable Efforts for the development and commercialization of the Licensed Products, then BCM would have the right to terminate the license. The Parties agree that if they are unable to agree as to whether the evidence provided by LICENSEE (on behalf of it and its Affiliates and each of its Sublicensees) shows continual and regular activities to continue the Licensed Product development and commercialization, a third-party arbitrator would be jointly retained to review the evidence and make an independent determination and such determination will be final. LICENSEE’s obligation to provide summary updates will stop upon the first commercial Sale of a Licensed Product in a Major Market.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3.4 Notwithstanding the foregoing, the Parties acknowledge that it might be commercially reasonable, under certain circumstances, for LICENSEE to determine not to launch a Licensed Product in a specific country, and failure under such circumstances to launch such Licensed Product shall not be a breach of this Agreement.</w:t>
      </w:r>
    </w:p>
    <w:p>
      <w:pPr>
        <w:spacing w:after="0" w:line="181" w:lineRule="exact"/>
        <w:rPr>
          <w:sz w:val="20"/>
          <w:szCs w:val="20"/>
          <w:color w:val="auto"/>
        </w:rPr>
      </w:pPr>
    </w:p>
    <w:p>
      <w:pPr>
        <w:ind w:left="780" w:hanging="772"/>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License Grant</w:t>
      </w:r>
      <w:r>
        <w:rPr>
          <w:rFonts w:ascii="Arial" w:cs="Arial" w:eastAsia="Arial" w:hAnsi="Arial"/>
          <w:sz w:val="18"/>
          <w:szCs w:val="18"/>
          <w:color w:val="auto"/>
        </w:rPr>
        <w:t xml:space="preserve">. Subject to the reservations of rights set forth in Paragraph 2.2, BCM hereby grants to LICENSEE and, </w:t>
      </w:r>
      <w:r>
        <w:rPr>
          <w:rFonts w:ascii="Arial" w:cs="Arial" w:eastAsia="Arial" w:hAnsi="Arial"/>
          <w:sz w:val="18"/>
          <w:szCs w:val="18"/>
          <w:u w:val="single" w:color="auto"/>
          <w:color w:val="auto"/>
        </w:rPr>
        <w:t>PAYMENTS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Equity Award</w:t>
      </w:r>
      <w:r>
        <w:rPr>
          <w:rFonts w:ascii="Arial" w:cs="Arial" w:eastAsia="Arial" w:hAnsi="Arial"/>
          <w:sz w:val="17"/>
          <w:szCs w:val="17"/>
          <w:color w:val="auto"/>
        </w:rPr>
        <w:t>. As partial consideration for the rights conveyed by BCM under this Agreement, LICENSEE shall issue shares of common stock, par value $0.0001 per share, in LICENSEE to BCM in an amount equal to twelve percent (12%) of the total outstanding shares of common stock of LICENSEE on a fully-diluted basis as of the Agreement Date. LICENSEE represents and warrants that such securities shall be (i) duly authorized, validly issued, fully paid and nonassessable and (ii) free and clear of all liens (other than any restrictions under applicable securities laws). LICENSEE shall issue one or more certificates evidencing such common stock to BCM within 15 business days of the execution of this Agreement.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Responsibility for Legal Costs</w:t>
      </w:r>
      <w:r>
        <w:rPr>
          <w:rFonts w:ascii="Arial" w:cs="Arial" w:eastAsia="Arial" w:hAnsi="Arial"/>
          <w:sz w:val="18"/>
          <w:szCs w:val="18"/>
          <w:color w:val="auto"/>
        </w:rPr>
        <w:t>. In addition to the foregoing license execution fee, LICENSEE shall reimburse BCM for all Legal Costs incurred prior to execution of this Agreement. Such payment shall be due within thirty (30) days of receipt of invoice from BCM. As provided for in Paragraph 9.1 herein, LICENSEE will be responsible for all Legal Costs incurred after the Agreement Date. LICENSEE’s share of Legal Costs shall be reduced on a pro-rata basis should BCM license additional fields of use to a third party(ies). BCM agrees to provide LICENSEE with thirty (30) days’ written notice should BCM license additional fields of use to other third parties. With respect to any disputed payment, such dispute shall be resolved via the Dispute Resolution process set forth in Section 14.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on Net Sales</w:t>
      </w:r>
      <w:r>
        <w:rPr>
          <w:rFonts w:ascii="Arial" w:cs="Arial" w:eastAsia="Arial" w:hAnsi="Arial"/>
          <w:sz w:val="18"/>
          <w:szCs w:val="18"/>
          <w:color w:val="auto"/>
        </w:rPr>
        <w:t>. In addition to the foregoing, subject to the terms and conditions of this Agreement, LICENSEE shall pay BCM a royalty on Net Sales on a country-by-country basis as set forth below. Collectively the royalty payments that are the subject of this Paragraph 4.3 are termed “</w:t>
      </w:r>
      <w:r>
        <w:rPr>
          <w:rFonts w:ascii="Arial" w:cs="Arial" w:eastAsia="Arial" w:hAnsi="Arial"/>
          <w:sz w:val="18"/>
          <w:szCs w:val="18"/>
          <w:b w:val="1"/>
          <w:bCs w:val="1"/>
          <w:color w:val="auto"/>
        </w:rPr>
        <w:t>Royalties</w:t>
      </w:r>
      <w:r>
        <w:rPr>
          <w:rFonts w:ascii="Arial" w:cs="Arial" w:eastAsia="Arial" w:hAnsi="Arial"/>
          <w:sz w:val="18"/>
          <w:szCs w:val="18"/>
          <w:color w:val="auto"/>
        </w:rPr>
        <w:t>” for purposes of this Agreement and shall be due and payable as provided in Section 5 and delivered to BCM in accordance with the invoice instructions provided below.</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060" w:type="dxa"/>
            <w:vAlign w:val="bottom"/>
            <w:tcBorders>
              <w:top w:val="single" w:sz="8" w:color="auto"/>
              <w:left w:val="single" w:sz="8" w:color="auto"/>
              <w:right w:val="single" w:sz="8" w:color="auto"/>
            </w:tcBorders>
            <w:shd w:val="clear" w:color="auto" w:fill="D9D9D9"/>
          </w:tcPr>
          <w:p>
            <w:pPr>
              <w:spacing w:after="0"/>
              <w:rPr>
                <w:sz w:val="23"/>
                <w:szCs w:val="23"/>
                <w:color w:val="auto"/>
              </w:rPr>
            </w:pPr>
          </w:p>
        </w:tc>
        <w:tc>
          <w:tcPr>
            <w:tcW w:w="2420" w:type="dxa"/>
            <w:vAlign w:val="bottom"/>
            <w:tcBorders>
              <w:top w:val="single" w:sz="8" w:color="auto"/>
              <w:right w:val="single" w:sz="8" w:color="auto"/>
            </w:tcBorders>
            <w:shd w:val="clear" w:color="auto" w:fill="D9D9D9"/>
          </w:tcPr>
          <w:p>
            <w:pPr>
              <w:spacing w:after="0"/>
              <w:rPr>
                <w:sz w:val="23"/>
                <w:szCs w:val="23"/>
                <w:color w:val="auto"/>
              </w:rPr>
            </w:pPr>
          </w:p>
        </w:tc>
        <w:tc>
          <w:tcPr>
            <w:tcW w:w="11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2"/>
              </w:rPr>
              <w:t>Orphan Drug</w:t>
            </w:r>
          </w:p>
        </w:tc>
        <w:tc>
          <w:tcPr>
            <w:tcW w:w="860" w:type="dxa"/>
            <w:vAlign w:val="bottom"/>
            <w:tcBorders>
              <w:top w:val="single" w:sz="8" w:color="auto"/>
            </w:tcBorders>
            <w:vMerge w:val="restart"/>
            <w:shd w:val="clear" w:color="auto" w:fill="D9D9D9"/>
          </w:tcPr>
          <w:p>
            <w:pPr>
              <w:jc w:val="center"/>
              <w:ind w:left="30"/>
              <w:spacing w:after="0"/>
              <w:rPr>
                <w:sz w:val="20"/>
                <w:szCs w:val="20"/>
                <w:color w:val="auto"/>
              </w:rPr>
            </w:pPr>
            <w:r>
              <w:rPr>
                <w:rFonts w:ascii="Arial" w:cs="Arial" w:eastAsia="Arial" w:hAnsi="Arial"/>
                <w:sz w:val="18"/>
                <w:szCs w:val="18"/>
                <w:color w:val="auto"/>
                <w:w w:val="94"/>
              </w:rPr>
              <w:t>Valid</w:t>
            </w:r>
          </w:p>
        </w:tc>
        <w:tc>
          <w:tcPr>
            <w:tcW w:w="160" w:type="dxa"/>
            <w:vAlign w:val="bottom"/>
            <w:tcBorders>
              <w:top w:val="single" w:sz="8" w:color="auto"/>
              <w:right w:val="single" w:sz="8" w:color="auto"/>
            </w:tcBorders>
            <w:shd w:val="clear" w:color="auto" w:fill="D9D9D9"/>
          </w:tcPr>
          <w:p>
            <w:pPr>
              <w:spacing w:after="0"/>
              <w:rPr>
                <w:sz w:val="23"/>
                <w:szCs w:val="23"/>
                <w:color w:val="auto"/>
              </w:rPr>
            </w:pPr>
          </w:p>
        </w:tc>
        <w:tc>
          <w:tcPr>
            <w:tcW w:w="4200" w:type="dxa"/>
            <w:vAlign w:val="bottom"/>
            <w:tcBorders>
              <w:top w:val="single" w:sz="8" w:color="auto"/>
              <w:right w:val="single" w:sz="8" w:color="auto"/>
            </w:tcBorders>
            <w:shd w:val="clear" w:color="auto" w:fill="D9D9D9"/>
          </w:tcPr>
          <w:p>
            <w:pPr>
              <w:spacing w:after="0"/>
              <w:rPr>
                <w:sz w:val="23"/>
                <w:szCs w:val="23"/>
                <w:color w:val="auto"/>
              </w:rPr>
            </w:pP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Aggregate Net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color w:val="auto"/>
              </w:rPr>
              <w:t>Condition</w:t>
            </w:r>
          </w:p>
        </w:tc>
        <w:tc>
          <w:tcPr>
            <w:tcW w:w="24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Royalty on Net Sales</w:t>
            </w:r>
          </w:p>
        </w:tc>
        <w:tc>
          <w:tcPr>
            <w:tcW w:w="1140" w:type="dxa"/>
            <w:vAlign w:val="bottom"/>
            <w:tcBorders>
              <w:right w:val="single" w:sz="8" w:color="auto"/>
            </w:tcBorders>
            <w:vMerge w:val="continue"/>
            <w:shd w:val="clear" w:color="auto" w:fill="D9D9D9"/>
          </w:tcPr>
          <w:p>
            <w:pPr>
              <w:spacing w:after="0"/>
              <w:rPr>
                <w:sz w:val="9"/>
                <w:szCs w:val="9"/>
                <w:color w:val="auto"/>
              </w:rPr>
            </w:pPr>
          </w:p>
        </w:tc>
        <w:tc>
          <w:tcPr>
            <w:tcW w:w="860" w:type="dxa"/>
            <w:vAlign w:val="bottom"/>
            <w:vMerge w:val="continue"/>
            <w:shd w:val="clear" w:color="auto" w:fill="D9D9D9"/>
          </w:tcPr>
          <w:p>
            <w:pPr>
              <w:spacing w:after="0"/>
              <w:rPr>
                <w:sz w:val="9"/>
                <w:szCs w:val="9"/>
                <w:color w:val="auto"/>
              </w:rPr>
            </w:pPr>
          </w:p>
        </w:tc>
        <w:tc>
          <w:tcPr>
            <w:tcW w:w="160" w:type="dxa"/>
            <w:vAlign w:val="bottom"/>
            <w:tcBorders>
              <w:right w:val="single" w:sz="8" w:color="auto"/>
            </w:tcBorders>
            <w:shd w:val="clear" w:color="auto" w:fill="D9D9D9"/>
          </w:tcPr>
          <w:p>
            <w:pPr>
              <w:spacing w:after="0"/>
              <w:rPr>
                <w:sz w:val="9"/>
                <w:szCs w:val="9"/>
                <w:color w:val="auto"/>
              </w:rPr>
            </w:pPr>
          </w:p>
        </w:tc>
        <w:tc>
          <w:tcPr>
            <w:tcW w:w="4200" w:type="dxa"/>
            <w:vAlign w:val="bottom"/>
            <w:tcBorders>
              <w:right w:val="single" w:sz="8" w:color="auto"/>
            </w:tcBorders>
            <w:vMerge w:val="restart"/>
            <w:shd w:val="clear" w:color="auto" w:fill="D9D9D9"/>
          </w:tcPr>
          <w:p>
            <w:pPr>
              <w:ind w:left="1760"/>
              <w:spacing w:after="0"/>
              <w:rPr>
                <w:sz w:val="20"/>
                <w:szCs w:val="20"/>
                <w:color w:val="auto"/>
              </w:rPr>
            </w:pPr>
            <w:r>
              <w:rPr>
                <w:rFonts w:ascii="Arial" w:cs="Arial" w:eastAsia="Arial" w:hAnsi="Arial"/>
                <w:sz w:val="18"/>
                <w:szCs w:val="18"/>
                <w:color w:val="auto"/>
              </w:rPr>
              <w:t>Duration</w:t>
            </w: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86"/>
              </w:rPr>
              <w:t>Sales per Calendar</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2420" w:type="dxa"/>
            <w:vAlign w:val="bottom"/>
            <w:tcBorders>
              <w:right w:val="single" w:sz="8" w:color="auto"/>
            </w:tcBorders>
            <w:vMerge w:val="continue"/>
            <w:shd w:val="clear" w:color="auto" w:fill="D9D9D9"/>
          </w:tcPr>
          <w:p>
            <w:pPr>
              <w:spacing w:after="0"/>
              <w:rPr>
                <w:sz w:val="9"/>
                <w:szCs w:val="9"/>
                <w:color w:val="auto"/>
              </w:rPr>
            </w:pP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85"/>
              </w:rPr>
              <w:t>Status?</w:t>
            </w:r>
          </w:p>
        </w:tc>
        <w:tc>
          <w:tcPr>
            <w:tcW w:w="860" w:type="dxa"/>
            <w:vAlign w:val="bottom"/>
            <w:vMerge w:val="restart"/>
            <w:shd w:val="clear" w:color="auto" w:fill="D9D9D9"/>
          </w:tcPr>
          <w:p>
            <w:pPr>
              <w:jc w:val="center"/>
              <w:ind w:left="50"/>
              <w:spacing w:after="0"/>
              <w:rPr>
                <w:sz w:val="20"/>
                <w:szCs w:val="20"/>
                <w:color w:val="auto"/>
              </w:rPr>
            </w:pPr>
            <w:r>
              <w:rPr>
                <w:rFonts w:ascii="Arial" w:cs="Arial" w:eastAsia="Arial" w:hAnsi="Arial"/>
                <w:sz w:val="18"/>
                <w:szCs w:val="18"/>
                <w:color w:val="auto"/>
                <w:w w:val="92"/>
              </w:rPr>
              <w:t>Claim?</w:t>
            </w:r>
          </w:p>
        </w:tc>
        <w:tc>
          <w:tcPr>
            <w:tcW w:w="160" w:type="dxa"/>
            <w:vAlign w:val="bottom"/>
            <w:tcBorders>
              <w:right w:val="single" w:sz="8" w:color="auto"/>
            </w:tcBorders>
            <w:shd w:val="clear" w:color="auto" w:fill="D9D9D9"/>
          </w:tcPr>
          <w:p>
            <w:pPr>
              <w:spacing w:after="0"/>
              <w:rPr>
                <w:sz w:val="9"/>
                <w:szCs w:val="9"/>
                <w:color w:val="auto"/>
              </w:rPr>
            </w:pPr>
          </w:p>
        </w:tc>
        <w:tc>
          <w:tcPr>
            <w:tcW w:w="4200" w:type="dxa"/>
            <w:vAlign w:val="bottom"/>
            <w:tcBorders>
              <w:right w:val="single" w:sz="8" w:color="auto"/>
            </w:tcBorders>
            <w:vMerge w:val="continue"/>
            <w:shd w:val="clear" w:color="auto" w:fill="D9D9D9"/>
          </w:tcPr>
          <w:p>
            <w:pPr>
              <w:spacing w:after="0"/>
              <w:rPr>
                <w:sz w:val="9"/>
                <w:szCs w:val="9"/>
                <w:color w:val="auto"/>
              </w:rPr>
            </w:pP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shd w:val="clear" w:color="auto" w:fill="D9D9D9"/>
          </w:tcPr>
          <w:p>
            <w:pPr>
              <w:spacing w:after="0"/>
              <w:rPr>
                <w:sz w:val="10"/>
                <w:szCs w:val="10"/>
                <w:color w:val="auto"/>
              </w:rPr>
            </w:pPr>
          </w:p>
        </w:tc>
        <w:tc>
          <w:tcPr>
            <w:tcW w:w="2420" w:type="dxa"/>
            <w:vAlign w:val="bottom"/>
            <w:tcBorders>
              <w:right w:val="single" w:sz="8" w:color="auto"/>
            </w:tcBorders>
            <w:shd w:val="clear" w:color="auto" w:fill="D9D9D9"/>
          </w:tcPr>
          <w:p>
            <w:pPr>
              <w:spacing w:after="0"/>
              <w:rPr>
                <w:sz w:val="10"/>
                <w:szCs w:val="10"/>
                <w:color w:val="auto"/>
              </w:rPr>
            </w:pPr>
          </w:p>
        </w:tc>
        <w:tc>
          <w:tcPr>
            <w:tcW w:w="1140" w:type="dxa"/>
            <w:vAlign w:val="bottom"/>
            <w:tcBorders>
              <w:right w:val="single" w:sz="8" w:color="auto"/>
            </w:tcBorders>
            <w:vMerge w:val="continue"/>
            <w:shd w:val="clear" w:color="auto" w:fill="D9D9D9"/>
          </w:tcPr>
          <w:p>
            <w:pPr>
              <w:spacing w:after="0"/>
              <w:rPr>
                <w:sz w:val="10"/>
                <w:szCs w:val="10"/>
                <w:color w:val="auto"/>
              </w:rPr>
            </w:pPr>
          </w:p>
        </w:tc>
        <w:tc>
          <w:tcPr>
            <w:tcW w:w="860" w:type="dxa"/>
            <w:vAlign w:val="bottom"/>
            <w:vMerge w:val="continue"/>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4200" w:type="dxa"/>
            <w:vAlign w:val="bottom"/>
            <w:tcBorders>
              <w:right w:val="single" w:sz="8" w:color="auto"/>
            </w:tcBorders>
            <w:shd w:val="clear" w:color="auto" w:fill="D9D9D9"/>
          </w:tcPr>
          <w:p>
            <w:pPr>
              <w:spacing w:after="0"/>
              <w:rPr>
                <w:sz w:val="10"/>
                <w:szCs w:val="10"/>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Year</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2420" w:type="dxa"/>
            <w:vAlign w:val="bottom"/>
            <w:tcBorders>
              <w:bottom w:val="single" w:sz="8" w:color="D9D9D9"/>
              <w:right w:val="single" w:sz="8" w:color="auto"/>
            </w:tcBorders>
            <w:shd w:val="clear" w:color="auto" w:fill="D9D9D9"/>
          </w:tcPr>
          <w:p>
            <w:pPr>
              <w:spacing w:after="0"/>
              <w:rPr>
                <w:sz w:val="13"/>
                <w:szCs w:val="13"/>
                <w:color w:val="auto"/>
              </w:rPr>
            </w:pPr>
          </w:p>
        </w:tc>
        <w:tc>
          <w:tcPr>
            <w:tcW w:w="1140" w:type="dxa"/>
            <w:vAlign w:val="bottom"/>
            <w:tcBorders>
              <w:bottom w:val="single" w:sz="8" w:color="D9D9D9"/>
              <w:right w:val="single" w:sz="8" w:color="auto"/>
            </w:tcBorders>
            <w:shd w:val="clear" w:color="auto" w:fill="D9D9D9"/>
          </w:tcPr>
          <w:p>
            <w:pPr>
              <w:spacing w:after="0"/>
              <w:rPr>
                <w:sz w:val="13"/>
                <w:szCs w:val="13"/>
                <w:color w:val="auto"/>
              </w:rPr>
            </w:pPr>
          </w:p>
        </w:tc>
        <w:tc>
          <w:tcPr>
            <w:tcW w:w="860" w:type="dxa"/>
            <w:vAlign w:val="bottom"/>
            <w:tcBorders>
              <w:bottom w:val="single" w:sz="8" w:color="D9D9D9"/>
            </w:tcBorders>
            <w:shd w:val="clear" w:color="auto" w:fill="D9D9D9"/>
          </w:tcPr>
          <w:p>
            <w:pPr>
              <w:spacing w:after="0"/>
              <w:rPr>
                <w:sz w:val="13"/>
                <w:szCs w:val="13"/>
                <w:color w:val="auto"/>
              </w:rPr>
            </w:pPr>
          </w:p>
        </w:tc>
        <w:tc>
          <w:tcPr>
            <w:tcW w:w="160" w:type="dxa"/>
            <w:vAlign w:val="bottom"/>
            <w:tcBorders>
              <w:bottom w:val="single" w:sz="8" w:color="D9D9D9"/>
              <w:right w:val="single" w:sz="8" w:color="auto"/>
            </w:tcBorders>
            <w:shd w:val="clear" w:color="auto" w:fill="D9D9D9"/>
          </w:tcPr>
          <w:p>
            <w:pPr>
              <w:spacing w:after="0"/>
              <w:rPr>
                <w:sz w:val="13"/>
                <w:szCs w:val="13"/>
                <w:color w:val="auto"/>
              </w:rPr>
            </w:pPr>
          </w:p>
        </w:tc>
        <w:tc>
          <w:tcPr>
            <w:tcW w:w="4200" w:type="dxa"/>
            <w:vAlign w:val="bottom"/>
            <w:tcBorders>
              <w:bottom w:val="single" w:sz="8" w:color="D9D9D9"/>
              <w:right w:val="single" w:sz="8" w:color="auto"/>
            </w:tcBorders>
            <w:shd w:val="clear" w:color="auto" w:fill="D9D9D9"/>
          </w:tcPr>
          <w:p>
            <w:pPr>
              <w:spacing w:after="0"/>
              <w:rPr>
                <w:sz w:val="13"/>
                <w:szCs w:val="13"/>
                <w:color w:val="auto"/>
              </w:rPr>
            </w:pPr>
          </w:p>
        </w:tc>
        <w:tc>
          <w:tcPr>
            <w:tcW w:w="158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0.65%</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top w:val="single" w:sz="8" w:color="auto"/>
              <w:right w:val="single" w:sz="8" w:color="auto"/>
            </w:tcBorders>
          </w:tcPr>
          <w:p>
            <w:pPr>
              <w:spacing w:after="0"/>
              <w:rPr>
                <w:sz w:val="22"/>
                <w:szCs w:val="22"/>
                <w:color w:val="auto"/>
              </w:rPr>
            </w:pPr>
          </w:p>
        </w:tc>
        <w:tc>
          <w:tcPr>
            <w:tcW w:w="4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 years post first commercial Sale</w:t>
            </w:r>
          </w:p>
        </w:tc>
        <w:tc>
          <w:tcPr>
            <w:tcW w:w="1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Less than $500M</w:t>
            </w: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Less than</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$500M</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Life of patent having a Valid Claim covering such</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Less than</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Licensed Product(s)</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$500M</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Less than</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3</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$500M</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right w:val="single" w:sz="8" w:color="auto"/>
            </w:tcBorders>
          </w:tcPr>
          <w:p>
            <w:pPr>
              <w:spacing w:after="0"/>
              <w:rPr>
                <w:sz w:val="21"/>
                <w:szCs w:val="21"/>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 years post first commercial Sale</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$500M to $1.0B</w:t>
            </w: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6</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$500M to $1.0B</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5</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Life of patent having a Valid Claim covering such</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$500M to $1.0B</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Licensed Product(s)</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$500M to $1.0B</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7</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right w:val="single" w:sz="8" w:color="auto"/>
            </w:tcBorders>
          </w:tcPr>
          <w:p>
            <w:pPr>
              <w:spacing w:after="0"/>
              <w:rPr>
                <w:sz w:val="21"/>
                <w:szCs w:val="21"/>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 years post first commercial Sale</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$1.0B and over</w:t>
            </w: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95"/>
              </w:rPr>
              <w:t>No</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$1.0B and over</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9</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11</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Life of patent having a Valid Claim covering such</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$1.0B and over</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Licensed Product(s)</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[***REDACTED***]%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vMerge w:val="restart"/>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Until Orphan Drug Status expires, then reverts to</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$1.0B and over</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 11</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Blockbuster Product; reverts to 4.25% upon expiration</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$2.0B and over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6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of Orphan Drug Status, or in the event Orphan Drug</w:t>
            </w: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Status was not granted</w:t>
            </w: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3870"/>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1629"/>
        <w:spacing w:after="0" w:line="273" w:lineRule="auto"/>
        <w:tabs>
          <w:tab w:leader="none" w:pos="2371"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Third-Party Royalty Reduction</w:t>
      </w:r>
      <w:r>
        <w:rPr>
          <w:rFonts w:ascii="Arial" w:cs="Arial" w:eastAsia="Arial" w:hAnsi="Arial"/>
          <w:sz w:val="17"/>
          <w:szCs w:val="17"/>
          <w:color w:val="auto"/>
        </w:rPr>
        <w:t>. If LICENSEE, its Affiliate or a Sublicensee becomes obligated to pay additional royalties to a third party(ies) with respect to third party-owned patent rights or technology necessary for the use, manufacture or sale of a Licensed Product, LICENSEE may deduct [***REDACTED***] percent ([***REDACTED***]%) of the amount owing to such third party(ies) from the amounts owing to BCM with respect to such Licensed Product; provided that (i) LICENSSE shall provide BCM with documentation supporting such obligations and the amount thereof to the reasonable satisfaction of BCM and (ii) under no circumstance shall the royalties due to BCM be less than [***REDACTED***] percent ([***REDACTED***]%) of the amount that would otherwise have been payable under Paragraph 4.3 as a result of such deduction.</w:t>
      </w:r>
    </w:p>
    <w:p>
      <w:pPr>
        <w:spacing w:after="0" w:line="178" w:lineRule="exact"/>
        <w:rPr>
          <w:rFonts w:ascii="Arial" w:cs="Arial" w:eastAsia="Arial" w:hAnsi="Arial"/>
          <w:sz w:val="17"/>
          <w:szCs w:val="17"/>
          <w:color w:val="auto"/>
        </w:rPr>
      </w:pPr>
    </w:p>
    <w:p>
      <w:pPr>
        <w:jc w:val="both"/>
        <w:ind w:firstLine="1629"/>
        <w:spacing w:after="0" w:line="272" w:lineRule="auto"/>
        <w:tabs>
          <w:tab w:leader="none" w:pos="2597"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Combination Product. In the event that a Licensed Product is sold in combination with another product, component or service for which no royalty would be due hereunder if sold separately, Net Sales from such combination sales for purposes of calculating the amounts due under this Paragraph 4.3 shall be calculated by multiplying the Net Sales of the combination product by the fraction A/(A + B), where A is the average gross selling price during the previous calendar quarter of the Licensed Product sold separately and B is the gross selling price during the previous calendar quarter of the combined product(s), component(s) and/or service(s). In the event that a substantial number of such separate sales were not made during the previous calendar quarter then the Net Sales shall be as reasonably allocated by LICENSEE between such Licensed Product and such other product(s), component(s) or service(s) based upon their relative importance and proprietary protection.</w:t>
      </w:r>
    </w:p>
    <w:p>
      <w:pPr>
        <w:spacing w:after="0" w:line="177" w:lineRule="exact"/>
        <w:rPr>
          <w:rFonts w:ascii="Arial" w:cs="Arial" w:eastAsia="Arial" w:hAnsi="Arial"/>
          <w:sz w:val="17"/>
          <w:szCs w:val="17"/>
          <w:color w:val="auto"/>
        </w:rPr>
      </w:pPr>
    </w:p>
    <w:p>
      <w:pPr>
        <w:jc w:val="both"/>
        <w:ind w:firstLine="1629"/>
        <w:spacing w:after="0" w:line="259" w:lineRule="auto"/>
        <w:tabs>
          <w:tab w:leader="none" w:pos="259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Single Royalty</w:t>
      </w:r>
      <w:r>
        <w:rPr>
          <w:rFonts w:ascii="Arial" w:cs="Arial" w:eastAsia="Arial" w:hAnsi="Arial"/>
          <w:sz w:val="18"/>
          <w:szCs w:val="18"/>
          <w:color w:val="auto"/>
        </w:rPr>
        <w:t>. Only one royalty under Paragraph 4.3 shall be paid with respect to each unit of Licensed Product sold, without regard to whether more than one Valid Claim within the Patent Rights is applicable to such unit. It is understood that no royalty shall be due with respect to use or transfers of Licensed Products for use in research or development activities prior to regulatory approval of said Licensed Product(s) and the first commercial Sale.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Milestone Payments</w:t>
      </w:r>
      <w:r>
        <w:rPr>
          <w:rFonts w:ascii="Arial" w:cs="Arial" w:eastAsia="Arial" w:hAnsi="Arial"/>
          <w:sz w:val="18"/>
          <w:szCs w:val="18"/>
          <w:color w:val="auto"/>
        </w:rPr>
        <w:t>. LICENSEE shall also pay BCM the following one-time milestone payments set forth below following the first achievement of such milestone by LICENSEE, its Affiliate or Sublicensee:</w:t>
      </w:r>
    </w:p>
    <w:p>
      <w:pPr>
        <w:spacing w:after="0" w:line="174" w:lineRule="exact"/>
        <w:rPr>
          <w:sz w:val="20"/>
          <w:szCs w:val="20"/>
          <w:color w:val="auto"/>
        </w:rPr>
      </w:pPr>
    </w:p>
    <w:p>
      <w:pPr>
        <w:ind w:firstLine="1629"/>
        <w:spacing w:after="0" w:line="210" w:lineRule="auto"/>
        <w:tabs>
          <w:tab w:leader="none" w:pos="24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first dosing of the first patient in the first phase III clinical trial (or foreign equivalent) for the first (1</w:t>
      </w:r>
      <w:r>
        <w:rPr>
          <w:rFonts w:ascii="Arial" w:cs="Arial" w:eastAsia="Arial" w:hAnsi="Arial"/>
          <w:sz w:val="30"/>
          <w:szCs w:val="30"/>
          <w:color w:val="auto"/>
          <w:vertAlign w:val="superscript"/>
        </w:rPr>
        <w:t>st</w:t>
      </w:r>
      <w:r>
        <w:rPr>
          <w:rFonts w:ascii="Arial" w:cs="Arial" w:eastAsia="Arial" w:hAnsi="Arial"/>
          <w:sz w:val="18"/>
          <w:szCs w:val="18"/>
          <w:color w:val="auto"/>
        </w:rPr>
        <w:t>) Distinct Product, LICENSEE shall make a [***REDACTED***] dollar($[***REDACTED***]) payment to BCM;</w:t>
      </w:r>
    </w:p>
    <w:p>
      <w:pPr>
        <w:spacing w:after="0" w:line="205" w:lineRule="exact"/>
        <w:rPr>
          <w:rFonts w:ascii="Arial" w:cs="Arial" w:eastAsia="Arial" w:hAnsi="Arial"/>
          <w:sz w:val="18"/>
          <w:szCs w:val="18"/>
          <w:color w:val="auto"/>
        </w:rPr>
      </w:pPr>
    </w:p>
    <w:p>
      <w:pPr>
        <w:ind w:firstLine="1629"/>
        <w:spacing w:after="0" w:line="210" w:lineRule="auto"/>
        <w:tabs>
          <w:tab w:leader="none" w:pos="23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first dosing of the first patient in the first phase III clinical trial (or foreign equivalent) for the second (2</w:t>
      </w:r>
      <w:r>
        <w:rPr>
          <w:rFonts w:ascii="Arial" w:cs="Arial" w:eastAsia="Arial" w:hAnsi="Arial"/>
          <w:sz w:val="30"/>
          <w:szCs w:val="30"/>
          <w:color w:val="auto"/>
          <w:vertAlign w:val="superscript"/>
        </w:rPr>
        <w:t>nd</w:t>
      </w:r>
      <w:r>
        <w:rPr>
          <w:rFonts w:ascii="Arial" w:cs="Arial" w:eastAsia="Arial" w:hAnsi="Arial"/>
          <w:sz w:val="18"/>
          <w:szCs w:val="18"/>
          <w:color w:val="auto"/>
        </w:rPr>
        <w:t>) Distinct Product, LICENSEE shall make a [***REDACTED***] dollar ($[***REDACTED***]) payment to BCM;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50" w:lineRule="exact"/>
        <w:rPr>
          <w:sz w:val="20"/>
          <w:szCs w:val="20"/>
          <w:color w:val="auto"/>
        </w:rPr>
      </w:pPr>
    </w:p>
    <w:p>
      <w:pPr>
        <w:ind w:firstLine="1629"/>
        <w:spacing w:after="0" w:line="210" w:lineRule="auto"/>
        <w:tabs>
          <w:tab w:leader="none" w:pos="24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receipt of final FDA approval of the first Marketing Authorization for the first (1</w:t>
      </w:r>
      <w:r>
        <w:rPr>
          <w:rFonts w:ascii="Arial" w:cs="Arial" w:eastAsia="Arial" w:hAnsi="Arial"/>
          <w:sz w:val="30"/>
          <w:szCs w:val="30"/>
          <w:color w:val="auto"/>
          <w:vertAlign w:val="superscript"/>
        </w:rPr>
        <w:t>st</w:t>
      </w:r>
      <w:r>
        <w:rPr>
          <w:rFonts w:ascii="Arial" w:cs="Arial" w:eastAsia="Arial" w:hAnsi="Arial"/>
          <w:sz w:val="18"/>
          <w:szCs w:val="18"/>
          <w:color w:val="auto"/>
        </w:rPr>
        <w:t>) Distinct Product, LICENSEE shall make a [***REDACTED***] dollar($[***REDACTED***]) payment to BCM;</w:t>
      </w:r>
    </w:p>
    <w:p>
      <w:pPr>
        <w:spacing w:after="0" w:line="202" w:lineRule="exact"/>
        <w:rPr>
          <w:rFonts w:ascii="Arial" w:cs="Arial" w:eastAsia="Arial" w:hAnsi="Arial"/>
          <w:sz w:val="18"/>
          <w:szCs w:val="18"/>
          <w:color w:val="auto"/>
        </w:rPr>
      </w:pPr>
    </w:p>
    <w:p>
      <w:pPr>
        <w:ind w:firstLine="1629"/>
        <w:spacing w:after="0" w:line="277" w:lineRule="auto"/>
        <w:tabs>
          <w:tab w:leader="none" w:pos="24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receipt of final FDA approval of the first Marketing Authorization for the second (2nd) Distinct Product, LICENSEE shall make a [***REDACTED***] dollar ($[***REDACTED***]) payment to BCM; and</w:t>
      </w:r>
    </w:p>
    <w:p>
      <w:pPr>
        <w:spacing w:after="0" w:line="170" w:lineRule="exact"/>
        <w:rPr>
          <w:rFonts w:ascii="Arial" w:cs="Arial" w:eastAsia="Arial" w:hAnsi="Arial"/>
          <w:sz w:val="18"/>
          <w:szCs w:val="18"/>
          <w:color w:val="auto"/>
        </w:rPr>
      </w:pPr>
    </w:p>
    <w:p>
      <w:pPr>
        <w:ind w:firstLine="1629"/>
        <w:spacing w:after="0" w:line="277" w:lineRule="auto"/>
        <w:tabs>
          <w:tab w:leader="none" w:pos="25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first attainment of annual Net Sales of greater than five hundred million ($500,000,000) for the first (1st) Distinct Product, LICENSEE will make a [***REDACTED***] dollar ($[***REDACTED***]) payment to BCM;</w:t>
      </w:r>
    </w:p>
    <w:p>
      <w:pPr>
        <w:spacing w:after="0" w:line="170" w:lineRule="exact"/>
        <w:rPr>
          <w:rFonts w:ascii="Arial" w:cs="Arial" w:eastAsia="Arial" w:hAnsi="Arial"/>
          <w:sz w:val="18"/>
          <w:szCs w:val="18"/>
          <w:color w:val="auto"/>
        </w:rPr>
      </w:pPr>
    </w:p>
    <w:p>
      <w:pPr>
        <w:ind w:firstLine="1629"/>
        <w:spacing w:after="0" w:line="277" w:lineRule="auto"/>
        <w:tabs>
          <w:tab w:leader="none" w:pos="24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first attainment of annual Net Sales of greater than five hundred million ($500,000,000) for the second (2nd) Distinct Product, LICENSEE will make a [***REDACTED***] dollar ($[***REDACTED***]) payment to BCM;</w:t>
      </w:r>
    </w:p>
    <w:p>
      <w:pPr>
        <w:spacing w:after="0" w:line="170" w:lineRule="exact"/>
        <w:rPr>
          <w:rFonts w:ascii="Arial" w:cs="Arial" w:eastAsia="Arial" w:hAnsi="Arial"/>
          <w:sz w:val="18"/>
          <w:szCs w:val="18"/>
          <w:color w:val="auto"/>
        </w:rPr>
      </w:pPr>
    </w:p>
    <w:p>
      <w:pPr>
        <w:ind w:right="20" w:firstLine="1629"/>
        <w:spacing w:after="0" w:line="277" w:lineRule="auto"/>
        <w:tabs>
          <w:tab w:leader="none" w:pos="25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first attainment of annual Net Sales of greater than one billion ($1,000,000,000) for the first (1st) Distinct Product, LICENSEE will make a [***REDACTED***] dollar ($[***REDACTED***]) payment to BCM;</w:t>
      </w:r>
    </w:p>
    <w:p>
      <w:pPr>
        <w:spacing w:after="0" w:line="170" w:lineRule="exact"/>
        <w:rPr>
          <w:rFonts w:ascii="Arial" w:cs="Arial" w:eastAsia="Arial" w:hAnsi="Arial"/>
          <w:sz w:val="18"/>
          <w:szCs w:val="18"/>
          <w:color w:val="auto"/>
        </w:rPr>
      </w:pPr>
    </w:p>
    <w:p>
      <w:pPr>
        <w:ind w:firstLine="1629"/>
        <w:spacing w:after="0" w:line="277" w:lineRule="auto"/>
        <w:tabs>
          <w:tab w:leader="none" w:pos="27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first attainment of annual Net Sales of greater than one billion ($1,000,000,000) for the second (2nd) Distinct Product, LICENSEE will make a [***REDACTED***] dollar ($[***REDACTED***]) payment to BCM;</w:t>
      </w:r>
    </w:p>
    <w:p>
      <w:pPr>
        <w:spacing w:after="0" w:line="170" w:lineRule="exact"/>
        <w:rPr>
          <w:rFonts w:ascii="Arial" w:cs="Arial" w:eastAsia="Arial" w:hAnsi="Arial"/>
          <w:sz w:val="18"/>
          <w:szCs w:val="18"/>
          <w:color w:val="auto"/>
        </w:rPr>
      </w:pPr>
    </w:p>
    <w:p>
      <w:pPr>
        <w:jc w:val="both"/>
        <w:ind w:firstLine="1629"/>
        <w:spacing w:after="0" w:line="264" w:lineRule="auto"/>
        <w:tabs>
          <w:tab w:leader="none" w:pos="25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first attainment of annual Net Sales of greater than two billion ($2,000,000,000) for any of the Distinct Products, LICENSEE will make a [***REDACTED***] dollar ($[***REDACTED***]) payment to BCM. For the avoidance of doubt, this payment is a one-time payment that will be paid for the first Licensed Product that attains annual Net Sales of greater than $2,000,000,000; and</w:t>
      </w:r>
    </w:p>
    <w:p>
      <w:pPr>
        <w:spacing w:after="0" w:line="181" w:lineRule="exact"/>
        <w:rPr>
          <w:rFonts w:ascii="Arial" w:cs="Arial" w:eastAsia="Arial" w:hAnsi="Arial"/>
          <w:sz w:val="18"/>
          <w:szCs w:val="18"/>
          <w:color w:val="auto"/>
        </w:rPr>
      </w:pPr>
    </w:p>
    <w:p>
      <w:pPr>
        <w:jc w:val="both"/>
        <w:ind w:firstLine="1629"/>
        <w:spacing w:after="0" w:line="291" w:lineRule="auto"/>
        <w:tabs>
          <w:tab w:leader="none" w:pos="2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LICENSEE shall notify BCM in writing within thirty (30) days following the achievement of each milestone. The annual Net Sales for Distinct Products subject to the Net Sales level-dependent milestone payments shall be calculated on a calendar year basis, beginning January</w:t>
      </w:r>
    </w:p>
    <w:p>
      <w:pPr>
        <w:jc w:val="both"/>
        <w:spacing w:after="0" w:line="234" w:lineRule="auto"/>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ending December 31</w:t>
      </w:r>
      <w:r>
        <w:rPr>
          <w:rFonts w:ascii="Arial" w:cs="Arial" w:eastAsia="Arial" w:hAnsi="Arial"/>
          <w:sz w:val="26"/>
          <w:szCs w:val="26"/>
          <w:color w:val="auto"/>
          <w:vertAlign w:val="superscript"/>
        </w:rPr>
        <w:t>st</w:t>
      </w:r>
      <w:r>
        <w:rPr>
          <w:rFonts w:ascii="Arial" w:cs="Arial" w:eastAsia="Arial" w:hAnsi="Arial"/>
          <w:sz w:val="16"/>
          <w:szCs w:val="16"/>
          <w:color w:val="auto"/>
        </w:rPr>
        <w:t>. BCM will then invoice LICENSEE for payment of such milestone and LICENSEE shall pay the invoice within fifteen (15) days upon receipt of the invoice. Milestones are to be paid regardless of whether LICENSEE, its Affiliate or LICENSEE’s Sublicensee attains such milestone.</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Sublicense Revenue Payments.</w:t>
      </w:r>
      <w:r>
        <w:rPr>
          <w:rFonts w:ascii="Arial" w:cs="Arial" w:eastAsia="Arial" w:hAnsi="Arial"/>
          <w:sz w:val="18"/>
          <w:szCs w:val="18"/>
          <w:color w:val="auto"/>
        </w:rPr>
        <w:t xml:space="preserve"> In the event LICENSEE sublicenses the Subject Technology and Patent Rights under this Agreement, LICENSEE agrees to pay to BCM all Sublicensing Revenue received by LICENSEE under the applicable sublicense agreement according to the following schedule:</w:t>
      </w:r>
    </w:p>
    <w:p>
      <w:pPr>
        <w:spacing w:after="0" w:line="181" w:lineRule="exact"/>
        <w:rPr>
          <w:sz w:val="20"/>
          <w:szCs w:val="20"/>
          <w:color w:val="auto"/>
        </w:rPr>
      </w:pPr>
    </w:p>
    <w:p>
      <w:pPr>
        <w:ind w:firstLine="1629"/>
        <w:spacing w:after="0" w:line="277" w:lineRule="auto"/>
        <w:tabs>
          <w:tab w:leader="none" w:pos="23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[***REDACTED***] percent ([***REDACTED***]%) of Sublicensing Revenue shall be payable to BCM if the sublicense agreement is executed before the first dosing of the first patient in the first phase II clinical trial for the first (1st) Licensed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1629"/>
        <w:spacing w:after="0" w:line="264" w:lineRule="auto"/>
        <w:tabs>
          <w:tab w:leader="none" w:pos="23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[***REDACTED***] percent ([***REDACTED***]%) of Sublicensing Revenue shall be payable to BCM if the sublicense agreement is executed on or after the first dosing of the first patient in the first phase II clinical trial for the first (1st) Licensed Product, but before the first dosing of the first patient in the first pivotal/phase III clinical trial for the first (1st) Licensed Product;</w:t>
      </w:r>
    </w:p>
    <w:p>
      <w:pPr>
        <w:spacing w:after="0" w:line="181" w:lineRule="exact"/>
        <w:rPr>
          <w:rFonts w:ascii="Arial" w:cs="Arial" w:eastAsia="Arial" w:hAnsi="Arial"/>
          <w:sz w:val="18"/>
          <w:szCs w:val="18"/>
          <w:color w:val="auto"/>
        </w:rPr>
      </w:pPr>
    </w:p>
    <w:p>
      <w:pPr>
        <w:jc w:val="both"/>
        <w:ind w:firstLine="1629"/>
        <w:spacing w:after="0" w:line="264" w:lineRule="auto"/>
        <w:tabs>
          <w:tab w:leader="none" w:pos="27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[***REDACTED***] percent ([***REDACTED***]%) of Sublicensing Revenue shall be payable to BCM if the sublicense agreement is executed on or after the first dosing of the first patient in the first pivotal/phase III clinical trial for the first (1st) Licensed Product; and</w:t>
      </w:r>
    </w:p>
    <w:p>
      <w:pPr>
        <w:spacing w:after="0" w:line="181" w:lineRule="exact"/>
        <w:rPr>
          <w:rFonts w:ascii="Arial" w:cs="Arial" w:eastAsia="Arial" w:hAnsi="Arial"/>
          <w:sz w:val="18"/>
          <w:szCs w:val="18"/>
          <w:color w:val="auto"/>
        </w:rPr>
      </w:pPr>
    </w:p>
    <w:p>
      <w:pPr>
        <w:jc w:val="both"/>
        <w:ind w:firstLine="1629"/>
        <w:spacing w:after="0" w:line="264" w:lineRule="auto"/>
        <w:tabs>
          <w:tab w:leader="none" w:pos="27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[***REDACTED***] percent ([***REDACTED***]%) of Sublicensing Revenue shall be payable to BCM if the sublicense agreement is executed on or after receipt of the final FDA approval (or its equivalent in other jurisdictions) of the first Marketing Authorization for the first (1st) Licensed Product.</w:t>
      </w:r>
    </w:p>
    <w:p>
      <w:pPr>
        <w:spacing w:after="0" w:line="181" w:lineRule="exact"/>
        <w:rPr>
          <w:rFonts w:ascii="Arial" w:cs="Arial" w:eastAsia="Arial" w:hAnsi="Arial"/>
          <w:sz w:val="18"/>
          <w:szCs w:val="18"/>
          <w:color w:val="auto"/>
        </w:rPr>
      </w:pPr>
    </w:p>
    <w:p>
      <w:pPr>
        <w:jc w:val="both"/>
        <w:ind w:firstLine="1629"/>
        <w:spacing w:after="0" w:line="269" w:lineRule="auto"/>
        <w:tabs>
          <w:tab w:leader="none" w:pos="25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the extent that Sublicense Revenue represents an unallocated combined payment for both a sublicense of the Patent Rights and Subject Technology as well as other third party-owned intellectual property, undertakings or subject matter, such Sublicense Revenue from such sublicensing arrangement for purposes of calculating payments due to BCM shall be reasonably allocated by LICENSEE between such Patent Rights and Subject Technology and such other intellectual property, undertakings or subject matter, based on their relative value consistent with comparable industry standard arms’ length transactions, provided that (i) LICENSEE shall provide BCM with documentation supporting such allocation to the reasonable satisfaction of BCM and (ii) under no circumstance shall the percentage of sublicense revenue due BCM be less than [***REDACTED***] percent ([***REDACTED***]%) of the amounts stipulated in Section 4.5(i) through (iv). If BCM reasonably disputes LICENSEE’s allocation of Sublicense Revenue with respect to a particular sublicense, then, upon written notice by either Party to the other, such dispute may be submitted for resolution pursuant to Section 14. Neither Party shall be deemed in breach of this Agreement by reason of a failure to agree on such amount (or with respect to LICENSEE, to pay the disputed amount); provided in the case of LICENSEE, that it has paid the undisputed portion of such Sublicense Revenue and, following resolution pursuant to Section 14 promptly pays any amount determined to be due thereunder.</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One-Time Liquidity Incentive</w:t>
      </w:r>
      <w:r>
        <w:rPr>
          <w:rFonts w:ascii="Arial" w:cs="Arial" w:eastAsia="Arial" w:hAnsi="Arial"/>
          <w:sz w:val="18"/>
          <w:szCs w:val="18"/>
          <w:color w:val="auto"/>
        </w:rPr>
        <w:t xml:space="preserve">. Within sixty (60) days upon the first occurrence of a Liquidity Event, LICENSEE will make or cause to be made a one-time cash milestone payment to BCM equal to [***REDACTED***] percent ([***REDACTED***]%) of the Liquidity Event Proceeds,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portion of the Liquidity Event Proceeds is a contingent payment, any such contingent amounts shall be paid when and if such amounts are paid to LICENSEE or its equity holders. This payment obligation will terminate if LICENSEE terminates this Agreement within two (2) years of the Agreement Date and no Liquidity Event has occurred prior to such termination, but will otherwise remain applicable and shall survive termination or expiration of this Agreement. Upon the payment of the Liquidity Event Proceeds to BCM upon consummation of a Liquidity Event, all rights of BCM under this Section 4.6 shall thereafter terminate.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Payment Addresses</w:t>
      </w:r>
      <w:r>
        <w:rPr>
          <w:rFonts w:ascii="Arial" w:cs="Arial" w:eastAsia="Arial" w:hAnsi="Arial"/>
          <w:sz w:val="18"/>
          <w:szCs w:val="18"/>
          <w:color w:val="auto"/>
        </w:rPr>
        <w:t>. Payments sent by check are to be made payable to “Baylor College of Medicine” and shall be sent to the address below. If payments are sent by wire transfer, they shall be sent using wiring instructions provided in Appendix D. All payments shall reference BLG number(s) listed on the front page of the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BCM Tax ID #: 74-1613878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Baylor College of Medicine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Licensing Group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301503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75303-1503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No. 713-798-6821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No. 713-798-1252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blg@bcm.tmc.edu</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4.8</w:t>
            </w:r>
          </w:p>
        </w:tc>
        <w:tc>
          <w:tcPr>
            <w:tcW w:w="9860" w:type="dxa"/>
            <w:vAlign w:val="bottom"/>
            <w:gridSpan w:val="2"/>
          </w:tcPr>
          <w:p>
            <w:pPr>
              <w:ind w:left="320"/>
              <w:spacing w:after="0"/>
              <w:rPr>
                <w:sz w:val="20"/>
                <w:szCs w:val="20"/>
                <w:color w:val="auto"/>
              </w:rPr>
            </w:pPr>
            <w:r>
              <w:rPr>
                <w:rFonts w:ascii="Arial" w:cs="Arial" w:eastAsia="Arial" w:hAnsi="Arial"/>
                <w:sz w:val="18"/>
                <w:szCs w:val="18"/>
                <w:color w:val="auto"/>
                <w:w w:val="95"/>
              </w:rPr>
              <w:t xml:space="preserve">Payments shall be deemed received only upon confirmation that all funds have been received by the </w:t>
            </w:r>
            <w:r>
              <w:rPr>
                <w:rFonts w:ascii="Arial" w:cs="Arial" w:eastAsia="Arial" w:hAnsi="Arial"/>
                <w:sz w:val="18"/>
                <w:szCs w:val="18"/>
                <w:b w:val="1"/>
                <w:bCs w:val="1"/>
                <w:color w:val="auto"/>
                <w:w w:val="95"/>
              </w:rPr>
              <w:t>LICENSING GROUP</w:t>
            </w:r>
            <w:r>
              <w:rPr>
                <w:rFonts w:ascii="Arial" w:cs="Arial" w:eastAsia="Arial" w:hAnsi="Arial"/>
                <w:sz w:val="18"/>
                <w:szCs w:val="18"/>
                <w:color w:val="auto"/>
                <w:w w:val="95"/>
              </w:rPr>
              <w:t xml:space="preserve"> as</w:t>
            </w:r>
          </w:p>
        </w:tc>
      </w:tr>
      <w:tr>
        <w:trPr>
          <w:trHeight w:val="230"/>
        </w:trPr>
        <w:tc>
          <w:tcPr>
            <w:tcW w:w="11420" w:type="dxa"/>
            <w:vAlign w:val="bottom"/>
            <w:gridSpan w:val="3"/>
          </w:tcPr>
          <w:p>
            <w:pPr>
              <w:spacing w:after="0"/>
              <w:rPr>
                <w:sz w:val="20"/>
                <w:szCs w:val="20"/>
                <w:color w:val="auto"/>
              </w:rPr>
            </w:pPr>
            <w:r>
              <w:rPr>
                <w:rFonts w:ascii="Arial" w:cs="Arial" w:eastAsia="Arial" w:hAnsi="Arial"/>
                <w:sz w:val="18"/>
                <w:szCs w:val="18"/>
                <w:color w:val="auto"/>
              </w:rPr>
              <w:t>referenced above. LICENSEE hereby accepts responsibility for ensuring that payment is addressed correctly.</w:t>
            </w: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4.9</w:t>
            </w:r>
          </w:p>
        </w:tc>
        <w:tc>
          <w:tcPr>
            <w:tcW w:w="9860" w:type="dxa"/>
            <w:vAlign w:val="bottom"/>
            <w:gridSpan w:val="2"/>
          </w:tcPr>
          <w:p>
            <w:pPr>
              <w:spacing w:after="0"/>
              <w:rPr>
                <w:sz w:val="20"/>
                <w:szCs w:val="20"/>
                <w:color w:val="auto"/>
              </w:rPr>
            </w:pPr>
            <w:r>
              <w:rPr>
                <w:rFonts w:ascii="Arial" w:cs="Arial" w:eastAsia="Arial" w:hAnsi="Arial"/>
                <w:sz w:val="18"/>
                <w:szCs w:val="18"/>
                <w:color w:val="auto"/>
              </w:rPr>
              <w:t>LICENSEE Payment Contact. For questions about payments, BCM can contact LICENSEE at the address below:</w:t>
            </w:r>
          </w:p>
        </w:tc>
      </w:tr>
      <w:tr>
        <w:trPr>
          <w:trHeight w:val="20"/>
        </w:trPr>
        <w:tc>
          <w:tcPr>
            <w:tcW w:w="15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President and CEO</w:t>
      </w:r>
    </w:p>
    <w:p>
      <w:pPr>
        <w:ind w:left="660"/>
        <w:spacing w:after="0" w:line="186" w:lineRule="auto"/>
        <w:rPr>
          <w:sz w:val="20"/>
          <w:szCs w:val="20"/>
          <w:color w:val="auto"/>
        </w:rPr>
      </w:pPr>
      <w:r>
        <w:rPr>
          <w:rFonts w:ascii="Arial" w:cs="Arial" w:eastAsia="Arial" w:hAnsi="Arial"/>
          <w:sz w:val="18"/>
          <w:szCs w:val="18"/>
          <w:color w:val="auto"/>
        </w:rPr>
        <w:t>33 5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N.W.</w:t>
      </w:r>
    </w:p>
    <w:p>
      <w:pPr>
        <w:ind w:left="660"/>
        <w:spacing w:after="0"/>
        <w:rPr>
          <w:sz w:val="20"/>
          <w:szCs w:val="20"/>
          <w:color w:val="auto"/>
        </w:rPr>
      </w:pPr>
      <w:r>
        <w:rPr>
          <w:rFonts w:ascii="Arial" w:cs="Arial" w:eastAsia="Arial" w:hAnsi="Arial"/>
          <w:sz w:val="18"/>
          <w:szCs w:val="18"/>
          <w:color w:val="auto"/>
        </w:rPr>
        <w:t>New Brighton, Minnesota</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No. 651-628-9259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No. 651-628-9507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john.wilson@wilsonwolf.com</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Payment Conditions.</w:t>
      </w:r>
      <w:r>
        <w:rPr>
          <w:rFonts w:ascii="Arial" w:cs="Arial" w:eastAsia="Arial" w:hAnsi="Arial"/>
          <w:sz w:val="16"/>
          <w:szCs w:val="16"/>
          <w:color w:val="auto"/>
        </w:rPr>
        <w:t xml:space="preserve"> All payments due hereunder are payable in United States dollars. No transfer, exchange, collection or other charges, including any wire transfer fees, shall be deducted from such payments. For sales of Licensed Products in currencies other than the United States, LICENSEE shall use exchange rates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on the last business day of the six (6) month period that such payment is due.</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Late Payments.</w:t>
      </w:r>
      <w:r>
        <w:rPr>
          <w:rFonts w:ascii="Arial" w:cs="Arial" w:eastAsia="Arial" w:hAnsi="Arial"/>
          <w:sz w:val="17"/>
          <w:szCs w:val="17"/>
          <w:color w:val="auto"/>
        </w:rPr>
        <w:t xml:space="preserve"> Late payments shall be subject to a charge of [***REDACTED***] percent ([***REDACTED***]%) per month</w:t>
      </w:r>
      <w:r>
        <w:rPr>
          <w:rFonts w:ascii="Arial" w:cs="Arial" w:eastAsia="Arial" w:hAnsi="Arial"/>
          <w:sz w:val="17"/>
          <w:szCs w:val="17"/>
          <w:b w:val="1"/>
          <w:bCs w:val="1"/>
          <w:color w:val="auto"/>
        </w:rPr>
        <w:t>,</w:t>
      </w:r>
      <w:r>
        <w:rPr>
          <w:rFonts w:ascii="Arial" w:cs="Arial" w:eastAsia="Arial" w:hAnsi="Arial"/>
          <w:sz w:val="17"/>
          <w:szCs w:val="17"/>
          <w:color w:val="auto"/>
        </w:rPr>
        <w:t xml:space="preserve"> the interest being compounded annually, or [***REDACTED***] dollars ($[***REDACTED***]), whichever is greater. LICENSEE shall calculate the correct late payment charge, and shall add it to each such late payment. Said late payment charge and the payment and acceptance thereof shall not negate or waive the right of BCM to seek any other remedy, legal or equitable, to which it may be entitled because of the delinquency of any payment. LICENSEE shall indemnify BCM for all attorneys' fees and costs BCM incurs in obtaining a full payment of that which is owed to BCM.</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LICENSEE may withhold from payment made to BCM under this Agreement any tax required to be withheld by LICENSEE under the laws of the country or jurisdiction where LICENSEE has commercially sold Licensed Product(s) or any other Applicable Law. If any tax is withheld by LICENSEE, LICENSEE shall provide BCM receipts or other evidence of such withholding and payment to the appropriate tax authorities on a timely basis following that tax payment.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780" w:hanging="772"/>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REPORTING</w:t>
      </w:r>
    </w:p>
    <w:p>
      <w:pPr>
        <w:spacing w:after="0" w:line="22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Annual Progress Report</w:t>
      </w:r>
      <w:r>
        <w:rPr>
          <w:rFonts w:ascii="Arial" w:cs="Arial" w:eastAsia="Arial" w:hAnsi="Arial"/>
          <w:sz w:val="17"/>
          <w:szCs w:val="17"/>
          <w:color w:val="auto"/>
        </w:rPr>
        <w:t>. No later than sixty (60) days after December 31 of each calendar year, LICENSEE shall provide to BCM a written annual progress report describing LICENSEE's progress on all research and development and commercial activities, during the most recent twelve</w:t>
      </w:r>
    </w:p>
    <w:p>
      <w:pPr>
        <w:jc w:val="both"/>
        <w:ind w:firstLine="8"/>
        <w:spacing w:after="0" w:line="254" w:lineRule="auto"/>
        <w:tabs>
          <w:tab w:leader="none" w:pos="3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month period ending December 31 and plans for the forthcoming year (“</w:t>
      </w:r>
      <w:r>
        <w:rPr>
          <w:rFonts w:ascii="Arial" w:cs="Arial" w:eastAsia="Arial" w:hAnsi="Arial"/>
          <w:sz w:val="18"/>
          <w:szCs w:val="18"/>
          <w:b w:val="1"/>
          <w:bCs w:val="1"/>
          <w:color w:val="auto"/>
        </w:rPr>
        <w:t>Annual Progress Report</w:t>
      </w:r>
      <w:r>
        <w:rPr>
          <w:rFonts w:ascii="Arial" w:cs="Arial" w:eastAsia="Arial" w:hAnsi="Arial"/>
          <w:sz w:val="18"/>
          <w:szCs w:val="18"/>
          <w:color w:val="auto"/>
        </w:rPr>
        <w:t>”). If multiple technologies are covered by the license granted hereunder, the progress report shall provide the information set forth above for each technology. At BCM’s request, LICENSEE shall also provide any reasonable additional data BCM requires to evaluate LICENSEE’s performance of its obligations hereunder. For the avoidance of doubt, any such report and data shall be the Confidential Information of LICENSEE.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jc w:val="right"/>
              <w:ind w:right="610"/>
              <w:spacing w:after="0"/>
              <w:rPr>
                <w:sz w:val="20"/>
                <w:szCs w:val="20"/>
                <w:color w:val="auto"/>
              </w:rPr>
            </w:pPr>
            <w:r>
              <w:rPr>
                <w:rFonts w:ascii="Arial" w:cs="Arial" w:eastAsia="Arial" w:hAnsi="Arial"/>
                <w:sz w:val="18"/>
                <w:szCs w:val="18"/>
                <w:color w:val="auto"/>
              </w:rPr>
              <w:t>5.2</w:t>
            </w:r>
          </w:p>
        </w:tc>
        <w:tc>
          <w:tcPr>
            <w:tcW w:w="98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Notification of First Sale. LICENSEE shall notify BCM the date on which LICENSEE (including any Affiliate) and/or the Sublicensees</w:t>
            </w:r>
          </w:p>
        </w:tc>
      </w:tr>
      <w:tr>
        <w:trPr>
          <w:trHeight w:val="20"/>
        </w:trPr>
        <w:tc>
          <w:tcPr>
            <w:tcW w:w="1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7"/>
        </w:trPr>
        <w:tc>
          <w:tcPr>
            <w:tcW w:w="11420" w:type="dxa"/>
            <w:vAlign w:val="bottom"/>
            <w:gridSpan w:val="4"/>
          </w:tcPr>
          <w:p>
            <w:pPr>
              <w:jc w:val="right"/>
              <w:ind w:right="2400"/>
              <w:spacing w:after="0"/>
              <w:rPr>
                <w:sz w:val="20"/>
                <w:szCs w:val="20"/>
                <w:color w:val="auto"/>
              </w:rPr>
            </w:pPr>
            <w:r>
              <w:rPr>
                <w:rFonts w:ascii="Arial" w:cs="Arial" w:eastAsia="Arial" w:hAnsi="Arial"/>
                <w:sz w:val="18"/>
                <w:szCs w:val="18"/>
                <w:color w:val="auto"/>
                <w:w w:val="91"/>
              </w:rPr>
              <w:t>make a first commercial Sale of a Licensed Products in each country in which it occurs within thirty (30) days of occurrence.</w:t>
            </w:r>
          </w:p>
        </w:tc>
      </w:tr>
      <w:tr>
        <w:trPr>
          <w:trHeight w:val="392"/>
        </w:trPr>
        <w:tc>
          <w:tcPr>
            <w:tcW w:w="1580" w:type="dxa"/>
            <w:vAlign w:val="bottom"/>
          </w:tcPr>
          <w:p>
            <w:pPr>
              <w:jc w:val="right"/>
              <w:ind w:right="610"/>
              <w:spacing w:after="0"/>
              <w:rPr>
                <w:sz w:val="20"/>
                <w:szCs w:val="20"/>
                <w:color w:val="auto"/>
              </w:rPr>
            </w:pPr>
            <w:r>
              <w:rPr>
                <w:rFonts w:ascii="Arial" w:cs="Arial" w:eastAsia="Arial" w:hAnsi="Arial"/>
                <w:sz w:val="18"/>
                <w:szCs w:val="18"/>
                <w:color w:val="auto"/>
              </w:rPr>
              <w:t>5.3</w:t>
            </w:r>
          </w:p>
        </w:tc>
        <w:tc>
          <w:tcPr>
            <w:tcW w:w="9840" w:type="dxa"/>
            <w:vAlign w:val="bottom"/>
            <w:gridSpan w:val="3"/>
          </w:tcPr>
          <w:p>
            <w:pPr>
              <w:jc w:val="right"/>
              <w:spacing w:after="0"/>
              <w:rPr>
                <w:sz w:val="20"/>
                <w:szCs w:val="20"/>
                <w:color w:val="auto"/>
              </w:rPr>
            </w:pPr>
            <w:r>
              <w:rPr>
                <w:rFonts w:ascii="Arial" w:cs="Arial" w:eastAsia="Arial" w:hAnsi="Arial"/>
                <w:sz w:val="18"/>
                <w:szCs w:val="18"/>
                <w:color w:val="auto"/>
                <w:w w:val="91"/>
              </w:rPr>
              <w:t xml:space="preserve">Royalty Reports. LICENSEE shall submit to BCM within forty-five </w:t>
            </w:r>
            <w:r>
              <w:rPr>
                <w:rFonts w:ascii="Arial" w:cs="Arial" w:eastAsia="Arial" w:hAnsi="Arial"/>
                <w:sz w:val="18"/>
                <w:szCs w:val="18"/>
                <w:color w:val="0000FF"/>
                <w:w w:val="91"/>
              </w:rPr>
              <w:t>(</w:t>
            </w:r>
            <w:r>
              <w:rPr>
                <w:rFonts w:ascii="Arial" w:cs="Arial" w:eastAsia="Arial" w:hAnsi="Arial"/>
                <w:sz w:val="18"/>
                <w:szCs w:val="18"/>
                <w:color w:val="auto"/>
                <w:w w:val="91"/>
              </w:rPr>
              <w:t>45) days after March 31, June 30, September 30 and December 31,</w:t>
            </w:r>
          </w:p>
        </w:tc>
      </w:tr>
      <w:tr>
        <w:trPr>
          <w:trHeight w:val="20"/>
        </w:trPr>
        <w:tc>
          <w:tcPr>
            <w:tcW w:w="15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written report on a form provided by BCM (a current version of which is attached as Appendix C) setting forth for such calendar quarter at least the following information:</w:t>
      </w:r>
    </w:p>
    <w:p>
      <w:pPr>
        <w:spacing w:after="0" w:line="170" w:lineRule="exact"/>
        <w:rPr>
          <w:sz w:val="20"/>
          <w:szCs w:val="20"/>
          <w:color w:val="auto"/>
        </w:rPr>
      </w:pPr>
    </w:p>
    <w:p>
      <w:pPr>
        <w:ind w:left="2340" w:hanging="71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Licensed Products sold by LICENSEE and Sublicensees in each country;</w:t>
      </w:r>
    </w:p>
    <w:p>
      <w:pPr>
        <w:spacing w:after="0" w:line="225" w:lineRule="exact"/>
        <w:rPr>
          <w:rFonts w:ascii="Arial" w:cs="Arial" w:eastAsia="Arial" w:hAnsi="Arial"/>
          <w:sz w:val="18"/>
          <w:szCs w:val="18"/>
          <w:color w:val="auto"/>
        </w:rPr>
      </w:pPr>
    </w:p>
    <w:p>
      <w:pPr>
        <w:ind w:left="2380" w:hanging="751"/>
        <w:spacing w:after="0"/>
        <w:tabs>
          <w:tab w:leader="none" w:pos="2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 billings for such Licensed Products;</w:t>
      </w:r>
    </w:p>
    <w:p>
      <w:pPr>
        <w:spacing w:after="0" w:line="225" w:lineRule="exact"/>
        <w:rPr>
          <w:rFonts w:ascii="Arial" w:cs="Arial" w:eastAsia="Arial" w:hAnsi="Arial"/>
          <w:sz w:val="18"/>
          <w:szCs w:val="18"/>
          <w:color w:val="auto"/>
        </w:rPr>
      </w:pPr>
    </w:p>
    <w:p>
      <w:pPr>
        <w:ind w:right="20" w:firstLine="1629"/>
        <w:spacing w:after="0" w:line="277" w:lineRule="auto"/>
        <w:tabs>
          <w:tab w:leader="none" w:pos="25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gross amount of monies or cash equivalent or other consideration which is received for sales, leases, licenses or other modes of transfer of Licensed Products by LICENSEE;</w:t>
      </w:r>
    </w:p>
    <w:p>
      <w:pPr>
        <w:spacing w:after="0" w:line="170" w:lineRule="exact"/>
        <w:rPr>
          <w:rFonts w:ascii="Arial" w:cs="Arial" w:eastAsia="Arial" w:hAnsi="Arial"/>
          <w:sz w:val="18"/>
          <w:szCs w:val="18"/>
          <w:color w:val="auto"/>
        </w:rPr>
      </w:pPr>
    </w:p>
    <w:p>
      <w:pPr>
        <w:ind w:firstLine="1629"/>
        <w:spacing w:after="0" w:line="277" w:lineRule="auto"/>
        <w:tabs>
          <w:tab w:leader="none" w:pos="246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identity of that consideration which is received instead of money for sales, leases, licenses or other modes of transfer of Licensed Products by LICENSEE;</w:t>
      </w:r>
    </w:p>
    <w:p>
      <w:pPr>
        <w:spacing w:after="0" w:line="170" w:lineRule="exact"/>
        <w:rPr>
          <w:rFonts w:ascii="Arial" w:cs="Arial" w:eastAsia="Arial" w:hAnsi="Arial"/>
          <w:sz w:val="18"/>
          <w:szCs w:val="18"/>
          <w:color w:val="auto"/>
        </w:rPr>
      </w:pPr>
    </w:p>
    <w:p>
      <w:pPr>
        <w:ind w:right="20" w:firstLine="1629"/>
        <w:spacing w:after="0" w:line="277" w:lineRule="auto"/>
        <w:tabs>
          <w:tab w:leader="none" w:pos="262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aggregate deductions from the gross amount as expressly permitted herein to determine the Net Sales thereof, for the avoidance of doubt, LICENSEE will not provide itemized deductions from gross sales to Net Sales;</w:t>
      </w:r>
    </w:p>
    <w:p>
      <w:pPr>
        <w:spacing w:after="0" w:line="170" w:lineRule="exact"/>
        <w:rPr>
          <w:rFonts w:ascii="Arial" w:cs="Arial" w:eastAsia="Arial" w:hAnsi="Arial"/>
          <w:sz w:val="18"/>
          <w:szCs w:val="18"/>
          <w:color w:val="auto"/>
        </w:rPr>
      </w:pPr>
    </w:p>
    <w:p>
      <w:pPr>
        <w:ind w:left="2580" w:hanging="951"/>
        <w:spacing w:after="0"/>
        <w:tabs>
          <w:tab w:leader="none" w:pos="2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of Royalties due thereon, or, if no Royalties are due to BCM for any reporting period, the statement that no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Royalties are due;</w:t>
      </w:r>
    </w:p>
    <w:p>
      <w:pPr>
        <w:spacing w:after="0" w:line="210" w:lineRule="exact"/>
        <w:rPr>
          <w:rFonts w:ascii="Arial" w:cs="Arial" w:eastAsia="Arial" w:hAnsi="Arial"/>
          <w:sz w:val="16"/>
          <w:szCs w:val="16"/>
          <w:color w:val="auto"/>
        </w:rPr>
      </w:pPr>
    </w:p>
    <w:p>
      <w:pPr>
        <w:ind w:left="2480" w:hanging="851"/>
        <w:spacing w:after="0"/>
        <w:tabs>
          <w:tab w:leader="none" w:pos="2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Sublicensing Revenue received by LICENSEE; and</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of other payments due BCM, including but not limited to, milestone payments, minimum royalty payments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maintenance fee payments.</w:t>
      </w:r>
    </w:p>
    <w:p>
      <w:pPr>
        <w:spacing w:after="0" w:line="211" w:lineRule="exact"/>
        <w:rPr>
          <w:sz w:val="20"/>
          <w:szCs w:val="20"/>
          <w:color w:val="auto"/>
        </w:rPr>
      </w:pPr>
    </w:p>
    <w:p>
      <w:pPr>
        <w:jc w:val="both"/>
        <w:ind w:firstLine="690"/>
        <w:spacing w:after="0" w:line="264" w:lineRule="auto"/>
        <w:rPr>
          <w:sz w:val="20"/>
          <w:szCs w:val="20"/>
          <w:color w:val="auto"/>
        </w:rPr>
      </w:pPr>
      <w:r>
        <w:rPr>
          <w:rFonts w:ascii="Arial" w:cs="Arial" w:eastAsia="Arial" w:hAnsi="Arial"/>
          <w:sz w:val="18"/>
          <w:szCs w:val="18"/>
          <w:color w:val="auto"/>
        </w:rPr>
        <w:t>The royalty report shall be certified as correct by an officer of LICENSEE. After termination, but not expiration, of this Agreement, LICENSEE will continue to submit royalty reports and payments to BCM as per LICENSEE’s obligations under this Agreement until all Licensed Products made, used, marketed, leased or imported under this Agreement have been sold, destroyed or expired.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970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Payment to Accompany Royalty Reports. LICENSEE shall pay to BCM with each such Royalty report the amount of Royalties and</w:t>
            </w:r>
          </w:p>
        </w:tc>
      </w:tr>
      <w:tr>
        <w:trPr>
          <w:trHeight w:val="20"/>
        </w:trPr>
        <w:tc>
          <w:tcPr>
            <w:tcW w:w="17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7"/>
        </w:trPr>
        <w:tc>
          <w:tcPr>
            <w:tcW w:w="11420" w:type="dxa"/>
            <w:vAlign w:val="bottom"/>
            <w:gridSpan w:val="7"/>
          </w:tcPr>
          <w:p>
            <w:pPr>
              <w:spacing w:after="0"/>
              <w:rPr>
                <w:sz w:val="20"/>
                <w:szCs w:val="20"/>
                <w:color w:val="auto"/>
              </w:rPr>
            </w:pPr>
            <w:r>
              <w:rPr>
                <w:rFonts w:ascii="Arial" w:cs="Arial" w:eastAsia="Arial" w:hAnsi="Arial"/>
                <w:sz w:val="18"/>
                <w:szCs w:val="18"/>
                <w:color w:val="auto"/>
              </w:rPr>
              <w:t>other payments due with respect to such calendar quarter.</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40" w:type="dxa"/>
            <w:vAlign w:val="bottom"/>
            <w:gridSpan w:val="4"/>
          </w:tcPr>
          <w:p>
            <w:pPr>
              <w:jc w:val="right"/>
              <w:spacing w:after="0"/>
              <w:rPr>
                <w:sz w:val="20"/>
                <w:szCs w:val="20"/>
                <w:color w:val="auto"/>
              </w:rPr>
            </w:pPr>
            <w:r>
              <w:rPr>
                <w:rFonts w:ascii="Arial" w:cs="Arial" w:eastAsia="Arial" w:hAnsi="Arial"/>
                <w:sz w:val="18"/>
                <w:szCs w:val="18"/>
                <w:color w:val="auto"/>
                <w:w w:val="96"/>
              </w:rPr>
              <w:t>Notification of Merger or Acquisition. In the event of acquisition, merger, change of corporate name, or change of make-up,</w:t>
            </w:r>
          </w:p>
        </w:tc>
      </w:tr>
      <w:tr>
        <w:trPr>
          <w:trHeight w:val="20"/>
        </w:trPr>
        <w:tc>
          <w:tcPr>
            <w:tcW w:w="198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7"/>
        </w:trPr>
        <w:tc>
          <w:tcPr>
            <w:tcW w:w="11420" w:type="dxa"/>
            <w:vAlign w:val="bottom"/>
            <w:gridSpan w:val="7"/>
          </w:tcPr>
          <w:p>
            <w:pPr>
              <w:spacing w:after="0"/>
              <w:rPr>
                <w:sz w:val="20"/>
                <w:szCs w:val="20"/>
                <w:color w:val="auto"/>
              </w:rPr>
            </w:pPr>
            <w:r>
              <w:rPr>
                <w:rFonts w:ascii="Arial" w:cs="Arial" w:eastAsia="Arial" w:hAnsi="Arial"/>
                <w:sz w:val="18"/>
                <w:szCs w:val="18"/>
                <w:color w:val="auto"/>
              </w:rPr>
              <w:t>organization, or identity, LICENSEE shall notify BCM in writing within thirty (30) days after the closing date of such event.</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5.6</w:t>
            </w:r>
          </w:p>
        </w:tc>
        <w:tc>
          <w:tcPr>
            <w:tcW w:w="9800" w:type="dxa"/>
            <w:vAlign w:val="bottom"/>
            <w:gridSpan w:val="6"/>
          </w:tcPr>
          <w:p>
            <w:pPr>
              <w:jc w:val="right"/>
              <w:spacing w:after="0"/>
              <w:rPr>
                <w:sz w:val="20"/>
                <w:szCs w:val="20"/>
                <w:color w:val="auto"/>
              </w:rPr>
            </w:pPr>
            <w:r>
              <w:rPr>
                <w:rFonts w:ascii="Arial" w:cs="Arial" w:eastAsia="Arial" w:hAnsi="Arial"/>
                <w:sz w:val="18"/>
                <w:szCs w:val="18"/>
                <w:color w:val="auto"/>
                <w:w w:val="91"/>
              </w:rPr>
              <w:t>Entity Status. If LICENSEE or Sublicensee does not qualify as a “small entity” as provided by the United States Patent and Trademark</w:t>
            </w:r>
          </w:p>
        </w:tc>
      </w:tr>
      <w:tr>
        <w:trPr>
          <w:trHeight w:val="20"/>
        </w:trPr>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Office, LICENSEE must notify BCM immediately.</w:t>
      </w:r>
    </w:p>
    <w:p>
      <w:pPr>
        <w:spacing w:after="0" w:line="225"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TRANSFER OF SUBJECT TECHNOLOGY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Transfer Schedule</w:t>
      </w:r>
      <w:r>
        <w:rPr>
          <w:rFonts w:ascii="Arial" w:cs="Arial" w:eastAsia="Arial" w:hAnsi="Arial"/>
          <w:sz w:val="16"/>
          <w:szCs w:val="16"/>
          <w:color w:val="auto"/>
        </w:rPr>
        <w:t>. Upon receipt of the equity award described in Paragraph 4.1, BCM shall, within thirty (30) days thereof, provide LICENSEE with reasonable quantities of the Subject Technology. The Parties understand and agree that BCM will use reasonable efforts to provide the Subject Technology within thirty (30) days of receipt of the license fee, however the Parties acknowledge that unforeseen circumstances might delay delivery and such failure to provide the Subject Technology based on such unforeseen circumstances shall not be considered a breach of this Agreement by BCM.</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Transfer Address and Payment.</w:t>
      </w:r>
      <w:r>
        <w:rPr>
          <w:rFonts w:ascii="Arial" w:cs="Arial" w:eastAsia="Arial" w:hAnsi="Arial"/>
          <w:sz w:val="18"/>
          <w:szCs w:val="18"/>
          <w:color w:val="auto"/>
        </w:rPr>
        <w:t xml:space="preserve"> Such Subject Technology shall be sent to the address below, via UPS overnight courier using LICENSEE’s courier account number [***REDACTED***]</w:t>
      </w:r>
      <w:r>
        <w:rPr>
          <w:rFonts w:ascii="Arial" w:cs="Arial" w:eastAsia="Arial" w:hAnsi="Arial"/>
          <w:sz w:val="18"/>
          <w:szCs w:val="18"/>
          <w:color w:val="0000FF"/>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President and CEO</w:t>
      </w:r>
    </w:p>
    <w:p>
      <w:pPr>
        <w:ind w:left="660"/>
        <w:spacing w:after="0" w:line="186" w:lineRule="auto"/>
        <w:rPr>
          <w:sz w:val="20"/>
          <w:szCs w:val="20"/>
          <w:color w:val="auto"/>
        </w:rPr>
      </w:pPr>
      <w:r>
        <w:rPr>
          <w:rFonts w:ascii="Arial" w:cs="Arial" w:eastAsia="Arial" w:hAnsi="Arial"/>
          <w:sz w:val="18"/>
          <w:szCs w:val="18"/>
          <w:color w:val="auto"/>
        </w:rPr>
        <w:t>33 5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N.W.</w:t>
      </w:r>
    </w:p>
    <w:p>
      <w:pPr>
        <w:ind w:left="660"/>
        <w:spacing w:after="0"/>
        <w:rPr>
          <w:sz w:val="20"/>
          <w:szCs w:val="20"/>
          <w:color w:val="auto"/>
        </w:rPr>
      </w:pPr>
      <w:r>
        <w:rPr>
          <w:rFonts w:ascii="Arial" w:cs="Arial" w:eastAsia="Arial" w:hAnsi="Arial"/>
          <w:sz w:val="18"/>
          <w:szCs w:val="18"/>
          <w:color w:val="auto"/>
        </w:rPr>
        <w:t>New Brighton, Minnesota</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No. 651-628-9259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No. 651-628-9507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john.wilson@wilsonwolf.com</w:t>
      </w:r>
    </w:p>
    <w:p>
      <w:pPr>
        <w:spacing w:after="0" w:line="211"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RECORDS AND INSPECTION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Accounting Records.</w:t>
      </w:r>
      <w:r>
        <w:rPr>
          <w:rFonts w:ascii="Arial" w:cs="Arial" w:eastAsia="Arial" w:hAnsi="Arial"/>
          <w:sz w:val="18"/>
          <w:szCs w:val="18"/>
          <w:color w:val="auto"/>
        </w:rPr>
        <w:t xml:space="preserve"> LICENSEE shall maintain, and shall cause its Sublicensees to maintain, complete and accurate records relating to the rights and obligations under this Agreement and any amounts payable to BCM in relation to this Agreement, which records shall contain sufficient information to permit BCM to confirm the accuracy of any reports delivered to BCM and compliance in other respects with this Agreement. The relevant party shall retain such records for at least five (5) years following the end of the calendar year to which they pertain.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Audit by BCM</w:t>
      </w:r>
      <w:r>
        <w:rPr>
          <w:rFonts w:ascii="Arial" w:cs="Arial" w:eastAsia="Arial" w:hAnsi="Arial"/>
          <w:sz w:val="16"/>
          <w:szCs w:val="16"/>
          <w:color w:val="auto"/>
        </w:rPr>
        <w:t>. During the Term of this Agreement as defined below and for a period of two (2) years thereafter, BCM or its representatives shall have the right to inspect the books and records of LICENSEE in conjunction with the performance of LICENSEE’s obligations under the terms and conditions of this Agreement. The scope of such audit and inspection activities may include the review of records supporting activities performed by LICENSEE in conjunction with its obligations under this Agreement, as well as processes and related process internal controls and support systems, the quality and accuracy of which are directly related to the performance of LICENSEE’s obligations under the terms and conditions of this Agreement. LICENSEE agrees to provide representatives of BCM reasonable access to books, records, systems and processes, and shall cooperate fully with BCM’s representatives in support of their inspection and audit activities during LICENSEE’s normal business hours. Prior to commencing an audit, BCM shall require the representatives performing the audit enter into an appropriate confidentiality agreement, obligating the representatives to be bound by obligations of confidentiality and restrictions on use of such Confidential Information that are not less restrictive than the obligations set forth in Section 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respect for each audit of LICENSEE’s books and records: (i) the LICENSEE may be audited only once per year, (ii) no records for any given year for LICENSEE may be audited more than once; provided that the LICENSEE’s records shall still be made available if such records impact another financial year which is being audited, and (iii) BCM shall only be entitled to audit books and records of LICENSEE from the five (5) calendar years prior to the calendar year in which the audit request is made.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initiate an audit for a particular calendar year, BCM must provide LICENSEE with written notice of one or more proposed dates of the audit not less than thirty (30) days prior to the first proposed date. LICENSEE will reasonably accommodate the scheduling of such audit and the Parties shall mutually agree on the audit date. LICENSEE shall provide BCM with full and complete access to the applicable books and records and otherwise reasonably cooperate with such audit.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7.3</w:t>
            </w:r>
          </w:p>
        </w:tc>
        <w:tc>
          <w:tcPr>
            <w:tcW w:w="9760" w:type="dxa"/>
            <w:vAlign w:val="bottom"/>
            <w:gridSpan w:val="3"/>
          </w:tcPr>
          <w:p>
            <w:pPr>
              <w:spacing w:after="0"/>
              <w:rPr>
                <w:sz w:val="20"/>
                <w:szCs w:val="20"/>
                <w:color w:val="auto"/>
              </w:rPr>
            </w:pPr>
            <w:r>
              <w:rPr>
                <w:rFonts w:ascii="Arial" w:cs="Arial" w:eastAsia="Arial" w:hAnsi="Arial"/>
                <w:sz w:val="18"/>
                <w:szCs w:val="18"/>
                <w:color w:val="auto"/>
                <w:w w:val="91"/>
              </w:rPr>
              <w:t>Payment Deficiency. If a payment deficiency is determined, LICENSEE and it Sublicensee(s), as applicable, shall pay the outstanding</w:t>
            </w:r>
          </w:p>
        </w:tc>
      </w:tr>
      <w:tr>
        <w:trPr>
          <w:trHeight w:val="20"/>
        </w:trPr>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amounts within thirty (30) days of receiving written notice thereof, plus interest on such outstanding amounts as described in Section 5.</w:t>
            </w:r>
          </w:p>
        </w:tc>
      </w:tr>
      <w:tr>
        <w:trPr>
          <w:trHeight w:val="392"/>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7.4</w:t>
            </w:r>
          </w:p>
        </w:tc>
        <w:tc>
          <w:tcPr>
            <w:tcW w:w="9760" w:type="dxa"/>
            <w:vAlign w:val="bottom"/>
            <w:gridSpan w:val="3"/>
          </w:tcPr>
          <w:p>
            <w:pPr>
              <w:spacing w:after="0"/>
              <w:rPr>
                <w:sz w:val="20"/>
                <w:szCs w:val="20"/>
                <w:color w:val="auto"/>
              </w:rPr>
            </w:pPr>
            <w:r>
              <w:rPr>
                <w:rFonts w:ascii="Arial" w:cs="Arial" w:eastAsia="Arial" w:hAnsi="Arial"/>
                <w:sz w:val="18"/>
                <w:szCs w:val="18"/>
                <w:color w:val="auto"/>
                <w:w w:val="92"/>
              </w:rPr>
              <w:t>Responsibility for Audit Costs. BCM will pay for any audit done under Paragraph 7.2. However, in the event that the audit reveals an</w:t>
            </w:r>
          </w:p>
        </w:tc>
      </w:tr>
      <w:tr>
        <w:trPr>
          <w:trHeight w:val="20"/>
        </w:trPr>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underpayment of Royalties or fees by more than five percent (5%) for the period being audited, the cost of the audit shall be paid by LICENSEE. If the underpayment is less than five percent (5%) but more than two percent (2%) for the period being audited, LICENSEE and BCM shall each pay fifty percent (50%) of the cost of the audit.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Use of Audit Information</w:t>
      </w:r>
      <w:r>
        <w:rPr>
          <w:rFonts w:ascii="Arial" w:cs="Arial" w:eastAsia="Arial" w:hAnsi="Arial"/>
          <w:sz w:val="18"/>
          <w:szCs w:val="18"/>
          <w:color w:val="auto"/>
        </w:rPr>
        <w:t>. Any information received by BCM pursuant to this Section 7 shall be deemed to be Confidential Information for the purposes of Section 17</w:t>
      </w:r>
      <w:r>
        <w:rPr>
          <w:rFonts w:ascii="Arial" w:cs="Arial" w:eastAsia="Arial" w:hAnsi="Arial"/>
          <w:sz w:val="18"/>
          <w:szCs w:val="18"/>
          <w:color w:val="0000FF"/>
        </w:rPr>
        <w:t>.</w:t>
      </w:r>
      <w:r>
        <w:rPr>
          <w:rFonts w:ascii="Arial" w:cs="Arial" w:eastAsia="Arial" w:hAnsi="Arial"/>
          <w:sz w:val="18"/>
          <w:szCs w:val="18"/>
          <w:color w:val="auto"/>
        </w:rPr>
        <w:t xml:space="preserve"> Such information shall be used solely for the purpose for which the audit was conducted.</w:t>
      </w:r>
    </w:p>
    <w:p>
      <w:pPr>
        <w:spacing w:after="0" w:line="170"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SUBLICENSES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sublicenses granted by LICENSEE of its rights hereunder shall be consistent with and subject to the terms and conditions of this Agreement and LICENSEE shall remain fully responsible to BCM for the performance of its Sublicensees with respect to LICENSEE's obligations under the terms of this Agreement. Any act or omission of a Sublicensee which would be a material breach of this Agreement if performed by LICENSEE shall be deemed to be a breach by LICENSEE of this Agreement susceptible to cure within the cure period specified in Section 11.1. Each sublicense agreement granted by LICENSEE shall include an audit right of the same scope as provided in Section 7 hereof with respect to LICENSEE. LICENSEE shall give BCM prompt notification of the identity and address of each Sublicensee with whom it concludes a sublicense agreement and shall supply BCM with a copy of each such sublicense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PATENTS AND INFRINGEMENT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Patent Prosecution Responsibility</w:t>
      </w:r>
      <w:r>
        <w:rPr>
          <w:rFonts w:ascii="Arial" w:cs="Arial" w:eastAsia="Arial" w:hAnsi="Arial"/>
          <w:sz w:val="17"/>
          <w:szCs w:val="17"/>
          <w:color w:val="auto"/>
        </w:rPr>
        <w:t>. For the Term of this Agreement as defined below, BCM shall be responsible for filing, prosecuting and maintaining all patent applications and patents included in the Patent Rights, and LICENSEE agrees to pay all previously unreimbursed Legal Costs, which Legal Costs shall be reduced on a pro-rata basis on a patent or patent application basis should BCM license such patent or patent application in additional fields of use to any third party. BCM shall select all outside counsel for prosecution of the Patent Rights and such counsel shall represent BCM in such prosecution. For so long as LICENSEE is the sole LICENSEE of the Patent Rights, BCM shall instruct its patent counsel to invoice LICENSEE directly for all such Legal Costs. LICENSEE agrees to pay all such invoices within thirty (30) days of receipt.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Notification of Intent Not to Pursue</w:t>
      </w:r>
      <w:r>
        <w:rPr>
          <w:rFonts w:ascii="Arial" w:cs="Arial" w:eastAsia="Arial" w:hAnsi="Arial"/>
          <w:sz w:val="17"/>
          <w:szCs w:val="17"/>
          <w:color w:val="auto"/>
        </w:rPr>
        <w:t>. In the event that LICENSEE decides not to pay for the costs associated with either: (i) the prosecution of certain patent applications within the Patent Rights to issuance or (ii) maintenance of any United States or foreign issued patent on the Patent Rights, LICENSEE shall timely notify BCM in writing thereof. LICENSEE's right under this Agreement to practice the invention under the patent not being pursued shall immediately terminate upon the giving of such notice. If LICENSEE fails to notify BCM at least thirty (30) calendar days prior to the deadline for taking any action for such patent or patent application, as the case may be, for BCM to assume said costs prior to the abandonment or expiration of any Patent Rights, LICENSEE shall be considered in default of this Agreement as per that Patent Right.. LICENSEE’s right under this Agreement to practice the invention under the patent or patent application for which LICENSEE does not pay for its share (as set forth in Section 9.1) shall immediately terminate with respect to such jurisdiction upon the giving of such notice.</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Notification of Patent Prosecution Action</w:t>
      </w:r>
      <w:r>
        <w:rPr>
          <w:rFonts w:ascii="Arial" w:cs="Arial" w:eastAsia="Arial" w:hAnsi="Arial"/>
          <w:sz w:val="17"/>
          <w:szCs w:val="17"/>
          <w:color w:val="auto"/>
        </w:rPr>
        <w:t>. BCM agrees to keep LICENSEE fully informed, at LICENSEE's expense, of all prosecutions and other actions pursuant to this Section 9, including submitting to LICENSEE all serial numbers and filing dates, and copies of all substantive documentation submitted to, or received from, the patent offices in connection therewith. With respect to any substantive submissions that BCM is requires to or otherwise intends to submit to a patent office with respect to a Patent Right, BCM shall act in good faith and provide a draft of such submission to LICENSEE for its review and comment as soon as reasonably practical prior to the deadline for, or the intended filing date of, such submission. LICENSEE shall have the right to review and comment upon any such submission by BCM to a patent office, and will provide such comments within thirty (30) days after receiving such submission (provided, that if no comments are received prior to the deadline for such submission, then BCM may proceed with such submission. BCM shall consider in good faith any suggestions or recommendations of LICENSEE concerning the preparation, filing, prosecution and maintenance thereof as may be applicable to the Field.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Extension of Patent Term for Licensed Products</w:t>
      </w:r>
      <w:r>
        <w:rPr>
          <w:rFonts w:ascii="Arial" w:cs="Arial" w:eastAsia="Arial" w:hAnsi="Arial"/>
          <w:sz w:val="17"/>
          <w:szCs w:val="17"/>
          <w:color w:val="auto"/>
        </w:rPr>
        <w:t>. LICENSEE shall have the first right, but not the obligation, to seek patent term extension, including supplemental protection certificates and the like available under Applicable Law, under the Patent Rights, for Licensed Product(s). BCM shall cooperate with LICENSEE in seeking patent term extensions for Licensed Product(s) under the Patent Rights pertaining solely in the Field; provided, however, that if patent term extension is to be pursued by a third party before LICENSEE for a patent licensed to the third party in any separate field of use and contains Valid Claims both within and outside and/or overlapping the Field, then BCM shall notify LICENSEE so that all the Parties can work in good faith to determine which Party is to pursue the patent term extension. All such actions shall be at LICENSEE’s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Patent Procedures for Biosimilars</w:t>
      </w:r>
      <w:r>
        <w:rPr>
          <w:rFonts w:ascii="Arial" w:cs="Arial" w:eastAsia="Arial" w:hAnsi="Arial"/>
          <w:sz w:val="17"/>
          <w:szCs w:val="17"/>
          <w:color w:val="auto"/>
        </w:rPr>
        <w:t>. The Parties shall cooperate, at LICENSEE’s expense, with respect to the content and submission of any patent listings in connection with patent linkage systems and/or a generic/biosimilar application filing, in each case in the Field, including providing the third party generic/biosimilar application with a list of patents that could reasonably be asserted; and a designation of patents available for license.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8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9520" w:type="dxa"/>
            <w:vAlign w:val="bottom"/>
            <w:gridSpan w:val="3"/>
          </w:tcPr>
          <w:p>
            <w:pPr>
              <w:jc w:val="right"/>
              <w:spacing w:after="0"/>
              <w:rPr>
                <w:sz w:val="20"/>
                <w:szCs w:val="20"/>
                <w:color w:val="auto"/>
              </w:rPr>
            </w:pPr>
            <w:r>
              <w:rPr>
                <w:rFonts w:ascii="Arial" w:cs="Arial" w:eastAsia="Arial" w:hAnsi="Arial"/>
                <w:sz w:val="18"/>
                <w:szCs w:val="18"/>
                <w:color w:val="auto"/>
                <w:w w:val="94"/>
              </w:rPr>
              <w:t>Cooperation. BCM agrees to reasonably cooperate with LICENSEE, at LICENSEE’s expense, to whatever extent is reasonably</w:t>
            </w:r>
          </w:p>
        </w:tc>
      </w:tr>
      <w:tr>
        <w:trPr>
          <w:trHeight w:val="20"/>
        </w:trPr>
        <w:tc>
          <w:tcPr>
            <w:tcW w:w="19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5800"/>
              <w:spacing w:after="0"/>
              <w:rPr>
                <w:sz w:val="20"/>
                <w:szCs w:val="20"/>
                <w:color w:val="auto"/>
              </w:rPr>
            </w:pPr>
            <w:r>
              <w:rPr>
                <w:rFonts w:ascii="Arial" w:cs="Arial" w:eastAsia="Arial" w:hAnsi="Arial"/>
                <w:sz w:val="18"/>
                <w:szCs w:val="18"/>
                <w:color w:val="auto"/>
                <w:w w:val="91"/>
              </w:rPr>
              <w:t>necessary to provide LICENSEE the full benefit of the license granted herein.</w:t>
            </w:r>
          </w:p>
        </w:tc>
      </w:tr>
      <w:tr>
        <w:trPr>
          <w:trHeight w:val="392"/>
        </w:trPr>
        <w:tc>
          <w:tcPr>
            <w:tcW w:w="1780" w:type="dxa"/>
            <w:vAlign w:val="bottom"/>
          </w:tcPr>
          <w:p>
            <w:pPr>
              <w:jc w:val="right"/>
              <w:ind w:right="810"/>
              <w:spacing w:after="0"/>
              <w:rPr>
                <w:sz w:val="20"/>
                <w:szCs w:val="20"/>
                <w:color w:val="auto"/>
              </w:rPr>
            </w:pPr>
            <w:r>
              <w:rPr>
                <w:rFonts w:ascii="Arial" w:cs="Arial" w:eastAsia="Arial" w:hAnsi="Arial"/>
                <w:sz w:val="18"/>
                <w:szCs w:val="18"/>
                <w:color w:val="auto"/>
              </w:rPr>
              <w:t>9.7</w:t>
            </w:r>
          </w:p>
        </w:tc>
        <w:tc>
          <w:tcPr>
            <w:tcW w:w="9640" w:type="dxa"/>
            <w:vAlign w:val="bottom"/>
            <w:gridSpan w:val="4"/>
          </w:tcPr>
          <w:p>
            <w:pPr>
              <w:jc w:val="right"/>
              <w:spacing w:after="0"/>
              <w:rPr>
                <w:sz w:val="20"/>
                <w:szCs w:val="20"/>
                <w:color w:val="auto"/>
              </w:rPr>
            </w:pPr>
            <w:r>
              <w:rPr>
                <w:rFonts w:ascii="Arial" w:cs="Arial" w:eastAsia="Arial" w:hAnsi="Arial"/>
                <w:sz w:val="18"/>
                <w:szCs w:val="18"/>
                <w:color w:val="auto"/>
                <w:w w:val="94"/>
              </w:rPr>
              <w:t>Infringement Procedures. During the Term of this Agreement as defined below, each Party shall promptly inform the other of any</w:t>
            </w:r>
          </w:p>
        </w:tc>
      </w:tr>
      <w:tr>
        <w:trPr>
          <w:trHeight w:val="20"/>
        </w:trPr>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suspected infringement of any claims in the Patent Rights or the misuse, misappropriation, theft or breach of confidence or other proprietary rights in or to the Subject Technology and/or Patent Rights by a third party (collectively “</w:t>
      </w:r>
      <w:r>
        <w:rPr>
          <w:rFonts w:ascii="Arial" w:cs="Arial" w:eastAsia="Arial" w:hAnsi="Arial"/>
          <w:sz w:val="18"/>
          <w:szCs w:val="18"/>
          <w:b w:val="1"/>
          <w:bCs w:val="1"/>
          <w:color w:val="auto"/>
        </w:rPr>
        <w:t>Third Party Activities</w:t>
      </w:r>
      <w:r>
        <w:rPr>
          <w:rFonts w:ascii="Arial" w:cs="Arial" w:eastAsia="Arial" w:hAnsi="Arial"/>
          <w:sz w:val="18"/>
          <w:szCs w:val="18"/>
          <w:color w:val="auto"/>
        </w:rPr>
        <w:t>”), and with respect to such activities as are suspected. Any action or proceeding against such Third Party Activities shall be instituted as following:</w:t>
      </w:r>
    </w:p>
    <w:p>
      <w:pPr>
        <w:spacing w:after="0" w:line="181" w:lineRule="exact"/>
        <w:rPr>
          <w:sz w:val="20"/>
          <w:szCs w:val="20"/>
          <w:color w:val="auto"/>
        </w:rPr>
      </w:pPr>
    </w:p>
    <w:p>
      <w:pPr>
        <w:jc w:val="both"/>
        <w:ind w:firstLine="1629"/>
        <w:spacing w:after="0" w:line="279" w:lineRule="auto"/>
        <w:tabs>
          <w:tab w:leader="none" w:pos="24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BCM shall have the first right, but not the obligation, to institute an action or proceeding against Third Party Activities. If BCM fails to bring such an action or proceeding within a period of three (3) months after receiving notice or otherwise having knowledge of such Third Party Activities, then LICENSEE shall have the right, but not the obligation, to prosecute the same solely with respect to the activities in the Field at its own expense, using legal counsel of its choice acceptable to BCM, whose acceptance shall not be unreasonably withheld, conditioned, or delayed.</w:t>
      </w:r>
    </w:p>
    <w:p>
      <w:pPr>
        <w:spacing w:after="0" w:line="167" w:lineRule="exact"/>
        <w:rPr>
          <w:rFonts w:ascii="Arial" w:cs="Arial" w:eastAsia="Arial" w:hAnsi="Arial"/>
          <w:sz w:val="17"/>
          <w:szCs w:val="17"/>
          <w:color w:val="auto"/>
        </w:rPr>
      </w:pPr>
    </w:p>
    <w:p>
      <w:pPr>
        <w:jc w:val="both"/>
        <w:ind w:firstLine="1629"/>
        <w:spacing w:after="0" w:line="253" w:lineRule="auto"/>
        <w:tabs>
          <w:tab w:leader="none" w:pos="23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Party not instituting the action or the proceeding (the “</w:t>
      </w:r>
      <w:r>
        <w:rPr>
          <w:rFonts w:ascii="Arial" w:cs="Arial" w:eastAsia="Arial" w:hAnsi="Arial"/>
          <w:sz w:val="18"/>
          <w:szCs w:val="18"/>
          <w:b w:val="1"/>
          <w:bCs w:val="1"/>
          <w:color w:val="auto"/>
        </w:rPr>
        <w:t>Non-Instituting Party</w:t>
      </w:r>
      <w:r>
        <w:rPr>
          <w:rFonts w:ascii="Arial" w:cs="Arial" w:eastAsia="Arial" w:hAnsi="Arial"/>
          <w:sz w:val="18"/>
          <w:szCs w:val="18"/>
          <w:color w:val="auto"/>
        </w:rPr>
        <w:t>”) will reasonably cooperate with the Party instituting the action or the proceeding (the “</w:t>
      </w:r>
      <w:r>
        <w:rPr>
          <w:rFonts w:ascii="Arial" w:cs="Arial" w:eastAsia="Arial" w:hAnsi="Arial"/>
          <w:sz w:val="18"/>
          <w:szCs w:val="18"/>
          <w:b w:val="1"/>
          <w:bCs w:val="1"/>
          <w:color w:val="auto"/>
        </w:rPr>
        <w:t>Instituting Party</w:t>
      </w:r>
      <w:r>
        <w:rPr>
          <w:rFonts w:ascii="Arial" w:cs="Arial" w:eastAsia="Arial" w:hAnsi="Arial"/>
          <w:sz w:val="18"/>
          <w:szCs w:val="18"/>
          <w:color w:val="auto"/>
        </w:rPr>
        <w:t>”) in such action. In addition, if the Non-Instituting Party cooperates in such action, such cooperation shall be at the Instituting Party’s sole expense. Should either BCM or LICENSEE commence action under the provisions of this Paragraph 9.7 and thereafter elect to abandon the same, it shall give timely notice to the other Party who may, if it so desires, continue prosecution of such action or proceeding. All recoveries, whether by judgment, award, decree or settlement, from infringement of any claims in the Patent Rights or the misuse, misappropriation, theft or breach of confidence or other proprietary rights in or to the Subject Technology and/or Patent Rights by a third party shall be apportioned as follows: (a) the Party bringing the action or proceeding shall first recover an amount equal the costs and expenses incurred by such Party directly related to the prosecution of such action or proceeding, (b) the Party cooperating in such action or proceeding shall then recover costs and expenses incurred by such Party, if any, directly related to its cooperation in the prosecution of such action or proceeding and (c) the remainder shall be shared by the parties, with the Party bringing the action allocated eighty percent (80%) and the Party cooperating in such action allocated twenty percent (20%) of such amounts.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1629"/>
        <w:spacing w:after="0" w:line="255" w:lineRule="auto"/>
        <w:tabs>
          <w:tab w:leader="none" w:pos="24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 action pursuant to Paragraph 9.7(i) or (ii), BCM and LICENSEE may decide to jointly prosecute an action or proceeding after it has been instituted by one Party. The action shall then be continued in the name or names they both agree is expedient for efficient prosecution of such action. Alternatively, BCM and LICENSEE may agree to jointly institute an action against Third Party Activities in which case each of the Parties shall cooperate with the other Party as required of a Non-Instituting Party pursuant to Paragraph 9.7(iv). LICENSEE and BCM shall agree to the manner in which they shall exercise control over any joint action or proceeding, providing however that if they cannot agree, BCM shall have the right to unilaterally decide on control. In such joint action or proceeding, the out-of-pocket costs shall be borne equally, and any recovery or settlement shall be shared equally.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jc w:val="right"/>
              <w:ind w:right="670"/>
              <w:spacing w:after="0"/>
              <w:rPr>
                <w:sz w:val="20"/>
                <w:szCs w:val="20"/>
                <w:color w:val="auto"/>
              </w:rPr>
            </w:pPr>
            <w:r>
              <w:rPr>
                <w:rFonts w:ascii="Arial" w:cs="Arial" w:eastAsia="Arial" w:hAnsi="Arial"/>
                <w:sz w:val="18"/>
                <w:szCs w:val="18"/>
                <w:color w:val="auto"/>
              </w:rPr>
              <w:t>9.8</w:t>
            </w:r>
          </w:p>
        </w:tc>
        <w:tc>
          <w:tcPr>
            <w:tcW w:w="9760" w:type="dxa"/>
            <w:vAlign w:val="bottom"/>
            <w:gridSpan w:val="3"/>
          </w:tcPr>
          <w:p>
            <w:pPr>
              <w:spacing w:after="0"/>
              <w:rPr>
                <w:sz w:val="20"/>
                <w:szCs w:val="20"/>
                <w:color w:val="auto"/>
              </w:rPr>
            </w:pPr>
            <w:r>
              <w:rPr>
                <w:rFonts w:ascii="Arial" w:cs="Arial" w:eastAsia="Arial" w:hAnsi="Arial"/>
                <w:sz w:val="18"/>
                <w:szCs w:val="18"/>
                <w:color w:val="auto"/>
                <w:w w:val="92"/>
              </w:rPr>
              <w:t>Consent to Settle. Neither BCM nor LICENSEE shall settle any action covered by Paragraph 9.7 without first obtaining the consent of</w:t>
            </w:r>
          </w:p>
        </w:tc>
      </w:tr>
      <w:tr>
        <w:trPr>
          <w:trHeight w:val="20"/>
        </w:trPr>
        <w:tc>
          <w:tcPr>
            <w:tcW w:w="1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the other Party, which consent will not be unreasonably withheld.</w:t>
            </w:r>
          </w:p>
        </w:tc>
      </w:tr>
      <w:tr>
        <w:trPr>
          <w:trHeight w:val="392"/>
        </w:trPr>
        <w:tc>
          <w:tcPr>
            <w:tcW w:w="1640" w:type="dxa"/>
            <w:vAlign w:val="bottom"/>
          </w:tcPr>
          <w:p>
            <w:pPr>
              <w:jc w:val="right"/>
              <w:ind w:right="670"/>
              <w:spacing w:after="0"/>
              <w:rPr>
                <w:sz w:val="20"/>
                <w:szCs w:val="20"/>
                <w:color w:val="auto"/>
              </w:rPr>
            </w:pPr>
            <w:r>
              <w:rPr>
                <w:rFonts w:ascii="Arial" w:cs="Arial" w:eastAsia="Arial" w:hAnsi="Arial"/>
                <w:sz w:val="18"/>
                <w:szCs w:val="18"/>
                <w:color w:val="auto"/>
              </w:rPr>
              <w:t>9.9</w:t>
            </w:r>
          </w:p>
        </w:tc>
        <w:tc>
          <w:tcPr>
            <w:tcW w:w="9760" w:type="dxa"/>
            <w:vAlign w:val="bottom"/>
            <w:gridSpan w:val="3"/>
          </w:tcPr>
          <w:p>
            <w:pPr>
              <w:spacing w:after="0"/>
              <w:rPr>
                <w:sz w:val="20"/>
                <w:szCs w:val="20"/>
                <w:color w:val="auto"/>
              </w:rPr>
            </w:pPr>
            <w:r>
              <w:rPr>
                <w:rFonts w:ascii="Arial" w:cs="Arial" w:eastAsia="Arial" w:hAnsi="Arial"/>
                <w:sz w:val="18"/>
                <w:szCs w:val="18"/>
                <w:color w:val="auto"/>
                <w:w w:val="91"/>
              </w:rPr>
              <w:t>Defense of Infringement Claims. If any third party asserts a claim, demand, action, suit or proceeding against LICENSEE (or any of its</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Affiliates or Sublicensees), alleging that any Licensed Product, the use or practice of the Subject Technology or Patent Rights, infringes, misappropriates, misuses or violates, or breaches any confidence or other proprietary rights in, the intellectual property rights of any Person (any such claim, demand, action, suit or proceeding being referred to as and “</w:t>
      </w:r>
      <w:r>
        <w:rPr>
          <w:rFonts w:ascii="Arial" w:cs="Arial" w:eastAsia="Arial" w:hAnsi="Arial"/>
          <w:sz w:val="16"/>
          <w:szCs w:val="16"/>
          <w:b w:val="1"/>
          <w:bCs w:val="1"/>
          <w:color w:val="auto"/>
        </w:rPr>
        <w:t>Infringement Claim</w:t>
      </w:r>
      <w:r>
        <w:rPr>
          <w:rFonts w:ascii="Arial" w:cs="Arial" w:eastAsia="Arial" w:hAnsi="Arial"/>
          <w:sz w:val="16"/>
          <w:szCs w:val="16"/>
          <w:color w:val="auto"/>
        </w:rPr>
        <w:t>”), LICENSEE shall promptly notify BCM in writing specifying the facts, to the extent known, in reasonable detail. In the case of any such Infringement Claim, LICENSEE shall assume control of the defense and shall have the exclusive right to settle any Infringement Claim against LICENSEE without the consent of BCM; provided, however, if such settlement requires any payment from BCM or decrease in BCM’s rights under this Agreement, LICENSEE shall be required to obtain BCM’s consent, which consent will not be unreasonably withheld.</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Liability for Losses.</w:t>
      </w:r>
      <w:r>
        <w:rPr>
          <w:rFonts w:ascii="Arial" w:cs="Arial" w:eastAsia="Arial" w:hAnsi="Arial"/>
          <w:sz w:val="18"/>
          <w:szCs w:val="18"/>
          <w:color w:val="auto"/>
        </w:rPr>
        <w:t xml:space="preserve"> Subject to Paragraph 16.1, BCM shall not be liable for any losses incurred as the result of an action for infringement brought against LICENSEE as the result of LICENSEE’s exercise of any right granted under this Agreement. The decision to defend or not defend shall be in LICENSEE’s sole discretion.</w:t>
      </w:r>
    </w:p>
    <w:p>
      <w:pPr>
        <w:spacing w:after="0" w:line="181" w:lineRule="exact"/>
        <w:rPr>
          <w:sz w:val="20"/>
          <w:szCs w:val="20"/>
          <w:color w:val="auto"/>
        </w:rPr>
      </w:pPr>
    </w:p>
    <w:p>
      <w:pPr>
        <w:ind w:left="720" w:hanging="712"/>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Unless sooner terminated as otherwise provided in Section 11, the license to employ Patent Rights and Subject Technology granted herein as part of Section 2 shall expire on a Licensed Product-by-Licensed Product and country-by-country basis, on the later of (i) the date of expiration of the last Valid</w:t>
      </w:r>
    </w:p>
    <w:p>
      <w:pPr>
        <w:jc w:val="both"/>
        <w:spacing w:after="0" w:line="224" w:lineRule="auto"/>
        <w:rPr>
          <w:sz w:val="20"/>
          <w:szCs w:val="20"/>
          <w:color w:val="auto"/>
        </w:rPr>
      </w:pPr>
      <w:r>
        <w:rPr>
          <w:rFonts w:ascii="Arial" w:cs="Arial" w:eastAsia="Arial" w:hAnsi="Arial"/>
          <w:sz w:val="18"/>
          <w:szCs w:val="18"/>
          <w:color w:val="auto"/>
        </w:rPr>
        <w:t>Claim of the Patent Rights to expire that covers the sale of such Licensed Product in such country or (ii) the first date following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first commercial Sale of the first Licensed Product by LICENSEE in such country (“</w:t>
      </w:r>
      <w:r>
        <w:rPr>
          <w:rFonts w:ascii="Arial" w:cs="Arial" w:eastAsia="Arial" w:hAnsi="Arial"/>
          <w:sz w:val="18"/>
          <w:szCs w:val="18"/>
          <w:b w:val="1"/>
          <w:bCs w:val="1"/>
          <w:color w:val="auto"/>
        </w:rPr>
        <w:t>Term</w:t>
      </w:r>
      <w:r>
        <w:rPr>
          <w:rFonts w:ascii="Arial" w:cs="Arial" w:eastAsia="Arial" w:hAnsi="Arial"/>
          <w:sz w:val="18"/>
          <w:szCs w:val="18"/>
          <w:color w:val="auto"/>
        </w:rPr>
        <w:t>”). After such expiration, but not termination, the licenses granted to LICENSEE pursuant to Section 2 shall survive and become perpetual, paid-in-full (</w:t>
      </w:r>
      <w:r>
        <w:rPr>
          <w:rFonts w:ascii="Arial" w:cs="Arial" w:eastAsia="Arial" w:hAnsi="Arial"/>
          <w:sz w:val="18"/>
          <w:szCs w:val="18"/>
          <w:i w:val="1"/>
          <w:iCs w:val="1"/>
          <w:color w:val="auto"/>
        </w:rPr>
        <w:t>i.e.</w:t>
      </w:r>
      <w:r>
        <w:rPr>
          <w:rFonts w:ascii="Arial" w:cs="Arial" w:eastAsia="Arial" w:hAnsi="Arial"/>
          <w:sz w:val="18"/>
          <w:szCs w:val="18"/>
          <w:color w:val="auto"/>
        </w:rPr>
        <w:t>, royalty-free) license in such country and with respect to such Licensed Product.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Termination for Default</w:t>
      </w:r>
      <w:r>
        <w:rPr>
          <w:rFonts w:ascii="Arial" w:cs="Arial" w:eastAsia="Arial" w:hAnsi="Arial"/>
          <w:sz w:val="17"/>
          <w:szCs w:val="17"/>
          <w:color w:val="auto"/>
        </w:rPr>
        <w:t>. In the event of material default or failure by LICENSEE of its overall obligations under this Agreement to perform any of the terms, covenants or provisions of this Agreement, including failure to make timely payment, taken as a whole, LICENSEE shall have thirty (30) days after BCM has provided written notice of such material default or failure to correct such default or failure. BCM shall not have the right to cancel and terminate this Agreement if LICENSEE has cured or corrected the default or failure before the end of such thirty (30) calendar day notice period and so notifies BCM, stating the manner of the cure as set forth in Section 11.1(i). If such material default or failure is not cured or corrected within such thirty (30) day period, BCM shall have the right, at its option, to cancel and terminate this Agreement. The failure of BCM to exercise such right of termination, for non-payment of Royalties/fees or otherwise, shall not be deemed to be a waiver of any right BCM might have, nor shall such failure preclude BCM from exercising or enforcing said right upon any subsequent failure by LICENSEE.</w:t>
      </w:r>
    </w:p>
    <w:p>
      <w:pPr>
        <w:spacing w:after="0" w:line="179" w:lineRule="exact"/>
        <w:rPr>
          <w:sz w:val="20"/>
          <w:szCs w:val="20"/>
          <w:color w:val="auto"/>
        </w:rPr>
      </w:pPr>
    </w:p>
    <w:p>
      <w:pPr>
        <w:jc w:val="both"/>
        <w:ind w:firstLine="1629"/>
        <w:spacing w:after="0" w:line="276" w:lineRule="auto"/>
        <w:tabs>
          <w:tab w:leader="none" w:pos="2331"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the foregoing, if a material default or failure is not susceptible to cure within the cure period specified in this Section 11.1, BCM’s right of termination shall be suspended only if, and for so long as, (i) LICENSEE has provided BCM with a written plan that is reasonably calculated to effect a cure, (ii) such plan is reasonably acceptable to BCM, provided acceptance of such a plan is at BCM’s sole but reasonable discretion; and (iii) LICENSEE commits to and does carry out such plan; provided, however, that, unless mutually agreed by the Parties in such plan, in no event shall such suspension of the BCM’s right to terminated extend beyond sixty (60) days after the original cure period.</w:t>
      </w:r>
    </w:p>
    <w:p>
      <w:pPr>
        <w:spacing w:after="0" w:line="172" w:lineRule="exact"/>
        <w:rPr>
          <w:rFonts w:ascii="Arial" w:cs="Arial" w:eastAsia="Arial" w:hAnsi="Arial"/>
          <w:sz w:val="17"/>
          <w:szCs w:val="17"/>
          <w:color w:val="auto"/>
        </w:rPr>
      </w:pPr>
    </w:p>
    <w:p>
      <w:pPr>
        <w:jc w:val="both"/>
        <w:ind w:firstLine="1629"/>
        <w:spacing w:after="0" w:line="257" w:lineRule="auto"/>
        <w:tabs>
          <w:tab w:leader="none" w:pos="24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the foregoing, if either Party is alleged to be in material breach and disputes such termination through the dispute resolution procedures set forth in this Agreement, then the other Party’s right to terminate this Agreement shall be tolled for so long as such dispute resolution procedures are being pursued by the allegedly breaching Party in good faith, and if it is finally and conclusively determined that the allegedly breaching Party is in material breach, then the breaching Party shall have the right to cure such material breach after such determination within the cure period provided in this Section 11.1.</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xml:space="preserve"> BCM shall have the right, at its option, to cancel and terminate this Agreement in the event that LICENSEE shall (i) become involved in insolvency, dissolution, bankruptcy or receivership proceedings affecting the operation of its business or (ii) make an assignment of all or substantially all of its assets for the benefit of creditors, or in the event that (iii) a receiver or trustee is appointed for LICENSEE and LICENSEE shall, after the expiration of thirty (30) days following any of the events enumerated above, have been unable to secure a dismissal, stay or other suspension of such proceedings.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by Licensee.</w:t>
      </w:r>
      <w:r>
        <w:rPr>
          <w:rFonts w:ascii="Arial" w:cs="Arial" w:eastAsia="Arial" w:hAnsi="Arial"/>
          <w:sz w:val="18"/>
          <w:szCs w:val="18"/>
          <w:color w:val="auto"/>
        </w:rPr>
        <w:t xml:space="preserve"> LICENSEE shall have the right in its sole discretion to terminate this Agreement upon sixty 60) days written notice to BCM.</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Subject to Section 10, in the event of termination of this Agreement, but not expiration, all rights to the Subject Technology and Patent Rights shall revert to BCM, except to the extent necessary to exercise any surviving right or license hereunder. Except as expressly set forth herein, at the date of any early termination of this Agreement, LICENSEE and any Sublicensee shall immediately cease using any of the Subject Technology and Patent Rights and LICENSEE and any Sublicensee in possession of any Subject Technology shall immediately destroy any Subject Technology in its possession and send to BCM a written affirmation of such destruction signed by an officer of LICENSEE and each such Sublicensee; provided, however, that LICENSEE, its Affiliates and Sublicensees may sell any Licensed Products actually in the possession of LICENSEE, such Affiliates or Sublicensees on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date of termination, provided that LICENSEE continues to submit royalty reports to BCM and pays to BCM the Royalties on all such sales in accordance with Paragraph 5.3 with respect thereto and otherwise complying with the terms of this Agreement and sell all Licensed Products within six (6) months after the effective date of termination.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Effect of Termination on Sublicensees</w:t>
      </w:r>
      <w:r>
        <w:rPr>
          <w:rFonts w:ascii="Arial" w:cs="Arial" w:eastAsia="Arial" w:hAnsi="Arial"/>
          <w:sz w:val="17"/>
          <w:szCs w:val="17"/>
          <w:color w:val="auto"/>
        </w:rPr>
        <w:t>. LICENSEE shall provide, in all sublicenses granted by it under this Agreement, that LICENSEE’s interest in such sublicenses shall, at BCM’s option, terminate or be assigned to BCM upon termination of this Agreement, provided, however, that any validly issued sublicense in good standing on the date of termination shall survive any termination or expiration of this Agreement provided that the Sublicensee agrees to be bound by the applicable terms of this Agreement with respect to activities of the Sublicensee under such sublicense.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No Refund</w:t>
      </w:r>
      <w:r>
        <w:rPr>
          <w:rFonts w:ascii="Arial" w:cs="Arial" w:eastAsia="Arial" w:hAnsi="Arial"/>
          <w:sz w:val="18"/>
          <w:szCs w:val="18"/>
          <w:color w:val="auto"/>
        </w:rPr>
        <w:t>. In the event this Agreement is terminated pursuant to this Section 11, or expires as provided for in Section 10, BCM is under no obligation to refund any payments made by LICENSEE to BCM prior to the effective date of such termination or expiration.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Survival of Termination.</w:t>
      </w:r>
      <w:r>
        <w:rPr>
          <w:rFonts w:ascii="Arial" w:cs="Arial" w:eastAsia="Arial" w:hAnsi="Arial"/>
          <w:sz w:val="18"/>
          <w:szCs w:val="18"/>
          <w:color w:val="auto"/>
        </w:rPr>
        <w:t xml:space="preserve"> No termination of this Agreement shall constitute a termination or a waiver of any rights of either Party against the other Party accruing at or prior to the time of such termination. The obligations of Sections 4, 5, 7, 11</w:t>
      </w:r>
      <w:r>
        <w:rPr>
          <w:rFonts w:ascii="Arial" w:cs="Arial" w:eastAsia="Arial" w:hAnsi="Arial"/>
          <w:sz w:val="18"/>
          <w:szCs w:val="18"/>
          <w:color w:val="0000FF"/>
        </w:rPr>
        <w:t>,</w:t>
      </w:r>
      <w:r>
        <w:rPr>
          <w:rFonts w:ascii="Arial" w:cs="Arial" w:eastAsia="Arial" w:hAnsi="Arial"/>
          <w:sz w:val="18"/>
          <w:szCs w:val="18"/>
          <w:color w:val="auto"/>
        </w:rPr>
        <w:t xml:space="preserve"> 13, 14, 15, 16, 17 and 18 shall survive termination of this Agreement.</w:t>
      </w:r>
    </w:p>
    <w:p>
      <w:pPr>
        <w:spacing w:after="0" w:line="181"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ASSIGNABILITY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Without the prior written approval of BCM, which will not be unreasonably withheld, neither this Agreement nor the rights granted hereunder shall be transferred or assigned in whole or in part by LICENSEE to any person or entity whether voluntarily or involuntarily, by operation of law or otherwise. Notwithstanding the foregoing, LICENSEE may assign this Agreement and its rights and obligations hereunder without BCM’s consent, (i) in connection with the transfer or sale of all or substantially all of its assets or the business of LICENSEE to which this Agreement relates, (ii) in connection with the closing of the TapImmune Transaction or any other merger, reorganization or similar transaction effected within nine (9) months of the Agreement Date, or</w:t>
      </w:r>
    </w:p>
    <w:p>
      <w:pPr>
        <w:spacing w:after="0" w:line="2" w:lineRule="exact"/>
        <w:rPr>
          <w:sz w:val="20"/>
          <w:szCs w:val="20"/>
          <w:color w:val="auto"/>
        </w:rPr>
      </w:pPr>
    </w:p>
    <w:p>
      <w:pPr>
        <w:jc w:val="both"/>
        <w:ind w:firstLine="8"/>
        <w:spacing w:after="0" w:line="254" w:lineRule="auto"/>
        <w:tabs>
          <w:tab w:leader="none" w:pos="3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any Affiliate; so long as, in each case, LICENSEE gives BCM prompt notice of such action and the successor entity or Affiliate, as the case may be, acknowledges its consent and agreement to the terms of this Agreement in writing before or contemporaneously with such assignment; and so long as such action is not entered into solely to satisfy creditors of LICENSEE. This Agreement shall be binding upon and shall inure to the benefit of the respective successors, legal representatives and assignees of each of the Parties.</w:t>
      </w:r>
    </w:p>
    <w:p>
      <w:pPr>
        <w:spacing w:after="0" w:line="190" w:lineRule="exact"/>
        <w:rPr>
          <w:sz w:val="20"/>
          <w:szCs w:val="20"/>
          <w:color w:val="auto"/>
        </w:rPr>
      </w:pPr>
    </w:p>
    <w:p>
      <w:pPr>
        <w:ind w:left="720" w:hanging="712"/>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GOVERNMENTAL COMPLIANCE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xml:space="preserve"> LICENSEE shall at all times during the Term of this Agreement and for so long as it shall use the Subject Technology and/or Patent Rights, or sell Licensed Products, conduct its activities under this Agreement, and require its Sublicensees to conduct their activities under this Agreement, in compliance in all material respects with all laws that may control the import, export, manufacture, use, sale, marketing, distribution and other commercial exploitation of the Subject Technology, Patent Rights, Licensed Products or any other activity undertaken pursuant to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Requirement for U.S. Manufacture</w:t>
      </w:r>
      <w:r>
        <w:rPr>
          <w:rFonts w:ascii="Arial" w:cs="Arial" w:eastAsia="Arial" w:hAnsi="Arial"/>
          <w:sz w:val="18"/>
          <w:szCs w:val="18"/>
          <w:color w:val="auto"/>
        </w:rPr>
        <w:t>. If required by U.S. law, LICENSEE agrees that Licensed Products leased or sold in the United States shall be manufactured substantially in the United States. BCM shall reasonably cooperate with and assist LICENSEE, at LICENSEE’s request and expense, to obtain waivers to such requirement.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Export Control Regulations.</w:t>
      </w:r>
      <w:r>
        <w:rPr>
          <w:rFonts w:ascii="Arial" w:cs="Arial" w:eastAsia="Arial" w:hAnsi="Arial"/>
          <w:sz w:val="17"/>
          <w:szCs w:val="17"/>
          <w:color w:val="auto"/>
        </w:rPr>
        <w:t xml:space="preserve"> The Subject Technology is subject to, and LICENSEE agrees to comply in all respects with, U.S. law including but not limited to U.S. export controls under the Export Administration Regulations (15 C.F.R. Part 734 et seq.) and U.S. economic sanctions and embargoes codified in 31 C.F.R. Chapter V. LICENSEE agrees that LICENSEE bears sole responsibility for understanding and complying with current U.S. trade controls laws and regulations as applicable to its activities subject to this Agreement. Without limitation on the general agreement to comply set forth in the first sentence of this Section 13.3, LICENSEE agrees not to sell any goods, services, or technologies subject to this Agreement, or to release or disclose or re-export the same: (i) to any destination prohibited by U.S. law, including any destination subject to U.S. economic embargo; (ii) to any end-user prohibited by U.S. law, including any person or entity listed on the U.S. government’s Specially Designated Nationals list, Denied Persons List, Debarred Parties List, Unverified List, or Entities List; (iii) to any foreign national in the U.S. or abroad without prior license if required; or (iv) to any user, for any use, or to any destination without prior license if required.</w:t>
      </w:r>
    </w:p>
    <w:p>
      <w:pPr>
        <w:spacing w:after="0" w:line="182" w:lineRule="exact"/>
        <w:rPr>
          <w:sz w:val="20"/>
          <w:szCs w:val="20"/>
          <w:color w:val="auto"/>
        </w:rPr>
      </w:pPr>
    </w:p>
    <w:p>
      <w:pPr>
        <w:ind w:left="720" w:hanging="71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Amicable Resolution.</w:t>
      </w:r>
      <w:r>
        <w:rPr>
          <w:rFonts w:ascii="Arial" w:cs="Arial" w:eastAsia="Arial" w:hAnsi="Arial"/>
          <w:sz w:val="18"/>
          <w:szCs w:val="18"/>
          <w:color w:val="auto"/>
        </w:rPr>
        <w:t xml:space="preserve"> The Parties shall attempt to settle any controversy between them amicably. To this end, a senior executive from each Party shall consult and negotiate to reach a solution</w:t>
      </w:r>
      <w:r>
        <w:rPr>
          <w:rFonts w:ascii="Arial" w:cs="Arial" w:eastAsia="Arial" w:hAnsi="Arial"/>
          <w:sz w:val="18"/>
          <w:szCs w:val="18"/>
          <w:color w:val="0000FF"/>
        </w:rPr>
        <w:t>.</w:t>
      </w:r>
      <w:r>
        <w:rPr>
          <w:rFonts w:ascii="Arial" w:cs="Arial" w:eastAsia="Arial" w:hAnsi="Arial"/>
          <w:sz w:val="18"/>
          <w:szCs w:val="18"/>
          <w:color w:val="auto"/>
        </w:rPr>
        <w:t xml:space="preserve"> The Parties agree that the period of amicable resolution shall toll any otherwise applicable statute of limitations.</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Failure to Amicably Resolve</w:t>
      </w:r>
      <w:r>
        <w:rPr>
          <w:rFonts w:ascii="Arial" w:cs="Arial" w:eastAsia="Arial" w:hAnsi="Arial"/>
          <w:sz w:val="16"/>
          <w:szCs w:val="16"/>
          <w:color w:val="auto"/>
        </w:rPr>
        <w:t>. If the senior executives from each Party fail to meet or if the matter remains unresolved for a period of sixty</w:t>
      </w:r>
    </w:p>
    <w:p>
      <w:pPr>
        <w:spacing w:after="0" w:line="23" w:lineRule="exact"/>
        <w:rPr>
          <w:sz w:val="20"/>
          <w:szCs w:val="20"/>
          <w:color w:val="auto"/>
        </w:rPr>
      </w:pPr>
    </w:p>
    <w:p>
      <w:pPr>
        <w:jc w:val="both"/>
        <w:ind w:firstLine="8"/>
        <w:spacing w:after="0" w:line="253" w:lineRule="auto"/>
        <w:tabs>
          <w:tab w:leader="none" w:pos="3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days, then either Party may initiate proceedings to resolve such dispute in accordance with this Section 14.2. The parties hereby irrevocably submit to the jurisdiction of a state or federal court of competent jurisdiction in Harris County, Texas, agree that any litigated dispute will be conducted solely in such courts and, by execution and delivery of this Agreement, each (a) accepts, generally and unconditionally, the jurisdiction of such court and any related appellate court and (b) irrevocably waives any objection it may now or hereafter have as to the venue of any such suit, action or proceeding brought in such court or that such court is an inconvenient forum.</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Construction and Jurisdiction</w:t>
      </w:r>
      <w:r>
        <w:rPr>
          <w:rFonts w:ascii="Arial" w:cs="Arial" w:eastAsia="Arial" w:hAnsi="Arial"/>
          <w:sz w:val="18"/>
          <w:szCs w:val="18"/>
          <w:color w:val="auto"/>
        </w:rPr>
        <w:t>. This Agreement shall be deemed to be subject to, and have been made under, and shall be construed and interpreted in accordance with the laws of the State of Texas. No conflict-of-laws rule or law that might refer such construction and interpretation to the laws of another state, republic, or country shall be considered. This Agreement is performable in part in Harris County, Texas, and the Parties mutually agree that personal jurisdiction and venue shall be proper in the state and federal courts situated in Harris County, Texas, and agree that any litigated dispute will be conducted solely in such courts.</w:t>
      </w:r>
    </w:p>
    <w:p>
      <w:pPr>
        <w:spacing w:after="0" w:line="188" w:lineRule="exact"/>
        <w:rPr>
          <w:sz w:val="20"/>
          <w:szCs w:val="20"/>
          <w:color w:val="auto"/>
        </w:rPr>
      </w:pPr>
    </w:p>
    <w:p>
      <w:pPr>
        <w:ind w:left="720" w:hanging="712"/>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Addresses for Notices</w:t>
      </w:r>
      <w:r>
        <w:rPr>
          <w:rFonts w:ascii="Arial" w:cs="Arial" w:eastAsia="Arial" w:hAnsi="Arial"/>
          <w:sz w:val="18"/>
          <w:szCs w:val="18"/>
          <w:color w:val="auto"/>
        </w:rPr>
        <w:t>. All notices, reports or other communication pursuant to this Agreement shall be sent to such Party via (i) United States Postal Service postage prepaid, (ii) overnight courier, or (iii) facsimile transmission, addressed to it at its address set forth below or as it shall designate by written notice given to the other Party. Notice shall be sufficiently made, or given and received (a) on the date of mailing or (b) when a facsimile printer (or similar facsimile transmission technology) reflects transmission.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BCM: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Patrick Turley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Associate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Baylor College of Medicine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Baylor Plaza, BCM210-600D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No. 713-798-6821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No. 713-798-1252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blg@bcm.tmc.edu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LICENSEE: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President &amp; CEO</w:t>
      </w:r>
    </w:p>
    <w:p>
      <w:pPr>
        <w:ind w:left="660"/>
        <w:spacing w:after="0" w:line="186" w:lineRule="auto"/>
        <w:rPr>
          <w:sz w:val="20"/>
          <w:szCs w:val="20"/>
          <w:color w:val="auto"/>
        </w:rPr>
      </w:pPr>
      <w:r>
        <w:rPr>
          <w:rFonts w:ascii="Arial" w:cs="Arial" w:eastAsia="Arial" w:hAnsi="Arial"/>
          <w:sz w:val="18"/>
          <w:szCs w:val="18"/>
          <w:color w:val="auto"/>
        </w:rPr>
        <w:t>33 5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N.W.</w:t>
      </w:r>
    </w:p>
    <w:p>
      <w:pPr>
        <w:ind w:left="660"/>
        <w:spacing w:after="0"/>
        <w:rPr>
          <w:sz w:val="20"/>
          <w:szCs w:val="20"/>
          <w:color w:val="auto"/>
        </w:rPr>
      </w:pPr>
      <w:r>
        <w:rPr>
          <w:rFonts w:ascii="Arial" w:cs="Arial" w:eastAsia="Arial" w:hAnsi="Arial"/>
          <w:sz w:val="18"/>
          <w:szCs w:val="18"/>
          <w:color w:val="auto"/>
        </w:rPr>
        <w:t>New Brighton, Minnesota</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No. 651-628-9259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No. 651-628-9507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john.wilson@wilsonwolf.com</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Use of Reference Number.</w:t>
      </w:r>
      <w:r>
        <w:rPr>
          <w:rFonts w:ascii="Arial" w:cs="Arial" w:eastAsia="Arial" w:hAnsi="Arial"/>
          <w:sz w:val="18"/>
          <w:szCs w:val="18"/>
          <w:color w:val="auto"/>
        </w:rPr>
        <w:t xml:space="preserve"> Each such report, notice or other communication shall include </w:t>
      </w:r>
      <w:r>
        <w:rPr>
          <w:rFonts w:ascii="Arial" w:cs="Arial" w:eastAsia="Arial" w:hAnsi="Arial"/>
          <w:sz w:val="18"/>
          <w:szCs w:val="18"/>
          <w:b w:val="1"/>
          <w:bCs w:val="1"/>
          <w:color w:val="auto"/>
        </w:rPr>
        <w:t>BLG number(s)</w:t>
      </w:r>
      <w:r>
        <w:rPr>
          <w:rFonts w:ascii="Arial" w:cs="Arial" w:eastAsia="Arial" w:hAnsi="Arial"/>
          <w:sz w:val="18"/>
          <w:szCs w:val="18"/>
          <w:color w:val="auto"/>
        </w:rPr>
        <w:t xml:space="preserve"> listed on the front page of this Agreement.</w:t>
      </w:r>
    </w:p>
    <w:p>
      <w:pPr>
        <w:spacing w:after="0" w:line="166"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INDEMNITY, INSURANCE &amp; WARRANTIES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u w:val="single" w:color="auto"/>
          <w:color w:val="auto"/>
        </w:rPr>
        <w:t>INDEMNITY.</w:t>
      </w:r>
    </w:p>
    <w:p>
      <w:pPr>
        <w:spacing w:after="0" w:line="225" w:lineRule="exact"/>
        <w:rPr>
          <w:sz w:val="20"/>
          <w:szCs w:val="20"/>
          <w:color w:val="auto"/>
        </w:rPr>
      </w:pPr>
    </w:p>
    <w:p>
      <w:pPr>
        <w:jc w:val="both"/>
        <w:ind w:firstLine="1629"/>
        <w:spacing w:after="0" w:line="268" w:lineRule="auto"/>
        <w:tabs>
          <w:tab w:leader="none" w:pos="23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PARTY SHALL NOTIFY THE OTHER OF ANY CLAIM, LAWSUIT OR OTHER PROCEEDING RELATED TO THE SUBJECT TECHNOLOGY AND PATENT RIGHTS. LICENSEE AGREES THAT IT WILL DEFEND, INDEMNIFY AND HOLD HARMLESS BCM, ITS FACULTY MEMBERS, SCIENTISTS, RESEARCHERS, EMPLOYEES, STUDENTS, OFFICERS, TRUSTEES AND AGENTS AND EACH OF THEM (THE “</w:t>
      </w:r>
      <w:r>
        <w:rPr>
          <w:rFonts w:ascii="Arial" w:cs="Arial" w:eastAsia="Arial" w:hAnsi="Arial"/>
          <w:sz w:val="17"/>
          <w:szCs w:val="17"/>
          <w:b w:val="1"/>
          <w:bCs w:val="1"/>
          <w:color w:val="auto"/>
        </w:rPr>
        <w:t>INDEMNIFIED PARTIES</w:t>
      </w:r>
      <w:r>
        <w:rPr>
          <w:rFonts w:ascii="Arial" w:cs="Arial" w:eastAsia="Arial" w:hAnsi="Arial"/>
          <w:sz w:val="17"/>
          <w:szCs w:val="17"/>
          <w:color w:val="auto"/>
        </w:rPr>
        <w:t>”) FROM AND AGAINST ANY AND ALL CLAIMS, CAUSES OF ACTION, LAWSUITS OR OTHER PROCEEDINGS (THE “</w:t>
      </w:r>
      <w:r>
        <w:rPr>
          <w:rFonts w:ascii="Arial" w:cs="Arial" w:eastAsia="Arial" w:hAnsi="Arial"/>
          <w:sz w:val="17"/>
          <w:szCs w:val="17"/>
          <w:b w:val="1"/>
          <w:bCs w:val="1"/>
          <w:color w:val="auto"/>
        </w:rPr>
        <w:t>BCM CLAIMS</w:t>
      </w:r>
      <w:r>
        <w:rPr>
          <w:rFonts w:ascii="Arial" w:cs="Arial" w:eastAsia="Arial" w:hAnsi="Arial"/>
          <w:sz w:val="17"/>
          <w:szCs w:val="17"/>
          <w:color w:val="auto"/>
        </w:rPr>
        <w:t>”) FILED OR OTHERWISE INSTITUTED AGAINST ANY OF THE INDEMNIFIED PARTIES RELATED DIRECTLY OR INDIRECTLY TO OR ARISING OUT OF THE DESIGN, PROCESS, MANUFACTURE OR USE BY THIRD PARTY OF THE LICENSED PRODUCTS EVEN THOUGH SUCH BCM CLAIMS AND THE LIABILITIES, COSTS (INCLUDING, BUT NOT LIMITED TO, THE PAYMENT OF ALL REASONABLE ATTORNEYS' FEES AND COSTS OF LITIGATION OR OTHER DEFENSE) RELATED THERETO RESULT IN WHOLE OR IN PART FROM THE NEGLIGENCE OF ANY OF THE INDEMNIFIED PARTIES OR ARE BASED UPON DOCTRINES OF STRICT LIABILITY OR PRODUCT LIABILITY; PROVIDED, HOWEVER, THAT SUCH INDEMNITY SHALL NOT APPLY TO ANY BCM CLAIMS ARISING FROM THE GROSS NEGLIGENCE OR INTENTIONAL MISCONDUCT OF ANY INDEMNIFIED PARTY. LICENSEE WILL ALSO ASSUME RESPONSIBILITY FOR ALL REASONABLE COSTS AND EXPENSES RELATED TO SUCH BCM CLAIMS FOR WHICH IT IS OBLIGATED TO INDEMNIFY THE INDEMNIFIED PARTIES PURSUANT TO THIS PARAGRAPH 16.1, INCLUDING, BUT NOT LIMITED TO, THE PAYMENT OF ALL REASONABLE ATTORNEYS' FEES AND COSTS OF LITIGATION OR OTHER DEFENSE.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1629"/>
        <w:spacing w:after="0" w:line="264" w:lineRule="auto"/>
        <w:tabs>
          <w:tab w:leader="none" w:pos="25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LICENSEE FURTHER AGREES NOT TO SETTLE ANY CLAIM AGAINST AN INDEMNIFIED PARTY WITHOUT THE INDEMNIFIED PARTY’S WRITTEN CONSENT WHICH CONSENT SHALL NOT BE UNREASONABLY WITHHELD. LICENSEE FURTHER AGREES TO KEEP THE INDEMNIFIED PARTIES FULLY APPRISED OF THE BCM CLAIMS.</w:t>
      </w:r>
    </w:p>
    <w:p>
      <w:pPr>
        <w:spacing w:after="0" w:line="181" w:lineRule="exact"/>
        <w:rPr>
          <w:rFonts w:ascii="Arial" w:cs="Arial" w:eastAsia="Arial" w:hAnsi="Arial"/>
          <w:sz w:val="18"/>
          <w:szCs w:val="18"/>
          <w:color w:val="auto"/>
        </w:rPr>
      </w:pPr>
    </w:p>
    <w:p>
      <w:pPr>
        <w:jc w:val="both"/>
        <w:ind w:firstLine="1629"/>
        <w:spacing w:after="0" w:line="255" w:lineRule="auto"/>
        <w:tabs>
          <w:tab w:leader="none" w:pos="28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NO EVENT SHALL EITHER PARTY BE LIABLE FOR ANY CONSEQUENTIAL, INDIRECT, SPECIAL, INCIDENTAL, OR PUNITIVE DAMAGES ARISING OUT OF OR IN CONNECTION WITH THIS AGREEMENT, INCLUDING BUT NOT LIMITED TO LOSS OF ANTICIPATED PROFIT, FROM ITS PERFORMANCE OR NONPERFORMANCE OF ITS OBLIGATIONS UNDER THIS AGREEMENT, EXCEPT TO THE EXTENT ANY OF THE FOREGOING DAMAGES OR LOSSES (A) ARE SUBJECT TO ANY THIRD PARTY CLAIMS, OR (B) ARE DETERMINED BY A COURT OF COMPETENT JURISDICTION TO BE THE APPROPRIATE MEASURE OF DIRECT DAMAGES WITH RESPECT TO THE MATTERS GIVING RISE TO THE CLAIM.</w:t>
      </w:r>
    </w:p>
    <w:p>
      <w:pPr>
        <w:spacing w:after="0" w:line="19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5" w:lineRule="exact"/>
        <w:rPr>
          <w:sz w:val="20"/>
          <w:szCs w:val="20"/>
          <w:color w:val="auto"/>
        </w:rPr>
      </w:pPr>
    </w:p>
    <w:p>
      <w:pPr>
        <w:jc w:val="both"/>
        <w:ind w:firstLine="1629"/>
        <w:spacing w:after="0" w:line="288" w:lineRule="auto"/>
        <w:tabs>
          <w:tab w:leader="none" w:pos="2358" w:val="left"/>
        </w:tabs>
        <w:numPr>
          <w:ilvl w:val="1"/>
          <w:numId w:val="99"/>
        </w:numPr>
        <w:rPr>
          <w:rFonts w:ascii="Arial" w:cs="Arial" w:eastAsia="Arial" w:hAnsi="Arial"/>
          <w:sz w:val="16"/>
          <w:szCs w:val="16"/>
          <w:color w:val="auto"/>
        </w:rPr>
      </w:pPr>
      <w:r>
        <w:rPr>
          <w:rFonts w:ascii="Arial" w:cs="Arial" w:eastAsia="Arial" w:hAnsi="Arial"/>
          <w:sz w:val="16"/>
          <w:szCs w:val="16"/>
          <w:color w:val="auto"/>
        </w:rPr>
        <w:t>LICENSEE shall maintain insurance with creditworthy insurance in accordance with Applicable Laws against such risks and consistent with prevailing business practices utilized by Person's of similar size, type and stage of development to develop products similar to the Licensed Products and reasonable in light of LICENSEE'S level of resources, business operations and availability of coverage, which coverage shall not be less than:</w:t>
      </w:r>
    </w:p>
    <w:p>
      <w:pPr>
        <w:jc w:val="both"/>
        <w:ind w:firstLine="8"/>
        <w:spacing w:after="0" w:line="254" w:lineRule="auto"/>
        <w:tabs>
          <w:tab w:leader="none" w:pos="2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worker's compensation insurance within statutory limits, (b) general liability insurance (with Broad Form General Liability endorsement) with limits of not less than one million dollars ($1,000,000) per occurrence with an annual aggregate of two million dollars ($2,000,000) and (c) upon initiation of any human clinical study, products liability insurance, with limits of not less than three million dollars ($3,000,000) per occurrence with an annual aggregate of five million dollars ($5,000,000).</w:t>
      </w:r>
    </w:p>
    <w:p>
      <w:pPr>
        <w:spacing w:after="0" w:line="189" w:lineRule="exact"/>
        <w:rPr>
          <w:rFonts w:ascii="Arial" w:cs="Arial" w:eastAsia="Arial" w:hAnsi="Arial"/>
          <w:sz w:val="18"/>
          <w:szCs w:val="18"/>
          <w:color w:val="auto"/>
        </w:rPr>
      </w:pPr>
    </w:p>
    <w:p>
      <w:pPr>
        <w:jc w:val="both"/>
        <w:ind w:firstLine="1629"/>
        <w:spacing w:after="0" w:line="273" w:lineRule="auto"/>
        <w:tabs>
          <w:tab w:leader="none" w:pos="265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At such time that LICENSEE receives commercialization approval from a national regulatory body for any Licensed Product(s), LICENSEE shall for so long as LICENSEE manufactures, uses or sells any Licensed Product(s), maintain in full force and effect policies of (a) worker's compensation insurance within statutory limits, (b) employers' liability insurance with limits of not less than one million dollars ($1,000,000) per occurrence, (c) general liability insurance (with Broad Form General Liability endorsement) with limits of not less than twenty million dollars ($20,000,000) per occurrence with an annual aggregate of forty million dollars ($40,000,000) and (d) products liability insurance, with limits of not less than ten million dollars ($10,000,000) per occurrence with an annual aggregate of twenty five million dollars ($25,000,000).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1629"/>
        <w:spacing w:after="0" w:line="273" w:lineRule="auto"/>
        <w:tabs>
          <w:tab w:leader="none" w:pos="244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coverage(s) shall be purchased from a carrier or carriers having an A. M. Best rating of at least A- (A minus) and shall name BCM as an additional insured. LICENSEE shall provide to BCM copies of certificates of insurance within thirty (30) days after execution of this Agreement. Upon request by BCM, LICENSEE shall provide to BCM copies of said policies of insurance. It is the intention of the Parties hereto that LICENSEE shall, throughout the Term of this Agreement and for any period in which the statute of limitations has not expired, continuously and without interruption, maintain in force the required insurance coverages set forth in this Paragraph 16.2. Failure of LICENSEE to comply with this requirement shall constitute a default of LICENSEE allowing BCM, at its option, to immediately terminate this Agreement.</w:t>
      </w:r>
    </w:p>
    <w:p>
      <w:pPr>
        <w:spacing w:after="0" w:line="178" w:lineRule="exact"/>
        <w:rPr>
          <w:rFonts w:ascii="Arial" w:cs="Arial" w:eastAsia="Arial" w:hAnsi="Arial"/>
          <w:sz w:val="17"/>
          <w:szCs w:val="17"/>
          <w:color w:val="auto"/>
        </w:rPr>
      </w:pPr>
    </w:p>
    <w:p>
      <w:pPr>
        <w:jc w:val="both"/>
        <w:ind w:firstLine="1629"/>
        <w:spacing w:after="0" w:line="264" w:lineRule="auto"/>
        <w:tabs>
          <w:tab w:leader="none" w:pos="25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BCM reserves the right to request additional policies of insurance where appropriate and commercially reasonable in light of LICENSEE’s business operations and availability of coverage, in which case the Parties will negotiate in good faith a mutually agreed amendment to this Section 16.2.</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NO WARRANTY</w:t>
      </w:r>
      <w:r>
        <w:rPr>
          <w:rFonts w:ascii="Arial" w:cs="Arial" w:eastAsia="Arial" w:hAnsi="Arial"/>
          <w:sz w:val="18"/>
          <w:szCs w:val="18"/>
          <w:color w:val="auto"/>
        </w:rPr>
        <w:t>. LICENSEE ACKNOWLEDGES THAT BCM DOES NOT PROVIDE ANY WARRANTIES AND THAT LICENSEE TAKES THE PATENT RIGHTS AND SUBJECT TECHNOLOGY ON AN “AS IS” BASIS.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Disclaimer of Warranty.</w:t>
      </w:r>
      <w:r>
        <w:rPr>
          <w:rFonts w:ascii="Arial" w:cs="Arial" w:eastAsia="Arial" w:hAnsi="Arial"/>
          <w:sz w:val="18"/>
          <w:szCs w:val="18"/>
          <w:color w:val="auto"/>
        </w:rPr>
        <w:t xml:space="preserve"> BCM MAKES NO WARRANTIES OR REPRESENTATIONS, EXPRESS OR IMPLIED, INCLUDING, BUT NOT LIMITED TO, WARRANTIES OF FITNESS OR MERCHANTABILITY, REGARDING OR WITH RESPECT TO THE SUBJECT TECHNOLOGY, PATENT RIGHTS OR LICENSED PRODUCTS AND BCM MAKES NO WARRANTIES OR REPRESENTATIONS, EXPRESS OR IMPLIED, OF THE PATENTABILITY OF THE SUBJECT TECHNOLOGY, PATENT RIGHTS OR LICENSED PRODUCTS OR OF THE ENFORCEABILITY OF ANY PATENTS ISSUING THEREUPON, IF ANY, OR THAT THE SUBJECT TECHNOLOGY, PATENT RIGHTS OR LICENSED PRODUCTS ARE OR SHALL BE FREE FROM INFRINGEMENT OF ANY PATENT OR OTHER RIGHTS OF THIRD PARTIES. NOTHING IN THIS AGREEMENT SHALL BE CONSTRUED AS CONFERRING BY IMPLICATION, ESTOPPEL OR OTHERWISE ANY LICENSE OR RIGHTS UNDER ANY PATENTS OF BCM OTHER THAN THE PATENT RIGHTS, REGARDLESS OF WHETHER SUCH PATENTS ARE DOMINANT OR SUBORDINATE TO THE PATENT RIGHTS.</w:t>
      </w:r>
    </w:p>
    <w:p>
      <w:pPr>
        <w:spacing w:after="0" w:line="197" w:lineRule="exact"/>
        <w:rPr>
          <w:sz w:val="20"/>
          <w:szCs w:val="20"/>
          <w:color w:val="auto"/>
        </w:rPr>
      </w:pPr>
    </w:p>
    <w:p>
      <w:pPr>
        <w:ind w:left="720" w:hanging="71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Scope.</w:t>
      </w:r>
      <w:r>
        <w:rPr>
          <w:rFonts w:ascii="Arial" w:cs="Arial" w:eastAsia="Arial" w:hAnsi="Arial"/>
          <w:sz w:val="17"/>
          <w:szCs w:val="17"/>
          <w:color w:val="auto"/>
        </w:rPr>
        <w:t xml:space="preserve"> The Receiving Party shall not, directly or indirectly, disclose, divulge or reveal to any Third Party the Disclosing Party’s Confidential Information without the Disclosing Party’s prior written consent except as set forth herein. Receiving Party shall maintain the Disclosing Party’s Confidential Information in confidence and use the same only in accordance with this Agreement. Employees, agents or subcontractors of Receiving Party shall be given access to the Disclosing Party’s Confidential Information only on a legitimate “need to know” basis and after agreeing to be bound in writing to not divulge or reveal the Disclosing Party’s Confidential Information. The public disclosure by a Receiving Party with the permission of the Disclosing Party of any one component of that which was identified as or constituted the Confidential Information of the Disclosing Party shall not prevent the other components from retaining their status as Confidential Information and the property of the Disclosing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Exclusion.</w:t>
      </w:r>
      <w:r>
        <w:rPr>
          <w:rFonts w:ascii="Arial" w:cs="Arial" w:eastAsia="Arial" w:hAnsi="Arial"/>
          <w:sz w:val="16"/>
          <w:szCs w:val="16"/>
          <w:color w:val="auto"/>
        </w:rPr>
        <w:t xml:space="preserve"> Such obligation of confidentiality shall not apply to information which the Receiving Party can demonstrate that (i) was at the time of disclosure in the public domain; (ii) has come into the public domain after disclosure through no fault of the Receiving Party; (iii) was known to the Receiving Party prior to disclosure thereof by the Disclosing Party; (iv) was lawfully disclosed to the Receiving Party by a third party which was not under an obligation of confidence to the Disclosing Party with respect thereto; (v) was approved for public release by prior written permission of the Disclosing Party;</w:t>
      </w:r>
    </w:p>
    <w:p>
      <w:pPr>
        <w:spacing w:after="0" w:line="2" w:lineRule="exact"/>
        <w:rPr>
          <w:sz w:val="20"/>
          <w:szCs w:val="20"/>
          <w:color w:val="auto"/>
        </w:rPr>
      </w:pPr>
    </w:p>
    <w:p>
      <w:pPr>
        <w:jc w:val="both"/>
        <w:ind w:firstLine="8"/>
        <w:spacing w:after="0" w:line="255" w:lineRule="auto"/>
        <w:tabs>
          <w:tab w:leader="none" w:pos="3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 required to be submitted to a governmental agency for the purpose of obtaining product approval, provided that the recipient will make a good faith attempt to obtain confidential treatment of the information by such agency; or (v) was independently developed by the Receiving Party without the use of or reference to Confidential Information provided by the Disclosing Party.</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Compliance with Applicable Law.</w:t>
      </w:r>
      <w:r>
        <w:rPr>
          <w:rFonts w:ascii="Arial" w:cs="Arial" w:eastAsia="Arial" w:hAnsi="Arial"/>
          <w:sz w:val="17"/>
          <w:szCs w:val="17"/>
          <w:color w:val="auto"/>
        </w:rPr>
        <w:t xml:space="preserve"> If the recipient of Confidential Information becomes legally compelled to disclose any Confidential Information in order to comply with Applicable Laws or with an order issued by a court or regulatory body with competent jurisdiction, the recipient shall (x) provide prompt written notice to the disclosing Party so that the disclosing Party may seek a protective order or other appropriate remedy or waive its rights under this Section 17; and (y) disclose only the portion of Confidential Information that it is legally required to furnish; provide that, in connection with such disclosure, the Receiving Party shall use commercially reasonable efforts to obtain assurance that confidential treatment will be given with respect to such Confidential Information. If any Party is required to file this Agreement with any Governmental Authority, such Party shall redact the terms of this Agreement to the extent possible in order to keep particularly sensitive provisions confidential.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Confidentiality of Agreement</w:t>
      </w:r>
      <w:r>
        <w:rPr>
          <w:rFonts w:ascii="Arial" w:cs="Arial" w:eastAsia="Arial" w:hAnsi="Arial"/>
          <w:sz w:val="18"/>
          <w:szCs w:val="18"/>
          <w:color w:val="auto"/>
        </w:rPr>
        <w:t>. Unless otherwise provided for in this Agreement, the Parties agree that this Agreement and its terms are to be considered Confidential Information of both Parties. Notwithstanding the foregoing, LICENSEE may disclose the terms of this Agreement to the extent required by securities or other applicable laws, or rules of any recognized stock exchange, to existing or prospective investors, acquirers, partners, collaborators, licensees, contractors, and to LICENSEE’s accountants, attorneys and other professional advisors, in each case on a need-to-know basis and subject to customary confidentiality restrictions.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u w:val="single" w:color="auto"/>
          <w:color w:val="auto"/>
        </w:rPr>
        <w:t>Return and Destruction</w:t>
      </w:r>
      <w:r>
        <w:rPr>
          <w:rFonts w:ascii="Arial" w:cs="Arial" w:eastAsia="Arial" w:hAnsi="Arial"/>
          <w:sz w:val="17"/>
          <w:szCs w:val="17"/>
          <w:color w:val="auto"/>
        </w:rPr>
        <w:t>. Upon the termination or expiration of this Agreement, upon the request of the Disclosing Party, the Receiving Party shall promptly redeliver to the Disclosing Party all Confidential Information provided to the Receiving Party in tangible form or destroy the same and certify in writing that such destruction occurred; provided, however, that nothing in this Agreement shall require the alteration, modification, deletion or destruction of computer backup tapes made in the ordinary course of business. All notes or other work product prepared by the Receiving Party based upon or incorporating Confidential Information of the Disclosing Party shall be destroyed, and such destruction shall be certified in writing to the Disclosing Party. Notwithstanding the foregoing, legal counsel to the Receiving Party shall be permitted to retain in its files one copy of all Confidential Information to evidence the scope of and to enforce the Party’s obligation of confidentiality under this Section 17.</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Prior Agreements</w:t>
      </w:r>
      <w:r>
        <w:rPr>
          <w:rFonts w:ascii="Arial" w:cs="Arial" w:eastAsia="Arial" w:hAnsi="Arial"/>
          <w:sz w:val="18"/>
          <w:szCs w:val="18"/>
          <w:color w:val="auto"/>
        </w:rPr>
        <w:t>. The provisions of this Section 17 shall supersede and replace any prior agreements among BCM and LICENSEE and all Confidential Information previously disclosed by the parties shall be deemed to have been disclosed hereunder.</w:t>
      </w:r>
    </w:p>
    <w:p>
      <w:pPr>
        <w:spacing w:after="0" w:line="170" w:lineRule="exact"/>
        <w:rPr>
          <w:sz w:val="20"/>
          <w:szCs w:val="20"/>
          <w:color w:val="auto"/>
        </w:rPr>
      </w:pPr>
    </w:p>
    <w:p>
      <w:pPr>
        <w:ind w:left="720" w:hanging="712"/>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Use of BCM Name</w:t>
      </w:r>
      <w:r>
        <w:rPr>
          <w:rFonts w:ascii="Arial" w:cs="Arial" w:eastAsia="Arial" w:hAnsi="Arial"/>
          <w:sz w:val="17"/>
          <w:szCs w:val="17"/>
          <w:color w:val="auto"/>
        </w:rPr>
        <w:t>. LICENSEE agrees that it shall not use in any way the name of “Baylor,” “Baylor College of Medicine” or any logotypes or symbols associated with BCM or the names of any of the scientists or other researchers at BCM without the prior written consent of BCM.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xml:space="preserve"> To the extent required by Applicable Law, commercially feasible and consistent with prevailing business practices, LICENSEE shall mark, and shall require its Sublicensees to mark, all Licensed Products that are manufactured or sold under this Agreement with the number of each issued patent under the Patent Rights that applies to such Licensed Product.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BCM’s Disclaimers</w:t>
      </w:r>
      <w:r>
        <w:rPr>
          <w:rFonts w:ascii="Arial" w:cs="Arial" w:eastAsia="Arial" w:hAnsi="Arial"/>
          <w:sz w:val="18"/>
          <w:szCs w:val="18"/>
          <w:color w:val="auto"/>
        </w:rPr>
        <w:t>. Neither BCM, nor any of its faculty members, scientists, researchers, employees, students, officers, trustees or agents assume any responsibility for the manufacture, product specifications, sale or use of the Subject Technology, Patent Rights or Licensed Products which are manufactured by or sold by LICENSEE unless subject to other agreements between BCM and LICENSEE.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xml:space="preserve"> The Parties hereby acknowledge and agree that each is an independent contractor and that neither Party shall be considered to be the agent, representative, master or servant of the other Party for any purpose whatsoever, and that neither Party has any authority to enter into a contract, to assume any obligation or to give warranties or representations on behalf of the other Party. Nothing in this relationship shall be construed to create a relationship of joint venture, partnership, fiduciary or other similar relationship between the Parties.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Non-Waiver</w:t>
      </w:r>
      <w:r>
        <w:rPr>
          <w:rFonts w:ascii="Arial" w:cs="Arial" w:eastAsia="Arial" w:hAnsi="Arial"/>
          <w:sz w:val="18"/>
          <w:szCs w:val="18"/>
          <w:color w:val="auto"/>
        </w:rPr>
        <w:t>. The Parties covenant and agree that if a Party fails or neglects for any reason to take advantage of any of the terms provided for the termination of this Agreement or if a Party, having the right to declare this Agreement terminated, shall fail to do so, any such failure or neglect by such Party shall not be a waiver or be deemed or be construed to be a waiver of any cause for the termination of this Agreement subsequently arising, or as a waiver of any of the terms, covenants or conditions of this Agreement or of the performance thereof. None of the terms, covenants and conditions of this Agreement may be waived by a Party except by its written consent.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u w:val="single" w:color="auto"/>
          <w:color w:val="auto"/>
        </w:rPr>
        <w:t>Reformation</w:t>
      </w:r>
      <w:r>
        <w:rPr>
          <w:rFonts w:ascii="Arial" w:cs="Arial" w:eastAsia="Arial" w:hAnsi="Arial"/>
          <w:sz w:val="17"/>
          <w:szCs w:val="17"/>
          <w:color w:val="auto"/>
        </w:rPr>
        <w:t>. The Parties hereby agree that neither Party intends to violate any public policy, statutory or common law, rule, regulation, treaty or decision of any government agency or executive body thereof of any country or community or association of countries, and that if any word, sentence, paragraph or clause or combination thereof of this Agreement is found, by a court or executive body with judicial powers having jurisdiction over this Agreement or any of the Parties hereto, in a final, unappealable order to be in violation of any such provision in any country or community or association of countries, such words, sentences, paragraphs or clauses or combination shall be inoperative in such country or community or association of countries, and the remainder of this Agreement shall remain binding upon the Parties hereto. In lieu of such inoperative words, sentences, paragraphs or clauses, or combination of clauses, there will be added automatically as part of this Agreement, a valid, enforceable and operative provision as close to the original language as may be possible which preserves the economic benefits to the Parties.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No liability hereunder shall result to a Party by reason of delay in performance caused by force majeure that is circumstances beyond the reasonable control of the Party, including, without limitation, acts of God, fire, flood, war, terrorism, civil unrest, labor unrest, or shortage of or inability to obtain material or equipment.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Section and Paragraph Headings.</w:t>
      </w:r>
      <w:r>
        <w:rPr>
          <w:rFonts w:ascii="Arial" w:cs="Arial" w:eastAsia="Arial" w:hAnsi="Arial"/>
          <w:sz w:val="18"/>
          <w:szCs w:val="18"/>
          <w:color w:val="auto"/>
        </w:rPr>
        <w:t xml:space="preserve"> The section and paragraph headings used in this Agreement are intended for purposes of reference and convenience only, and shall not factor into any interpretation of the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The terms and conditions herein constitute the entire agreement between the Parties with respect to the subject matter hereof and shall supersede all previous agreements, whether electronic, oral or written, between the Parties hereto with respect to the subject matter hereof, except for the Research Collaboration Agreement which, once executed, shall not be amended, modified or superseded in any respect by the terms of this Agreement. No agreement of understanding bearing on this Agreement shall be binding upon either Party hereto unless it shall be in writing and signed by the duly authorized officer or representative of each of the Parties and shall expressly refer to this Agreement. Except as set forth in Section 18.10, electronic communication between the Parties shall not constitute an agreement of understanding, unless it is subsequently reduced to writing and signed by the duly authorized officer or representative of each of the Parties and shall expressly refer to this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instrument. Counterpart signature pages delivered by facsimile or similar electronic transmission (including via e-mail in PDF format) shall be deemed binding as originals.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follow on next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and delivered this Agreement in multiple originals by their duly authorized officers and representatives on the respective dates shown below, but effective as of the Agreement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5"/>
          </w:tcPr>
          <w:p>
            <w:pPr>
              <w:spacing w:after="0"/>
              <w:rPr>
                <w:sz w:val="20"/>
                <w:szCs w:val="20"/>
                <w:color w:val="auto"/>
              </w:rPr>
            </w:pPr>
            <w:r>
              <w:rPr>
                <w:rFonts w:ascii="Arial" w:cs="Arial" w:eastAsia="Arial" w:hAnsi="Arial"/>
                <w:sz w:val="18"/>
                <w:szCs w:val="18"/>
                <w:b w:val="1"/>
                <w:bCs w:val="1"/>
                <w:color w:val="auto"/>
              </w:rPr>
              <w:t>MARKER THERAPEUTICS, INC.</w:t>
            </w:r>
          </w:p>
        </w:tc>
        <w:tc>
          <w:tcPr>
            <w:tcW w:w="7000" w:type="dxa"/>
            <w:vAlign w:val="bottom"/>
            <w:gridSpan w:val="4"/>
          </w:tcPr>
          <w:p>
            <w:pPr>
              <w:ind w:left="2540"/>
              <w:spacing w:after="0"/>
              <w:rPr>
                <w:sz w:val="20"/>
                <w:szCs w:val="20"/>
                <w:color w:val="auto"/>
              </w:rPr>
            </w:pPr>
            <w:r>
              <w:rPr>
                <w:rFonts w:ascii="Arial" w:cs="Arial" w:eastAsia="Arial" w:hAnsi="Arial"/>
                <w:sz w:val="18"/>
                <w:szCs w:val="18"/>
                <w:b w:val="1"/>
                <w:bCs w:val="1"/>
                <w:color w:val="auto"/>
              </w:rPr>
              <w:t>BAYLOR COLLEGE OF MEDICINE</w:t>
            </w:r>
          </w:p>
        </w:tc>
      </w:tr>
      <w:tr>
        <w:trPr>
          <w:trHeight w:val="648"/>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3860" w:type="dxa"/>
            <w:vAlign w:val="bottom"/>
            <w:gridSpan w:val="3"/>
          </w:tcPr>
          <w:p>
            <w:pPr>
              <w:ind w:left="60"/>
              <w:spacing w:after="0"/>
              <w:rPr>
                <w:sz w:val="20"/>
                <w:szCs w:val="20"/>
                <w:color w:val="auto"/>
              </w:rPr>
            </w:pPr>
            <w:r>
              <w:rPr>
                <w:rFonts w:ascii="Arial" w:cs="Arial" w:eastAsia="Arial" w:hAnsi="Arial"/>
                <w:sz w:val="18"/>
                <w:szCs w:val="18"/>
                <w:color w:val="auto"/>
              </w:rPr>
              <w:t>/s/ John Wilson</w:t>
            </w:r>
          </w:p>
        </w:tc>
        <w:tc>
          <w:tcPr>
            <w:tcW w:w="3180" w:type="dxa"/>
            <w:vAlign w:val="bottom"/>
            <w:gridSpan w:val="2"/>
          </w:tcPr>
          <w:p>
            <w:pPr>
              <w:ind w:left="2540"/>
              <w:spacing w:after="0"/>
              <w:rPr>
                <w:sz w:val="20"/>
                <w:szCs w:val="20"/>
                <w:color w:val="auto"/>
              </w:rPr>
            </w:pPr>
            <w:r>
              <w:rPr>
                <w:rFonts w:ascii="Arial" w:cs="Arial" w:eastAsia="Arial" w:hAnsi="Arial"/>
                <w:sz w:val="18"/>
                <w:szCs w:val="18"/>
                <w:color w:val="auto"/>
              </w:rPr>
              <w:t>Name:</w:t>
            </w:r>
          </w:p>
        </w:tc>
        <w:tc>
          <w:tcPr>
            <w:tcW w:w="3820" w:type="dxa"/>
            <w:vAlign w:val="bottom"/>
            <w:gridSpan w:val="2"/>
          </w:tcPr>
          <w:p>
            <w:pPr>
              <w:spacing w:after="0"/>
              <w:rPr>
                <w:sz w:val="20"/>
                <w:szCs w:val="20"/>
                <w:color w:val="auto"/>
              </w:rPr>
            </w:pPr>
            <w:r>
              <w:rPr>
                <w:rFonts w:ascii="Arial" w:cs="Arial" w:eastAsia="Arial" w:hAnsi="Arial"/>
                <w:sz w:val="18"/>
                <w:szCs w:val="18"/>
                <w:color w:val="auto"/>
              </w:rPr>
              <w:t>/s/ Adam Kuspa, Ph.D.</w:t>
            </w:r>
          </w:p>
        </w:tc>
      </w:tr>
      <w:tr>
        <w:trPr>
          <w:trHeight w:val="224"/>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Wilson</w:t>
            </w:r>
          </w:p>
        </w:tc>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Adam Kuspa, Ph.D.</w:t>
            </w:r>
          </w:p>
        </w:tc>
      </w:tr>
      <w:tr>
        <w:trPr>
          <w:trHeight w:val="418"/>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gridSpan w:val="3"/>
          </w:tcPr>
          <w:p>
            <w:pPr>
              <w:ind w:left="60"/>
              <w:spacing w:after="0"/>
              <w:rPr>
                <w:sz w:val="20"/>
                <w:szCs w:val="20"/>
                <w:color w:val="auto"/>
              </w:rPr>
            </w:pPr>
            <w:r>
              <w:rPr>
                <w:rFonts w:ascii="Arial" w:cs="Arial" w:eastAsia="Arial" w:hAnsi="Arial"/>
                <w:sz w:val="18"/>
                <w:szCs w:val="18"/>
                <w:color w:val="auto"/>
              </w:rPr>
              <w:t>Chief Executive Officer</w:t>
            </w:r>
          </w:p>
        </w:tc>
        <w:tc>
          <w:tcPr>
            <w:tcW w:w="3180" w:type="dxa"/>
            <w:vAlign w:val="bottom"/>
            <w:gridSpan w:val="2"/>
          </w:tcPr>
          <w:p>
            <w:pPr>
              <w:ind w:left="254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rPr>
              <w:t>Senior Vice President and Dean of Research</w:t>
            </w:r>
          </w:p>
        </w:tc>
      </w:tr>
      <w:tr>
        <w:trPr>
          <w:trHeight w:val="392"/>
        </w:trPr>
        <w:tc>
          <w:tcPr>
            <w:tcW w:w="4420" w:type="dxa"/>
            <w:vAlign w:val="bottom"/>
            <w:gridSpan w:val="5"/>
          </w:tcPr>
          <w:p>
            <w:pPr>
              <w:spacing w:after="0"/>
              <w:rPr>
                <w:sz w:val="20"/>
                <w:szCs w:val="20"/>
                <w:color w:val="auto"/>
              </w:rPr>
            </w:pPr>
            <w:r>
              <w:rPr>
                <w:rFonts w:ascii="Arial" w:cs="Arial" w:eastAsia="Arial" w:hAnsi="Arial"/>
                <w:sz w:val="18"/>
                <w:szCs w:val="18"/>
                <w:color w:val="auto"/>
              </w:rPr>
              <w:t>Date: 3/14/2018</w:t>
            </w:r>
          </w:p>
        </w:tc>
        <w:tc>
          <w:tcPr>
            <w:tcW w:w="7000" w:type="dxa"/>
            <w:vAlign w:val="bottom"/>
            <w:gridSpan w:val="4"/>
          </w:tcPr>
          <w:p>
            <w:pPr>
              <w:ind w:left="2540"/>
              <w:spacing w:after="0"/>
              <w:rPr>
                <w:sz w:val="20"/>
                <w:szCs w:val="20"/>
                <w:color w:val="auto"/>
              </w:rPr>
            </w:pPr>
            <w:r>
              <w:rPr>
                <w:rFonts w:ascii="Arial" w:cs="Arial" w:eastAsia="Arial" w:hAnsi="Arial"/>
                <w:sz w:val="18"/>
                <w:szCs w:val="18"/>
                <w:color w:val="auto"/>
              </w:rPr>
              <w:t>Date: 3/23/18</w:t>
            </w:r>
          </w:p>
        </w:tc>
      </w:tr>
      <w:tr>
        <w:trPr>
          <w:trHeight w:val="453"/>
        </w:trPr>
        <w:tc>
          <w:tcPr>
            <w:tcW w:w="48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BCM’s Patent Applications and Patents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74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Law Firm Ref. No.</w:t>
            </w:r>
          </w:p>
        </w:tc>
        <w:tc>
          <w:tcPr>
            <w:tcW w:w="2440" w:type="dxa"/>
            <w:vAlign w:val="bottom"/>
            <w:tcBorders>
              <w:top w:val="single" w:sz="8" w:color="auto"/>
              <w:right w:val="single" w:sz="8" w:color="auto"/>
            </w:tcBorders>
            <w:vMerge w:val="restart"/>
            <w:shd w:val="clear" w:color="auto" w:fill="BFBFBF"/>
          </w:tcPr>
          <w:p>
            <w:pPr>
              <w:ind w:left="240"/>
              <w:spacing w:after="0"/>
              <w:rPr>
                <w:sz w:val="20"/>
                <w:szCs w:val="20"/>
                <w:color w:val="auto"/>
              </w:rPr>
            </w:pPr>
            <w:r>
              <w:rPr>
                <w:rFonts w:ascii="Arial" w:cs="Arial" w:eastAsia="Arial" w:hAnsi="Arial"/>
                <w:sz w:val="18"/>
                <w:szCs w:val="18"/>
                <w:b w:val="1"/>
                <w:bCs w:val="1"/>
                <w:color w:val="auto"/>
              </w:rPr>
              <w:t>Title and Patent Number</w:t>
            </w:r>
          </w:p>
        </w:tc>
        <w:tc>
          <w:tcPr>
            <w:tcW w:w="860" w:type="dxa"/>
            <w:vAlign w:val="bottom"/>
            <w:tcBorders>
              <w:top w:val="single" w:sz="8" w:color="auto"/>
              <w:right w:val="single" w:sz="8" w:color="auto"/>
            </w:tcBorders>
            <w:shd w:val="clear" w:color="auto" w:fill="BFBFBF"/>
          </w:tcPr>
          <w:p>
            <w:pPr>
              <w:spacing w:after="0"/>
              <w:rPr>
                <w:sz w:val="24"/>
                <w:szCs w:val="24"/>
                <w:color w:val="auto"/>
              </w:rPr>
            </w:pPr>
          </w:p>
        </w:tc>
        <w:tc>
          <w:tcPr>
            <w:tcW w:w="1520" w:type="dxa"/>
            <w:vAlign w:val="bottom"/>
            <w:tcBorders>
              <w:top w:val="single" w:sz="8" w:color="auto"/>
              <w:right w:val="single" w:sz="8" w:color="auto"/>
            </w:tcBorders>
            <w:shd w:val="clear" w:color="auto" w:fill="BFBFBF"/>
          </w:tcPr>
          <w:p>
            <w:pPr>
              <w:spacing w:after="0"/>
              <w:rPr>
                <w:sz w:val="24"/>
                <w:szCs w:val="24"/>
                <w:color w:val="auto"/>
              </w:rPr>
            </w:pPr>
          </w:p>
        </w:tc>
        <w:tc>
          <w:tcPr>
            <w:tcW w:w="1740" w:type="dxa"/>
            <w:vAlign w:val="bottom"/>
            <w:tcBorders>
              <w:top w:val="single" w:sz="8" w:color="auto"/>
              <w:right w:val="single" w:sz="8" w:color="auto"/>
            </w:tcBorders>
            <w:shd w:val="clear" w:color="auto" w:fill="BFBFBF"/>
          </w:tcPr>
          <w:p>
            <w:pPr>
              <w:spacing w:after="0"/>
              <w:rPr>
                <w:sz w:val="24"/>
                <w:szCs w:val="24"/>
                <w:color w:val="auto"/>
              </w:rPr>
            </w:pPr>
          </w:p>
        </w:tc>
        <w:tc>
          <w:tcPr>
            <w:tcW w:w="9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100" w:type="dxa"/>
            <w:vAlign w:val="bottom"/>
            <w:tcBorders>
              <w:top w:val="single" w:sz="8" w:color="auto"/>
              <w:right w:val="single" w:sz="8" w:color="auto"/>
            </w:tcBorders>
            <w:shd w:val="clear" w:color="auto" w:fill="BFBFBF"/>
          </w:tcPr>
          <w:p>
            <w:pPr>
              <w:spacing w:after="0"/>
              <w:rPr>
                <w:sz w:val="24"/>
                <w:szCs w:val="24"/>
                <w:color w:val="auto"/>
              </w:rPr>
            </w:pPr>
          </w:p>
        </w:tc>
        <w:tc>
          <w:tcPr>
            <w:tcW w:w="11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2440" w:type="dxa"/>
            <w:vAlign w:val="bottom"/>
            <w:tcBorders>
              <w:right w:val="single" w:sz="8" w:color="auto"/>
            </w:tcBorders>
            <w:vMerge w:val="continue"/>
            <w:shd w:val="clear" w:color="auto" w:fill="BFBFBF"/>
          </w:tcPr>
          <w:p>
            <w:pPr>
              <w:spacing w:after="0"/>
              <w:rPr>
                <w:sz w:val="9"/>
                <w:szCs w:val="9"/>
                <w:color w:val="auto"/>
              </w:rPr>
            </w:pPr>
          </w:p>
        </w:tc>
        <w:tc>
          <w:tcPr>
            <w:tcW w:w="860" w:type="dxa"/>
            <w:vAlign w:val="bottom"/>
            <w:tcBorders>
              <w:right w:val="single" w:sz="8" w:color="auto"/>
            </w:tcBorders>
            <w:shd w:val="clear" w:color="auto" w:fill="BFBFBF"/>
          </w:tcPr>
          <w:p>
            <w:pPr>
              <w:spacing w:after="0"/>
              <w:rPr>
                <w:sz w:val="9"/>
                <w:szCs w:val="9"/>
                <w:color w:val="auto"/>
              </w:rPr>
            </w:pPr>
          </w:p>
        </w:tc>
        <w:tc>
          <w:tcPr>
            <w:tcW w:w="1520" w:type="dxa"/>
            <w:vAlign w:val="bottom"/>
            <w:tcBorders>
              <w:right w:val="single" w:sz="8" w:color="auto"/>
            </w:tcBorders>
            <w:shd w:val="clear" w:color="auto" w:fill="BFBFBF"/>
          </w:tcPr>
          <w:p>
            <w:pPr>
              <w:spacing w:after="0"/>
              <w:rPr>
                <w:sz w:val="9"/>
                <w:szCs w:val="9"/>
                <w:color w:val="auto"/>
              </w:rPr>
            </w:pPr>
          </w:p>
        </w:tc>
        <w:tc>
          <w:tcPr>
            <w:tcW w:w="1740" w:type="dxa"/>
            <w:vAlign w:val="bottom"/>
            <w:tcBorders>
              <w:right w:val="single" w:sz="8" w:color="auto"/>
            </w:tcBorders>
            <w:shd w:val="clear" w:color="auto" w:fill="BFBFBF"/>
          </w:tcPr>
          <w:p>
            <w:pPr>
              <w:spacing w:after="0"/>
              <w:rPr>
                <w:sz w:val="9"/>
                <w:szCs w:val="9"/>
                <w:color w:val="auto"/>
              </w:rPr>
            </w:pPr>
          </w:p>
        </w:tc>
        <w:tc>
          <w:tcPr>
            <w:tcW w:w="9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Date and</w:t>
            </w:r>
          </w:p>
        </w:tc>
        <w:tc>
          <w:tcPr>
            <w:tcW w:w="1100" w:type="dxa"/>
            <w:vAlign w:val="bottom"/>
            <w:tcBorders>
              <w:right w:val="single" w:sz="8" w:color="auto"/>
            </w:tcBorders>
            <w:shd w:val="clear" w:color="auto" w:fill="BFBFBF"/>
          </w:tcPr>
          <w:p>
            <w:pPr>
              <w:spacing w:after="0"/>
              <w:rPr>
                <w:sz w:val="9"/>
                <w:szCs w:val="9"/>
                <w:color w:val="auto"/>
              </w:rPr>
            </w:pPr>
          </w:p>
        </w:tc>
        <w:tc>
          <w:tcPr>
            <w:tcW w:w="1120" w:type="dxa"/>
            <w:vAlign w:val="bottom"/>
            <w:tcBorders>
              <w:right w:val="single" w:sz="8" w:color="auto"/>
            </w:tcBorders>
            <w:vMerge w:val="restart"/>
            <w:shd w:val="clear" w:color="auto" w:fill="BFBFBF"/>
          </w:tcPr>
          <w:p>
            <w:pPr>
              <w:ind w:left="240"/>
              <w:spacing w:after="0"/>
              <w:rPr>
                <w:sz w:val="20"/>
                <w:szCs w:val="20"/>
                <w:color w:val="auto"/>
              </w:rPr>
            </w:pPr>
            <w:r>
              <w:rPr>
                <w:rFonts w:ascii="Arial" w:cs="Arial" w:eastAsia="Arial" w:hAnsi="Arial"/>
                <w:sz w:val="18"/>
                <w:szCs w:val="18"/>
                <w:b w:val="1"/>
                <w:bCs w:val="1"/>
                <w:color w:val="auto"/>
              </w:rPr>
              <w:t>Priority</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BCM Ref. No.</w:t>
            </w:r>
          </w:p>
        </w:tc>
        <w:tc>
          <w:tcPr>
            <w:tcW w:w="2440" w:type="dxa"/>
            <w:vAlign w:val="bottom"/>
            <w:tcBorders>
              <w:right w:val="single" w:sz="8" w:color="auto"/>
            </w:tcBorders>
            <w:vMerge w:val="restart"/>
            <w:shd w:val="clear" w:color="auto" w:fill="BFBFBF"/>
          </w:tcPr>
          <w:p>
            <w:pPr>
              <w:ind w:left="840"/>
              <w:spacing w:after="0"/>
              <w:rPr>
                <w:sz w:val="20"/>
                <w:szCs w:val="20"/>
                <w:color w:val="auto"/>
              </w:rPr>
            </w:pPr>
            <w:r>
              <w:rPr>
                <w:rFonts w:ascii="Arial" w:cs="Arial" w:eastAsia="Arial" w:hAnsi="Arial"/>
                <w:sz w:val="18"/>
                <w:szCs w:val="18"/>
                <w:b w:val="1"/>
                <w:bCs w:val="1"/>
                <w:color w:val="auto"/>
              </w:rPr>
              <w:t>(if issued)</w:t>
            </w:r>
          </w:p>
        </w:tc>
        <w:tc>
          <w:tcPr>
            <w:tcW w:w="8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520" w:type="dxa"/>
            <w:vAlign w:val="bottom"/>
            <w:tcBorders>
              <w:right w:val="single" w:sz="8" w:color="auto"/>
            </w:tcBorders>
            <w:vMerge w:val="restart"/>
            <w:shd w:val="clear" w:color="auto" w:fill="BFBFBF"/>
          </w:tcPr>
          <w:p>
            <w:pPr>
              <w:ind w:left="260"/>
              <w:spacing w:after="0"/>
              <w:rPr>
                <w:sz w:val="20"/>
                <w:szCs w:val="20"/>
                <w:color w:val="auto"/>
              </w:rPr>
            </w:pPr>
            <w:r>
              <w:rPr>
                <w:rFonts w:ascii="Arial" w:cs="Arial" w:eastAsia="Arial" w:hAnsi="Arial"/>
                <w:sz w:val="18"/>
                <w:szCs w:val="18"/>
                <w:b w:val="1"/>
                <w:bCs w:val="1"/>
                <w:color w:val="auto"/>
              </w:rPr>
              <w:t>Developer(s)</w:t>
            </w:r>
          </w:p>
        </w:tc>
        <w:tc>
          <w:tcPr>
            <w:tcW w:w="17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Appln. No.</w:t>
            </w:r>
          </w:p>
        </w:tc>
        <w:tc>
          <w:tcPr>
            <w:tcW w:w="900" w:type="dxa"/>
            <w:vAlign w:val="bottom"/>
            <w:tcBorders>
              <w:right w:val="single" w:sz="8" w:color="auto"/>
            </w:tcBorders>
            <w:vMerge w:val="continue"/>
            <w:shd w:val="clear" w:color="auto" w:fill="BFBFBF"/>
          </w:tcPr>
          <w:p>
            <w:pPr>
              <w:spacing w:after="0"/>
              <w:rPr>
                <w:sz w:val="9"/>
                <w:szCs w:val="9"/>
                <w:color w:val="auto"/>
              </w:rPr>
            </w:pPr>
          </w:p>
        </w:tc>
        <w:tc>
          <w:tcPr>
            <w:tcW w:w="1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continue"/>
            <w:shd w:val="clear" w:color="auto" w:fill="BFBFBF"/>
          </w:tcPr>
          <w:p>
            <w:pPr>
              <w:spacing w:after="0"/>
              <w:rPr>
                <w:sz w:val="18"/>
                <w:szCs w:val="18"/>
                <w:color w:val="auto"/>
              </w:rPr>
            </w:pPr>
          </w:p>
        </w:tc>
        <w:tc>
          <w:tcPr>
            <w:tcW w:w="2440" w:type="dxa"/>
            <w:vAlign w:val="bottom"/>
            <w:tcBorders>
              <w:right w:val="single" w:sz="8" w:color="auto"/>
            </w:tcBorders>
            <w:vMerge w:val="continue"/>
            <w:shd w:val="clear" w:color="auto" w:fill="BFBFBF"/>
          </w:tcPr>
          <w:p>
            <w:pPr>
              <w:spacing w:after="0"/>
              <w:rPr>
                <w:sz w:val="18"/>
                <w:szCs w:val="18"/>
                <w:color w:val="auto"/>
              </w:rPr>
            </w:pPr>
          </w:p>
        </w:tc>
        <w:tc>
          <w:tcPr>
            <w:tcW w:w="860" w:type="dxa"/>
            <w:vAlign w:val="bottom"/>
            <w:tcBorders>
              <w:right w:val="single" w:sz="8" w:color="auto"/>
            </w:tcBorders>
            <w:vMerge w:val="continue"/>
            <w:shd w:val="clear" w:color="auto" w:fill="BFBFBF"/>
          </w:tcPr>
          <w:p>
            <w:pPr>
              <w:spacing w:after="0"/>
              <w:rPr>
                <w:sz w:val="18"/>
                <w:szCs w:val="18"/>
                <w:color w:val="auto"/>
              </w:rPr>
            </w:pPr>
          </w:p>
        </w:tc>
        <w:tc>
          <w:tcPr>
            <w:tcW w:w="1520" w:type="dxa"/>
            <w:vAlign w:val="bottom"/>
            <w:tcBorders>
              <w:right w:val="single" w:sz="8" w:color="auto"/>
            </w:tcBorders>
            <w:vMerge w:val="continue"/>
            <w:shd w:val="clear" w:color="auto" w:fill="BFBFBF"/>
          </w:tcPr>
          <w:p>
            <w:pPr>
              <w:spacing w:after="0"/>
              <w:rPr>
                <w:sz w:val="18"/>
                <w:szCs w:val="18"/>
                <w:color w:val="auto"/>
              </w:rPr>
            </w:pPr>
          </w:p>
        </w:tc>
        <w:tc>
          <w:tcPr>
            <w:tcW w:w="1740" w:type="dxa"/>
            <w:vAlign w:val="bottom"/>
            <w:tcBorders>
              <w:right w:val="single" w:sz="8" w:color="auto"/>
            </w:tcBorders>
            <w:vMerge w:val="continue"/>
            <w:shd w:val="clear" w:color="auto" w:fill="BFBFBF"/>
          </w:tcPr>
          <w:p>
            <w:pPr>
              <w:spacing w:after="0"/>
              <w:rPr>
                <w:sz w:val="18"/>
                <w:szCs w:val="18"/>
                <w:color w:val="auto"/>
              </w:rPr>
            </w:pPr>
          </w:p>
        </w:tc>
        <w:tc>
          <w:tcPr>
            <w:tcW w:w="9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Issue</w:t>
            </w:r>
          </w:p>
        </w:tc>
        <w:tc>
          <w:tcPr>
            <w:tcW w:w="1100" w:type="dxa"/>
            <w:vAlign w:val="bottom"/>
            <w:tcBorders>
              <w:right w:val="single" w:sz="8" w:color="auto"/>
            </w:tcBorders>
            <w:vMerge w:val="continue"/>
            <w:shd w:val="clear" w:color="auto" w:fill="BFBFBF"/>
          </w:tcPr>
          <w:p>
            <w:pPr>
              <w:spacing w:after="0"/>
              <w:rPr>
                <w:sz w:val="18"/>
                <w:szCs w:val="18"/>
                <w:color w:val="auto"/>
              </w:rPr>
            </w:pPr>
          </w:p>
        </w:tc>
        <w:tc>
          <w:tcPr>
            <w:tcW w:w="1120" w:type="dxa"/>
            <w:vAlign w:val="bottom"/>
            <w:tcBorders>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234"/>
        </w:trPr>
        <w:tc>
          <w:tcPr>
            <w:tcW w:w="1740" w:type="dxa"/>
            <w:vAlign w:val="bottom"/>
            <w:tcBorders>
              <w:left w:val="single" w:sz="8" w:color="auto"/>
              <w:right w:val="single" w:sz="8" w:color="auto"/>
            </w:tcBorders>
            <w:shd w:val="clear" w:color="auto" w:fill="BFBFBF"/>
          </w:tcPr>
          <w:p>
            <w:pPr>
              <w:spacing w:after="0"/>
              <w:rPr>
                <w:sz w:val="20"/>
                <w:szCs w:val="20"/>
                <w:color w:val="auto"/>
              </w:rPr>
            </w:pPr>
          </w:p>
        </w:tc>
        <w:tc>
          <w:tcPr>
            <w:tcW w:w="2440" w:type="dxa"/>
            <w:vAlign w:val="bottom"/>
            <w:tcBorders>
              <w:right w:val="single" w:sz="8" w:color="auto"/>
            </w:tcBorders>
            <w:shd w:val="clear" w:color="auto" w:fill="BFBFBF"/>
          </w:tcPr>
          <w:p>
            <w:pPr>
              <w:spacing w:after="0"/>
              <w:rPr>
                <w:sz w:val="20"/>
                <w:szCs w:val="20"/>
                <w:color w:val="auto"/>
              </w:rPr>
            </w:pPr>
          </w:p>
        </w:tc>
        <w:tc>
          <w:tcPr>
            <w:tcW w:w="860" w:type="dxa"/>
            <w:vAlign w:val="bottom"/>
            <w:tcBorders>
              <w:right w:val="single" w:sz="8" w:color="auto"/>
            </w:tcBorders>
            <w:shd w:val="clear" w:color="auto" w:fill="BFBFBF"/>
          </w:tcPr>
          <w:p>
            <w:pPr>
              <w:spacing w:after="0"/>
              <w:rPr>
                <w:sz w:val="20"/>
                <w:szCs w:val="20"/>
                <w:color w:val="auto"/>
              </w:rPr>
            </w:pPr>
          </w:p>
        </w:tc>
        <w:tc>
          <w:tcPr>
            <w:tcW w:w="1520" w:type="dxa"/>
            <w:vAlign w:val="bottom"/>
            <w:tcBorders>
              <w:right w:val="single" w:sz="8" w:color="auto"/>
            </w:tcBorders>
            <w:shd w:val="clear" w:color="auto" w:fill="BFBFBF"/>
          </w:tcPr>
          <w:p>
            <w:pPr>
              <w:spacing w:after="0"/>
              <w:rPr>
                <w:sz w:val="20"/>
                <w:szCs w:val="20"/>
                <w:color w:val="auto"/>
              </w:rPr>
            </w:pPr>
          </w:p>
        </w:tc>
        <w:tc>
          <w:tcPr>
            <w:tcW w:w="1740" w:type="dxa"/>
            <w:vAlign w:val="bottom"/>
            <w:tcBorders>
              <w:right w:val="single" w:sz="8" w:color="auto"/>
            </w:tcBorders>
            <w:shd w:val="clear" w:color="auto" w:fill="BFBFBF"/>
          </w:tcPr>
          <w:p>
            <w:pPr>
              <w:spacing w:after="0"/>
              <w:rPr>
                <w:sz w:val="20"/>
                <w:szCs w:val="20"/>
                <w:color w:val="auto"/>
              </w:rPr>
            </w:pPr>
          </w:p>
        </w:tc>
        <w:tc>
          <w:tcPr>
            <w:tcW w:w="9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20"/>
                <w:szCs w:val="20"/>
                <w:color w:val="auto"/>
              </w:rPr>
            </w:pPr>
          </w:p>
        </w:tc>
        <w:tc>
          <w:tcPr>
            <w:tcW w:w="1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2440" w:type="dxa"/>
            <w:vAlign w:val="bottom"/>
            <w:tcBorders>
              <w:bottom w:val="single" w:sz="8" w:color="auto"/>
              <w:right w:val="single" w:sz="8" w:color="auto"/>
            </w:tcBorders>
            <w:shd w:val="clear" w:color="auto" w:fill="BFBFBF"/>
          </w:tcPr>
          <w:p>
            <w:pPr>
              <w:spacing w:after="0"/>
              <w:rPr>
                <w:sz w:val="7"/>
                <w:szCs w:val="7"/>
                <w:color w:val="auto"/>
              </w:rPr>
            </w:pPr>
          </w:p>
        </w:tc>
        <w:tc>
          <w:tcPr>
            <w:tcW w:w="860" w:type="dxa"/>
            <w:vAlign w:val="bottom"/>
            <w:tcBorders>
              <w:bottom w:val="single" w:sz="8" w:color="auto"/>
              <w:right w:val="single" w:sz="8" w:color="auto"/>
            </w:tcBorders>
            <w:shd w:val="clear" w:color="auto" w:fill="BFBFBF"/>
          </w:tcPr>
          <w:p>
            <w:pPr>
              <w:spacing w:after="0"/>
              <w:rPr>
                <w:sz w:val="7"/>
                <w:szCs w:val="7"/>
                <w:color w:val="auto"/>
              </w:rPr>
            </w:pPr>
          </w:p>
        </w:tc>
        <w:tc>
          <w:tcPr>
            <w:tcW w:w="1520" w:type="dxa"/>
            <w:vAlign w:val="bottom"/>
            <w:tcBorders>
              <w:bottom w:val="single" w:sz="8" w:color="auto"/>
              <w:right w:val="single" w:sz="8" w:color="auto"/>
            </w:tcBorders>
            <w:shd w:val="clear" w:color="auto" w:fill="BFBFBF"/>
          </w:tcPr>
          <w:p>
            <w:pPr>
              <w:spacing w:after="0"/>
              <w:rPr>
                <w:sz w:val="7"/>
                <w:szCs w:val="7"/>
                <w:color w:val="auto"/>
              </w:rPr>
            </w:pPr>
          </w:p>
        </w:tc>
        <w:tc>
          <w:tcPr>
            <w:tcW w:w="1740" w:type="dxa"/>
            <w:vAlign w:val="bottom"/>
            <w:tcBorders>
              <w:bottom w:val="single" w:sz="8" w:color="auto"/>
              <w:right w:val="single" w:sz="8" w:color="auto"/>
            </w:tcBorders>
            <w:shd w:val="clear" w:color="auto" w:fill="BFBFBF"/>
          </w:tcPr>
          <w:p>
            <w:pPr>
              <w:spacing w:after="0"/>
              <w:rPr>
                <w:sz w:val="7"/>
                <w:szCs w:val="7"/>
                <w:color w:val="auto"/>
              </w:rPr>
            </w:pPr>
          </w:p>
        </w:tc>
        <w:tc>
          <w:tcPr>
            <w:tcW w:w="900" w:type="dxa"/>
            <w:vAlign w:val="bottom"/>
            <w:tcBorders>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right w:val="single" w:sz="8" w:color="auto"/>
            </w:tcBorders>
            <w:shd w:val="clear" w:color="auto" w:fill="BFBFBF"/>
          </w:tcPr>
          <w:p>
            <w:pPr>
              <w:spacing w:after="0"/>
              <w:rPr>
                <w:sz w:val="7"/>
                <w:szCs w:val="7"/>
                <w:color w:val="auto"/>
              </w:rPr>
            </w:pPr>
          </w:p>
        </w:tc>
        <w:tc>
          <w:tcPr>
            <w:tcW w:w="11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HO-P03681US0</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Rooney;</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61/236,261</w:t>
            </w: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7"/>
              </w:rPr>
              <w:t>Gerdemann; Juan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Expired</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Vera</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BAYM.P0016US</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Gerdemann,</w:t>
            </w:r>
          </w:p>
        </w:tc>
        <w:tc>
          <w:tcPr>
            <w:tcW w:w="17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61/236,261</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12/862,409</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 OR</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24-Aug-</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VIRUSES</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Gerdemann,</w:t>
            </w:r>
          </w:p>
        </w:tc>
        <w:tc>
          <w:tcPr>
            <w:tcW w:w="17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12/862,409</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BAYM.P0016US.C1</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Ulrike; Rooney,</w:t>
            </w:r>
          </w:p>
        </w:tc>
        <w:tc>
          <w:tcPr>
            <w:tcW w:w="17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USAN</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61/236,261</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15/246,241</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2016</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 OR</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VIRUSES</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24-Aug-</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BAYM.P0016WO</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Gerdemann,</w:t>
            </w:r>
          </w:p>
        </w:tc>
        <w:tc>
          <w:tcPr>
            <w:tcW w:w="17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61/236,261</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PCT</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PCT/US2010/046505</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 OR</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24-Aug-</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VIRUSES</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61/236,261</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BAYM.P0016EP</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vMerge w:val="continue"/>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 OR</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EP</w:t>
            </w: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EP 10814245.6</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Issue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VIRUSES</w:t>
            </w: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Date: 21-</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24-Aug-</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EP Patent No. 2470644</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Sep-2016</w:t>
            </w: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w:t>
            </w:r>
          </w:p>
        </w:tc>
        <w:tc>
          <w:tcPr>
            <w:tcW w:w="1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6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Law Firm Ref.</w:t>
            </w:r>
          </w:p>
        </w:tc>
        <w:tc>
          <w:tcPr>
            <w:tcW w:w="2700" w:type="dxa"/>
            <w:vAlign w:val="bottom"/>
            <w:tcBorders>
              <w:top w:val="single" w:sz="8" w:color="auto"/>
              <w:right w:val="single" w:sz="8" w:color="auto"/>
            </w:tcBorders>
            <w:vMerge w:val="restart"/>
            <w:shd w:val="clear" w:color="auto" w:fill="BFBFBF"/>
          </w:tcPr>
          <w:p>
            <w:pPr>
              <w:ind w:left="360"/>
              <w:spacing w:after="0"/>
              <w:rPr>
                <w:sz w:val="20"/>
                <w:szCs w:val="20"/>
                <w:color w:val="auto"/>
              </w:rPr>
            </w:pPr>
            <w:r>
              <w:rPr>
                <w:rFonts w:ascii="Arial" w:cs="Arial" w:eastAsia="Arial" w:hAnsi="Arial"/>
                <w:sz w:val="18"/>
                <w:szCs w:val="18"/>
                <w:b w:val="1"/>
                <w:bCs w:val="1"/>
                <w:color w:val="auto"/>
              </w:rPr>
              <w:t>Title and Patent Number</w:t>
            </w:r>
          </w:p>
        </w:tc>
        <w:tc>
          <w:tcPr>
            <w:tcW w:w="860" w:type="dxa"/>
            <w:vAlign w:val="bottom"/>
            <w:tcBorders>
              <w:top w:val="single" w:sz="8" w:color="auto"/>
              <w:right w:val="single" w:sz="8" w:color="auto"/>
            </w:tcBorders>
            <w:shd w:val="clear" w:color="auto" w:fill="BFBFBF"/>
          </w:tcPr>
          <w:p>
            <w:pPr>
              <w:spacing w:after="0"/>
              <w:rPr>
                <w:sz w:val="24"/>
                <w:szCs w:val="24"/>
                <w:color w:val="auto"/>
              </w:rPr>
            </w:pPr>
          </w:p>
        </w:tc>
        <w:tc>
          <w:tcPr>
            <w:tcW w:w="1580" w:type="dxa"/>
            <w:vAlign w:val="bottom"/>
            <w:tcBorders>
              <w:top w:val="single" w:sz="8" w:color="auto"/>
              <w:right w:val="single" w:sz="8" w:color="auto"/>
            </w:tcBorders>
            <w:shd w:val="clear" w:color="auto" w:fill="BFBFBF"/>
          </w:tcPr>
          <w:p>
            <w:pPr>
              <w:spacing w:after="0"/>
              <w:rPr>
                <w:sz w:val="24"/>
                <w:szCs w:val="24"/>
                <w:color w:val="auto"/>
              </w:rPr>
            </w:pPr>
          </w:p>
        </w:tc>
        <w:tc>
          <w:tcPr>
            <w:tcW w:w="1500" w:type="dxa"/>
            <w:vAlign w:val="bottom"/>
            <w:tcBorders>
              <w:top w:val="single" w:sz="8" w:color="auto"/>
              <w:right w:val="single" w:sz="8" w:color="auto"/>
            </w:tcBorders>
            <w:shd w:val="clear" w:color="auto" w:fill="BFBFBF"/>
          </w:tcPr>
          <w:p>
            <w:pPr>
              <w:spacing w:after="0"/>
              <w:rPr>
                <w:sz w:val="24"/>
                <w:szCs w:val="24"/>
                <w:color w:val="auto"/>
              </w:rPr>
            </w:pPr>
          </w:p>
        </w:tc>
        <w:tc>
          <w:tcPr>
            <w:tcW w:w="9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100" w:type="dxa"/>
            <w:vAlign w:val="bottom"/>
            <w:tcBorders>
              <w:top w:val="single" w:sz="8" w:color="auto"/>
              <w:right w:val="single" w:sz="8" w:color="auto"/>
            </w:tcBorders>
            <w:shd w:val="clear" w:color="auto" w:fill="BFBFBF"/>
          </w:tcPr>
          <w:p>
            <w:pPr>
              <w:spacing w:after="0"/>
              <w:rPr>
                <w:sz w:val="24"/>
                <w:szCs w:val="24"/>
                <w:color w:val="auto"/>
              </w:rPr>
            </w:pPr>
          </w:p>
        </w:tc>
        <w:tc>
          <w:tcPr>
            <w:tcW w:w="11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No.</w:t>
            </w:r>
          </w:p>
        </w:tc>
        <w:tc>
          <w:tcPr>
            <w:tcW w:w="2700" w:type="dxa"/>
            <w:vAlign w:val="bottom"/>
            <w:tcBorders>
              <w:right w:val="single" w:sz="8" w:color="auto"/>
            </w:tcBorders>
            <w:vMerge w:val="continue"/>
            <w:shd w:val="clear" w:color="auto" w:fill="BFBFBF"/>
          </w:tcPr>
          <w:p>
            <w:pPr>
              <w:spacing w:after="0"/>
              <w:rPr>
                <w:sz w:val="9"/>
                <w:szCs w:val="9"/>
                <w:color w:val="auto"/>
              </w:rPr>
            </w:pPr>
          </w:p>
        </w:tc>
        <w:tc>
          <w:tcPr>
            <w:tcW w:w="860" w:type="dxa"/>
            <w:vAlign w:val="bottom"/>
            <w:tcBorders>
              <w:right w:val="single" w:sz="8" w:color="auto"/>
            </w:tcBorders>
            <w:shd w:val="clear" w:color="auto" w:fill="BFBFBF"/>
          </w:tcPr>
          <w:p>
            <w:pPr>
              <w:spacing w:after="0"/>
              <w:rPr>
                <w:sz w:val="9"/>
                <w:szCs w:val="9"/>
                <w:color w:val="auto"/>
              </w:rPr>
            </w:pPr>
          </w:p>
        </w:tc>
        <w:tc>
          <w:tcPr>
            <w:tcW w:w="1580" w:type="dxa"/>
            <w:vAlign w:val="bottom"/>
            <w:tcBorders>
              <w:right w:val="single" w:sz="8" w:color="auto"/>
            </w:tcBorders>
            <w:shd w:val="clear" w:color="auto" w:fill="BFBFBF"/>
          </w:tcPr>
          <w:p>
            <w:pPr>
              <w:spacing w:after="0"/>
              <w:rPr>
                <w:sz w:val="9"/>
                <w:szCs w:val="9"/>
                <w:color w:val="auto"/>
              </w:rPr>
            </w:pPr>
          </w:p>
        </w:tc>
        <w:tc>
          <w:tcPr>
            <w:tcW w:w="1500" w:type="dxa"/>
            <w:vAlign w:val="bottom"/>
            <w:tcBorders>
              <w:right w:val="single" w:sz="8" w:color="auto"/>
            </w:tcBorders>
            <w:shd w:val="clear" w:color="auto" w:fill="BFBFBF"/>
          </w:tcPr>
          <w:p>
            <w:pPr>
              <w:spacing w:after="0"/>
              <w:rPr>
                <w:sz w:val="9"/>
                <w:szCs w:val="9"/>
                <w:color w:val="auto"/>
              </w:rPr>
            </w:pPr>
          </w:p>
        </w:tc>
        <w:tc>
          <w:tcPr>
            <w:tcW w:w="9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 and</w:t>
            </w:r>
          </w:p>
        </w:tc>
        <w:tc>
          <w:tcPr>
            <w:tcW w:w="1100" w:type="dxa"/>
            <w:vAlign w:val="bottom"/>
            <w:tcBorders>
              <w:right w:val="single" w:sz="8" w:color="auto"/>
            </w:tcBorders>
            <w:shd w:val="clear" w:color="auto" w:fill="BFBFBF"/>
          </w:tcPr>
          <w:p>
            <w:pPr>
              <w:spacing w:after="0"/>
              <w:rPr>
                <w:sz w:val="9"/>
                <w:szCs w:val="9"/>
                <w:color w:val="auto"/>
              </w:rPr>
            </w:pPr>
          </w:p>
        </w:tc>
        <w:tc>
          <w:tcPr>
            <w:tcW w:w="11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2700" w:type="dxa"/>
            <w:vAlign w:val="bottom"/>
            <w:tcBorders>
              <w:right w:val="single" w:sz="8" w:color="auto"/>
            </w:tcBorders>
            <w:vMerge w:val="restart"/>
            <w:shd w:val="clear" w:color="auto" w:fill="BFBFBF"/>
          </w:tcPr>
          <w:p>
            <w:pPr>
              <w:ind w:left="960"/>
              <w:spacing w:after="0"/>
              <w:rPr>
                <w:sz w:val="20"/>
                <w:szCs w:val="20"/>
                <w:color w:val="auto"/>
              </w:rPr>
            </w:pPr>
            <w:r>
              <w:rPr>
                <w:rFonts w:ascii="Arial" w:cs="Arial" w:eastAsia="Arial" w:hAnsi="Arial"/>
                <w:sz w:val="18"/>
                <w:szCs w:val="18"/>
                <w:b w:val="1"/>
                <w:bCs w:val="1"/>
                <w:color w:val="auto"/>
              </w:rPr>
              <w:t>(if issued)</w:t>
            </w:r>
          </w:p>
        </w:tc>
        <w:tc>
          <w:tcPr>
            <w:tcW w:w="8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580" w:type="dxa"/>
            <w:vAlign w:val="bottom"/>
            <w:tcBorders>
              <w:right w:val="single" w:sz="8" w:color="auto"/>
            </w:tcBorders>
            <w:vMerge w:val="restart"/>
            <w:shd w:val="clear" w:color="auto" w:fill="BFBFBF"/>
          </w:tcPr>
          <w:p>
            <w:pPr>
              <w:ind w:left="300"/>
              <w:spacing w:after="0"/>
              <w:rPr>
                <w:sz w:val="20"/>
                <w:szCs w:val="20"/>
                <w:color w:val="auto"/>
              </w:rPr>
            </w:pPr>
            <w:r>
              <w:rPr>
                <w:rFonts w:ascii="Arial" w:cs="Arial" w:eastAsia="Arial" w:hAnsi="Arial"/>
                <w:sz w:val="18"/>
                <w:szCs w:val="18"/>
                <w:b w:val="1"/>
                <w:bCs w:val="1"/>
                <w:color w:val="auto"/>
              </w:rPr>
              <w:t>Developer(s)</w:t>
            </w:r>
          </w:p>
        </w:tc>
        <w:tc>
          <w:tcPr>
            <w:tcW w:w="1500" w:type="dxa"/>
            <w:vAlign w:val="bottom"/>
            <w:tcBorders>
              <w:right w:val="single" w:sz="8" w:color="auto"/>
            </w:tcBorders>
            <w:vMerge w:val="restart"/>
            <w:shd w:val="clear" w:color="auto" w:fill="BFBFBF"/>
          </w:tcPr>
          <w:p>
            <w:pPr>
              <w:ind w:left="320"/>
              <w:spacing w:after="0"/>
              <w:rPr>
                <w:sz w:val="20"/>
                <w:szCs w:val="20"/>
                <w:color w:val="auto"/>
              </w:rPr>
            </w:pPr>
            <w:r>
              <w:rPr>
                <w:rFonts w:ascii="Arial" w:cs="Arial" w:eastAsia="Arial" w:hAnsi="Arial"/>
                <w:sz w:val="18"/>
                <w:szCs w:val="18"/>
                <w:b w:val="1"/>
                <w:bCs w:val="1"/>
                <w:color w:val="auto"/>
              </w:rPr>
              <w:t>Appln. No.</w:t>
            </w:r>
          </w:p>
        </w:tc>
        <w:tc>
          <w:tcPr>
            <w:tcW w:w="940" w:type="dxa"/>
            <w:vAlign w:val="bottom"/>
            <w:tcBorders>
              <w:right w:val="single" w:sz="8" w:color="auto"/>
            </w:tcBorders>
            <w:vMerge w:val="continue"/>
            <w:shd w:val="clear" w:color="auto" w:fill="BFBFBF"/>
          </w:tcPr>
          <w:p>
            <w:pPr>
              <w:spacing w:after="0"/>
              <w:rPr>
                <w:sz w:val="9"/>
                <w:szCs w:val="9"/>
                <w:color w:val="auto"/>
              </w:rPr>
            </w:pPr>
          </w:p>
        </w:tc>
        <w:tc>
          <w:tcPr>
            <w:tcW w:w="1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BCM Ref. No.</w:t>
            </w:r>
          </w:p>
        </w:tc>
        <w:tc>
          <w:tcPr>
            <w:tcW w:w="2700" w:type="dxa"/>
            <w:vAlign w:val="bottom"/>
            <w:tcBorders>
              <w:right w:val="single" w:sz="8" w:color="auto"/>
            </w:tcBorders>
            <w:vMerge w:val="continue"/>
            <w:shd w:val="clear" w:color="auto" w:fill="BFBFBF"/>
          </w:tcPr>
          <w:p>
            <w:pPr>
              <w:spacing w:after="0"/>
              <w:rPr>
                <w:sz w:val="18"/>
                <w:szCs w:val="18"/>
                <w:color w:val="auto"/>
              </w:rPr>
            </w:pPr>
          </w:p>
        </w:tc>
        <w:tc>
          <w:tcPr>
            <w:tcW w:w="860" w:type="dxa"/>
            <w:vAlign w:val="bottom"/>
            <w:tcBorders>
              <w:right w:val="single" w:sz="8" w:color="auto"/>
            </w:tcBorders>
            <w:vMerge w:val="continue"/>
            <w:shd w:val="clear" w:color="auto" w:fill="BFBFBF"/>
          </w:tcPr>
          <w:p>
            <w:pPr>
              <w:spacing w:after="0"/>
              <w:rPr>
                <w:sz w:val="18"/>
                <w:szCs w:val="18"/>
                <w:color w:val="auto"/>
              </w:rPr>
            </w:pPr>
          </w:p>
        </w:tc>
        <w:tc>
          <w:tcPr>
            <w:tcW w:w="1580" w:type="dxa"/>
            <w:vAlign w:val="bottom"/>
            <w:tcBorders>
              <w:right w:val="single" w:sz="8" w:color="auto"/>
            </w:tcBorders>
            <w:vMerge w:val="continue"/>
            <w:shd w:val="clear" w:color="auto" w:fill="BFBFBF"/>
          </w:tcPr>
          <w:p>
            <w:pPr>
              <w:spacing w:after="0"/>
              <w:rPr>
                <w:sz w:val="18"/>
                <w:szCs w:val="18"/>
                <w:color w:val="auto"/>
              </w:rPr>
            </w:pPr>
          </w:p>
        </w:tc>
        <w:tc>
          <w:tcPr>
            <w:tcW w:w="1500" w:type="dxa"/>
            <w:vAlign w:val="bottom"/>
            <w:tcBorders>
              <w:right w:val="single" w:sz="8" w:color="auto"/>
            </w:tcBorders>
            <w:vMerge w:val="continue"/>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2"/>
              </w:rPr>
              <w:t>Issue</w:t>
            </w:r>
          </w:p>
        </w:tc>
        <w:tc>
          <w:tcPr>
            <w:tcW w:w="1100" w:type="dxa"/>
            <w:vAlign w:val="bottom"/>
            <w:tcBorders>
              <w:right w:val="single" w:sz="8" w:color="auto"/>
            </w:tcBorders>
            <w:vMerge w:val="continue"/>
            <w:shd w:val="clear" w:color="auto" w:fill="BFBFBF"/>
          </w:tcPr>
          <w:p>
            <w:pPr>
              <w:spacing w:after="0"/>
              <w:rPr>
                <w:sz w:val="18"/>
                <w:szCs w:val="18"/>
                <w:color w:val="auto"/>
              </w:rPr>
            </w:pPr>
          </w:p>
        </w:tc>
        <w:tc>
          <w:tcPr>
            <w:tcW w:w="11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shd w:val="clear" w:color="auto" w:fill="BFBFBF"/>
          </w:tcPr>
          <w:p>
            <w:pPr>
              <w:spacing w:after="0"/>
              <w:rPr>
                <w:sz w:val="20"/>
                <w:szCs w:val="20"/>
                <w:color w:val="auto"/>
              </w:rPr>
            </w:pPr>
          </w:p>
        </w:tc>
        <w:tc>
          <w:tcPr>
            <w:tcW w:w="2700" w:type="dxa"/>
            <w:vAlign w:val="bottom"/>
            <w:tcBorders>
              <w:right w:val="single" w:sz="8" w:color="auto"/>
            </w:tcBorders>
            <w:shd w:val="clear" w:color="auto" w:fill="BFBFBF"/>
          </w:tcPr>
          <w:p>
            <w:pPr>
              <w:spacing w:after="0"/>
              <w:rPr>
                <w:sz w:val="20"/>
                <w:szCs w:val="20"/>
                <w:color w:val="auto"/>
              </w:rPr>
            </w:pPr>
          </w:p>
        </w:tc>
        <w:tc>
          <w:tcPr>
            <w:tcW w:w="860" w:type="dxa"/>
            <w:vAlign w:val="bottom"/>
            <w:tcBorders>
              <w:right w:val="single" w:sz="8" w:color="auto"/>
            </w:tcBorders>
            <w:shd w:val="clear" w:color="auto" w:fill="BFBFBF"/>
          </w:tcPr>
          <w:p>
            <w:pPr>
              <w:spacing w:after="0"/>
              <w:rPr>
                <w:sz w:val="20"/>
                <w:szCs w:val="20"/>
                <w:color w:val="auto"/>
              </w:rPr>
            </w:pPr>
          </w:p>
        </w:tc>
        <w:tc>
          <w:tcPr>
            <w:tcW w:w="1580" w:type="dxa"/>
            <w:vAlign w:val="bottom"/>
            <w:tcBorders>
              <w:right w:val="single" w:sz="8" w:color="auto"/>
            </w:tcBorders>
            <w:shd w:val="clear" w:color="auto" w:fill="BFBFBF"/>
          </w:tcPr>
          <w:p>
            <w:pPr>
              <w:spacing w:after="0"/>
              <w:rPr>
                <w:sz w:val="20"/>
                <w:szCs w:val="20"/>
                <w:color w:val="auto"/>
              </w:rPr>
            </w:pPr>
          </w:p>
        </w:tc>
        <w:tc>
          <w:tcPr>
            <w:tcW w:w="1500" w:type="dxa"/>
            <w:vAlign w:val="bottom"/>
            <w:tcBorders>
              <w:right w:val="single" w:sz="8" w:color="auto"/>
            </w:tcBorders>
            <w:shd w:val="clear" w:color="auto" w:fill="BFBFBF"/>
          </w:tcPr>
          <w:p>
            <w:pPr>
              <w:spacing w:after="0"/>
              <w:rPr>
                <w:sz w:val="20"/>
                <w:szCs w:val="20"/>
                <w:color w:val="auto"/>
              </w:rPr>
            </w:pPr>
          </w:p>
        </w:tc>
        <w:tc>
          <w:tcPr>
            <w:tcW w:w="9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20"/>
                <w:szCs w:val="20"/>
                <w:color w:val="auto"/>
              </w:rPr>
            </w:pPr>
          </w:p>
        </w:tc>
        <w:tc>
          <w:tcPr>
            <w:tcW w:w="1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2700" w:type="dxa"/>
            <w:vAlign w:val="bottom"/>
            <w:tcBorders>
              <w:bottom w:val="single" w:sz="8" w:color="auto"/>
              <w:right w:val="single" w:sz="8" w:color="auto"/>
            </w:tcBorders>
            <w:shd w:val="clear" w:color="auto" w:fill="BFBFBF"/>
          </w:tcPr>
          <w:p>
            <w:pPr>
              <w:spacing w:after="0"/>
              <w:rPr>
                <w:sz w:val="7"/>
                <w:szCs w:val="7"/>
                <w:color w:val="auto"/>
              </w:rPr>
            </w:pPr>
          </w:p>
        </w:tc>
        <w:tc>
          <w:tcPr>
            <w:tcW w:w="860" w:type="dxa"/>
            <w:vAlign w:val="bottom"/>
            <w:tcBorders>
              <w:bottom w:val="single" w:sz="8" w:color="auto"/>
              <w:right w:val="single" w:sz="8" w:color="auto"/>
            </w:tcBorders>
            <w:shd w:val="clear" w:color="auto" w:fill="BFBFBF"/>
          </w:tcPr>
          <w:p>
            <w:pPr>
              <w:spacing w:after="0"/>
              <w:rPr>
                <w:sz w:val="7"/>
                <w:szCs w:val="7"/>
                <w:color w:val="auto"/>
              </w:rPr>
            </w:pPr>
          </w:p>
        </w:tc>
        <w:tc>
          <w:tcPr>
            <w:tcW w:w="1580" w:type="dxa"/>
            <w:vAlign w:val="bottom"/>
            <w:tcBorders>
              <w:bottom w:val="single" w:sz="8" w:color="auto"/>
              <w:right w:val="single" w:sz="8" w:color="auto"/>
            </w:tcBorders>
            <w:shd w:val="clear" w:color="auto" w:fill="BFBFBF"/>
          </w:tcPr>
          <w:p>
            <w:pPr>
              <w:spacing w:after="0"/>
              <w:rPr>
                <w:sz w:val="7"/>
                <w:szCs w:val="7"/>
                <w:color w:val="auto"/>
              </w:rPr>
            </w:pPr>
          </w:p>
        </w:tc>
        <w:tc>
          <w:tcPr>
            <w:tcW w:w="1500" w:type="dxa"/>
            <w:vAlign w:val="bottom"/>
            <w:tcBorders>
              <w:bottom w:val="single" w:sz="8" w:color="auto"/>
              <w:right w:val="single" w:sz="8" w:color="auto"/>
            </w:tcBorders>
            <w:shd w:val="clear" w:color="auto" w:fill="BFBFBF"/>
          </w:tcPr>
          <w:p>
            <w:pPr>
              <w:spacing w:after="0"/>
              <w:rPr>
                <w:sz w:val="7"/>
                <w:szCs w:val="7"/>
                <w:color w:val="auto"/>
              </w:rPr>
            </w:pPr>
          </w:p>
        </w:tc>
        <w:tc>
          <w:tcPr>
            <w:tcW w:w="940" w:type="dxa"/>
            <w:vAlign w:val="bottom"/>
            <w:tcBorders>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right w:val="single" w:sz="8" w:color="auto"/>
            </w:tcBorders>
            <w:shd w:val="clear" w:color="auto" w:fill="BFBFBF"/>
          </w:tcPr>
          <w:p>
            <w:pPr>
              <w:spacing w:after="0"/>
              <w:rPr>
                <w:sz w:val="7"/>
                <w:szCs w:val="7"/>
                <w:color w:val="auto"/>
              </w:rPr>
            </w:pPr>
          </w:p>
        </w:tc>
        <w:tc>
          <w:tcPr>
            <w:tcW w:w="11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BAYM.P0016ECH</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CH</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BAYM.P0016EDE</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DE</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BAYM.P0016EDK</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DK</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BAYM.P0016EFR</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w:t>
            </w:r>
          </w:p>
        </w:tc>
        <w:tc>
          <w:tcPr>
            <w:tcW w:w="1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6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Law Firm Ref.</w:t>
            </w:r>
          </w:p>
        </w:tc>
        <w:tc>
          <w:tcPr>
            <w:tcW w:w="2700" w:type="dxa"/>
            <w:vAlign w:val="bottom"/>
            <w:tcBorders>
              <w:top w:val="single" w:sz="8" w:color="auto"/>
              <w:right w:val="single" w:sz="8" w:color="auto"/>
            </w:tcBorders>
            <w:vMerge w:val="restart"/>
            <w:shd w:val="clear" w:color="auto" w:fill="BFBFBF"/>
          </w:tcPr>
          <w:p>
            <w:pPr>
              <w:ind w:left="360"/>
              <w:spacing w:after="0"/>
              <w:rPr>
                <w:sz w:val="20"/>
                <w:szCs w:val="20"/>
                <w:color w:val="auto"/>
              </w:rPr>
            </w:pPr>
            <w:r>
              <w:rPr>
                <w:rFonts w:ascii="Arial" w:cs="Arial" w:eastAsia="Arial" w:hAnsi="Arial"/>
                <w:sz w:val="18"/>
                <w:szCs w:val="18"/>
                <w:b w:val="1"/>
                <w:bCs w:val="1"/>
                <w:color w:val="auto"/>
              </w:rPr>
              <w:t>Title and Patent Number</w:t>
            </w:r>
          </w:p>
        </w:tc>
        <w:tc>
          <w:tcPr>
            <w:tcW w:w="860" w:type="dxa"/>
            <w:vAlign w:val="bottom"/>
            <w:tcBorders>
              <w:top w:val="single" w:sz="8" w:color="auto"/>
              <w:right w:val="single" w:sz="8" w:color="auto"/>
            </w:tcBorders>
            <w:shd w:val="clear" w:color="auto" w:fill="BFBFBF"/>
          </w:tcPr>
          <w:p>
            <w:pPr>
              <w:spacing w:after="0"/>
              <w:rPr>
                <w:sz w:val="24"/>
                <w:szCs w:val="24"/>
                <w:color w:val="auto"/>
              </w:rPr>
            </w:pPr>
          </w:p>
        </w:tc>
        <w:tc>
          <w:tcPr>
            <w:tcW w:w="1580" w:type="dxa"/>
            <w:vAlign w:val="bottom"/>
            <w:tcBorders>
              <w:top w:val="single" w:sz="8" w:color="auto"/>
              <w:right w:val="single" w:sz="8" w:color="auto"/>
            </w:tcBorders>
            <w:shd w:val="clear" w:color="auto" w:fill="BFBFBF"/>
          </w:tcPr>
          <w:p>
            <w:pPr>
              <w:spacing w:after="0"/>
              <w:rPr>
                <w:sz w:val="24"/>
                <w:szCs w:val="24"/>
                <w:color w:val="auto"/>
              </w:rPr>
            </w:pPr>
          </w:p>
        </w:tc>
        <w:tc>
          <w:tcPr>
            <w:tcW w:w="1500" w:type="dxa"/>
            <w:vAlign w:val="bottom"/>
            <w:tcBorders>
              <w:top w:val="single" w:sz="8" w:color="auto"/>
              <w:right w:val="single" w:sz="8" w:color="auto"/>
            </w:tcBorders>
            <w:shd w:val="clear" w:color="auto" w:fill="BFBFBF"/>
          </w:tcPr>
          <w:p>
            <w:pPr>
              <w:spacing w:after="0"/>
              <w:rPr>
                <w:sz w:val="24"/>
                <w:szCs w:val="24"/>
                <w:color w:val="auto"/>
              </w:rPr>
            </w:pPr>
          </w:p>
        </w:tc>
        <w:tc>
          <w:tcPr>
            <w:tcW w:w="9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100" w:type="dxa"/>
            <w:vAlign w:val="bottom"/>
            <w:tcBorders>
              <w:top w:val="single" w:sz="8" w:color="auto"/>
              <w:right w:val="single" w:sz="8" w:color="auto"/>
            </w:tcBorders>
            <w:shd w:val="clear" w:color="auto" w:fill="BFBFBF"/>
          </w:tcPr>
          <w:p>
            <w:pPr>
              <w:spacing w:after="0"/>
              <w:rPr>
                <w:sz w:val="24"/>
                <w:szCs w:val="24"/>
                <w:color w:val="auto"/>
              </w:rPr>
            </w:pPr>
          </w:p>
        </w:tc>
        <w:tc>
          <w:tcPr>
            <w:tcW w:w="11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No.</w:t>
            </w:r>
          </w:p>
        </w:tc>
        <w:tc>
          <w:tcPr>
            <w:tcW w:w="2700" w:type="dxa"/>
            <w:vAlign w:val="bottom"/>
            <w:tcBorders>
              <w:right w:val="single" w:sz="8" w:color="auto"/>
            </w:tcBorders>
            <w:vMerge w:val="continue"/>
            <w:shd w:val="clear" w:color="auto" w:fill="BFBFBF"/>
          </w:tcPr>
          <w:p>
            <w:pPr>
              <w:spacing w:after="0"/>
              <w:rPr>
                <w:sz w:val="9"/>
                <w:szCs w:val="9"/>
                <w:color w:val="auto"/>
              </w:rPr>
            </w:pPr>
          </w:p>
        </w:tc>
        <w:tc>
          <w:tcPr>
            <w:tcW w:w="860" w:type="dxa"/>
            <w:vAlign w:val="bottom"/>
            <w:tcBorders>
              <w:right w:val="single" w:sz="8" w:color="auto"/>
            </w:tcBorders>
            <w:shd w:val="clear" w:color="auto" w:fill="BFBFBF"/>
          </w:tcPr>
          <w:p>
            <w:pPr>
              <w:spacing w:after="0"/>
              <w:rPr>
                <w:sz w:val="9"/>
                <w:szCs w:val="9"/>
                <w:color w:val="auto"/>
              </w:rPr>
            </w:pPr>
          </w:p>
        </w:tc>
        <w:tc>
          <w:tcPr>
            <w:tcW w:w="1580" w:type="dxa"/>
            <w:vAlign w:val="bottom"/>
            <w:tcBorders>
              <w:right w:val="single" w:sz="8" w:color="auto"/>
            </w:tcBorders>
            <w:shd w:val="clear" w:color="auto" w:fill="BFBFBF"/>
          </w:tcPr>
          <w:p>
            <w:pPr>
              <w:spacing w:after="0"/>
              <w:rPr>
                <w:sz w:val="9"/>
                <w:szCs w:val="9"/>
                <w:color w:val="auto"/>
              </w:rPr>
            </w:pPr>
          </w:p>
        </w:tc>
        <w:tc>
          <w:tcPr>
            <w:tcW w:w="1500" w:type="dxa"/>
            <w:vAlign w:val="bottom"/>
            <w:tcBorders>
              <w:right w:val="single" w:sz="8" w:color="auto"/>
            </w:tcBorders>
            <w:shd w:val="clear" w:color="auto" w:fill="BFBFBF"/>
          </w:tcPr>
          <w:p>
            <w:pPr>
              <w:spacing w:after="0"/>
              <w:rPr>
                <w:sz w:val="9"/>
                <w:szCs w:val="9"/>
                <w:color w:val="auto"/>
              </w:rPr>
            </w:pPr>
          </w:p>
        </w:tc>
        <w:tc>
          <w:tcPr>
            <w:tcW w:w="9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 and</w:t>
            </w:r>
          </w:p>
        </w:tc>
        <w:tc>
          <w:tcPr>
            <w:tcW w:w="1100" w:type="dxa"/>
            <w:vAlign w:val="bottom"/>
            <w:tcBorders>
              <w:right w:val="single" w:sz="8" w:color="auto"/>
            </w:tcBorders>
            <w:shd w:val="clear" w:color="auto" w:fill="BFBFBF"/>
          </w:tcPr>
          <w:p>
            <w:pPr>
              <w:spacing w:after="0"/>
              <w:rPr>
                <w:sz w:val="9"/>
                <w:szCs w:val="9"/>
                <w:color w:val="auto"/>
              </w:rPr>
            </w:pPr>
          </w:p>
        </w:tc>
        <w:tc>
          <w:tcPr>
            <w:tcW w:w="11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2700" w:type="dxa"/>
            <w:vAlign w:val="bottom"/>
            <w:tcBorders>
              <w:right w:val="single" w:sz="8" w:color="auto"/>
            </w:tcBorders>
            <w:vMerge w:val="restart"/>
            <w:shd w:val="clear" w:color="auto" w:fill="BFBFBF"/>
          </w:tcPr>
          <w:p>
            <w:pPr>
              <w:ind w:left="960"/>
              <w:spacing w:after="0"/>
              <w:rPr>
                <w:sz w:val="20"/>
                <w:szCs w:val="20"/>
                <w:color w:val="auto"/>
              </w:rPr>
            </w:pPr>
            <w:r>
              <w:rPr>
                <w:rFonts w:ascii="Arial" w:cs="Arial" w:eastAsia="Arial" w:hAnsi="Arial"/>
                <w:sz w:val="18"/>
                <w:szCs w:val="18"/>
                <w:b w:val="1"/>
                <w:bCs w:val="1"/>
                <w:color w:val="auto"/>
              </w:rPr>
              <w:t>(if issued)</w:t>
            </w:r>
          </w:p>
        </w:tc>
        <w:tc>
          <w:tcPr>
            <w:tcW w:w="8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580" w:type="dxa"/>
            <w:vAlign w:val="bottom"/>
            <w:tcBorders>
              <w:right w:val="single" w:sz="8" w:color="auto"/>
            </w:tcBorders>
            <w:vMerge w:val="restart"/>
            <w:shd w:val="clear" w:color="auto" w:fill="BFBFBF"/>
          </w:tcPr>
          <w:p>
            <w:pPr>
              <w:ind w:left="300"/>
              <w:spacing w:after="0"/>
              <w:rPr>
                <w:sz w:val="20"/>
                <w:szCs w:val="20"/>
                <w:color w:val="auto"/>
              </w:rPr>
            </w:pPr>
            <w:r>
              <w:rPr>
                <w:rFonts w:ascii="Arial" w:cs="Arial" w:eastAsia="Arial" w:hAnsi="Arial"/>
                <w:sz w:val="18"/>
                <w:szCs w:val="18"/>
                <w:b w:val="1"/>
                <w:bCs w:val="1"/>
                <w:color w:val="auto"/>
              </w:rPr>
              <w:t>Developer(s)</w:t>
            </w:r>
          </w:p>
        </w:tc>
        <w:tc>
          <w:tcPr>
            <w:tcW w:w="1500" w:type="dxa"/>
            <w:vAlign w:val="bottom"/>
            <w:tcBorders>
              <w:right w:val="single" w:sz="8" w:color="auto"/>
            </w:tcBorders>
            <w:vMerge w:val="restart"/>
            <w:shd w:val="clear" w:color="auto" w:fill="BFBFBF"/>
          </w:tcPr>
          <w:p>
            <w:pPr>
              <w:ind w:left="320"/>
              <w:spacing w:after="0"/>
              <w:rPr>
                <w:sz w:val="20"/>
                <w:szCs w:val="20"/>
                <w:color w:val="auto"/>
              </w:rPr>
            </w:pPr>
            <w:r>
              <w:rPr>
                <w:rFonts w:ascii="Arial" w:cs="Arial" w:eastAsia="Arial" w:hAnsi="Arial"/>
                <w:sz w:val="18"/>
                <w:szCs w:val="18"/>
                <w:b w:val="1"/>
                <w:bCs w:val="1"/>
                <w:color w:val="auto"/>
              </w:rPr>
              <w:t>Appln. No.</w:t>
            </w:r>
          </w:p>
        </w:tc>
        <w:tc>
          <w:tcPr>
            <w:tcW w:w="940" w:type="dxa"/>
            <w:vAlign w:val="bottom"/>
            <w:tcBorders>
              <w:right w:val="single" w:sz="8" w:color="auto"/>
            </w:tcBorders>
            <w:vMerge w:val="continue"/>
            <w:shd w:val="clear" w:color="auto" w:fill="BFBFBF"/>
          </w:tcPr>
          <w:p>
            <w:pPr>
              <w:spacing w:after="0"/>
              <w:rPr>
                <w:sz w:val="9"/>
                <w:szCs w:val="9"/>
                <w:color w:val="auto"/>
              </w:rPr>
            </w:pPr>
          </w:p>
        </w:tc>
        <w:tc>
          <w:tcPr>
            <w:tcW w:w="1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BCM Ref. No.</w:t>
            </w:r>
          </w:p>
        </w:tc>
        <w:tc>
          <w:tcPr>
            <w:tcW w:w="2700" w:type="dxa"/>
            <w:vAlign w:val="bottom"/>
            <w:tcBorders>
              <w:right w:val="single" w:sz="8" w:color="auto"/>
            </w:tcBorders>
            <w:vMerge w:val="continue"/>
            <w:shd w:val="clear" w:color="auto" w:fill="BFBFBF"/>
          </w:tcPr>
          <w:p>
            <w:pPr>
              <w:spacing w:after="0"/>
              <w:rPr>
                <w:sz w:val="18"/>
                <w:szCs w:val="18"/>
                <w:color w:val="auto"/>
              </w:rPr>
            </w:pPr>
          </w:p>
        </w:tc>
        <w:tc>
          <w:tcPr>
            <w:tcW w:w="860" w:type="dxa"/>
            <w:vAlign w:val="bottom"/>
            <w:tcBorders>
              <w:right w:val="single" w:sz="8" w:color="auto"/>
            </w:tcBorders>
            <w:vMerge w:val="continue"/>
            <w:shd w:val="clear" w:color="auto" w:fill="BFBFBF"/>
          </w:tcPr>
          <w:p>
            <w:pPr>
              <w:spacing w:after="0"/>
              <w:rPr>
                <w:sz w:val="18"/>
                <w:szCs w:val="18"/>
                <w:color w:val="auto"/>
              </w:rPr>
            </w:pPr>
          </w:p>
        </w:tc>
        <w:tc>
          <w:tcPr>
            <w:tcW w:w="1580" w:type="dxa"/>
            <w:vAlign w:val="bottom"/>
            <w:tcBorders>
              <w:right w:val="single" w:sz="8" w:color="auto"/>
            </w:tcBorders>
            <w:vMerge w:val="continue"/>
            <w:shd w:val="clear" w:color="auto" w:fill="BFBFBF"/>
          </w:tcPr>
          <w:p>
            <w:pPr>
              <w:spacing w:after="0"/>
              <w:rPr>
                <w:sz w:val="18"/>
                <w:szCs w:val="18"/>
                <w:color w:val="auto"/>
              </w:rPr>
            </w:pPr>
          </w:p>
        </w:tc>
        <w:tc>
          <w:tcPr>
            <w:tcW w:w="1500" w:type="dxa"/>
            <w:vAlign w:val="bottom"/>
            <w:tcBorders>
              <w:right w:val="single" w:sz="8" w:color="auto"/>
            </w:tcBorders>
            <w:vMerge w:val="continue"/>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2"/>
              </w:rPr>
              <w:t>Issue</w:t>
            </w:r>
          </w:p>
        </w:tc>
        <w:tc>
          <w:tcPr>
            <w:tcW w:w="1100" w:type="dxa"/>
            <w:vAlign w:val="bottom"/>
            <w:tcBorders>
              <w:right w:val="single" w:sz="8" w:color="auto"/>
            </w:tcBorders>
            <w:vMerge w:val="continue"/>
            <w:shd w:val="clear" w:color="auto" w:fill="BFBFBF"/>
          </w:tcPr>
          <w:p>
            <w:pPr>
              <w:spacing w:after="0"/>
              <w:rPr>
                <w:sz w:val="18"/>
                <w:szCs w:val="18"/>
                <w:color w:val="auto"/>
              </w:rPr>
            </w:pPr>
          </w:p>
        </w:tc>
        <w:tc>
          <w:tcPr>
            <w:tcW w:w="11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shd w:val="clear" w:color="auto" w:fill="BFBFBF"/>
          </w:tcPr>
          <w:p>
            <w:pPr>
              <w:spacing w:after="0"/>
              <w:rPr>
                <w:sz w:val="20"/>
                <w:szCs w:val="20"/>
                <w:color w:val="auto"/>
              </w:rPr>
            </w:pPr>
          </w:p>
        </w:tc>
        <w:tc>
          <w:tcPr>
            <w:tcW w:w="2700" w:type="dxa"/>
            <w:vAlign w:val="bottom"/>
            <w:tcBorders>
              <w:right w:val="single" w:sz="8" w:color="auto"/>
            </w:tcBorders>
            <w:shd w:val="clear" w:color="auto" w:fill="BFBFBF"/>
          </w:tcPr>
          <w:p>
            <w:pPr>
              <w:spacing w:after="0"/>
              <w:rPr>
                <w:sz w:val="20"/>
                <w:szCs w:val="20"/>
                <w:color w:val="auto"/>
              </w:rPr>
            </w:pPr>
          </w:p>
        </w:tc>
        <w:tc>
          <w:tcPr>
            <w:tcW w:w="860" w:type="dxa"/>
            <w:vAlign w:val="bottom"/>
            <w:tcBorders>
              <w:right w:val="single" w:sz="8" w:color="auto"/>
            </w:tcBorders>
            <w:shd w:val="clear" w:color="auto" w:fill="BFBFBF"/>
          </w:tcPr>
          <w:p>
            <w:pPr>
              <w:spacing w:after="0"/>
              <w:rPr>
                <w:sz w:val="20"/>
                <w:szCs w:val="20"/>
                <w:color w:val="auto"/>
              </w:rPr>
            </w:pPr>
          </w:p>
        </w:tc>
        <w:tc>
          <w:tcPr>
            <w:tcW w:w="1580" w:type="dxa"/>
            <w:vAlign w:val="bottom"/>
            <w:tcBorders>
              <w:right w:val="single" w:sz="8" w:color="auto"/>
            </w:tcBorders>
            <w:shd w:val="clear" w:color="auto" w:fill="BFBFBF"/>
          </w:tcPr>
          <w:p>
            <w:pPr>
              <w:spacing w:after="0"/>
              <w:rPr>
                <w:sz w:val="20"/>
                <w:szCs w:val="20"/>
                <w:color w:val="auto"/>
              </w:rPr>
            </w:pPr>
          </w:p>
        </w:tc>
        <w:tc>
          <w:tcPr>
            <w:tcW w:w="1500" w:type="dxa"/>
            <w:vAlign w:val="bottom"/>
            <w:tcBorders>
              <w:right w:val="single" w:sz="8" w:color="auto"/>
            </w:tcBorders>
            <w:shd w:val="clear" w:color="auto" w:fill="BFBFBF"/>
          </w:tcPr>
          <w:p>
            <w:pPr>
              <w:spacing w:after="0"/>
              <w:rPr>
                <w:sz w:val="20"/>
                <w:szCs w:val="20"/>
                <w:color w:val="auto"/>
              </w:rPr>
            </w:pPr>
          </w:p>
        </w:tc>
        <w:tc>
          <w:tcPr>
            <w:tcW w:w="9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20"/>
                <w:szCs w:val="20"/>
                <w:color w:val="auto"/>
              </w:rPr>
            </w:pPr>
          </w:p>
        </w:tc>
        <w:tc>
          <w:tcPr>
            <w:tcW w:w="1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2700" w:type="dxa"/>
            <w:vAlign w:val="bottom"/>
            <w:tcBorders>
              <w:bottom w:val="single" w:sz="8" w:color="auto"/>
              <w:right w:val="single" w:sz="8" w:color="auto"/>
            </w:tcBorders>
            <w:shd w:val="clear" w:color="auto" w:fill="BFBFBF"/>
          </w:tcPr>
          <w:p>
            <w:pPr>
              <w:spacing w:after="0"/>
              <w:rPr>
                <w:sz w:val="7"/>
                <w:szCs w:val="7"/>
                <w:color w:val="auto"/>
              </w:rPr>
            </w:pPr>
          </w:p>
        </w:tc>
        <w:tc>
          <w:tcPr>
            <w:tcW w:w="860" w:type="dxa"/>
            <w:vAlign w:val="bottom"/>
            <w:tcBorders>
              <w:bottom w:val="single" w:sz="8" w:color="auto"/>
              <w:right w:val="single" w:sz="8" w:color="auto"/>
            </w:tcBorders>
            <w:shd w:val="clear" w:color="auto" w:fill="BFBFBF"/>
          </w:tcPr>
          <w:p>
            <w:pPr>
              <w:spacing w:after="0"/>
              <w:rPr>
                <w:sz w:val="7"/>
                <w:szCs w:val="7"/>
                <w:color w:val="auto"/>
              </w:rPr>
            </w:pPr>
          </w:p>
        </w:tc>
        <w:tc>
          <w:tcPr>
            <w:tcW w:w="1580" w:type="dxa"/>
            <w:vAlign w:val="bottom"/>
            <w:tcBorders>
              <w:bottom w:val="single" w:sz="8" w:color="auto"/>
              <w:right w:val="single" w:sz="8" w:color="auto"/>
            </w:tcBorders>
            <w:shd w:val="clear" w:color="auto" w:fill="BFBFBF"/>
          </w:tcPr>
          <w:p>
            <w:pPr>
              <w:spacing w:after="0"/>
              <w:rPr>
                <w:sz w:val="7"/>
                <w:szCs w:val="7"/>
                <w:color w:val="auto"/>
              </w:rPr>
            </w:pPr>
          </w:p>
        </w:tc>
        <w:tc>
          <w:tcPr>
            <w:tcW w:w="1500" w:type="dxa"/>
            <w:vAlign w:val="bottom"/>
            <w:tcBorders>
              <w:bottom w:val="single" w:sz="8" w:color="auto"/>
              <w:right w:val="single" w:sz="8" w:color="auto"/>
            </w:tcBorders>
            <w:shd w:val="clear" w:color="auto" w:fill="BFBFBF"/>
          </w:tcPr>
          <w:p>
            <w:pPr>
              <w:spacing w:after="0"/>
              <w:rPr>
                <w:sz w:val="7"/>
                <w:szCs w:val="7"/>
                <w:color w:val="auto"/>
              </w:rPr>
            </w:pPr>
          </w:p>
        </w:tc>
        <w:tc>
          <w:tcPr>
            <w:tcW w:w="940" w:type="dxa"/>
            <w:vAlign w:val="bottom"/>
            <w:tcBorders>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right w:val="single" w:sz="8" w:color="auto"/>
            </w:tcBorders>
            <w:shd w:val="clear" w:color="auto" w:fill="BFBFBF"/>
          </w:tcPr>
          <w:p>
            <w:pPr>
              <w:spacing w:after="0"/>
              <w:rPr>
                <w:sz w:val="7"/>
                <w:szCs w:val="7"/>
                <w:color w:val="auto"/>
              </w:rPr>
            </w:pPr>
          </w:p>
        </w:tc>
        <w:tc>
          <w:tcPr>
            <w:tcW w:w="11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BAYM.P0016EGB</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GB</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BAYM.P0016EIE</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IE</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BAYM.P0016ENL</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NL</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BAYM.P0016ENO</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NO</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 LINES</w:t>
            </w:r>
          </w:p>
        </w:tc>
        <w:tc>
          <w:tcPr>
            <w:tcW w:w="8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5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BAYM.P0016ESE</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 SPECIFICITY AGAINST</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TUMOR</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SE</w:t>
            </w: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10814245.6</w:t>
            </w: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5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ANTIGENS OR MULTIPLE</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VIRUSES</w:t>
            </w: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74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Law Firm Ref. No.</w:t>
            </w:r>
          </w:p>
        </w:tc>
        <w:tc>
          <w:tcPr>
            <w:tcW w:w="244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Title and Patent Number</w:t>
            </w:r>
          </w:p>
        </w:tc>
        <w:tc>
          <w:tcPr>
            <w:tcW w:w="860" w:type="dxa"/>
            <w:vAlign w:val="bottom"/>
            <w:tcBorders>
              <w:top w:val="single" w:sz="8" w:color="auto"/>
              <w:right w:val="single" w:sz="8" w:color="auto"/>
            </w:tcBorders>
            <w:shd w:val="clear" w:color="auto" w:fill="BFBFBF"/>
          </w:tcPr>
          <w:p>
            <w:pPr>
              <w:spacing w:after="0"/>
              <w:rPr>
                <w:sz w:val="24"/>
                <w:szCs w:val="24"/>
                <w:color w:val="auto"/>
              </w:rPr>
            </w:pPr>
          </w:p>
        </w:tc>
        <w:tc>
          <w:tcPr>
            <w:tcW w:w="1520" w:type="dxa"/>
            <w:vAlign w:val="bottom"/>
            <w:tcBorders>
              <w:top w:val="single" w:sz="8" w:color="auto"/>
              <w:right w:val="single" w:sz="8" w:color="auto"/>
            </w:tcBorders>
            <w:shd w:val="clear" w:color="auto" w:fill="BFBFBF"/>
          </w:tcPr>
          <w:p>
            <w:pPr>
              <w:spacing w:after="0"/>
              <w:rPr>
                <w:sz w:val="24"/>
                <w:szCs w:val="24"/>
                <w:color w:val="auto"/>
              </w:rPr>
            </w:pPr>
          </w:p>
        </w:tc>
        <w:tc>
          <w:tcPr>
            <w:tcW w:w="1740" w:type="dxa"/>
            <w:vAlign w:val="bottom"/>
            <w:tcBorders>
              <w:top w:val="single" w:sz="8" w:color="auto"/>
              <w:right w:val="single" w:sz="8" w:color="auto"/>
            </w:tcBorders>
            <w:shd w:val="clear" w:color="auto" w:fill="BFBFBF"/>
          </w:tcPr>
          <w:p>
            <w:pPr>
              <w:spacing w:after="0"/>
              <w:rPr>
                <w:sz w:val="24"/>
                <w:szCs w:val="24"/>
                <w:color w:val="auto"/>
              </w:rPr>
            </w:pPr>
          </w:p>
        </w:tc>
        <w:tc>
          <w:tcPr>
            <w:tcW w:w="9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100" w:type="dxa"/>
            <w:vAlign w:val="bottom"/>
            <w:tcBorders>
              <w:top w:val="single" w:sz="8" w:color="auto"/>
              <w:right w:val="single" w:sz="8" w:color="auto"/>
            </w:tcBorders>
            <w:shd w:val="clear" w:color="auto" w:fill="BFBFBF"/>
          </w:tcPr>
          <w:p>
            <w:pPr>
              <w:spacing w:after="0"/>
              <w:rPr>
                <w:sz w:val="24"/>
                <w:szCs w:val="24"/>
                <w:color w:val="auto"/>
              </w:rPr>
            </w:pPr>
          </w:p>
        </w:tc>
        <w:tc>
          <w:tcPr>
            <w:tcW w:w="11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2440" w:type="dxa"/>
            <w:vAlign w:val="bottom"/>
            <w:tcBorders>
              <w:right w:val="single" w:sz="8" w:color="auto"/>
            </w:tcBorders>
            <w:vMerge w:val="continue"/>
            <w:shd w:val="clear" w:color="auto" w:fill="BFBFBF"/>
          </w:tcPr>
          <w:p>
            <w:pPr>
              <w:spacing w:after="0"/>
              <w:rPr>
                <w:sz w:val="9"/>
                <w:szCs w:val="9"/>
                <w:color w:val="auto"/>
              </w:rPr>
            </w:pPr>
          </w:p>
        </w:tc>
        <w:tc>
          <w:tcPr>
            <w:tcW w:w="860" w:type="dxa"/>
            <w:vAlign w:val="bottom"/>
            <w:tcBorders>
              <w:right w:val="single" w:sz="8" w:color="auto"/>
            </w:tcBorders>
            <w:shd w:val="clear" w:color="auto" w:fill="BFBFBF"/>
          </w:tcPr>
          <w:p>
            <w:pPr>
              <w:spacing w:after="0"/>
              <w:rPr>
                <w:sz w:val="9"/>
                <w:szCs w:val="9"/>
                <w:color w:val="auto"/>
              </w:rPr>
            </w:pPr>
          </w:p>
        </w:tc>
        <w:tc>
          <w:tcPr>
            <w:tcW w:w="1520" w:type="dxa"/>
            <w:vAlign w:val="bottom"/>
            <w:tcBorders>
              <w:right w:val="single" w:sz="8" w:color="auto"/>
            </w:tcBorders>
            <w:shd w:val="clear" w:color="auto" w:fill="BFBFBF"/>
          </w:tcPr>
          <w:p>
            <w:pPr>
              <w:spacing w:after="0"/>
              <w:rPr>
                <w:sz w:val="9"/>
                <w:szCs w:val="9"/>
                <w:color w:val="auto"/>
              </w:rPr>
            </w:pPr>
          </w:p>
        </w:tc>
        <w:tc>
          <w:tcPr>
            <w:tcW w:w="1740" w:type="dxa"/>
            <w:vAlign w:val="bottom"/>
            <w:tcBorders>
              <w:right w:val="single" w:sz="8" w:color="auto"/>
            </w:tcBorders>
            <w:shd w:val="clear" w:color="auto" w:fill="BFBFBF"/>
          </w:tcPr>
          <w:p>
            <w:pPr>
              <w:spacing w:after="0"/>
              <w:rPr>
                <w:sz w:val="9"/>
                <w:szCs w:val="9"/>
                <w:color w:val="auto"/>
              </w:rPr>
            </w:pPr>
          </w:p>
        </w:tc>
        <w:tc>
          <w:tcPr>
            <w:tcW w:w="9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Date and</w:t>
            </w:r>
          </w:p>
        </w:tc>
        <w:tc>
          <w:tcPr>
            <w:tcW w:w="1100" w:type="dxa"/>
            <w:vAlign w:val="bottom"/>
            <w:tcBorders>
              <w:right w:val="single" w:sz="8" w:color="auto"/>
            </w:tcBorders>
            <w:shd w:val="clear" w:color="auto" w:fill="BFBFBF"/>
          </w:tcPr>
          <w:p>
            <w:pPr>
              <w:spacing w:after="0"/>
              <w:rPr>
                <w:sz w:val="9"/>
                <w:szCs w:val="9"/>
                <w:color w:val="auto"/>
              </w:rPr>
            </w:pPr>
          </w:p>
        </w:tc>
        <w:tc>
          <w:tcPr>
            <w:tcW w:w="1120" w:type="dxa"/>
            <w:vAlign w:val="bottom"/>
            <w:tcBorders>
              <w:right w:val="single" w:sz="8" w:color="auto"/>
            </w:tcBorders>
            <w:vMerge w:val="restart"/>
            <w:shd w:val="clear" w:color="auto" w:fill="BFBFBF"/>
          </w:tcPr>
          <w:p>
            <w:pPr>
              <w:ind w:left="240"/>
              <w:spacing w:after="0"/>
              <w:rPr>
                <w:sz w:val="20"/>
                <w:szCs w:val="20"/>
                <w:color w:val="auto"/>
              </w:rPr>
            </w:pPr>
            <w:r>
              <w:rPr>
                <w:rFonts w:ascii="Arial" w:cs="Arial" w:eastAsia="Arial" w:hAnsi="Arial"/>
                <w:sz w:val="18"/>
                <w:szCs w:val="18"/>
                <w:b w:val="1"/>
                <w:bCs w:val="1"/>
                <w:color w:val="auto"/>
              </w:rPr>
              <w:t>Priority</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BCM Ref. No.</w:t>
            </w:r>
          </w:p>
        </w:tc>
        <w:tc>
          <w:tcPr>
            <w:tcW w:w="24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(if issued)</w:t>
            </w:r>
          </w:p>
        </w:tc>
        <w:tc>
          <w:tcPr>
            <w:tcW w:w="8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520" w:type="dxa"/>
            <w:vAlign w:val="bottom"/>
            <w:tcBorders>
              <w:right w:val="single" w:sz="8" w:color="auto"/>
            </w:tcBorders>
            <w:vMerge w:val="restart"/>
            <w:shd w:val="clear" w:color="auto" w:fill="BFBFBF"/>
          </w:tcPr>
          <w:p>
            <w:pPr>
              <w:ind w:left="260"/>
              <w:spacing w:after="0"/>
              <w:rPr>
                <w:sz w:val="20"/>
                <w:szCs w:val="20"/>
                <w:color w:val="auto"/>
              </w:rPr>
            </w:pPr>
            <w:r>
              <w:rPr>
                <w:rFonts w:ascii="Arial" w:cs="Arial" w:eastAsia="Arial" w:hAnsi="Arial"/>
                <w:sz w:val="18"/>
                <w:szCs w:val="18"/>
                <w:b w:val="1"/>
                <w:bCs w:val="1"/>
                <w:color w:val="auto"/>
              </w:rPr>
              <w:t>Developer(s)</w:t>
            </w:r>
          </w:p>
        </w:tc>
        <w:tc>
          <w:tcPr>
            <w:tcW w:w="17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Appln. No.</w:t>
            </w:r>
          </w:p>
        </w:tc>
        <w:tc>
          <w:tcPr>
            <w:tcW w:w="900" w:type="dxa"/>
            <w:vAlign w:val="bottom"/>
            <w:tcBorders>
              <w:right w:val="single" w:sz="8" w:color="auto"/>
            </w:tcBorders>
            <w:vMerge w:val="continue"/>
            <w:shd w:val="clear" w:color="auto" w:fill="BFBFBF"/>
          </w:tcPr>
          <w:p>
            <w:pPr>
              <w:spacing w:after="0"/>
              <w:rPr>
                <w:sz w:val="9"/>
                <w:szCs w:val="9"/>
                <w:color w:val="auto"/>
              </w:rPr>
            </w:pPr>
          </w:p>
        </w:tc>
        <w:tc>
          <w:tcPr>
            <w:tcW w:w="1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continue"/>
            <w:shd w:val="clear" w:color="auto" w:fill="BFBFBF"/>
          </w:tcPr>
          <w:p>
            <w:pPr>
              <w:spacing w:after="0"/>
              <w:rPr>
                <w:sz w:val="18"/>
                <w:szCs w:val="18"/>
                <w:color w:val="auto"/>
              </w:rPr>
            </w:pPr>
          </w:p>
        </w:tc>
        <w:tc>
          <w:tcPr>
            <w:tcW w:w="2440" w:type="dxa"/>
            <w:vAlign w:val="bottom"/>
            <w:tcBorders>
              <w:right w:val="single" w:sz="8" w:color="auto"/>
            </w:tcBorders>
            <w:vMerge w:val="continue"/>
            <w:shd w:val="clear" w:color="auto" w:fill="BFBFBF"/>
          </w:tcPr>
          <w:p>
            <w:pPr>
              <w:spacing w:after="0"/>
              <w:rPr>
                <w:sz w:val="18"/>
                <w:szCs w:val="18"/>
                <w:color w:val="auto"/>
              </w:rPr>
            </w:pPr>
          </w:p>
        </w:tc>
        <w:tc>
          <w:tcPr>
            <w:tcW w:w="860" w:type="dxa"/>
            <w:vAlign w:val="bottom"/>
            <w:tcBorders>
              <w:right w:val="single" w:sz="8" w:color="auto"/>
            </w:tcBorders>
            <w:vMerge w:val="continue"/>
            <w:shd w:val="clear" w:color="auto" w:fill="BFBFBF"/>
          </w:tcPr>
          <w:p>
            <w:pPr>
              <w:spacing w:after="0"/>
              <w:rPr>
                <w:sz w:val="18"/>
                <w:szCs w:val="18"/>
                <w:color w:val="auto"/>
              </w:rPr>
            </w:pPr>
          </w:p>
        </w:tc>
        <w:tc>
          <w:tcPr>
            <w:tcW w:w="1520" w:type="dxa"/>
            <w:vAlign w:val="bottom"/>
            <w:tcBorders>
              <w:right w:val="single" w:sz="8" w:color="auto"/>
            </w:tcBorders>
            <w:vMerge w:val="continue"/>
            <w:shd w:val="clear" w:color="auto" w:fill="BFBFBF"/>
          </w:tcPr>
          <w:p>
            <w:pPr>
              <w:spacing w:after="0"/>
              <w:rPr>
                <w:sz w:val="18"/>
                <w:szCs w:val="18"/>
                <w:color w:val="auto"/>
              </w:rPr>
            </w:pPr>
          </w:p>
        </w:tc>
        <w:tc>
          <w:tcPr>
            <w:tcW w:w="1740" w:type="dxa"/>
            <w:vAlign w:val="bottom"/>
            <w:tcBorders>
              <w:right w:val="single" w:sz="8" w:color="auto"/>
            </w:tcBorders>
            <w:vMerge w:val="continue"/>
            <w:shd w:val="clear" w:color="auto" w:fill="BFBFBF"/>
          </w:tcPr>
          <w:p>
            <w:pPr>
              <w:spacing w:after="0"/>
              <w:rPr>
                <w:sz w:val="18"/>
                <w:szCs w:val="18"/>
                <w:color w:val="auto"/>
              </w:rPr>
            </w:pPr>
          </w:p>
        </w:tc>
        <w:tc>
          <w:tcPr>
            <w:tcW w:w="9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Issue</w:t>
            </w:r>
          </w:p>
        </w:tc>
        <w:tc>
          <w:tcPr>
            <w:tcW w:w="1100" w:type="dxa"/>
            <w:vAlign w:val="bottom"/>
            <w:tcBorders>
              <w:right w:val="single" w:sz="8" w:color="auto"/>
            </w:tcBorders>
            <w:vMerge w:val="continue"/>
            <w:shd w:val="clear" w:color="auto" w:fill="BFBFBF"/>
          </w:tcPr>
          <w:p>
            <w:pPr>
              <w:spacing w:after="0"/>
              <w:rPr>
                <w:sz w:val="18"/>
                <w:szCs w:val="18"/>
                <w:color w:val="auto"/>
              </w:rPr>
            </w:pPr>
          </w:p>
        </w:tc>
        <w:tc>
          <w:tcPr>
            <w:tcW w:w="1120" w:type="dxa"/>
            <w:vAlign w:val="bottom"/>
            <w:tcBorders>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234"/>
        </w:trPr>
        <w:tc>
          <w:tcPr>
            <w:tcW w:w="1740" w:type="dxa"/>
            <w:vAlign w:val="bottom"/>
            <w:tcBorders>
              <w:left w:val="single" w:sz="8" w:color="auto"/>
              <w:right w:val="single" w:sz="8" w:color="auto"/>
            </w:tcBorders>
            <w:shd w:val="clear" w:color="auto" w:fill="BFBFBF"/>
          </w:tcPr>
          <w:p>
            <w:pPr>
              <w:spacing w:after="0"/>
              <w:rPr>
                <w:sz w:val="20"/>
                <w:szCs w:val="20"/>
                <w:color w:val="auto"/>
              </w:rPr>
            </w:pPr>
          </w:p>
        </w:tc>
        <w:tc>
          <w:tcPr>
            <w:tcW w:w="2440" w:type="dxa"/>
            <w:vAlign w:val="bottom"/>
            <w:tcBorders>
              <w:right w:val="single" w:sz="8" w:color="auto"/>
            </w:tcBorders>
            <w:shd w:val="clear" w:color="auto" w:fill="BFBFBF"/>
          </w:tcPr>
          <w:p>
            <w:pPr>
              <w:spacing w:after="0"/>
              <w:rPr>
                <w:sz w:val="20"/>
                <w:szCs w:val="20"/>
                <w:color w:val="auto"/>
              </w:rPr>
            </w:pPr>
          </w:p>
        </w:tc>
        <w:tc>
          <w:tcPr>
            <w:tcW w:w="860" w:type="dxa"/>
            <w:vAlign w:val="bottom"/>
            <w:tcBorders>
              <w:right w:val="single" w:sz="8" w:color="auto"/>
            </w:tcBorders>
            <w:shd w:val="clear" w:color="auto" w:fill="BFBFBF"/>
          </w:tcPr>
          <w:p>
            <w:pPr>
              <w:spacing w:after="0"/>
              <w:rPr>
                <w:sz w:val="20"/>
                <w:szCs w:val="20"/>
                <w:color w:val="auto"/>
              </w:rPr>
            </w:pPr>
          </w:p>
        </w:tc>
        <w:tc>
          <w:tcPr>
            <w:tcW w:w="1520" w:type="dxa"/>
            <w:vAlign w:val="bottom"/>
            <w:tcBorders>
              <w:right w:val="single" w:sz="8" w:color="auto"/>
            </w:tcBorders>
            <w:shd w:val="clear" w:color="auto" w:fill="BFBFBF"/>
          </w:tcPr>
          <w:p>
            <w:pPr>
              <w:spacing w:after="0"/>
              <w:rPr>
                <w:sz w:val="20"/>
                <w:szCs w:val="20"/>
                <w:color w:val="auto"/>
              </w:rPr>
            </w:pPr>
          </w:p>
        </w:tc>
        <w:tc>
          <w:tcPr>
            <w:tcW w:w="1740" w:type="dxa"/>
            <w:vAlign w:val="bottom"/>
            <w:tcBorders>
              <w:right w:val="single" w:sz="8" w:color="auto"/>
            </w:tcBorders>
            <w:shd w:val="clear" w:color="auto" w:fill="BFBFBF"/>
          </w:tcPr>
          <w:p>
            <w:pPr>
              <w:spacing w:after="0"/>
              <w:rPr>
                <w:sz w:val="20"/>
                <w:szCs w:val="20"/>
                <w:color w:val="auto"/>
              </w:rPr>
            </w:pPr>
          </w:p>
        </w:tc>
        <w:tc>
          <w:tcPr>
            <w:tcW w:w="9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20"/>
                <w:szCs w:val="20"/>
                <w:color w:val="auto"/>
              </w:rPr>
            </w:pPr>
          </w:p>
        </w:tc>
        <w:tc>
          <w:tcPr>
            <w:tcW w:w="1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2440" w:type="dxa"/>
            <w:vAlign w:val="bottom"/>
            <w:tcBorders>
              <w:bottom w:val="single" w:sz="8" w:color="auto"/>
              <w:right w:val="single" w:sz="8" w:color="auto"/>
            </w:tcBorders>
            <w:shd w:val="clear" w:color="auto" w:fill="BFBFBF"/>
          </w:tcPr>
          <w:p>
            <w:pPr>
              <w:spacing w:after="0"/>
              <w:rPr>
                <w:sz w:val="7"/>
                <w:szCs w:val="7"/>
                <w:color w:val="auto"/>
              </w:rPr>
            </w:pPr>
          </w:p>
        </w:tc>
        <w:tc>
          <w:tcPr>
            <w:tcW w:w="860" w:type="dxa"/>
            <w:vAlign w:val="bottom"/>
            <w:tcBorders>
              <w:bottom w:val="single" w:sz="8" w:color="auto"/>
              <w:right w:val="single" w:sz="8" w:color="auto"/>
            </w:tcBorders>
            <w:shd w:val="clear" w:color="auto" w:fill="BFBFBF"/>
          </w:tcPr>
          <w:p>
            <w:pPr>
              <w:spacing w:after="0"/>
              <w:rPr>
                <w:sz w:val="7"/>
                <w:szCs w:val="7"/>
                <w:color w:val="auto"/>
              </w:rPr>
            </w:pPr>
          </w:p>
        </w:tc>
        <w:tc>
          <w:tcPr>
            <w:tcW w:w="1520" w:type="dxa"/>
            <w:vAlign w:val="bottom"/>
            <w:tcBorders>
              <w:bottom w:val="single" w:sz="8" w:color="auto"/>
              <w:right w:val="single" w:sz="8" w:color="auto"/>
            </w:tcBorders>
            <w:shd w:val="clear" w:color="auto" w:fill="BFBFBF"/>
          </w:tcPr>
          <w:p>
            <w:pPr>
              <w:spacing w:after="0"/>
              <w:rPr>
                <w:sz w:val="7"/>
                <w:szCs w:val="7"/>
                <w:color w:val="auto"/>
              </w:rPr>
            </w:pPr>
          </w:p>
        </w:tc>
        <w:tc>
          <w:tcPr>
            <w:tcW w:w="1740" w:type="dxa"/>
            <w:vAlign w:val="bottom"/>
            <w:tcBorders>
              <w:bottom w:val="single" w:sz="8" w:color="auto"/>
              <w:right w:val="single" w:sz="8" w:color="auto"/>
            </w:tcBorders>
            <w:shd w:val="clear" w:color="auto" w:fill="BFBFBF"/>
          </w:tcPr>
          <w:p>
            <w:pPr>
              <w:spacing w:after="0"/>
              <w:rPr>
                <w:sz w:val="7"/>
                <w:szCs w:val="7"/>
                <w:color w:val="auto"/>
              </w:rPr>
            </w:pPr>
          </w:p>
        </w:tc>
        <w:tc>
          <w:tcPr>
            <w:tcW w:w="900" w:type="dxa"/>
            <w:vAlign w:val="bottom"/>
            <w:tcBorders>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right w:val="single" w:sz="8" w:color="auto"/>
            </w:tcBorders>
            <w:shd w:val="clear" w:color="auto" w:fill="BFBFBF"/>
          </w:tcPr>
          <w:p>
            <w:pPr>
              <w:spacing w:after="0"/>
              <w:rPr>
                <w:sz w:val="7"/>
                <w:szCs w:val="7"/>
                <w:color w:val="auto"/>
              </w:rPr>
            </w:pPr>
          </w:p>
        </w:tc>
        <w:tc>
          <w:tcPr>
            <w:tcW w:w="11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GENERATION OF CTL</w:t>
            </w: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Leen, Ann M.;</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BAYM.P0016EP.D1</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Gerdemann,</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LINES WITH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BCM;</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61/236,261</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 Rooney,</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24-Aug-</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AGAINST MULTIPLE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EP</w:t>
            </w: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EP 16180607.0</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Wilson</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10-001</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Vera</w:t>
            </w: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TUMOR ANTIGENS OR</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Wolf</w:t>
            </w: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24-Aug-</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Valdes Juan F.;</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VIRUSES</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Wilson, John R.</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BAYM.P0059US.P1</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PEPMIXES TO GENERATE</w:t>
            </w:r>
          </w:p>
        </w:tc>
        <w:tc>
          <w:tcPr>
            <w:tcW w:w="8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Cliona Rooney,</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61/596,875</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09-Feb-</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MULTIVIRAL CTLS WITH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Expired</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2012</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BROAD SPECIFICITY</w:t>
            </w: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7"/>
              </w:rPr>
              <w:t>Gerdemann, Juan</w:t>
            </w:r>
          </w:p>
        </w:tc>
        <w:tc>
          <w:tcPr>
            <w:tcW w:w="17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vMerge w:val="continue"/>
          </w:tcPr>
          <w:p>
            <w:pPr>
              <w:spacing w:after="0"/>
              <w:rPr>
                <w:sz w:val="8"/>
                <w:szCs w:val="8"/>
                <w:color w:val="auto"/>
              </w:rPr>
            </w:pPr>
          </w:p>
        </w:tc>
        <w:tc>
          <w:tcPr>
            <w:tcW w:w="24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 Vera Valdes</w:t>
            </w:r>
          </w:p>
        </w:tc>
        <w:tc>
          <w:tcPr>
            <w:tcW w:w="17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BAYM.P0059WO</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PEPMIXES TO GENERATE</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Rooney,</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08-Feb-</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61/596,875</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MULTIVIRAL CTLS WITH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PCT</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PCT/US2013/025342</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2013</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BROAD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7"/>
              </w:rPr>
              <w:t>Gerdemann, Juan</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09-Feb-2012</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 Vera Valdes</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BAYM.P0059US</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PEPMIXES TO GENERATE</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Rooney,</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08-Aug-</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61/596,875</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MULTIVIRAL CTLS WITH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14/377,825</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2014</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BROAD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7"/>
              </w:rPr>
              <w:t>Gerdemann, Juan</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09-Feb-2012</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 Vera Valdes</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BAYM.P0059US.C1</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PEPMIXES TO GENERATE</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Rooney,</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26-Feb-</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61/596,875</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MULTIVIRAL CTLS WITH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US</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15/905,176</w:t>
            </w: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2018</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BLG 10-048</w:t>
            </w: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BROAD SPECIFICITY</w:t>
            </w: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7"/>
              </w:rPr>
              <w:t>Gerdemann, Juan</w:t>
            </w: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09-Feb-2012</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Vera</w:t>
            </w:r>
          </w:p>
        </w:tc>
        <w:tc>
          <w:tcPr>
            <w:tcW w:w="17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72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2500" w:type="dxa"/>
            <w:vAlign w:val="bottom"/>
            <w:tcBorders>
              <w:top w:val="single" w:sz="8" w:color="auto"/>
              <w:right w:val="single" w:sz="8" w:color="auto"/>
            </w:tcBorders>
            <w:shd w:val="clear" w:color="auto" w:fill="BFBFBF"/>
          </w:tcPr>
          <w:p>
            <w:pPr>
              <w:spacing w:after="0"/>
              <w:rPr>
                <w:sz w:val="24"/>
                <w:szCs w:val="24"/>
                <w:color w:val="auto"/>
              </w:rPr>
            </w:pPr>
          </w:p>
        </w:tc>
        <w:tc>
          <w:tcPr>
            <w:tcW w:w="840" w:type="dxa"/>
            <w:vAlign w:val="bottom"/>
            <w:tcBorders>
              <w:top w:val="single" w:sz="8" w:color="auto"/>
              <w:right w:val="single" w:sz="8" w:color="auto"/>
            </w:tcBorders>
            <w:shd w:val="clear" w:color="auto" w:fill="BFBFBF"/>
          </w:tcPr>
          <w:p>
            <w:pPr>
              <w:spacing w:after="0"/>
              <w:rPr>
                <w:sz w:val="24"/>
                <w:szCs w:val="24"/>
                <w:color w:val="auto"/>
              </w:rPr>
            </w:pPr>
          </w:p>
        </w:tc>
        <w:tc>
          <w:tcPr>
            <w:tcW w:w="1500" w:type="dxa"/>
            <w:vAlign w:val="bottom"/>
            <w:tcBorders>
              <w:top w:val="single" w:sz="8" w:color="auto"/>
              <w:right w:val="single" w:sz="8" w:color="auto"/>
            </w:tcBorders>
            <w:shd w:val="clear" w:color="auto" w:fill="BFBFBF"/>
          </w:tcPr>
          <w:p>
            <w:pPr>
              <w:spacing w:after="0"/>
              <w:rPr>
                <w:sz w:val="24"/>
                <w:szCs w:val="24"/>
                <w:color w:val="auto"/>
              </w:rPr>
            </w:pPr>
          </w:p>
        </w:tc>
        <w:tc>
          <w:tcPr>
            <w:tcW w:w="1760" w:type="dxa"/>
            <w:vAlign w:val="bottom"/>
            <w:tcBorders>
              <w:top w:val="single" w:sz="8" w:color="auto"/>
              <w:right w:val="single" w:sz="8" w:color="auto"/>
            </w:tcBorders>
            <w:shd w:val="clear" w:color="auto" w:fill="BFBFBF"/>
          </w:tcPr>
          <w:p>
            <w:pPr>
              <w:spacing w:after="0"/>
              <w:rPr>
                <w:sz w:val="24"/>
                <w:szCs w:val="24"/>
                <w:color w:val="auto"/>
              </w:rPr>
            </w:pPr>
          </w:p>
        </w:tc>
        <w:tc>
          <w:tcPr>
            <w:tcW w:w="8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100" w:type="dxa"/>
            <w:vAlign w:val="bottom"/>
            <w:tcBorders>
              <w:top w:val="single" w:sz="8" w:color="auto"/>
              <w:right w:val="single" w:sz="8" w:color="auto"/>
            </w:tcBorders>
            <w:shd w:val="clear" w:color="auto" w:fill="BFBFBF"/>
          </w:tcPr>
          <w:p>
            <w:pPr>
              <w:spacing w:after="0"/>
              <w:rPr>
                <w:sz w:val="24"/>
                <w:szCs w:val="24"/>
                <w:color w:val="auto"/>
              </w:rPr>
            </w:pPr>
          </w:p>
        </w:tc>
        <w:tc>
          <w:tcPr>
            <w:tcW w:w="11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Law Firm Ref. No.</w:t>
            </w:r>
          </w:p>
        </w:tc>
        <w:tc>
          <w:tcPr>
            <w:tcW w:w="2500" w:type="dxa"/>
            <w:vAlign w:val="bottom"/>
            <w:tcBorders>
              <w:right w:val="single" w:sz="8" w:color="auto"/>
            </w:tcBorders>
            <w:shd w:val="clear" w:color="auto" w:fill="BFBFBF"/>
          </w:tcPr>
          <w:p>
            <w:pPr>
              <w:ind w:left="260"/>
              <w:spacing w:after="0"/>
              <w:rPr>
                <w:sz w:val="20"/>
                <w:szCs w:val="20"/>
                <w:color w:val="auto"/>
              </w:rPr>
            </w:pPr>
            <w:r>
              <w:rPr>
                <w:rFonts w:ascii="Arial" w:cs="Arial" w:eastAsia="Arial" w:hAnsi="Arial"/>
                <w:sz w:val="18"/>
                <w:szCs w:val="18"/>
                <w:b w:val="1"/>
                <w:bCs w:val="1"/>
                <w:color w:val="auto"/>
              </w:rPr>
              <w:t>Title and Patent Number</w:t>
            </w:r>
          </w:p>
        </w:tc>
        <w:tc>
          <w:tcPr>
            <w:tcW w:w="840" w:type="dxa"/>
            <w:vAlign w:val="bottom"/>
            <w:tcBorders>
              <w:right w:val="single" w:sz="8" w:color="auto"/>
            </w:tcBorders>
            <w:shd w:val="clear" w:color="auto" w:fill="BFBFBF"/>
          </w:tcPr>
          <w:p>
            <w:pPr>
              <w:spacing w:after="0"/>
              <w:rPr>
                <w:sz w:val="18"/>
                <w:szCs w:val="18"/>
                <w:color w:val="auto"/>
              </w:rPr>
            </w:pPr>
          </w:p>
        </w:tc>
        <w:tc>
          <w:tcPr>
            <w:tcW w:w="1500" w:type="dxa"/>
            <w:vAlign w:val="bottom"/>
            <w:tcBorders>
              <w:right w:val="single" w:sz="8" w:color="auto"/>
            </w:tcBorders>
            <w:shd w:val="clear" w:color="auto" w:fill="BFBFBF"/>
          </w:tcPr>
          <w:p>
            <w:pPr>
              <w:spacing w:after="0"/>
              <w:rPr>
                <w:sz w:val="18"/>
                <w:szCs w:val="18"/>
                <w:color w:val="auto"/>
              </w:rPr>
            </w:pPr>
          </w:p>
        </w:tc>
        <w:tc>
          <w:tcPr>
            <w:tcW w:w="1760" w:type="dxa"/>
            <w:vAlign w:val="bottom"/>
            <w:tcBorders>
              <w:right w:val="single" w:sz="8" w:color="auto"/>
            </w:tcBorders>
            <w:shd w:val="clear" w:color="auto" w:fill="BFBFBF"/>
          </w:tcPr>
          <w:p>
            <w:pPr>
              <w:spacing w:after="0"/>
              <w:rPr>
                <w:sz w:val="18"/>
                <w:szCs w:val="18"/>
                <w:color w:val="auto"/>
              </w:rPr>
            </w:pPr>
          </w:p>
        </w:tc>
        <w:tc>
          <w:tcPr>
            <w:tcW w:w="8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18"/>
                <w:szCs w:val="18"/>
                <w:color w:val="auto"/>
              </w:rPr>
            </w:pPr>
          </w:p>
        </w:tc>
        <w:tc>
          <w:tcPr>
            <w:tcW w:w="1120" w:type="dxa"/>
            <w:vAlign w:val="bottom"/>
            <w:tcBorders>
              <w:right w:val="single" w:sz="8" w:color="auto"/>
            </w:tcBorders>
            <w:vMerge w:val="restart"/>
            <w:shd w:val="clear" w:color="auto" w:fill="BFBFBF"/>
          </w:tcPr>
          <w:p>
            <w:pPr>
              <w:ind w:left="240"/>
              <w:spacing w:after="0"/>
              <w:rPr>
                <w:sz w:val="20"/>
                <w:szCs w:val="20"/>
                <w:color w:val="auto"/>
              </w:rPr>
            </w:pPr>
            <w:r>
              <w:rPr>
                <w:rFonts w:ascii="Arial" w:cs="Arial" w:eastAsia="Arial" w:hAnsi="Arial"/>
                <w:sz w:val="18"/>
                <w:szCs w:val="18"/>
                <w:b w:val="1"/>
                <w:bCs w:val="1"/>
                <w:color w:val="auto"/>
              </w:rPr>
              <w:t>Priority</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BCM Ref. No.</w:t>
            </w:r>
          </w:p>
        </w:tc>
        <w:tc>
          <w:tcPr>
            <w:tcW w:w="2500" w:type="dxa"/>
            <w:vAlign w:val="bottom"/>
            <w:tcBorders>
              <w:right w:val="single" w:sz="8" w:color="auto"/>
            </w:tcBorders>
            <w:vMerge w:val="restart"/>
            <w:shd w:val="clear" w:color="auto" w:fill="BFBFBF"/>
          </w:tcPr>
          <w:p>
            <w:pPr>
              <w:ind w:left="860"/>
              <w:spacing w:after="0"/>
              <w:rPr>
                <w:sz w:val="20"/>
                <w:szCs w:val="20"/>
                <w:color w:val="auto"/>
              </w:rPr>
            </w:pPr>
            <w:r>
              <w:rPr>
                <w:rFonts w:ascii="Arial" w:cs="Arial" w:eastAsia="Arial" w:hAnsi="Arial"/>
                <w:sz w:val="18"/>
                <w:szCs w:val="18"/>
                <w:b w:val="1"/>
                <w:bCs w:val="1"/>
                <w:color w:val="auto"/>
              </w:rPr>
              <w:t>(if issued)</w:t>
            </w:r>
          </w:p>
        </w:tc>
        <w:tc>
          <w:tcPr>
            <w:tcW w:w="8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1500" w:type="dxa"/>
            <w:vAlign w:val="bottom"/>
            <w:tcBorders>
              <w:right w:val="single" w:sz="8" w:color="auto"/>
            </w:tcBorders>
            <w:vMerge w:val="restart"/>
            <w:shd w:val="clear" w:color="auto" w:fill="BFBFBF"/>
          </w:tcPr>
          <w:p>
            <w:pPr>
              <w:ind w:left="260"/>
              <w:spacing w:after="0"/>
              <w:rPr>
                <w:sz w:val="20"/>
                <w:szCs w:val="20"/>
                <w:color w:val="auto"/>
              </w:rPr>
            </w:pPr>
            <w:r>
              <w:rPr>
                <w:rFonts w:ascii="Arial" w:cs="Arial" w:eastAsia="Arial" w:hAnsi="Arial"/>
                <w:sz w:val="18"/>
                <w:szCs w:val="18"/>
                <w:b w:val="1"/>
                <w:bCs w:val="1"/>
                <w:color w:val="auto"/>
              </w:rPr>
              <w:t>Developer(s)</w:t>
            </w:r>
          </w:p>
        </w:tc>
        <w:tc>
          <w:tcPr>
            <w:tcW w:w="17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Appln. No.</w:t>
            </w:r>
          </w:p>
        </w:tc>
        <w:tc>
          <w:tcPr>
            <w:tcW w:w="8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and</w:t>
            </w:r>
          </w:p>
        </w:tc>
        <w:tc>
          <w:tcPr>
            <w:tcW w:w="1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vMerge w:val="continue"/>
            <w:shd w:val="clear" w:color="auto" w:fill="BFBFBF"/>
          </w:tcPr>
          <w:p>
            <w:pPr>
              <w:spacing w:after="0"/>
              <w:rPr>
                <w:sz w:val="15"/>
                <w:szCs w:val="15"/>
                <w:color w:val="auto"/>
              </w:rPr>
            </w:pPr>
          </w:p>
        </w:tc>
        <w:tc>
          <w:tcPr>
            <w:tcW w:w="2500" w:type="dxa"/>
            <w:vAlign w:val="bottom"/>
            <w:tcBorders>
              <w:right w:val="single" w:sz="8" w:color="auto"/>
            </w:tcBorders>
            <w:vMerge w:val="continue"/>
            <w:shd w:val="clear" w:color="auto" w:fill="BFBFBF"/>
          </w:tcPr>
          <w:p>
            <w:pPr>
              <w:spacing w:after="0"/>
              <w:rPr>
                <w:sz w:val="15"/>
                <w:szCs w:val="15"/>
                <w:color w:val="auto"/>
              </w:rPr>
            </w:pPr>
          </w:p>
        </w:tc>
        <w:tc>
          <w:tcPr>
            <w:tcW w:w="840" w:type="dxa"/>
            <w:vAlign w:val="bottom"/>
            <w:tcBorders>
              <w:right w:val="single" w:sz="8" w:color="auto"/>
            </w:tcBorders>
            <w:vMerge w:val="continue"/>
            <w:shd w:val="clear" w:color="auto" w:fill="BFBFBF"/>
          </w:tcPr>
          <w:p>
            <w:pPr>
              <w:spacing w:after="0"/>
              <w:rPr>
                <w:sz w:val="15"/>
                <w:szCs w:val="15"/>
                <w:color w:val="auto"/>
              </w:rPr>
            </w:pPr>
          </w:p>
        </w:tc>
        <w:tc>
          <w:tcPr>
            <w:tcW w:w="1500" w:type="dxa"/>
            <w:vAlign w:val="bottom"/>
            <w:tcBorders>
              <w:right w:val="single" w:sz="8" w:color="auto"/>
            </w:tcBorders>
            <w:vMerge w:val="continue"/>
            <w:shd w:val="clear" w:color="auto" w:fill="BFBFBF"/>
          </w:tcPr>
          <w:p>
            <w:pPr>
              <w:spacing w:after="0"/>
              <w:rPr>
                <w:sz w:val="15"/>
                <w:szCs w:val="15"/>
                <w:color w:val="auto"/>
              </w:rPr>
            </w:pPr>
          </w:p>
        </w:tc>
        <w:tc>
          <w:tcPr>
            <w:tcW w:w="1760" w:type="dxa"/>
            <w:vAlign w:val="bottom"/>
            <w:tcBorders>
              <w:right w:val="single" w:sz="8" w:color="auto"/>
            </w:tcBorders>
            <w:vMerge w:val="continue"/>
            <w:shd w:val="clear" w:color="auto" w:fill="BFBFBF"/>
          </w:tcPr>
          <w:p>
            <w:pPr>
              <w:spacing w:after="0"/>
              <w:rPr>
                <w:sz w:val="15"/>
                <w:szCs w:val="15"/>
                <w:color w:val="auto"/>
              </w:rPr>
            </w:pPr>
          </w:p>
        </w:tc>
        <w:tc>
          <w:tcPr>
            <w:tcW w:w="880" w:type="dxa"/>
            <w:vAlign w:val="bottom"/>
            <w:tcBorders>
              <w:right w:val="single" w:sz="8" w:color="auto"/>
            </w:tcBorders>
            <w:vMerge w:val="continue"/>
            <w:shd w:val="clear" w:color="auto" w:fill="BFBFBF"/>
          </w:tcPr>
          <w:p>
            <w:pPr>
              <w:spacing w:after="0"/>
              <w:rPr>
                <w:sz w:val="15"/>
                <w:szCs w:val="15"/>
                <w:color w:val="auto"/>
              </w:rPr>
            </w:pPr>
          </w:p>
        </w:tc>
        <w:tc>
          <w:tcPr>
            <w:tcW w:w="1100" w:type="dxa"/>
            <w:vAlign w:val="bottom"/>
            <w:tcBorders>
              <w:right w:val="single" w:sz="8" w:color="auto"/>
            </w:tcBorders>
            <w:vMerge w:val="continue"/>
            <w:shd w:val="clear" w:color="auto" w:fill="BFBFBF"/>
          </w:tcPr>
          <w:p>
            <w:pPr>
              <w:spacing w:after="0"/>
              <w:rPr>
                <w:sz w:val="15"/>
                <w:szCs w:val="15"/>
                <w:color w:val="auto"/>
              </w:rPr>
            </w:pPr>
          </w:p>
        </w:tc>
        <w:tc>
          <w:tcPr>
            <w:tcW w:w="1120" w:type="dxa"/>
            <w:vAlign w:val="bottom"/>
            <w:tcBorders>
              <w:right w:val="single" w:sz="8" w:color="auto"/>
            </w:tcBorders>
            <w:shd w:val="clear" w:color="auto" w:fill="BFBFBF"/>
          </w:tcPr>
          <w:p>
            <w:pPr>
              <w:ind w:left="80"/>
              <w:spacing w:after="0" w:line="181" w:lineRule="exact"/>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shd w:val="clear" w:color="auto" w:fill="BFBFBF"/>
          </w:tcPr>
          <w:p>
            <w:pPr>
              <w:spacing w:after="0"/>
              <w:rPr>
                <w:sz w:val="12"/>
                <w:szCs w:val="12"/>
                <w:color w:val="auto"/>
              </w:rPr>
            </w:pPr>
          </w:p>
        </w:tc>
        <w:tc>
          <w:tcPr>
            <w:tcW w:w="2500" w:type="dxa"/>
            <w:vAlign w:val="bottom"/>
            <w:tcBorders>
              <w:right w:val="single" w:sz="8" w:color="auto"/>
            </w:tcBorders>
            <w:shd w:val="clear" w:color="auto" w:fill="BFBFBF"/>
          </w:tcPr>
          <w:p>
            <w:pPr>
              <w:spacing w:after="0"/>
              <w:rPr>
                <w:sz w:val="12"/>
                <w:szCs w:val="12"/>
                <w:color w:val="auto"/>
              </w:rPr>
            </w:pPr>
          </w:p>
        </w:tc>
        <w:tc>
          <w:tcPr>
            <w:tcW w:w="840" w:type="dxa"/>
            <w:vAlign w:val="bottom"/>
            <w:tcBorders>
              <w:right w:val="single" w:sz="8" w:color="auto"/>
            </w:tcBorders>
            <w:shd w:val="clear" w:color="auto" w:fill="BFBFBF"/>
          </w:tcPr>
          <w:p>
            <w:pPr>
              <w:spacing w:after="0"/>
              <w:rPr>
                <w:sz w:val="12"/>
                <w:szCs w:val="12"/>
                <w:color w:val="auto"/>
              </w:rPr>
            </w:pPr>
          </w:p>
        </w:tc>
        <w:tc>
          <w:tcPr>
            <w:tcW w:w="1500" w:type="dxa"/>
            <w:vAlign w:val="bottom"/>
            <w:tcBorders>
              <w:right w:val="single" w:sz="8" w:color="auto"/>
            </w:tcBorders>
            <w:shd w:val="clear" w:color="auto" w:fill="BFBFBF"/>
          </w:tcPr>
          <w:p>
            <w:pPr>
              <w:spacing w:after="0"/>
              <w:rPr>
                <w:sz w:val="12"/>
                <w:szCs w:val="12"/>
                <w:color w:val="auto"/>
              </w:rPr>
            </w:pPr>
          </w:p>
        </w:tc>
        <w:tc>
          <w:tcPr>
            <w:tcW w:w="1760" w:type="dxa"/>
            <w:vAlign w:val="bottom"/>
            <w:tcBorders>
              <w:right w:val="single" w:sz="8" w:color="auto"/>
            </w:tcBorders>
            <w:shd w:val="clear" w:color="auto" w:fill="BFBFBF"/>
          </w:tcPr>
          <w:p>
            <w:pPr>
              <w:spacing w:after="0"/>
              <w:rPr>
                <w:sz w:val="12"/>
                <w:szCs w:val="12"/>
                <w:color w:val="auto"/>
              </w:rPr>
            </w:pPr>
          </w:p>
        </w:tc>
        <w:tc>
          <w:tcPr>
            <w:tcW w:w="88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6"/>
                <w:szCs w:val="16"/>
                <w:b w:val="1"/>
                <w:bCs w:val="1"/>
                <w:color w:val="auto"/>
                <w:w w:val="92"/>
              </w:rPr>
              <w:t>Issue</w:t>
            </w:r>
          </w:p>
        </w:tc>
        <w:tc>
          <w:tcPr>
            <w:tcW w:w="1100" w:type="dxa"/>
            <w:vAlign w:val="bottom"/>
            <w:tcBorders>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840" w:type="dxa"/>
            <w:vAlign w:val="bottom"/>
            <w:tcBorders>
              <w:right w:val="single" w:sz="8" w:color="auto"/>
            </w:tcBorders>
            <w:shd w:val="clear" w:color="auto" w:fill="BFBFBF"/>
          </w:tcPr>
          <w:p>
            <w:pPr>
              <w:spacing w:after="0"/>
              <w:rPr>
                <w:sz w:val="20"/>
                <w:szCs w:val="20"/>
                <w:color w:val="auto"/>
              </w:rPr>
            </w:pPr>
          </w:p>
        </w:tc>
        <w:tc>
          <w:tcPr>
            <w:tcW w:w="1500" w:type="dxa"/>
            <w:vAlign w:val="bottom"/>
            <w:tcBorders>
              <w:right w:val="single" w:sz="8" w:color="auto"/>
            </w:tcBorders>
            <w:shd w:val="clear" w:color="auto" w:fill="BFBFBF"/>
          </w:tcPr>
          <w:p>
            <w:pPr>
              <w:spacing w:after="0"/>
              <w:rPr>
                <w:sz w:val="20"/>
                <w:szCs w:val="20"/>
                <w:color w:val="auto"/>
              </w:rPr>
            </w:pPr>
          </w:p>
        </w:tc>
        <w:tc>
          <w:tcPr>
            <w:tcW w:w="1760" w:type="dxa"/>
            <w:vAlign w:val="bottom"/>
            <w:tcBorders>
              <w:right w:val="single" w:sz="8" w:color="auto"/>
            </w:tcBorders>
            <w:shd w:val="clear" w:color="auto" w:fill="BFBFBF"/>
          </w:tcPr>
          <w:p>
            <w:pPr>
              <w:spacing w:after="0"/>
              <w:rPr>
                <w:sz w:val="20"/>
                <w:szCs w:val="20"/>
                <w:color w:val="auto"/>
              </w:rPr>
            </w:pPr>
          </w:p>
        </w:tc>
        <w:tc>
          <w:tcPr>
            <w:tcW w:w="8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right w:val="single" w:sz="8" w:color="auto"/>
            </w:tcBorders>
            <w:shd w:val="clear" w:color="auto" w:fill="BFBFBF"/>
          </w:tcPr>
          <w:p>
            <w:pPr>
              <w:spacing w:after="0"/>
              <w:rPr>
                <w:sz w:val="20"/>
                <w:szCs w:val="20"/>
                <w:color w:val="auto"/>
              </w:rPr>
            </w:pPr>
          </w:p>
        </w:tc>
        <w:tc>
          <w:tcPr>
            <w:tcW w:w="1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2500" w:type="dxa"/>
            <w:vAlign w:val="bottom"/>
            <w:tcBorders>
              <w:bottom w:val="single" w:sz="8" w:color="auto"/>
              <w:right w:val="single" w:sz="8" w:color="auto"/>
            </w:tcBorders>
            <w:shd w:val="clear" w:color="auto" w:fill="BFBFBF"/>
          </w:tcPr>
          <w:p>
            <w:pPr>
              <w:spacing w:after="0"/>
              <w:rPr>
                <w:sz w:val="7"/>
                <w:szCs w:val="7"/>
                <w:color w:val="auto"/>
              </w:rPr>
            </w:pPr>
          </w:p>
        </w:tc>
        <w:tc>
          <w:tcPr>
            <w:tcW w:w="840" w:type="dxa"/>
            <w:vAlign w:val="bottom"/>
            <w:tcBorders>
              <w:bottom w:val="single" w:sz="8" w:color="auto"/>
              <w:right w:val="single" w:sz="8" w:color="auto"/>
            </w:tcBorders>
            <w:shd w:val="clear" w:color="auto" w:fill="BFBFBF"/>
          </w:tcPr>
          <w:p>
            <w:pPr>
              <w:spacing w:after="0"/>
              <w:rPr>
                <w:sz w:val="7"/>
                <w:szCs w:val="7"/>
                <w:color w:val="auto"/>
              </w:rPr>
            </w:pPr>
          </w:p>
        </w:tc>
        <w:tc>
          <w:tcPr>
            <w:tcW w:w="1500" w:type="dxa"/>
            <w:vAlign w:val="bottom"/>
            <w:tcBorders>
              <w:bottom w:val="single" w:sz="8" w:color="auto"/>
              <w:right w:val="single" w:sz="8" w:color="auto"/>
            </w:tcBorders>
            <w:shd w:val="clear" w:color="auto" w:fill="BFBFBF"/>
          </w:tcPr>
          <w:p>
            <w:pPr>
              <w:spacing w:after="0"/>
              <w:rPr>
                <w:sz w:val="7"/>
                <w:szCs w:val="7"/>
                <w:color w:val="auto"/>
              </w:rPr>
            </w:pPr>
          </w:p>
        </w:tc>
        <w:tc>
          <w:tcPr>
            <w:tcW w:w="1760" w:type="dxa"/>
            <w:vAlign w:val="bottom"/>
            <w:tcBorders>
              <w:bottom w:val="single" w:sz="8" w:color="auto"/>
              <w:right w:val="single" w:sz="8" w:color="auto"/>
            </w:tcBorders>
            <w:shd w:val="clear" w:color="auto" w:fill="BFBFBF"/>
          </w:tcPr>
          <w:p>
            <w:pPr>
              <w:spacing w:after="0"/>
              <w:rPr>
                <w:sz w:val="7"/>
                <w:szCs w:val="7"/>
                <w:color w:val="auto"/>
              </w:rPr>
            </w:pPr>
          </w:p>
        </w:tc>
        <w:tc>
          <w:tcPr>
            <w:tcW w:w="880" w:type="dxa"/>
            <w:vAlign w:val="bottom"/>
            <w:tcBorders>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right w:val="single" w:sz="8" w:color="auto"/>
            </w:tcBorders>
            <w:shd w:val="clear" w:color="auto" w:fill="BFBFBF"/>
          </w:tcPr>
          <w:p>
            <w:pPr>
              <w:spacing w:after="0"/>
              <w:rPr>
                <w:sz w:val="7"/>
                <w:szCs w:val="7"/>
                <w:color w:val="auto"/>
              </w:rPr>
            </w:pPr>
          </w:p>
        </w:tc>
        <w:tc>
          <w:tcPr>
            <w:tcW w:w="11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BAYM.P0059EP</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PEPMIXES TO GENERATE</w:t>
            </w: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Cliona Rooney,</w:t>
            </w: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08-Feb-</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61/596,875</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MULTIVIRAL CTLS WITH</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EP</w:t>
            </w: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Ulrike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EP 13746524.1</w:t>
            </w: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2013</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BLG 10-048</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BROAD SPECIFICITY</w:t>
            </w: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Gerdemann, Juan</w:t>
            </w: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09-Feb-2012</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 Vera Valdes</w:t>
            </w:r>
          </w:p>
        </w:tc>
        <w:tc>
          <w:tcPr>
            <w:tcW w:w="17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BAYM.P0168US.P1</w:t>
            </w: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IMMUNOGENIC ANTIGEN</w:t>
            </w:r>
          </w:p>
        </w:tc>
        <w:tc>
          <w:tcPr>
            <w:tcW w:w="8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IDENTIFICATION FROM A</w:t>
            </w:r>
          </w:p>
        </w:tc>
        <w:tc>
          <w:tcPr>
            <w:tcW w:w="8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Paibel Aguayo-</w:t>
            </w:r>
          </w:p>
        </w:tc>
        <w:tc>
          <w:tcPr>
            <w:tcW w:w="17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62/220,884</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18-Sep-</w:t>
            </w: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tcPr>
          <w:p>
            <w:pPr>
              <w:spacing w:after="0"/>
              <w:rPr>
                <w:sz w:val="8"/>
                <w:szCs w:val="8"/>
                <w:color w:val="auto"/>
              </w:rPr>
            </w:pPr>
          </w:p>
        </w:tc>
        <w:tc>
          <w:tcPr>
            <w:tcW w:w="250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PATHOGEN AND</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Hiraldo, Ifigeneia</w:t>
            </w:r>
          </w:p>
        </w:tc>
        <w:tc>
          <w:tcPr>
            <w:tcW w:w="17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BLG 16-019</w:t>
            </w: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Expired</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2015</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CORRELATION TO</w:t>
            </w: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Tzannou</w:t>
            </w:r>
          </w:p>
        </w:tc>
        <w:tc>
          <w:tcPr>
            <w:tcW w:w="17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BLG 16-100</w:t>
            </w: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CLINICAL EFFICACY</w:t>
            </w:r>
          </w:p>
        </w:tc>
        <w:tc>
          <w:tcPr>
            <w:tcW w:w="8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BAYM.P0168WO</w:t>
            </w: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IMMUNOGENIC ANTIGEN</w:t>
            </w:r>
          </w:p>
        </w:tc>
        <w:tc>
          <w:tcPr>
            <w:tcW w:w="8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 Marie Leen,</w:t>
            </w:r>
          </w:p>
        </w:tc>
        <w:tc>
          <w:tcPr>
            <w:tcW w:w="17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USAN</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IDENTIFICATION FROM A</w:t>
            </w: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Paibel Aguayo-</w:t>
            </w: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19-Sep-</w:t>
            </w: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62/220,884</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PATHOGEN AND</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PCT</w:t>
            </w: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Hiraldo, Ifigeneia</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PCT/US2016/052487</w:t>
            </w: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BCM</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BLG 16-019</w:t>
            </w: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2016</w:t>
            </w: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Filing Date: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CORRELATION TO</w:t>
            </w: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8"/>
              </w:rPr>
              <w:t>Tzannou, Juan F.</w:t>
            </w: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BLG 16-100</w:t>
            </w: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18-Sep-2015</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CLINICAL EFFICACY</w:t>
            </w:r>
          </w:p>
        </w:tc>
        <w:tc>
          <w:tcPr>
            <w:tcW w:w="8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Vera Valdes</w:t>
            </w:r>
          </w:p>
        </w:tc>
        <w:tc>
          <w:tcPr>
            <w:tcW w:w="17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5</w:t>
            </w:r>
          </w:p>
        </w:tc>
        <w:tc>
          <w:tcPr>
            <w:tcW w:w="1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Technology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List of Subject Technology to be sent by BCM to LICENSEE.</w:t>
      </w:r>
    </w:p>
    <w:p>
      <w:pPr>
        <w:spacing w:after="0" w:line="225" w:lineRule="exact"/>
        <w:rPr>
          <w:sz w:val="20"/>
          <w:szCs w:val="20"/>
          <w:color w:val="auto"/>
        </w:rPr>
      </w:pPr>
    </w:p>
    <w:p>
      <w:pPr>
        <w:ind w:left="980" w:hanging="648"/>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BLG 10-001, entitled “Generation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BLG 10-048, entitled “ Pepmixes to Generate Multiviral CTLs with Broad Specificity”</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BLG 16-019, entitled “Immunogenic Antigen Identification from a Pathogen and Correlation to Clinical Efficacy”</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BLG 16-100, entitled “Immunogenic Antigen Identification from a Pathogen and Correlation to Clinical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Appendix 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Royalty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BLG #:</w:t>
            </w:r>
          </w:p>
        </w:tc>
        <w:tc>
          <w:tcPr>
            <w:tcW w:w="3960" w:type="dxa"/>
            <w:vAlign w:val="bottom"/>
          </w:tcPr>
          <w:p>
            <w:pPr>
              <w:jc w:val="right"/>
              <w:ind w:right="910"/>
              <w:spacing w:after="0"/>
              <w:rPr>
                <w:sz w:val="20"/>
                <w:szCs w:val="20"/>
                <w:color w:val="auto"/>
              </w:rPr>
            </w:pPr>
            <w:r>
              <w:rPr>
                <w:rFonts w:ascii="Arial" w:cs="Arial" w:eastAsia="Arial" w:hAnsi="Arial"/>
                <w:sz w:val="18"/>
                <w:szCs w:val="18"/>
                <w:b w:val="1"/>
                <w:bCs w:val="1"/>
                <w:color w:val="auto"/>
              </w:rPr>
              <w:t>_____________________</w:t>
            </w: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Licensee:</w:t>
            </w:r>
          </w:p>
        </w:tc>
        <w:tc>
          <w:tcPr>
            <w:tcW w:w="3960" w:type="dxa"/>
            <w:vAlign w:val="bottom"/>
          </w:tcPr>
          <w:p>
            <w:pPr>
              <w:jc w:val="right"/>
              <w:ind w:right="910"/>
              <w:spacing w:after="0"/>
              <w:rPr>
                <w:sz w:val="20"/>
                <w:szCs w:val="20"/>
                <w:color w:val="auto"/>
              </w:rPr>
            </w:pPr>
            <w:r>
              <w:rPr>
                <w:rFonts w:ascii="Arial" w:cs="Arial" w:eastAsia="Arial" w:hAnsi="Arial"/>
                <w:sz w:val="18"/>
                <w:szCs w:val="18"/>
                <w:b w:val="1"/>
                <w:bCs w:val="1"/>
                <w:color w:val="auto"/>
              </w:rPr>
              <w:t>_____________________</w:t>
            </w: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Reporting Period:</w:t>
            </w:r>
          </w:p>
        </w:tc>
        <w:tc>
          <w:tcPr>
            <w:tcW w:w="3960" w:type="dxa"/>
            <w:vAlign w:val="bottom"/>
          </w:tcPr>
          <w:p>
            <w:pPr>
              <w:jc w:val="right"/>
              <w:ind w:right="910"/>
              <w:spacing w:after="0"/>
              <w:rPr>
                <w:sz w:val="20"/>
                <w:szCs w:val="20"/>
                <w:color w:val="auto"/>
              </w:rPr>
            </w:pPr>
            <w:r>
              <w:rPr>
                <w:rFonts w:ascii="Arial" w:cs="Arial" w:eastAsia="Arial" w:hAnsi="Arial"/>
                <w:sz w:val="18"/>
                <w:szCs w:val="18"/>
                <w:b w:val="1"/>
                <w:bCs w:val="1"/>
                <w:color w:val="auto"/>
              </w:rPr>
              <w:t>_____________________</w:t>
            </w: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Prepared By</w:t>
            </w:r>
          </w:p>
        </w:tc>
        <w:tc>
          <w:tcPr>
            <w:tcW w:w="3960" w:type="dxa"/>
            <w:vAlign w:val="bottom"/>
          </w:tcPr>
          <w:p>
            <w:pPr>
              <w:jc w:val="right"/>
              <w:ind w:right="910"/>
              <w:spacing w:after="0"/>
              <w:rPr>
                <w:sz w:val="20"/>
                <w:szCs w:val="20"/>
                <w:color w:val="auto"/>
              </w:rPr>
            </w:pPr>
            <w:r>
              <w:rPr>
                <w:rFonts w:ascii="Arial" w:cs="Arial" w:eastAsia="Arial" w:hAnsi="Arial"/>
                <w:sz w:val="18"/>
                <w:szCs w:val="18"/>
                <w:b w:val="1"/>
                <w:bCs w:val="1"/>
                <w:color w:val="auto"/>
              </w:rPr>
              <w:t>_____________________</w:t>
            </w:r>
          </w:p>
        </w:tc>
        <w:tc>
          <w:tcPr>
            <w:tcW w:w="1880" w:type="dxa"/>
            <w:vAlign w:val="bottom"/>
          </w:tcPr>
          <w:p>
            <w:pPr>
              <w:ind w:left="1000"/>
              <w:spacing w:after="0"/>
              <w:rPr>
                <w:sz w:val="20"/>
                <w:szCs w:val="20"/>
                <w:color w:val="auto"/>
              </w:rPr>
            </w:pPr>
            <w:r>
              <w:rPr>
                <w:rFonts w:ascii="Arial" w:cs="Arial" w:eastAsia="Arial" w:hAnsi="Arial"/>
                <w:sz w:val="18"/>
                <w:szCs w:val="18"/>
                <w:b w:val="1"/>
                <w:bCs w:val="1"/>
                <w:color w:val="auto"/>
              </w:rPr>
              <w:t>Date: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_____________________</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Approved By</w:t>
            </w:r>
          </w:p>
        </w:tc>
        <w:tc>
          <w:tcPr>
            <w:tcW w:w="3960" w:type="dxa"/>
            <w:vAlign w:val="bottom"/>
          </w:tcPr>
          <w:p>
            <w:pPr>
              <w:jc w:val="right"/>
              <w:ind w:right="910"/>
              <w:spacing w:after="0"/>
              <w:rPr>
                <w:sz w:val="20"/>
                <w:szCs w:val="20"/>
                <w:color w:val="auto"/>
              </w:rPr>
            </w:pPr>
            <w:r>
              <w:rPr>
                <w:rFonts w:ascii="Arial" w:cs="Arial" w:eastAsia="Arial" w:hAnsi="Arial"/>
                <w:sz w:val="18"/>
                <w:szCs w:val="18"/>
                <w:b w:val="1"/>
                <w:bCs w:val="1"/>
                <w:color w:val="auto"/>
              </w:rPr>
              <w:t>_____________________</w:t>
            </w:r>
          </w:p>
        </w:tc>
        <w:tc>
          <w:tcPr>
            <w:tcW w:w="1880" w:type="dxa"/>
            <w:vAlign w:val="bottom"/>
          </w:tcPr>
          <w:p>
            <w:pPr>
              <w:ind w:left="1000"/>
              <w:spacing w:after="0"/>
              <w:rPr>
                <w:sz w:val="20"/>
                <w:szCs w:val="20"/>
                <w:color w:val="auto"/>
              </w:rPr>
            </w:pPr>
            <w:r>
              <w:rPr>
                <w:rFonts w:ascii="Arial" w:cs="Arial" w:eastAsia="Arial" w:hAnsi="Arial"/>
                <w:sz w:val="18"/>
                <w:szCs w:val="18"/>
                <w:b w:val="1"/>
                <w:bCs w:val="1"/>
                <w:color w:val="auto"/>
              </w:rPr>
              <w:t>Date: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_____________________</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prepare a separate report for each product line. Then combine all product lines into a summary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Product Line Code (SKU): ________________________</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80" w:type="dxa"/>
            <w:vAlign w:val="bottom"/>
            <w:tcBorders>
              <w:top w:val="single" w:sz="8" w:color="auto"/>
              <w:left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Gross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Less</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Net</w:t>
            </w:r>
          </w:p>
        </w:tc>
        <w:tc>
          <w:tcPr>
            <w:tcW w:w="114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Units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Billings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Deductions*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Royalty</w:t>
            </w:r>
          </w:p>
        </w:tc>
        <w:tc>
          <w:tcPr>
            <w:tcW w:w="112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Royalty</w:t>
            </w:r>
          </w:p>
        </w:tc>
      </w:tr>
      <w:tr>
        <w:trPr>
          <w:trHeight w:val="241"/>
        </w:trPr>
        <w:tc>
          <w:tcPr>
            <w:tcW w:w="11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Country</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Sold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(USD)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(USD)</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(USD)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(USD)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r>
      <w:tr>
        <w:trPr>
          <w:trHeight w:val="23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USA</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Canada</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Europe</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2"/>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Japan</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2"/>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r>
      <w:tr>
        <w:trPr>
          <w:trHeight w:val="237"/>
        </w:trPr>
        <w:tc>
          <w:tcPr>
            <w:tcW w:w="2320" w:type="dxa"/>
            <w:vAlign w:val="bottom"/>
            <w:tcBorders>
              <w:left w:val="single" w:sz="8" w:color="auto"/>
              <w:bottom w:val="single" w:sz="8" w:color="auto"/>
              <w:right w:val="single" w:sz="8" w:color="FFFFCC"/>
            </w:tcBorders>
            <w:gridSpan w:val="2"/>
            <w:shd w:val="clear" w:color="auto" w:fill="FFFFCC"/>
          </w:tcPr>
          <w:p>
            <w:pPr>
              <w:ind w:left="40"/>
              <w:spacing w:after="0"/>
              <w:rPr>
                <w:sz w:val="20"/>
                <w:szCs w:val="20"/>
                <w:color w:val="auto"/>
              </w:rPr>
            </w:pPr>
            <w:r>
              <w:rPr>
                <w:rFonts w:ascii="Arial" w:cs="Arial" w:eastAsia="Arial" w:hAnsi="Arial"/>
                <w:sz w:val="18"/>
                <w:szCs w:val="18"/>
                <w:b w:val="1"/>
                <w:bCs w:val="1"/>
                <w:color w:val="auto"/>
                <w:w w:val="98"/>
              </w:rPr>
              <w:t>Net Royalty Payable (USD)</w:t>
            </w:r>
          </w:p>
        </w:tc>
        <w:tc>
          <w:tcPr>
            <w:tcW w:w="1380" w:type="dxa"/>
            <w:vAlign w:val="bottom"/>
            <w:tcBorders>
              <w:bottom w:val="single" w:sz="8" w:color="auto"/>
              <w:right w:val="single" w:sz="8" w:color="CCCCFF"/>
            </w:tcBorders>
            <w:shd w:val="clear" w:color="auto" w:fill="FFFFCC"/>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2160" w:type="dxa"/>
            <w:vAlign w:val="bottom"/>
            <w:tcBorders>
              <w:bottom w:val="single" w:sz="8" w:color="auto"/>
              <w:right w:val="single" w:sz="8" w:color="CCCCFF"/>
            </w:tcBorders>
            <w:shd w:val="clear" w:color="auto" w:fill="CCCCFF"/>
          </w:tcPr>
          <w:p>
            <w:pPr>
              <w:spacing w:after="0"/>
              <w:rPr>
                <w:sz w:val="20"/>
                <w:szCs w:val="20"/>
                <w:color w:val="auto"/>
              </w:rPr>
            </w:pPr>
          </w:p>
        </w:tc>
        <w:tc>
          <w:tcPr>
            <w:tcW w:w="102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auto"/>
            </w:tcBorders>
            <w:shd w:val="clear" w:color="auto" w:fill="CCCCFF"/>
          </w:tcPr>
          <w:p>
            <w:pPr>
              <w:spacing w:after="0"/>
              <w:rPr>
                <w:sz w:val="20"/>
                <w:szCs w:val="20"/>
                <w:color w:val="auto"/>
              </w:rPr>
            </w:pPr>
          </w:p>
        </w:tc>
        <w:tc>
          <w:tcPr>
            <w:tcW w:w="11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r>
      <w:tr>
        <w:trPr>
          <w:trHeight w:val="237"/>
        </w:trPr>
        <w:tc>
          <w:tcPr>
            <w:tcW w:w="2320" w:type="dxa"/>
            <w:vAlign w:val="bottom"/>
            <w:tcBorders>
              <w:left w:val="single" w:sz="8" w:color="auto"/>
              <w:bottom w:val="single" w:sz="8" w:color="auto"/>
              <w:right w:val="single" w:sz="8" w:color="FFFFCC"/>
            </w:tcBorders>
            <w:gridSpan w:val="2"/>
            <w:shd w:val="clear" w:color="auto" w:fill="FFFFCC"/>
          </w:tcPr>
          <w:p>
            <w:pPr>
              <w:ind w:left="40"/>
              <w:spacing w:after="0"/>
              <w:rPr>
                <w:sz w:val="20"/>
                <w:szCs w:val="20"/>
                <w:color w:val="auto"/>
              </w:rPr>
            </w:pPr>
            <w:r>
              <w:rPr>
                <w:rFonts w:ascii="Arial" w:cs="Arial" w:eastAsia="Arial" w:hAnsi="Arial"/>
                <w:sz w:val="18"/>
                <w:szCs w:val="18"/>
                <w:b w:val="1"/>
                <w:bCs w:val="1"/>
                <w:color w:val="auto"/>
                <w:w w:val="90"/>
              </w:rPr>
              <w:t>Sublicensing Revenue (USD)</w:t>
            </w:r>
          </w:p>
        </w:tc>
        <w:tc>
          <w:tcPr>
            <w:tcW w:w="1380" w:type="dxa"/>
            <w:vAlign w:val="bottom"/>
            <w:tcBorders>
              <w:bottom w:val="single" w:sz="8" w:color="auto"/>
              <w:right w:val="single" w:sz="8" w:color="CCCCFF"/>
            </w:tcBorders>
            <w:shd w:val="clear" w:color="auto" w:fill="FFFFCC"/>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2160" w:type="dxa"/>
            <w:vAlign w:val="bottom"/>
            <w:tcBorders>
              <w:bottom w:val="single" w:sz="8" w:color="auto"/>
              <w:right w:val="single" w:sz="8" w:color="CCCCFF"/>
            </w:tcBorders>
            <w:shd w:val="clear" w:color="auto" w:fill="CCCCFF"/>
          </w:tcPr>
          <w:p>
            <w:pPr>
              <w:spacing w:after="0"/>
              <w:rPr>
                <w:sz w:val="20"/>
                <w:szCs w:val="20"/>
                <w:color w:val="auto"/>
              </w:rPr>
            </w:pPr>
          </w:p>
        </w:tc>
        <w:tc>
          <w:tcPr>
            <w:tcW w:w="102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auto"/>
            </w:tcBorders>
            <w:shd w:val="clear" w:color="auto" w:fill="CCCCFF"/>
          </w:tcPr>
          <w:p>
            <w:pPr>
              <w:spacing w:after="0"/>
              <w:rPr>
                <w:sz w:val="20"/>
                <w:szCs w:val="20"/>
                <w:color w:val="auto"/>
              </w:rPr>
            </w:pPr>
          </w:p>
        </w:tc>
        <w:tc>
          <w:tcPr>
            <w:tcW w:w="11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r>
      <w:tr>
        <w:trPr>
          <w:trHeight w:val="237"/>
        </w:trPr>
        <w:tc>
          <w:tcPr>
            <w:tcW w:w="598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Other Payments- Milestones, Minimum Royalties, Maintenance Fees (USD)</w:t>
            </w:r>
          </w:p>
        </w:tc>
        <w:tc>
          <w:tcPr>
            <w:tcW w:w="2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r>
      <w:tr>
        <w:trPr>
          <w:trHeight w:val="241"/>
        </w:trPr>
        <w:tc>
          <w:tcPr>
            <w:tcW w:w="1180" w:type="dxa"/>
            <w:vAlign w:val="bottom"/>
            <w:tcBorders>
              <w:left w:val="single" w:sz="8" w:color="auto"/>
              <w:bottom w:val="single" w:sz="8" w:color="auto"/>
              <w:right w:val="single" w:sz="8" w:color="CCCCFF"/>
            </w:tcBorders>
            <w:shd w:val="clear" w:color="auto" w:fill="FFFFCC"/>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38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2160" w:type="dxa"/>
            <w:vAlign w:val="bottom"/>
            <w:tcBorders>
              <w:bottom w:val="single" w:sz="8" w:color="auto"/>
              <w:right w:val="single" w:sz="8" w:color="CCCCFF"/>
            </w:tcBorders>
            <w:shd w:val="clear" w:color="auto" w:fill="CCCCFF"/>
          </w:tcPr>
          <w:p>
            <w:pPr>
              <w:spacing w:after="0"/>
              <w:rPr>
                <w:sz w:val="20"/>
                <w:szCs w:val="20"/>
                <w:color w:val="auto"/>
              </w:rPr>
            </w:pPr>
          </w:p>
        </w:tc>
        <w:tc>
          <w:tcPr>
            <w:tcW w:w="102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120" w:type="dxa"/>
            <w:vAlign w:val="bottom"/>
            <w:tcBorders>
              <w:bottom w:val="single" w:sz="8" w:color="auto"/>
              <w:right w:val="single" w:sz="8" w:color="auto"/>
            </w:tcBorders>
            <w:shd w:val="clear" w:color="auto" w:fill="CCCCFF"/>
          </w:tcPr>
          <w:p>
            <w:pPr>
              <w:spacing w:after="0"/>
              <w:rPr>
                <w:sz w:val="20"/>
                <w:szCs w:val="20"/>
                <w:color w:val="auto"/>
              </w:rPr>
            </w:pPr>
          </w:p>
        </w:tc>
      </w:tr>
      <w:tr>
        <w:trPr>
          <w:trHeight w:val="232"/>
        </w:trPr>
        <w:tc>
          <w:tcPr>
            <w:tcW w:w="2320" w:type="dxa"/>
            <w:vAlign w:val="bottom"/>
            <w:tcBorders>
              <w:left w:val="single" w:sz="8" w:color="auto"/>
              <w:bottom w:val="single" w:sz="8" w:color="auto"/>
              <w:right w:val="single" w:sz="8" w:color="FFFFCC"/>
            </w:tcBorders>
            <w:gridSpan w:val="2"/>
            <w:shd w:val="clear" w:color="auto" w:fill="FFFFCC"/>
          </w:tcPr>
          <w:p>
            <w:pPr>
              <w:ind w:left="40"/>
              <w:spacing w:after="0"/>
              <w:rPr>
                <w:sz w:val="20"/>
                <w:szCs w:val="20"/>
                <w:color w:val="auto"/>
              </w:rPr>
            </w:pPr>
            <w:r>
              <w:rPr>
                <w:rFonts w:ascii="Arial" w:cs="Arial" w:eastAsia="Arial" w:hAnsi="Arial"/>
                <w:sz w:val="18"/>
                <w:szCs w:val="18"/>
                <w:b w:val="1"/>
                <w:bCs w:val="1"/>
                <w:color w:val="auto"/>
              </w:rPr>
              <w:t>Total Payment Due (USD)</w:t>
            </w:r>
          </w:p>
        </w:tc>
        <w:tc>
          <w:tcPr>
            <w:tcW w:w="1380" w:type="dxa"/>
            <w:vAlign w:val="bottom"/>
            <w:tcBorders>
              <w:bottom w:val="single" w:sz="8" w:color="auto"/>
              <w:right w:val="single" w:sz="8" w:color="CCCCFF"/>
            </w:tcBorders>
            <w:shd w:val="clear" w:color="auto" w:fill="FFFFCC"/>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CCCCFF"/>
            </w:tcBorders>
            <w:shd w:val="clear" w:color="auto" w:fill="CCCCFF"/>
          </w:tcPr>
          <w:p>
            <w:pPr>
              <w:spacing w:after="0"/>
              <w:rPr>
                <w:sz w:val="20"/>
                <w:szCs w:val="20"/>
                <w:color w:val="auto"/>
              </w:rPr>
            </w:pPr>
          </w:p>
        </w:tc>
        <w:tc>
          <w:tcPr>
            <w:tcW w:w="2160" w:type="dxa"/>
            <w:vAlign w:val="bottom"/>
            <w:tcBorders>
              <w:bottom w:val="single" w:sz="8" w:color="auto"/>
              <w:right w:val="single" w:sz="8" w:color="CCCCFF"/>
            </w:tcBorders>
            <w:shd w:val="clear" w:color="auto" w:fill="CCCCFF"/>
          </w:tcPr>
          <w:p>
            <w:pPr>
              <w:spacing w:after="0"/>
              <w:rPr>
                <w:sz w:val="20"/>
                <w:szCs w:val="20"/>
                <w:color w:val="auto"/>
              </w:rPr>
            </w:pPr>
          </w:p>
        </w:tc>
        <w:tc>
          <w:tcPr>
            <w:tcW w:w="1020" w:type="dxa"/>
            <w:vAlign w:val="bottom"/>
            <w:tcBorders>
              <w:bottom w:val="single" w:sz="8" w:color="auto"/>
              <w:right w:val="single" w:sz="8" w:color="CCCCFF"/>
            </w:tcBorders>
            <w:shd w:val="clear" w:color="auto" w:fill="CCCCFF"/>
          </w:tcPr>
          <w:p>
            <w:pPr>
              <w:spacing w:after="0"/>
              <w:rPr>
                <w:sz w:val="20"/>
                <w:szCs w:val="20"/>
                <w:color w:val="auto"/>
              </w:rPr>
            </w:pPr>
          </w:p>
        </w:tc>
        <w:tc>
          <w:tcPr>
            <w:tcW w:w="1140" w:type="dxa"/>
            <w:vAlign w:val="bottom"/>
            <w:tcBorders>
              <w:bottom w:val="single" w:sz="8" w:color="auto"/>
              <w:right w:val="single" w:sz="8" w:color="auto"/>
            </w:tcBorders>
            <w:shd w:val="clear" w:color="auto" w:fill="CCCCFF"/>
          </w:tcPr>
          <w:p>
            <w:pPr>
              <w:spacing w:after="0"/>
              <w:rPr>
                <w:sz w:val="20"/>
                <w:szCs w:val="20"/>
                <w:color w:val="auto"/>
              </w:rPr>
            </w:pPr>
          </w:p>
        </w:tc>
        <w:tc>
          <w:tcPr>
            <w:tcW w:w="11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r>
      <w:tr>
        <w:trPr>
          <w:trHeight w:val="430"/>
        </w:trPr>
        <w:tc>
          <w:tcPr>
            <w:tcW w:w="2320" w:type="dxa"/>
            <w:vAlign w:val="bottom"/>
            <w:gridSpan w:val="2"/>
          </w:tcPr>
          <w:p>
            <w:pPr>
              <w:spacing w:after="0"/>
              <w:rPr>
                <w:sz w:val="20"/>
                <w:szCs w:val="20"/>
                <w:color w:val="auto"/>
              </w:rPr>
            </w:pPr>
            <w:r>
              <w:rPr>
                <w:rFonts w:ascii="Arial" w:cs="Arial" w:eastAsia="Arial" w:hAnsi="Arial"/>
                <w:sz w:val="18"/>
                <w:szCs w:val="18"/>
                <w:color w:val="auto"/>
              </w:rPr>
              <w:t>*Deduction Description:</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848995" cy="4629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8489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Baylor Licensing Group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One Baylor Plaza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BCM210-600D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Houston, TX 77030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Phone: 713-798-6821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Fax: 713-798-1252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INVOICE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XXXXXXXXXXXXX Fee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BLG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let this letter serve as an INVOICE for the XXXXXXXXXX fee of </w:t>
      </w:r>
      <w:r>
        <w:rPr>
          <w:rFonts w:ascii="Arial" w:cs="Arial" w:eastAsia="Arial" w:hAnsi="Arial"/>
          <w:sz w:val="18"/>
          <w:szCs w:val="18"/>
          <w:color w:val="FF0000"/>
        </w:rPr>
        <w:t>$XXXX</w:t>
      </w:r>
      <w:r>
        <w:rPr>
          <w:rFonts w:ascii="Arial" w:cs="Arial" w:eastAsia="Arial" w:hAnsi="Arial"/>
          <w:sz w:val="18"/>
          <w:szCs w:val="18"/>
          <w:color w:val="auto"/>
        </w:rPr>
        <w:t xml:space="preserve"> for the above-referenced technology, as stated in the License Agreement, between LICENSEE and Baylor College of Medicine. </w:t>
      </w:r>
      <w:r>
        <w:rPr>
          <w:rFonts w:ascii="Arial" w:cs="Arial" w:eastAsia="Arial" w:hAnsi="Arial"/>
          <w:sz w:val="18"/>
          <w:szCs w:val="18"/>
          <w:b w:val="1"/>
          <w:bCs w:val="1"/>
          <w:color w:val="auto"/>
          <w:highlight w:val="yellow"/>
        </w:rPr>
        <w:t>Please include interest per paragraph 3.5 of the license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make the check payable to Baylor College of Medicine Please address payment to the address listed below and include BLG ref </w:t>
      </w:r>
      <w:r>
        <w:rPr>
          <w:rFonts w:ascii="Arial" w:cs="Arial" w:eastAsia="Arial" w:hAnsi="Arial"/>
          <w:sz w:val="18"/>
          <w:szCs w:val="18"/>
          <w:color w:val="auto"/>
          <w:highlight w:val="yellow"/>
        </w:rPr>
        <w:t>XX-XXX</w:t>
      </w:r>
      <w:r>
        <w:rPr>
          <w:rFonts w:ascii="Arial" w:cs="Arial" w:eastAsia="Arial" w:hAnsi="Arial"/>
          <w:sz w:val="18"/>
          <w:szCs w:val="18"/>
          <w:color w:val="auto"/>
        </w:rPr>
        <w:t xml:space="preserve"> on all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you choose to send payment via wire; I have attached a copy of our wire transfer instructions for your convenience.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Baylor College of Medicine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Licensing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301207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15303-1207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appreciate your attention to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Nellie Villarreal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Coordinator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ALL WIRE TRANSFER FEES ARE TO BE PAID BY THE SENDER (NOT BAYLOR COLLEGE OF MEDICINE).</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Wire Instructions (Incoming)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SPONSORED RESEARCH CONTRACT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CONTRACT, effective the 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2018 (hereinafter the “Effective Date”), is entered into by and between Baylor College of Medicine (hereinafter “Baylor”) and Marker Therapeutics, Inc., a Delaware corporation, with principal offices located at 3200 Southwest Freeway Suite 2240, Houston, TX 77027 (hereinafter “Sponsor”), governing research to be conducted at Baylor in the laboratory of Dr. Juan Vera (hereinafter “Principal Investigator”).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Sponsor is interested in scientific research related to the manufacturing of T-cells; and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Baylor has on its staff certain scientists and technicians who possess unique knowledge and experience in substantive fields relating to such research;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Baylor and Marker Therapeutics, Inc., entered into a license agreement dated March 16, 2018 (“License”);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proposed research is intended, to advance the development of the technology licensed by way of the License; 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Marker Therapeutics, Inc., changed its name to Marker Cell Therapy, Inc., merged into Taplmmune, Inc., a Nevada corporation and Taplmmune, Inc. changed its name to Marker Therapeutics, Inc. and reincorporated in Delaware;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Sponsor is willing to fund such research by Baylor.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the mutual covenants and conditions hereinafter recited, the parties do hereby agree as follows:</w:t>
      </w:r>
    </w:p>
    <w:p>
      <w:pPr>
        <w:spacing w:after="0" w:line="244"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purposes of this Contract, the following definitions apply:</w:t>
      </w:r>
    </w:p>
    <w:p>
      <w:pPr>
        <w:spacing w:after="0" w:line="225"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1.1“Affiliate(s)” shall mean any corporation or business entity which is controlled by, controls, or is under common control of the Sponsor at the time of execution of this Contract. For this purpose, the meaning of the word “control” shall include, without limitation, direct or indirect ownership of more than fitly percent (50%) of the voting shares of such corporation, or fifty percent (50%) of the ownership interests in such other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“Contract Period” shall mean the period commencing on the Effective Date of this Contract and terminating on the fourth anniversary of the Effective Date. This Contract may be extended for an additional term by the mutual written consent of the duly authorized representatives of Baylor and the Sponsor.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“FDA” shall mean the United States Food and Drug Administration.</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“Project Research” shall mean research pertaining to T-cell manufacturing as described more fully in Exhibit A (which is incorporated herein by reference and made part of this Contract) or such modifications of Exhibit A as may be mutually agreed upon in writing by duly authorized representatives of Baylor and the Sponsor.</w:t>
      </w:r>
    </w:p>
    <w:p>
      <w:pPr>
        <w:spacing w:after="0" w:line="18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“Project Funds” shall mean those funds paid by the Sponsor to Baylor for the Project Research in accordance with this Contract. Project Funds are detailed in Exhibit A “Budget”. Baylor and Sponsor have negotiated the budgets for years I and 2 of this Agreement. The budgets for years 3 and 4 will be negotiated by Baylor and Sponsor during the final six months of year 2. The Budget is inclusive of all indirect and overhead costs.</w:t>
      </w:r>
    </w:p>
    <w:p>
      <w:pPr>
        <w:spacing w:after="0" w:line="187"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“Project Team” shall mean the Principal Investigator and the research technicians under the Principal Investigator's direction and control who are supported in whole or in part by the Project Funds.</w:t>
      </w:r>
    </w:p>
    <w:p>
      <w:pPr>
        <w:spacing w:after="0" w:line="16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Research</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b w:val="1"/>
          <w:bCs w:val="1"/>
          <w:u w:val="single" w:color="auto"/>
          <w:color w:val="auto"/>
        </w:rPr>
        <w:t xml:space="preserve">Conduct of Project Research. </w:t>
      </w:r>
      <w:r>
        <w:rPr>
          <w:rFonts w:ascii="Arial" w:cs="Arial" w:eastAsia="Arial" w:hAnsi="Arial"/>
          <w:sz w:val="16"/>
          <w:szCs w:val="16"/>
          <w:color w:val="auto"/>
        </w:rPr>
        <w:t>During the Contract Period, the Project Team shall conduct Project Research on behalf of the Sponsor.</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8"/>
          <w:szCs w:val="18"/>
          <w:b w:val="1"/>
          <w:bCs w:val="1"/>
          <w:u w:val="single" w:color="auto"/>
          <w:color w:val="auto"/>
        </w:rPr>
        <w:t xml:space="preserve">Meetings. </w:t>
      </w:r>
      <w:r>
        <w:rPr>
          <w:rFonts w:ascii="Arial" w:cs="Arial" w:eastAsia="Arial" w:hAnsi="Arial"/>
          <w:sz w:val="18"/>
          <w:szCs w:val="18"/>
          <w:color w:val="auto"/>
        </w:rPr>
        <w:t>During the Contract Period, the Principal Investigator and representatives of the Sponsor shall meet from time to time to discuss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planning and progress of the Project Research.</w:t>
      </w:r>
    </w:p>
    <w:p>
      <w:pPr>
        <w:spacing w:after="0" w:line="161"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w:t>
      </w:r>
      <w:r>
        <w:rPr>
          <w:rFonts w:ascii="Arial" w:cs="Arial" w:eastAsia="Arial" w:hAnsi="Arial"/>
          <w:sz w:val="17"/>
          <w:szCs w:val="17"/>
          <w:b w:val="1"/>
          <w:bCs w:val="1"/>
          <w:u w:val="single" w:color="auto"/>
          <w:color w:val="auto"/>
        </w:rPr>
        <w:t xml:space="preserve">Reporting Obligations. </w:t>
      </w:r>
      <w:r>
        <w:rPr>
          <w:rFonts w:ascii="Arial" w:cs="Arial" w:eastAsia="Arial" w:hAnsi="Arial"/>
          <w:sz w:val="17"/>
          <w:szCs w:val="17"/>
          <w:color w:val="auto"/>
        </w:rPr>
        <w:t>Baylor shall advise the Sponsor of the results of the Project Research and, at least once every six (6) months during</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Contract Period, provide the Sponsor with written progress reports concerning the Project Research. A final written report setting forth the results achieved under and pursuant to the Project Research shall be submitted by Baylor to the Sponsor within ninety (90) days of termination of the research which is the subject of this Contract. Such final report shall include: a complete summary of the research carried out and detailed experimental protocols of the research performed in the course of the Project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both"/>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u w:val="single" w:color="auto"/>
          <w:color w:val="auto"/>
        </w:rPr>
        <w:t xml:space="preserve">Obligation to Provide Data. </w:t>
      </w:r>
      <w:r>
        <w:rPr>
          <w:rFonts w:ascii="Arial" w:cs="Arial" w:eastAsia="Arial" w:hAnsi="Arial"/>
          <w:sz w:val="17"/>
          <w:szCs w:val="17"/>
          <w:color w:val="auto"/>
        </w:rPr>
        <w:t>Baylor shall, throughout the term of this Contract, provide to the Sponsor copies of all data and other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information generated by or on behalf of the Project Team pursuant to this Contract including, without limitation, all raw data obtained as a result of studies conducted in the course of Project Research and all experimental procedures developed under the Project Research in sufficient written detail to permit the Sponsor's personnel to employ such procedures in their own research.</w:t>
      </w:r>
    </w:p>
    <w:p>
      <w:pPr>
        <w:spacing w:after="0" w:line="16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u w:val="single" w:color="auto"/>
          <w:color w:val="auto"/>
        </w:rPr>
        <w:t xml:space="preserve">Compliance with Applicable Laws. </w:t>
      </w:r>
      <w:r>
        <w:rPr>
          <w:rFonts w:ascii="Arial" w:cs="Arial" w:eastAsia="Arial" w:hAnsi="Arial"/>
          <w:sz w:val="18"/>
          <w:szCs w:val="18"/>
          <w:color w:val="auto"/>
        </w:rPr>
        <w:t>All studies done in connection with the Project Research shall be carried out in strict compliance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any applicable federal, state, or local laws, regulations, or guidelines governing the conduct of such research.</w:t>
      </w:r>
    </w:p>
    <w:p>
      <w:pPr>
        <w:spacing w:after="0" w:line="162" w:lineRule="exact"/>
        <w:rPr>
          <w:sz w:val="20"/>
          <w:szCs w:val="20"/>
          <w:color w:val="auto"/>
        </w:rPr>
      </w:pPr>
    </w:p>
    <w:p>
      <w:pPr>
        <w:jc w:val="both"/>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b w:val="1"/>
          <w:bCs w:val="1"/>
          <w:u w:val="single" w:color="auto"/>
          <w:color w:val="auto"/>
        </w:rPr>
        <w:t xml:space="preserve">Project Team Personnel Changes. </w:t>
      </w:r>
      <w:r>
        <w:rPr>
          <w:rFonts w:ascii="Arial" w:cs="Arial" w:eastAsia="Arial" w:hAnsi="Arial"/>
          <w:sz w:val="17"/>
          <w:szCs w:val="17"/>
          <w:color w:val="auto"/>
        </w:rPr>
        <w:t>Baylor shall promptly advise the Sponsor in respect to any changes in the personnel comprising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Project Team. If, for any reason, the Principal Investigator ceases to be associated with Baylor, or otherwise becomes unavailable to work on the Project Research, a qualified replacement scientist at Baylor shall be mutually appointed by Baylor and the Sponsor to be the Principal Investigator, or, at the Sponsor's sole option, this Contract shall be terminated on thirty (30) days written notice.</w:t>
      </w:r>
    </w:p>
    <w:p>
      <w:pPr>
        <w:spacing w:after="0" w:line="165"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8"/>
          <w:szCs w:val="18"/>
          <w:b w:val="1"/>
          <w:bCs w:val="1"/>
          <w:u w:val="single" w:color="auto"/>
          <w:color w:val="auto"/>
        </w:rPr>
        <w:t xml:space="preserve">Payment Terms. </w:t>
      </w:r>
      <w:r>
        <w:rPr>
          <w:rFonts w:ascii="Arial" w:cs="Arial" w:eastAsia="Arial" w:hAnsi="Arial"/>
          <w:sz w:val="18"/>
          <w:szCs w:val="18"/>
          <w:color w:val="auto"/>
        </w:rPr>
        <w:t>With respect to the years 1 and 2 budgets, the Sponsor shall pay Baylor the Project Funds amount of two hundred fifty six</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thousand two hundred seventy two Dollars ($256,272.00) in the following manner:</w:t>
      </w:r>
    </w:p>
    <w:p>
      <w:pPr>
        <w:spacing w:after="0" w:line="165" w:lineRule="exact"/>
        <w:rPr>
          <w:rFonts w:ascii="Arial" w:cs="Arial" w:eastAsia="Arial" w:hAnsi="Arial"/>
          <w:sz w:val="18"/>
          <w:szCs w:val="18"/>
          <w:b w:val="1"/>
          <w:bCs w:val="1"/>
          <w:color w:val="auto"/>
        </w:rPr>
      </w:pPr>
    </w:p>
    <w:p>
      <w:pPr>
        <w:ind w:left="1960" w:hanging="655"/>
        <w:spacing w:after="0"/>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on or before the Effective Date, the Sponsor shall pay Baylor the sum or ($76,882.00) Dollars: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One hundred fifty three thousand seven hundred sixty four dollars ($153,764.00) shall be paid in equal monthly installments on or before the first day of each month for the duration of the Contract Period.</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final payment that includes all outstanding payments due will be sent by the Sponsor to Baylor within thirty (30) days of receipt by the Sponsor of the final written report, as set forth in Section 2.3.</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 respect to the years 3 and 4 budgets, Sponsor shall pay the Project Funds for those years on a similar schedule as that for the payments set forth above for years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 xml:space="preserve">Late Payments. </w:t>
      </w:r>
      <w:r>
        <w:rPr>
          <w:rFonts w:ascii="Arial" w:cs="Arial" w:eastAsia="Arial" w:hAnsi="Arial"/>
          <w:sz w:val="16"/>
          <w:szCs w:val="16"/>
          <w:color w:val="auto"/>
        </w:rPr>
        <w:t>In the event that any payment due hereunder is not made when due, the payment shall accrue interest beginning on the first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day of the month following the date when such payment is due, calculated at the annual rate of the sum of (a) [***REDACTED***] percent ([***REDACTED***]%) plus (b) the prime interest rate quoted by Citibank. N.A., New York, New York, on the date such payment is due, or on the date </w:t>
      </w:r>
      <w:r>
        <w:rPr>
          <w:rFonts w:ascii="Arial" w:cs="Arial" w:eastAsia="Arial" w:hAnsi="Arial"/>
          <w:sz w:val="16"/>
          <w:szCs w:val="16"/>
          <w:color w:val="0E0E0E"/>
        </w:rPr>
        <w:t>payment is made, whichever is higher, the interest being compounded on the last day of each calendar month, provided that in</w:t>
      </w:r>
      <w:r>
        <w:rPr>
          <w:rFonts w:ascii="Arial" w:cs="Arial" w:eastAsia="Arial" w:hAnsi="Arial"/>
          <w:sz w:val="16"/>
          <w:szCs w:val="16"/>
          <w:color w:val="auto"/>
        </w:rPr>
        <w:t xml:space="preserve"> </w:t>
      </w:r>
      <w:r>
        <w:rPr>
          <w:rFonts w:ascii="Arial" w:cs="Arial" w:eastAsia="Arial" w:hAnsi="Arial"/>
          <w:sz w:val="16"/>
          <w:szCs w:val="16"/>
          <w:color w:val="0E0E0E"/>
        </w:rPr>
        <w:t>no event shall said annual rate exceed the maximum legal interest rate for corporations. Such payment when made shall be accompanied by all interest so accrued. Said interest and the payment and acceptance thereof shall not negate or waive the right of Baylor to any other remedy, legal or equitable, to which Baylor may be entitled because of the delinquency of the payment.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Direction of Payments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0E0E0E"/>
        </w:rPr>
        <w:t>Payments under the terms of this Contract shall be made by check payable to:</w:t>
      </w:r>
    </w:p>
    <w:p>
      <w:pPr>
        <w:sectPr>
          <w:pgSz w:w="11900" w:h="16838" w:orient="portrait"/>
          <w:cols w:equalWidth="0" w:num="1">
            <w:col w:w="11420"/>
          </w:cols>
          <w:pgMar w:left="240" w:top="229"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Name on check:</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0E0E0E"/>
        </w:rPr>
        <w:t>Tax ID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Baylor College of Medicine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E0E0E"/>
        </w:rPr>
        <w:t>Grants and Contracts Dept.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0E0E0E"/>
        </w:rPr>
        <w:t>P.O. Box 301207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0E0E0E"/>
        </w:rPr>
        <w:t>Dallas, Texas 75303-1207</w:t>
      </w:r>
    </w:p>
    <w:p>
      <w:pPr>
        <w:spacing w:after="0" w:line="200" w:lineRule="exact"/>
        <w:rPr>
          <w:sz w:val="20"/>
          <w:szCs w:val="20"/>
          <w:color w:val="auto"/>
        </w:rPr>
      </w:pPr>
    </w:p>
    <w:p>
      <w:pPr>
        <w:sectPr>
          <w:pgSz w:w="11900" w:h="16838" w:orient="portrait"/>
          <w:cols w:equalWidth="0" w:num="2">
            <w:col w:w="2520" w:space="720"/>
            <w:col w:w="8180"/>
          </w:cols>
          <w:pgMar w:left="240" w:top="229" w:right="239" w:bottom="1440" w:gutter="0" w:footer="0" w:header="0"/>
          <w:type w:val="continuous"/>
        </w:sectPr>
      </w:pPr>
    </w:p>
    <w:p>
      <w:pPr>
        <w:spacing w:after="0" w:line="1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 Agreement and Publications</w:t>
      </w:r>
    </w:p>
    <w:p>
      <w:pPr>
        <w:spacing w:after="0" w:line="225" w:lineRule="exact"/>
        <w:rPr>
          <w:rFonts w:ascii="Arial" w:cs="Arial" w:eastAsia="Arial" w:hAnsi="Arial"/>
          <w:sz w:val="18"/>
          <w:szCs w:val="18"/>
          <w:b w:val="1"/>
          <w:bCs w:val="1"/>
          <w:color w:val="auto"/>
        </w:rPr>
      </w:pPr>
    </w:p>
    <w:p>
      <w:pPr>
        <w:ind w:left="1300" w:hanging="648"/>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8"/>
          <w:szCs w:val="18"/>
          <w:b w:val="1"/>
          <w:bCs w:val="1"/>
          <w:u w:val="single" w:color="auto"/>
          <w:color w:val="auto"/>
        </w:rPr>
        <w:t xml:space="preserve">Scope of Confidentiality. </w:t>
      </w:r>
      <w:r>
        <w:rPr>
          <w:rFonts w:ascii="Arial" w:cs="Arial" w:eastAsia="Arial" w:hAnsi="Arial"/>
          <w:sz w:val="18"/>
          <w:szCs w:val="18"/>
          <w:color w:val="auto"/>
        </w:rPr>
        <w:t>Nothing in this Contract shall be construed to limit the freedom of the Principal Investigator, physicians, research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scientists, or other individuals conducting the Project Research, whether paid under this Contract or otherwise, to engage in similar research performed independently under other grants, contracts, or agreements with parties other than the Sponsor. Baylor, the Principal Investigator, and the Sponsor agree to use reasonable efforts to prevent disclosure of information under and pursuant to this Contract which is designated in writing as being “CONFIDENTIAL”.</w:t>
      </w:r>
    </w:p>
    <w:p>
      <w:pPr>
        <w:spacing w:after="0" w:line="183" w:lineRule="exact"/>
        <w:rPr>
          <w:rFonts w:ascii="Arial" w:cs="Arial" w:eastAsia="Arial" w:hAnsi="Arial"/>
          <w:sz w:val="18"/>
          <w:szCs w:val="18"/>
          <w:b w:val="1"/>
          <w:bCs w:val="1"/>
          <w:color w:val="auto"/>
        </w:rPr>
      </w:pPr>
    </w:p>
    <w:p>
      <w:pPr>
        <w:ind w:left="1300" w:hanging="64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8"/>
          <w:szCs w:val="18"/>
          <w:b w:val="1"/>
          <w:bCs w:val="1"/>
          <w:u w:val="single" w:color="auto"/>
          <w:color w:val="auto"/>
        </w:rPr>
        <w:t xml:space="preserve">Confidentiality Obligations. </w:t>
      </w:r>
      <w:r>
        <w:rPr>
          <w:rFonts w:ascii="Arial" w:cs="Arial" w:eastAsia="Arial" w:hAnsi="Arial"/>
          <w:sz w:val="18"/>
          <w:szCs w:val="18"/>
          <w:color w:val="auto"/>
        </w:rPr>
        <w:t>Baylor and the Sponsor further agree that, except as provided in Section 4.3, 4.4 and 5.1 below, they will not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use, except in furtherance of this Contract, and not disclose orally, by written publication, or otherwise, any Project Research results except that such information may be disclosed insofar as such disclosure is necessary to allow either Baylor or the Sponsor, as the case may be, (i) to defend itself against litigation, (ii) to file and prosecute patent applications on any invention conceived or reduced to practice under the Project Research, or (iii) to comply with judicial decree or government action. Notwithstanding the above, such obligation of confidentiality shall not apply to information that at the time of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in the public domain;</w:t>
      </w:r>
    </w:p>
    <w:p>
      <w:pPr>
        <w:spacing w:after="0" w:line="225" w:lineRule="exact"/>
        <w:rPr>
          <w:sz w:val="20"/>
          <w:szCs w:val="20"/>
          <w:color w:val="auto"/>
        </w:rPr>
      </w:pPr>
    </w:p>
    <w:p>
      <w:pPr>
        <w:ind w:left="1960" w:hanging="655"/>
        <w:spacing w:after="0" w:line="277" w:lineRule="auto"/>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0E0E0E"/>
        </w:rPr>
        <w:t xml:space="preserve">has come into the public domain through no fault of Baylor; </w:t>
      </w:r>
      <w:r>
        <w:rPr>
          <w:rFonts w:ascii="Arial" w:cs="Arial" w:eastAsia="Arial" w:hAnsi="Arial"/>
          <w:sz w:val="18"/>
          <w:szCs w:val="18"/>
          <w:color w:val="000000"/>
        </w:rPr>
        <w:t>was known to the receiving party prior to its disclosure by the</w:t>
      </w:r>
      <w:r>
        <w:rPr>
          <w:rFonts w:ascii="Arial" w:cs="Arial" w:eastAsia="Arial" w:hAnsi="Arial"/>
          <w:sz w:val="18"/>
          <w:szCs w:val="18"/>
          <w:color w:val="0E0E0E"/>
        </w:rPr>
        <w:t xml:space="preserve"> </w:t>
      </w:r>
      <w:r>
        <w:rPr>
          <w:rFonts w:ascii="Arial" w:cs="Arial" w:eastAsia="Arial" w:hAnsi="Arial"/>
          <w:sz w:val="18"/>
          <w:szCs w:val="18"/>
          <w:color w:val="000000"/>
        </w:rPr>
        <w:t>disclosing party;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disclosed by a third party not under an obligation of non-disclosure;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required by law or legal process to be disclosed;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written permission for disclosure has been granted to the disclosing party by Baylor or the Sponsor, as the case may be.</w:t>
      </w:r>
    </w:p>
    <w:p>
      <w:pPr>
        <w:spacing w:after="0" w:line="2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Additionally, Baylor may use Project Research results in non-commercial research, so long as such non-commercial research is not made available to a commercial third party.</w:t>
      </w:r>
    </w:p>
    <w:p>
      <w:pPr>
        <w:spacing w:after="0" w:line="16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 xml:space="preserve">Publication Procedures. </w:t>
      </w:r>
      <w:r>
        <w:rPr>
          <w:rFonts w:ascii="Arial" w:cs="Arial" w:eastAsia="Arial" w:hAnsi="Arial"/>
          <w:sz w:val="16"/>
          <w:szCs w:val="16"/>
          <w:color w:val="auto"/>
        </w:rPr>
        <w:t>In the exercise of the rights of academic freedom of an educational institution and its faculty, Baylor, the Principal</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Investigator, and the Project Team shall have the right to publish in scientific or other journals, or to present at professional conferences or other meetings, the results of the Project Research conducted under this Contract. In order to permit the Sponsor the opportunity to request protection of patent and proprietary rights relating to the Project Research, a copy of each proposed publication shall be provided to the Sponsor thirty (30) days in advance of submission for publication to permit the Sponsor time to review the subject matter of such publication. Requests for protection of patent and proprietary rights shall be made to Baylor in writing within thirty (30) days of receipt of the proposed publication. Upon such request, Baylor shall make reasonable efforts to secure patent protection as per Section 5.3. Any final proposed publication provided to the Sponsor shall be considered as acceptable for submission for publication unless the Sponsor notifies Baylor and the Principal Investigator within thirty (30) days of receipt of the proposed publication. The Sponsor shall also receive final drafts of any proposed publication and the Sponsor shall be named in the publication as the sponsor of the Project Research or, as the case may be, the licensee of such technology. The right to review publications as set forth herein shall extend only to the work product of the Principal Investigator and the Project Team pursuant to the Project Research and not to the work product of other research conducted in the laboratories of the Principal Investigator, or member of the Project Team, or in the laboratories of other researchers at Baylor.</w:t>
      </w:r>
    </w:p>
    <w:p>
      <w:pPr>
        <w:spacing w:after="0" w:line="16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u w:val="single" w:color="auto"/>
          <w:color w:val="auto"/>
        </w:rPr>
        <w:t xml:space="preserve">Sponsor Sharing of Confidential Information. </w:t>
      </w:r>
      <w:r>
        <w:rPr>
          <w:rFonts w:ascii="Arial" w:cs="Arial" w:eastAsia="Arial" w:hAnsi="Arial"/>
          <w:sz w:val="18"/>
          <w:szCs w:val="18"/>
          <w:color w:val="auto"/>
        </w:rPr>
        <w:t>Sponsor may share Project Research results with potential collaborators, and/or investors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needed, provided potential collaborators, and/or investors are under obligations of confidentiality similar to those hereunder. Upon the earliest of (a) publication by Baylor per term 4.3 above, or (b) 18 months have passed from completion of the Project Research hereunder, Sponsor may share the Project Research results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and Patents</w:t>
      </w:r>
    </w:p>
    <w:p>
      <w:pPr>
        <w:spacing w:after="0" w:line="225"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7"/>
          <w:szCs w:val="17"/>
          <w:b w:val="1"/>
          <w:bCs w:val="1"/>
          <w:u w:val="single" w:color="auto"/>
          <w:color w:val="auto"/>
        </w:rPr>
        <w:t xml:space="preserve">Ownership. </w:t>
      </w:r>
      <w:r>
        <w:rPr>
          <w:rFonts w:ascii="Arial" w:cs="Arial" w:eastAsia="Arial" w:hAnsi="Arial"/>
          <w:sz w:val="17"/>
          <w:szCs w:val="17"/>
          <w:color w:val="auto"/>
        </w:rPr>
        <w:t>Baylor shall have sole and exclusive ownership rights to any invention of a product, device, process, or method, whether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patentable or unpatentable (an “Invention”) arising out of the Project Research subject to the right of the Sponsor to take an exclusive, or non-exclusive, fee-bearing, royalty-bearing license to the Invention, as set forth in Section 5.2 below. Notwithstanding the foregoing, Inventions arising out of the Project Research hereunder, which directly relate to the technology licensed to Sponsor under the License, and which were funded by the Sponsor, shall be incorporated by amendment into the License.</w:t>
      </w:r>
    </w:p>
    <w:p>
      <w:pPr>
        <w:spacing w:after="0" w:line="168" w:lineRule="exact"/>
        <w:rPr>
          <w:rFonts w:ascii="Arial" w:cs="Arial" w:eastAsia="Arial" w:hAnsi="Arial"/>
          <w:sz w:val="18"/>
          <w:szCs w:val="18"/>
          <w:b w:val="1"/>
          <w:bCs w:val="1"/>
          <w:color w:val="auto"/>
        </w:rPr>
      </w:pPr>
    </w:p>
    <w:p>
      <w:pPr>
        <w:ind w:left="1300" w:right="2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8"/>
          <w:szCs w:val="18"/>
          <w:b w:val="1"/>
          <w:bCs w:val="1"/>
          <w:u w:val="single" w:color="auto"/>
          <w:color w:val="auto"/>
        </w:rPr>
        <w:t xml:space="preserve">Right of First Review. </w:t>
      </w:r>
      <w:r>
        <w:rPr>
          <w:rFonts w:ascii="Arial" w:cs="Arial" w:eastAsia="Arial" w:hAnsi="Arial"/>
          <w:sz w:val="18"/>
          <w:szCs w:val="18"/>
          <w:color w:val="auto"/>
        </w:rPr>
        <w:t>Baylor grants to the Sponsor the right of first review with respect to any Invention, discovered from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performance of the Project Research, under the following the terms:</w:t>
      </w:r>
    </w:p>
    <w:p>
      <w:pPr>
        <w:spacing w:after="0" w:line="165" w:lineRule="exact"/>
        <w:rPr>
          <w:rFonts w:ascii="Arial" w:cs="Arial" w:eastAsia="Arial" w:hAnsi="Arial"/>
          <w:sz w:val="18"/>
          <w:szCs w:val="18"/>
          <w:b w:val="1"/>
          <w:bCs w:val="1"/>
          <w:color w:val="auto"/>
        </w:rPr>
      </w:pPr>
    </w:p>
    <w:p>
      <w:pPr>
        <w:ind w:left="1960" w:hanging="655"/>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Sponsor shall comply with the terms of non-disclosure, as set forth in Section 4 of this Contract.</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Baylor shall notify the Sponsor, in writing, of the Invention and provide the Sponsor with sufficient detail to evaluate the Invention.</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Sponsor shall have forty-five (45) days after such notification to evaluate the Invention and notify Baylor, in writing, that the Sponsor desires to license the Invention.</w:t>
      </w:r>
    </w:p>
    <w:p>
      <w:pPr>
        <w:spacing w:after="0" w:line="170" w:lineRule="exact"/>
        <w:rPr>
          <w:rFonts w:ascii="Arial" w:cs="Arial" w:eastAsia="Arial" w:hAnsi="Arial"/>
          <w:sz w:val="18"/>
          <w:szCs w:val="18"/>
          <w:color w:val="auto"/>
        </w:rPr>
      </w:pPr>
    </w:p>
    <w:p>
      <w:pPr>
        <w:jc w:val="both"/>
        <w:ind w:left="1960" w:hanging="655"/>
        <w:spacing w:after="0" w:line="312" w:lineRule="auto"/>
        <w:tabs>
          <w:tab w:leader="none" w:pos="19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Upon notification by the Sponsor of its desire to acquire rights to the Invention, the Sponsor and Baylor shall negotiate, in good faith, for a period not to exceed sixty (60) days, unless extended by mutual written agreement of Baylor and the Sponsor, in an effort to arrive at terms and conditions satisfactory to Baylor and the Sponsor for the license by the Sponsor of the Invention.</w:t>
      </w:r>
    </w:p>
    <w:p>
      <w:pPr>
        <w:spacing w:after="0" w:line="146"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Baylor and the Sponsor do not reach such agreement within said sixty-day (60-day) period, or if the Sponsor fails to notify Baylor within said forty-five-day (45-day) period, or if the Sponsor decides not to acquire the rights to the Invention, Baylor shall be free to deal with the Invention as Baylor in its discretion may decide, and Baylor shall have no further obligations to the Sponsor with respect to the Invention.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left="1960" w:hanging="655"/>
        <w:spacing w:after="0" w:line="279" w:lineRule="auto"/>
        <w:tabs>
          <w:tab w:leader="none" w:pos="19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right of first review, as presented herein, shall terminate at the earlier of the (i) second anniversary of the Effective Date or (ii) the termination of this Contract, but only if Baylor has previously provided Company with written notification of all Inventions arising out of the Project Research. In the event Baylor has not provided such written notification as to an Invention, Baylor will provide Sponsor with written notification and the provisions of this section 5.2 will be carried out.</w:t>
      </w:r>
    </w:p>
    <w:p>
      <w:pPr>
        <w:spacing w:after="0" w:line="167" w:lineRule="exact"/>
        <w:rPr>
          <w:sz w:val="20"/>
          <w:szCs w:val="20"/>
          <w:color w:val="auto"/>
        </w:rPr>
      </w:pPr>
    </w:p>
    <w:p>
      <w:pPr>
        <w:ind w:left="1300" w:hanging="647"/>
        <w:spacing w:after="0" w:line="282" w:lineRule="auto"/>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u w:val="single" w:color="auto"/>
          <w:color w:val="auto"/>
        </w:rPr>
        <w:t xml:space="preserve">Filing Obligations </w:t>
      </w:r>
      <w:r>
        <w:rPr>
          <w:rFonts w:ascii="Arial" w:cs="Arial" w:eastAsia="Arial" w:hAnsi="Arial"/>
          <w:sz w:val="18"/>
          <w:szCs w:val="18"/>
          <w:color w:val="auto"/>
        </w:rPr>
        <w:t>With respect to inventions which the Sponsor has elected to take an exclusive, or non-exclusive, royalty-bearing license,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provided in Sections 5.1 and 5.2:</w:t>
      </w:r>
    </w:p>
    <w:p>
      <w:pPr>
        <w:spacing w:after="0" w:line="166" w:lineRule="exact"/>
        <w:rPr>
          <w:sz w:val="20"/>
          <w:szCs w:val="20"/>
          <w:color w:val="auto"/>
        </w:rPr>
      </w:pPr>
    </w:p>
    <w:p>
      <w:pPr>
        <w:jc w:val="both"/>
        <w:ind w:left="1960" w:hanging="655"/>
        <w:spacing w:after="0" w:line="297" w:lineRule="auto"/>
        <w:tabs>
          <w:tab w:leader="none" w:pos="19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Baylor shall be responsible for the preparation, filing, and prosecution of all patent applications covering any Invention arising out of the Project Research. The Sponsor shall be responsible for all costs and fees associated therewith from and after the Effective Date of such license and shall reimburse Baylor for such costs accrued prior to the Effective Date of such license. Baylor shall seek and consider the advice and counsel of the Sponsor in such filing / prosecution of patent applications. The Sponsor and its employees shall reasonably assist Baylor in the preparation, filing, and prosecution of such patent applications;</w:t>
      </w:r>
    </w:p>
    <w:p>
      <w:pPr>
        <w:spacing w:after="0" w:line="158" w:lineRule="exact"/>
        <w:rPr>
          <w:rFonts w:ascii="Arial" w:cs="Arial" w:eastAsia="Arial" w:hAnsi="Arial"/>
          <w:sz w:val="16"/>
          <w:szCs w:val="16"/>
          <w:color w:val="auto"/>
        </w:rPr>
      </w:pPr>
    </w:p>
    <w:p>
      <w:pPr>
        <w:jc w:val="both"/>
        <w:ind w:left="1960" w:hanging="655"/>
        <w:spacing w:after="0" w:line="302" w:lineRule="auto"/>
        <w:tabs>
          <w:tab w:leader="none" w:pos="19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Sponsor shall also have the responsibility for filing all applications which may be required by health or regulatory authorities relating to the products arising from the Project Research including, without limitation, filing a New Drug Application with the FDA. All costs and expenses associated with such filings shall be borne by the Sponsor. The Sponsor shall own all right, title, and interest in any FDA or other regulatory approvals which are obtained by or on behalf of the Sponsor; and,</w:t>
      </w:r>
    </w:p>
    <w:p>
      <w:pPr>
        <w:spacing w:after="0" w:line="154"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Baylor and its employees shall reasonably assist the Sponsor with respect to any filings which may be required by appropriate health or regulatory authorities.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8"/>
          <w:szCs w:val="18"/>
          <w:b w:val="1"/>
          <w:bCs w:val="1"/>
          <w:u w:val="single" w:color="auto"/>
          <w:color w:val="auto"/>
        </w:rPr>
        <w:t xml:space="preserve">Contract Period. </w:t>
      </w:r>
      <w:r>
        <w:rPr>
          <w:rFonts w:ascii="Arial" w:cs="Arial" w:eastAsia="Arial" w:hAnsi="Arial"/>
          <w:sz w:val="18"/>
          <w:szCs w:val="18"/>
          <w:color w:val="auto"/>
        </w:rPr>
        <w:t>This Contract shall remain in effect for the Contract Period unless extended in accordance with the terms of this Contract,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outlined in Section 1.2.</w:t>
      </w:r>
    </w:p>
    <w:p>
      <w:pPr>
        <w:spacing w:after="0" w:line="161" w:lineRule="exact"/>
        <w:rPr>
          <w:rFonts w:ascii="Arial" w:cs="Arial" w:eastAsia="Arial" w:hAnsi="Arial"/>
          <w:sz w:val="18"/>
          <w:szCs w:val="18"/>
          <w:b w:val="1"/>
          <w:bCs w:val="1"/>
          <w:color w:val="auto"/>
        </w:rPr>
      </w:pPr>
    </w:p>
    <w:p>
      <w:pPr>
        <w:ind w:left="1300" w:hanging="648"/>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8"/>
          <w:szCs w:val="18"/>
          <w:b w:val="1"/>
          <w:bCs w:val="1"/>
          <w:u w:val="single" w:color="auto"/>
          <w:color w:val="auto"/>
        </w:rPr>
        <w:t xml:space="preserve">Termination for Default. </w:t>
      </w:r>
      <w:r>
        <w:rPr>
          <w:rFonts w:ascii="Arial" w:cs="Arial" w:eastAsia="Arial" w:hAnsi="Arial"/>
          <w:sz w:val="18"/>
          <w:szCs w:val="18"/>
          <w:color w:val="auto"/>
        </w:rPr>
        <w:t>In the event that either party shall be in default of any of its obligations under this Contract and shall fail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remedy such default within sixty (60) days after receipt of written notice thereof, the party not in default shall have the option of canceling this Contract by giving thirty (30) days written notice of termination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u w:val="single" w:color="auto"/>
          <w:color w:val="auto"/>
        </w:rPr>
        <w:t xml:space="preserve">Effects of Termination; Survival. </w:t>
      </w:r>
      <w:r>
        <w:rPr>
          <w:rFonts w:ascii="Arial" w:cs="Arial" w:eastAsia="Arial" w:hAnsi="Arial"/>
          <w:sz w:val="18"/>
          <w:szCs w:val="18"/>
          <w:color w:val="auto"/>
        </w:rPr>
        <w:t>Termination of this Contract shall not affect the rights and obligations of the parties, which shall have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accrued prior to termination, including, without limitation, the confidentiality obligations set forth in Section 4.1.</w:t>
      </w:r>
    </w:p>
    <w:p>
      <w:pPr>
        <w:spacing w:after="0" w:line="16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5" w:lineRule="exact"/>
        <w:rPr>
          <w:rFonts w:ascii="Arial" w:cs="Arial" w:eastAsia="Arial" w:hAnsi="Arial"/>
          <w:sz w:val="18"/>
          <w:szCs w:val="18"/>
          <w:color w:val="auto"/>
        </w:rPr>
      </w:pPr>
    </w:p>
    <w:p>
      <w:pPr>
        <w:ind w:left="1300" w:hanging="648"/>
        <w:spacing w:after="0" w:line="291"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b w:val="1"/>
          <w:bCs w:val="1"/>
          <w:u w:val="single" w:color="auto"/>
          <w:color w:val="auto"/>
        </w:rPr>
        <w:t xml:space="preserve">Indemnity Obligation. </w:t>
      </w:r>
      <w:r>
        <w:rPr>
          <w:rFonts w:ascii="Arial" w:cs="Arial" w:eastAsia="Arial" w:hAnsi="Arial"/>
          <w:sz w:val="16"/>
          <w:szCs w:val="16"/>
          <w:color w:val="auto"/>
        </w:rPr>
        <w:t>The Sponsor agrees to defend, indemnify and hold harmless Baylor, the Principal Investigator, Baylor's trustees,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officers, agents, staff, employees, students, and faculty members, and its affiliated hospitals (all such parties are hereinafter referred to collectively as the “Indemnified Parties”) from and against any and all third party liability, claims, lawsuits, losses, demands, damages, costs, and expenses (including reasonable attorney's fees and court costs), arising directly or indirectly out of the Project Research or the design, manufacture, sale or use of any embodiment or manifestation of the Project Research regardless of whether any and all such liability, claims, lawsuits, losses, demands, damages, costs, and expenses (including attorney's fees and court costs) arise in whole or in part from the negligence of any of the Indemnified Parties. Notwithstanding the foregoing, the Sponsor will not be responsible for any liability, claims, lawsuits, losses, demands, damages, costs, and expenses (including attorney's fees and court costs) which arise solely from:</w:t>
      </w:r>
    </w:p>
    <w:p>
      <w:pPr>
        <w:spacing w:after="0" w:line="164" w:lineRule="exact"/>
        <w:rPr>
          <w:rFonts w:ascii="Arial" w:cs="Arial" w:eastAsia="Arial" w:hAnsi="Arial"/>
          <w:sz w:val="18"/>
          <w:szCs w:val="18"/>
          <w:color w:val="auto"/>
        </w:rPr>
      </w:pPr>
    </w:p>
    <w:p>
      <w:pPr>
        <w:ind w:left="2600" w:hanging="647"/>
        <w:spacing w:after="0"/>
        <w:tabs>
          <w:tab w:leader="none" w:pos="26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gross negligence or intentional misconduct of Baylor or the Principal Investigator;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actions by Baylor or the Principal Investigator in violation of applicable laws or regulations.</w:t>
      </w:r>
    </w:p>
    <w:p>
      <w:pPr>
        <w:spacing w:after="0" w:line="221" w:lineRule="exact"/>
        <w:rPr>
          <w:sz w:val="20"/>
          <w:szCs w:val="20"/>
          <w:color w:val="auto"/>
        </w:rPr>
      </w:pPr>
    </w:p>
    <w:p>
      <w:pPr>
        <w:jc w:val="both"/>
        <w:ind w:left="1300" w:hanging="647"/>
        <w:spacing w:after="0" w:line="314" w:lineRule="auto"/>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 xml:space="preserve">Obligation to Defend. </w:t>
      </w:r>
      <w:r>
        <w:rPr>
          <w:rFonts w:ascii="Arial" w:cs="Arial" w:eastAsia="Arial" w:hAnsi="Arial"/>
          <w:sz w:val="16"/>
          <w:szCs w:val="16"/>
          <w:color w:val="auto"/>
        </w:rPr>
        <w:t>The Sponsor agrees to provide a diligent defense against any and all liability, claims, lawsuits, losses, demands,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damages, costs, and expenses (including attorney's fees and court costs), brought against the Indemnified Parties with respect to the subject of the indemnity contained in Section 7.1, whether such claims or actions are rightfully or wrongfully brought or filed.</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u w:val="single" w:color="auto"/>
          <w:color w:val="auto"/>
        </w:rPr>
        <w:t xml:space="preserve">Indemnification Procedures. </w:t>
      </w:r>
      <w:r>
        <w:rPr>
          <w:rFonts w:ascii="Arial" w:cs="Arial" w:eastAsia="Arial" w:hAnsi="Arial"/>
          <w:sz w:val="16"/>
          <w:szCs w:val="16"/>
          <w:color w:val="auto"/>
        </w:rPr>
        <w:t>Any Indemnified Party wishing to be indemnified as provided in Sections 7.1 and 7.2 shall:</w:t>
      </w:r>
    </w:p>
    <w:p>
      <w:pPr>
        <w:spacing w:after="0" w:line="229" w:lineRule="exact"/>
        <w:rPr>
          <w:sz w:val="20"/>
          <w:szCs w:val="20"/>
          <w:color w:val="auto"/>
        </w:rPr>
      </w:pPr>
    </w:p>
    <w:p>
      <w:pPr>
        <w:jc w:val="both"/>
        <w:ind w:left="1960" w:hanging="655"/>
        <w:spacing w:after="0" w:line="257"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after receipt of notice of any and all liability, claims, lawsuits losses, demands, damages, costs, and expenses, or after the commencement of any action, suit, or proceeding giving rise to the right of indemnification, notify the Sponsor, in writing, of said liability, claims, lawsuits, losses, demands, damages, costs, and expenses and send to the Sponsor a copy of all papers served on the Indemnified Party; the Indemnified Party's failure to notify the Sponsor will not relieve the Sponsor from any liability to the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both"/>
        <w:ind w:left="1960" w:hanging="655"/>
        <w:spacing w:after="0" w:line="286" w:lineRule="auto"/>
        <w:tabs>
          <w:tab w:leader="none" w:pos="19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permit the Sponsor to retain counsel of its choosing to represent the Indemnified Party (but in the event that the Sponsor does not select counsel to represent the Indemnified Party within ten (10) days of notification of Sponsor per section 7.3(a), the Indemnified Party may select its own counsel, the fees and all costs of which counsel will be borne by the Sponsor); and</w:t>
      </w:r>
    </w:p>
    <w:p>
      <w:pPr>
        <w:spacing w:after="0" w:line="165" w:lineRule="exact"/>
        <w:rPr>
          <w:rFonts w:ascii="Arial" w:cs="Arial" w:eastAsia="Arial" w:hAnsi="Arial"/>
          <w:sz w:val="17"/>
          <w:szCs w:val="17"/>
          <w:color w:val="auto"/>
        </w:rPr>
      </w:pPr>
    </w:p>
    <w:p>
      <w:pPr>
        <w:jc w:val="both"/>
        <w:ind w:left="1960" w:hanging="655"/>
        <w:spacing w:after="0" w:line="257" w:lineRule="auto"/>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allow the Sponsor to retain exclusive control of any such liability, claims, lawsuits, losses, demands, damages, costs, and expenses, including the right to make any settlement, except that the Sponsor will not have the right to make any settlement or take any other action which would be deemed to confess wrongdoing by any of the Indemnified Parties or could reasonably be expected to have a negative effect on the reputation of one of the Indemnified Parties, without the prior written consent of Baylor and the Indemnified Party involved.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 Coverage Limits.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Contract, the Sponsor shall maintain in full force and effect a policy or policies of:</w:t>
      </w:r>
    </w:p>
    <w:p>
      <w:pPr>
        <w:spacing w:after="0" w:line="229" w:lineRule="exact"/>
        <w:rPr>
          <w:rFonts w:ascii="Arial" w:cs="Arial" w:eastAsia="Arial" w:hAnsi="Arial"/>
          <w:sz w:val="18"/>
          <w:szCs w:val="18"/>
          <w:b w:val="1"/>
          <w:bCs w:val="1"/>
          <w:color w:val="auto"/>
        </w:rPr>
      </w:pPr>
    </w:p>
    <w:p>
      <w:pPr>
        <w:ind w:left="2600" w:hanging="647"/>
        <w:spacing w:after="0"/>
        <w:tabs>
          <w:tab w:leader="none" w:pos="260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general liability insurance with limits of not less than $5,000,000 per occurrence and $5,000,000 annual aggregate; and</w:t>
      </w:r>
    </w:p>
    <w:p>
      <w:pPr>
        <w:spacing w:after="0" w:line="248" w:lineRule="exact"/>
        <w:rPr>
          <w:rFonts w:ascii="Arial" w:cs="Arial" w:eastAsia="Arial" w:hAnsi="Arial"/>
          <w:sz w:val="16"/>
          <w:szCs w:val="16"/>
          <w:color w:val="auto"/>
        </w:rPr>
      </w:pPr>
    </w:p>
    <w:p>
      <w:pPr>
        <w:ind w:left="2600" w:hanging="647"/>
        <w:spacing w:after="0"/>
        <w:tabs>
          <w:tab w:leader="none" w:pos="260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products liability insurance with limits of not less than $5,000,000 per occurrence and $5,000,000 annual aggregate.</w:t>
      </w:r>
    </w:p>
    <w:p>
      <w:pPr>
        <w:spacing w:after="0" w:line="23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Such policies shall name Baylor, the Principal Investigator, Baylor's trustees, officers, agents, staff, employees, students, and faculty members, and its affiliated hospitals as additional insureds. Such coverage(s) shall be purchased from a carrier or carriers deemed acceptable to Baylor and certificates of insurance evidencing the coverage(s) maintained will be provided.</w:t>
      </w:r>
    </w:p>
    <w:p>
      <w:pPr>
        <w:spacing w:after="0" w:line="177"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Sponsor and Baylor shall at all times act as independent parties and nothing contained in this Contract shall be construed or implied to create an agency or partnership. Neither party shall have the authority to contract or incur expenses on behalf of the other except as may be expressly authorized by collateral agreements. The Principal Investigator and members of the Project Team shall not be deemed to be employees of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Use of Institution Name/Public Statements</w:t>
      </w:r>
    </w:p>
    <w:p>
      <w:pPr>
        <w:spacing w:after="0" w:line="229" w:lineRule="exact"/>
        <w:rPr>
          <w:rFonts w:ascii="Arial" w:cs="Arial" w:eastAsia="Arial" w:hAnsi="Arial"/>
          <w:sz w:val="18"/>
          <w:szCs w:val="18"/>
          <w:b w:val="1"/>
          <w:bCs w:val="1"/>
          <w:color w:val="auto"/>
        </w:rPr>
      </w:pPr>
    </w:p>
    <w:p>
      <w:pPr>
        <w:ind w:left="1300" w:hanging="648"/>
        <w:spacing w:after="0" w:line="297" w:lineRule="auto"/>
        <w:rPr>
          <w:rFonts w:ascii="Arial" w:cs="Arial" w:eastAsia="Arial" w:hAnsi="Arial"/>
          <w:sz w:val="18"/>
          <w:szCs w:val="18"/>
          <w:b w:val="1"/>
          <w:bCs w:val="1"/>
          <w:color w:val="auto"/>
        </w:rPr>
      </w:pPr>
      <w:r>
        <w:rPr>
          <w:rFonts w:ascii="Arial" w:cs="Arial" w:eastAsia="Arial" w:hAnsi="Arial"/>
          <w:sz w:val="18"/>
          <w:szCs w:val="18"/>
          <w:color w:val="1A1A1A"/>
        </w:rPr>
        <w:t>11.1</w:t>
      </w:r>
      <w:r>
        <w:rPr>
          <w:rFonts w:ascii="Arial" w:cs="Arial" w:eastAsia="Arial" w:hAnsi="Arial"/>
          <w:sz w:val="16"/>
          <w:szCs w:val="16"/>
          <w:color w:val="auto"/>
        </w:rPr>
        <w:t>The Sponsor agrees that it will not at any time during or following termination of this Contract use the name of Baylor or any other names, insignia, symbol(s), or logotypes associated with Baylor or any variant or variants thereof or the names of the Principal Investigator or any other Baylor faculty member or employee orally or in any literature, advertising, or other materials without the prior written consent of Baylor, which consent may be withheld at Baylor's sole discretion. Notwithstanding the foregoing, the Sponsor shall be permitted to state orally and in writing the fact that the Project Research is being conducted at Baylor under the direction of the Principal Investigator.</w:t>
      </w:r>
    </w:p>
    <w:p>
      <w:pPr>
        <w:spacing w:after="0" w:line="158"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1A1A1A"/>
        </w:rPr>
        <w:t>11.2</w:t>
      </w:r>
      <w:r>
        <w:rPr>
          <w:rFonts w:ascii="Arial" w:cs="Arial" w:eastAsia="Arial" w:hAnsi="Arial"/>
          <w:sz w:val="18"/>
          <w:szCs w:val="18"/>
          <w:color w:val="auto"/>
        </w:rPr>
        <w:t>Baylor agrees to make no public presentations about the Project Research outside of appropriate scientific meetings, to issue no news releases about the Project Research, and neither party shall make use of the other's name in any form of public information without the written permission of the other party.</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disputes or claims arising under this Contract shall be governed by the laws of the State of Texas, Harris County, City of Houston as the site for the performance of the Project Research.</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any one or more of the provisions of this Contract shall be held to be invalid, illegal or unenforceable, the validity, legality or enforceability of the remaining provisions of this Contract shall not in any way be affected or impaired thereby.</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failure of any party hereto to insist upon strict performance of any provision of this Contract or to exercise any right hereunder will not constitute a waiver of that provision or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notice or communication required or permitted to be given or made under this Contract by one of the parties hereto to the other shall be in writing and shall be deemed to have been sufficiently given or made for all purposes if mailed by certified mail, postage prepaid, addressed to such other party at its respective address as follows: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If to the Sponsor:</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917-916-6644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Baylor with respect to all non-technical matters: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Michael B. Dilling Ph.D., CLP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 Baylor Licensing Group</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Baylor College of Medicine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Mail Stop BCM 210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Baylor Plaza</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Houston, Texas 77030-3411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Baylor with respect to technical questions:</w:t>
      </w:r>
    </w:p>
    <w:p>
      <w:pPr>
        <w:spacing w:after="0" w:line="225" w:lineRule="exact"/>
        <w:rPr>
          <w:sz w:val="20"/>
          <w:szCs w:val="20"/>
          <w:color w:val="auto"/>
        </w:rPr>
      </w:pPr>
    </w:p>
    <w:p>
      <w:pPr>
        <w:jc w:val="center"/>
        <w:ind w:right="6540"/>
        <w:spacing w:after="0"/>
        <w:rPr>
          <w:sz w:val="20"/>
          <w:szCs w:val="20"/>
          <w:color w:val="auto"/>
        </w:rPr>
      </w:pPr>
      <w:r>
        <w:rPr>
          <w:rFonts w:ascii="Arial" w:cs="Arial" w:eastAsia="Arial" w:hAnsi="Arial"/>
          <w:sz w:val="18"/>
          <w:szCs w:val="18"/>
          <w:color w:val="auto"/>
        </w:rPr>
        <w:t>(Investigator's name, address, and phone number)</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Dr Juan F Vera</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 Baylor Plaza, MS: BCM505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jfvera@txch.org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832.824.4717</w:t>
      </w:r>
    </w:p>
    <w:p>
      <w:pPr>
        <w:spacing w:after="0" w:line="9"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10"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Contract may be assigned by the Sponsor to any parent, subsidiary, or affiliate of the Sponsor or to any successor in interest only by reason of any merger, acquisition, partnership, or license agreement only with Baylor's prior written approval which shall not be unreasonably withheld. Any assignment or attempt to assign, or any delegation or attempt to delegate, in the absence of such prior written consent, shall be void and without effect. This Contract may not be assigned by Baylor.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CONFIDENTIAL TREATMENT REQUESTED BY MARKER THERAPEUTICS,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Entirety</w:t>
      </w:r>
    </w:p>
    <w:p>
      <w:pPr>
        <w:spacing w:after="0" w:line="22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With the exception of the License, this Contract represents the entire agreement of the parties and it expressly supersedes all previous written and oral communications between the parties with regard to the Project Research proposed hereunder. No amendment, alteration, or modification of this Contract or any exhibits attached hereto shall be valid unless executed in writing by authorized signatories of both parties.</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Baylor makes NO WARRANTIES, EXPRESS OR IMPLIED, CONCERNING THE RESULTS OF THE PROJECT RESEARCH OR OF THE MERCHANTABILITY, OR FITNESS FOR A PARTICULAR PURPOSE OF SUCH PROJECT RESEARCH OR RESULTS. Baylor shall not be liable for any direct, consequential, or other damages suffered by the Sponsor or any other party as a result of the conduct of the Project Research. All warranties made or to be made in connection with the Project Research shall be made by the Sponsor thereof and none of such warranties shall directly or indirectly by implication obligate in any way Baylor, the Principal Investigator, Baylor's trustees, officers, agents, staff, employees, students, and faculty members, and its affiliated hospitals.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IN WITNESS WHEREOF, the parties hereto have caused this Contract to be executed in duplicate counterpart original by their duly authorized representatives to be effective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SPONSOR</w:t>
            </w:r>
          </w:p>
        </w:tc>
        <w:tc>
          <w:tcPr>
            <w:tcW w:w="2440" w:type="dxa"/>
            <w:vAlign w:val="bottom"/>
          </w:tcPr>
          <w:p>
            <w:pPr>
              <w:spacing w:after="0"/>
              <w:rPr>
                <w:sz w:val="20"/>
                <w:szCs w:val="20"/>
                <w:color w:val="auto"/>
              </w:rPr>
            </w:pPr>
          </w:p>
        </w:tc>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BAYLOR COLLEGE OF MEDICINE</w:t>
            </w:r>
          </w:p>
        </w:tc>
        <w:tc>
          <w:tcPr>
            <w:tcW w:w="1840" w:type="dxa"/>
            <w:vAlign w:val="bottom"/>
          </w:tcPr>
          <w:p>
            <w:pPr>
              <w:spacing w:after="0"/>
              <w:rPr>
                <w:sz w:val="20"/>
                <w:szCs w:val="20"/>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By: /s/ Peter L. Hoang</w:t>
            </w:r>
          </w:p>
        </w:tc>
        <w:tc>
          <w:tcPr>
            <w:tcW w:w="2440" w:type="dxa"/>
            <w:vAlign w:val="bottom"/>
          </w:tcPr>
          <w:p>
            <w:pPr>
              <w:ind w:left="1060"/>
              <w:spacing w:after="0"/>
              <w:rPr>
                <w:sz w:val="20"/>
                <w:szCs w:val="20"/>
                <w:color w:val="auto"/>
              </w:rPr>
            </w:pPr>
            <w:r>
              <w:rPr>
                <w:rFonts w:ascii="Arial" w:cs="Arial" w:eastAsia="Arial" w:hAnsi="Arial"/>
                <w:sz w:val="18"/>
                <w:szCs w:val="18"/>
                <w:color w:val="auto"/>
              </w:rPr>
              <w:t>11/16/18</w:t>
            </w:r>
          </w:p>
        </w:tc>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By: /s/ Michael B. Dilling Ph.D., CLP</w:t>
            </w:r>
          </w:p>
        </w:tc>
        <w:tc>
          <w:tcPr>
            <w:tcW w:w="1840" w:type="dxa"/>
            <w:vAlign w:val="bottom"/>
          </w:tcPr>
          <w:p>
            <w:pPr>
              <w:ind w:left="480"/>
              <w:spacing w:after="0"/>
              <w:rPr>
                <w:sz w:val="20"/>
                <w:szCs w:val="20"/>
                <w:color w:val="auto"/>
              </w:rPr>
            </w:pPr>
            <w:r>
              <w:rPr>
                <w:rFonts w:ascii="Arial" w:cs="Arial" w:eastAsia="Arial" w:hAnsi="Arial"/>
                <w:sz w:val="18"/>
                <w:szCs w:val="18"/>
                <w:color w:val="auto"/>
              </w:rPr>
              <w:t>11/26/2018</w:t>
            </w:r>
          </w:p>
        </w:tc>
      </w:tr>
      <w:tr>
        <w:trPr>
          <w:trHeight w:val="195"/>
        </w:trPr>
        <w:tc>
          <w:tcPr>
            <w:tcW w:w="360" w:type="dxa"/>
            <w:vAlign w:val="bottom"/>
          </w:tcPr>
          <w:p>
            <w:pPr>
              <w:spacing w:after="0"/>
              <w:rPr>
                <w:sz w:val="16"/>
                <w:szCs w:val="16"/>
                <w:color w:val="auto"/>
              </w:rPr>
            </w:pPr>
          </w:p>
        </w:tc>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2440" w:type="dxa"/>
            <w:vAlign w:val="bottom"/>
            <w:tcBorders>
              <w:top w:val="single" w:sz="8" w:color="auto"/>
            </w:tcBorders>
          </w:tcPr>
          <w:p>
            <w:pPr>
              <w:ind w:left="1060"/>
              <w:spacing w:after="0" w:line="195" w:lineRule="exact"/>
              <w:rPr>
                <w:sz w:val="20"/>
                <w:szCs w:val="20"/>
                <w:color w:val="auto"/>
              </w:rPr>
            </w:pPr>
            <w:r>
              <w:rPr>
                <w:rFonts w:ascii="Arial" w:cs="Arial" w:eastAsia="Arial" w:hAnsi="Arial"/>
                <w:sz w:val="18"/>
                <w:szCs w:val="18"/>
                <w:color w:val="auto"/>
              </w:rPr>
              <w:t>Date</w:t>
            </w:r>
          </w:p>
        </w:tc>
        <w:tc>
          <w:tcPr>
            <w:tcW w:w="1480" w:type="dxa"/>
            <w:vAlign w:val="bottom"/>
          </w:tcPr>
          <w:p>
            <w:pPr>
              <w:spacing w:after="0"/>
              <w:rPr>
                <w:sz w:val="16"/>
                <w:szCs w:val="16"/>
                <w:color w:val="auto"/>
              </w:rPr>
            </w:pPr>
          </w:p>
        </w:tc>
        <w:tc>
          <w:tcPr>
            <w:tcW w:w="2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184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Date</w:t>
            </w:r>
          </w:p>
        </w:tc>
      </w:tr>
      <w:tr>
        <w:trPr>
          <w:trHeight w:val="216"/>
        </w:trPr>
        <w:tc>
          <w:tcPr>
            <w:tcW w:w="36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Peter L. Hoang</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Michael B. Dilling Ph.D., CLP</w:t>
            </w:r>
          </w:p>
        </w:tc>
        <w:tc>
          <w:tcPr>
            <w:tcW w:w="18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President &amp; CEO</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Director, Baylor Licensing Group</w:t>
            </w: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acknowledge that I have read this Contract in its entirety and that I shall use reasonable efforts to uphold my individual obligations and responsibilities set forth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By: /s/ Juan F. Vera, M.D.</w:t>
            </w:r>
          </w:p>
        </w:tc>
        <w:tc>
          <w:tcPr>
            <w:tcW w:w="2300" w:type="dxa"/>
            <w:vAlign w:val="bottom"/>
          </w:tcPr>
          <w:p>
            <w:pPr>
              <w:ind w:left="920"/>
              <w:spacing w:after="0"/>
              <w:rPr>
                <w:sz w:val="20"/>
                <w:szCs w:val="20"/>
                <w:color w:val="auto"/>
              </w:rPr>
            </w:pPr>
            <w:r>
              <w:rPr>
                <w:rFonts w:ascii="Arial" w:cs="Arial" w:eastAsia="Arial" w:hAnsi="Arial"/>
                <w:sz w:val="18"/>
                <w:szCs w:val="18"/>
                <w:color w:val="auto"/>
              </w:rPr>
              <w:t>11/21/18</w:t>
            </w:r>
          </w:p>
        </w:tc>
        <w:tc>
          <w:tcPr>
            <w:tcW w:w="4900" w:type="dxa"/>
            <w:vAlign w:val="bottom"/>
            <w:gridSpan w:val="2"/>
          </w:tcPr>
          <w:p>
            <w:pPr>
              <w:ind w:left="1140"/>
              <w:spacing w:after="0"/>
              <w:rPr>
                <w:sz w:val="20"/>
                <w:szCs w:val="20"/>
                <w:color w:val="auto"/>
              </w:rPr>
            </w:pPr>
            <w:r>
              <w:rPr>
                <w:rFonts w:ascii="Arial" w:cs="Arial" w:eastAsia="Arial" w:hAnsi="Arial"/>
                <w:sz w:val="18"/>
                <w:szCs w:val="18"/>
                <w:color w:val="auto"/>
              </w:rPr>
              <w:t>By: /s/ Ann Leen, Ph.D.</w:t>
            </w:r>
          </w:p>
        </w:tc>
        <w:tc>
          <w:tcPr>
            <w:tcW w:w="1360" w:type="dxa"/>
            <w:vAlign w:val="bottom"/>
          </w:tcPr>
          <w:p>
            <w:pPr>
              <w:spacing w:after="0"/>
              <w:rPr>
                <w:sz w:val="20"/>
                <w:szCs w:val="20"/>
                <w:color w:val="auto"/>
              </w:rPr>
            </w:pPr>
            <w:r>
              <w:rPr>
                <w:rFonts w:ascii="Arial" w:cs="Arial" w:eastAsia="Arial" w:hAnsi="Arial"/>
                <w:sz w:val="18"/>
                <w:szCs w:val="18"/>
                <w:color w:val="auto"/>
              </w:rPr>
              <w:t>11/21/18</w:t>
            </w:r>
          </w:p>
        </w:tc>
      </w:tr>
      <w:tr>
        <w:trPr>
          <w:trHeight w:val="195"/>
        </w:trPr>
        <w:tc>
          <w:tcPr>
            <w:tcW w:w="36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2300" w:type="dxa"/>
            <w:vAlign w:val="bottom"/>
            <w:tcBorders>
              <w:top w:val="single" w:sz="8" w:color="auto"/>
            </w:tcBorders>
          </w:tcPr>
          <w:p>
            <w:pPr>
              <w:ind w:left="920"/>
              <w:spacing w:after="0" w:line="195" w:lineRule="exact"/>
              <w:rPr>
                <w:sz w:val="20"/>
                <w:szCs w:val="20"/>
                <w:color w:val="auto"/>
              </w:rPr>
            </w:pPr>
            <w:r>
              <w:rPr>
                <w:rFonts w:ascii="Arial" w:cs="Arial" w:eastAsia="Arial" w:hAnsi="Arial"/>
                <w:sz w:val="18"/>
                <w:szCs w:val="18"/>
                <w:color w:val="auto"/>
              </w:rPr>
              <w:t>Date</w:t>
            </w:r>
          </w:p>
        </w:tc>
        <w:tc>
          <w:tcPr>
            <w:tcW w:w="148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Principal Investigator</w:t>
            </w:r>
          </w:p>
        </w:tc>
        <w:tc>
          <w:tcPr>
            <w:tcW w:w="2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Co-Investigator</w:t>
            </w:r>
          </w:p>
        </w:tc>
        <w:tc>
          <w:tcPr>
            <w:tcW w:w="13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Juan F. Vera, M.D.</w:t>
            </w:r>
          </w:p>
        </w:tc>
        <w:tc>
          <w:tcPr>
            <w:tcW w:w="23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Ann Leen, Ph.D.</w:t>
            </w:r>
          </w:p>
        </w:tc>
        <w:tc>
          <w:tcPr>
            <w:tcW w:w="1360" w:type="dxa"/>
            <w:vAlign w:val="bottom"/>
          </w:tcPr>
          <w:p>
            <w:pPr>
              <w:spacing w:after="0"/>
              <w:rPr>
                <w:sz w:val="24"/>
                <w:szCs w:val="24"/>
                <w:color w:val="auto"/>
              </w:rPr>
            </w:pPr>
          </w:p>
        </w:tc>
      </w:tr>
      <w:tr>
        <w:trPr>
          <w:trHeight w:val="224"/>
        </w:trPr>
        <w:tc>
          <w:tcPr>
            <w:tcW w:w="3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Typed Name</w:t>
            </w:r>
          </w:p>
        </w:tc>
        <w:tc>
          <w:tcPr>
            <w:tcW w:w="2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Typed Name</w:t>
            </w:r>
          </w:p>
        </w:tc>
        <w:tc>
          <w:tcPr>
            <w:tcW w:w="1360" w:type="dxa"/>
            <w:vAlign w:val="bottom"/>
          </w:tcPr>
          <w:p>
            <w:pPr>
              <w:spacing w:after="0"/>
              <w:rPr>
                <w:sz w:val="19"/>
                <w:szCs w:val="19"/>
                <w:color w:val="auto"/>
              </w:rPr>
            </w:pPr>
          </w:p>
        </w:tc>
      </w:tr>
      <w:tr>
        <w:trPr>
          <w:trHeight w:val="418"/>
        </w:trPr>
        <w:tc>
          <w:tcPr>
            <w:tcW w:w="360" w:type="dxa"/>
            <w:vAlign w:val="bottom"/>
          </w:tcPr>
          <w:p>
            <w:pPr>
              <w:spacing w:after="0"/>
              <w:rPr>
                <w:sz w:val="24"/>
                <w:szCs w:val="2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Investigator</w:t>
            </w:r>
          </w:p>
        </w:tc>
        <w:tc>
          <w:tcPr>
            <w:tcW w:w="23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Co-Investigator</w:t>
            </w:r>
          </w:p>
        </w:tc>
        <w:tc>
          <w:tcPr>
            <w:tcW w:w="1360" w:type="dxa"/>
            <w:vAlign w:val="bottom"/>
          </w:tcPr>
          <w:p>
            <w:pPr>
              <w:spacing w:after="0"/>
              <w:rPr>
                <w:sz w:val="24"/>
                <w:szCs w:val="24"/>
                <w:color w:val="auto"/>
              </w:rPr>
            </w:pPr>
          </w:p>
        </w:tc>
      </w:tr>
      <w:tr>
        <w:trPr>
          <w:trHeight w:val="224"/>
        </w:trPr>
        <w:tc>
          <w:tcPr>
            <w:tcW w:w="3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1360" w:type="dxa"/>
            <w:vAlign w:val="bottom"/>
          </w:tcPr>
          <w:p>
            <w:pPr>
              <w:spacing w:after="0"/>
              <w:rPr>
                <w:sz w:val="19"/>
                <w:szCs w:val="19"/>
                <w:color w:val="auto"/>
              </w:rPr>
            </w:pPr>
          </w:p>
        </w:tc>
      </w:tr>
      <w:tr>
        <w:trPr>
          <w:trHeight w:val="418"/>
        </w:trPr>
        <w:tc>
          <w:tcPr>
            <w:tcW w:w="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WORKSCOPE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Deliverables: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BUDGET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Wages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8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Effort</w:t>
            </w:r>
          </w:p>
        </w:tc>
        <w:tc>
          <w:tcPr>
            <w:tcW w:w="286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Year 1</w:t>
            </w:r>
          </w:p>
        </w:tc>
        <w:tc>
          <w:tcPr>
            <w:tcW w:w="28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Year 2</w:t>
            </w:r>
          </w:p>
        </w:tc>
      </w:tr>
      <w:tr>
        <w:trPr>
          <w:trHeight w:val="23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Co-Inv</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Postdoc</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Cell Proc Tech</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Rsch Tech</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9"/>
        </w:trPr>
        <w:tc>
          <w:tcPr>
            <w:tcW w:w="288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Subtotal:</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[***REDACTED***]%</w:t>
            </w:r>
          </w:p>
        </w:tc>
        <w:tc>
          <w:tcPr>
            <w:tcW w:w="1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28,971</w:t>
            </w:r>
          </w:p>
        </w:tc>
        <w:tc>
          <w:tcPr>
            <w:tcW w:w="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29,840</w:t>
            </w:r>
          </w:p>
        </w:tc>
      </w:tr>
      <w:tr>
        <w:trPr>
          <w:trHeight w:val="4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Fringe Benefits</w:t>
            </w: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230"/>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Effort</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Year 1</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Year 2</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Co-Inv</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Postdoc</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Cell Proc Tech</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Rsch Tech</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c>
          <w:tcPr>
            <w:tcW w:w="28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[***REDACTED***]</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[***REDACTED***]</w:t>
            </w:r>
          </w:p>
        </w:tc>
      </w:tr>
      <w:tr>
        <w:trPr>
          <w:trHeight w:val="239"/>
        </w:trPr>
        <w:tc>
          <w:tcPr>
            <w:tcW w:w="288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Subtotal:</w:t>
            </w: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[***REDACTED***]%</w:t>
            </w:r>
          </w:p>
        </w:tc>
        <w:tc>
          <w:tcPr>
            <w:tcW w:w="1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10,406</w:t>
            </w:r>
          </w:p>
        </w:tc>
        <w:tc>
          <w:tcPr>
            <w:tcW w:w="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10,719</w:t>
            </w:r>
          </w:p>
        </w:tc>
      </w:tr>
      <w:tr>
        <w:trPr>
          <w:trHeight w:val="4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Supplies (examples below)</w:t>
            </w: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230"/>
        </w:trPr>
        <w:tc>
          <w:tcPr>
            <w:tcW w:w="28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1</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2</w:t>
            </w: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Tissue Culture</w:t>
            </w: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[***REDACTED***]</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Monoclonal Antibodies</w:t>
            </w: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[***REDACTED***]</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Immune Studies</w:t>
            </w: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[***REDACTED***]</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[***REDACTED***]</w:t>
            </w: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Cytokines</w:t>
            </w: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[***REDACTED***]</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[***REDACTED***]</w:t>
            </w:r>
          </w:p>
        </w:tc>
      </w:tr>
      <w:tr>
        <w:trPr>
          <w:trHeight w:val="239"/>
        </w:trPr>
        <w:tc>
          <w:tcPr>
            <w:tcW w:w="2880" w:type="dxa"/>
            <w:vAlign w:val="bottom"/>
            <w:tcBorders>
              <w:left w:val="single" w:sz="8" w:color="auto"/>
              <w:bottom w:val="single" w:sz="8" w:color="auto"/>
            </w:tcBorders>
          </w:tcPr>
          <w:p>
            <w:pPr>
              <w:ind w:left="980"/>
              <w:spacing w:after="0"/>
              <w:rPr>
                <w:sz w:val="20"/>
                <w:szCs w:val="20"/>
                <w:color w:val="auto"/>
              </w:rPr>
            </w:pPr>
            <w:r>
              <w:rPr>
                <w:rFonts w:ascii="Arial" w:cs="Arial" w:eastAsia="Arial" w:hAnsi="Arial"/>
                <w:sz w:val="18"/>
                <w:szCs w:val="18"/>
                <w:b w:val="1"/>
                <w:bCs w:val="1"/>
                <w:color w:val="auto"/>
              </w:rPr>
              <w:t>Subtotal:</w:t>
            </w:r>
          </w:p>
        </w:tc>
        <w:tc>
          <w:tcPr>
            <w:tcW w:w="10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39,625</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40,814</w:t>
            </w: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r>
      <w:tr>
        <w:trPr>
          <w:trHeight w:val="214"/>
        </w:trPr>
        <w:tc>
          <w:tcPr>
            <w:tcW w:w="5720" w:type="dxa"/>
            <w:vAlign w:val="bottom"/>
            <w:tcBorders>
              <w:bottom w:val="single" w:sz="8" w:color="auto"/>
            </w:tcBorders>
            <w:gridSpan w:val="3"/>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32"/>
        </w:trPr>
        <w:tc>
          <w:tcPr>
            <w:tcW w:w="572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 Direct Cost for All Year Modular Format</w:t>
            </w:r>
          </w:p>
        </w:tc>
        <w:tc>
          <w:tcPr>
            <w:tcW w:w="3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[***REDACTED***]</w:t>
            </w:r>
          </w:p>
        </w:tc>
        <w:tc>
          <w:tcPr>
            <w:tcW w:w="46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[***REDACTED***]</w:t>
            </w: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Indirect Cost for regular line items</w:t>
            </w:r>
          </w:p>
        </w:tc>
        <w:tc>
          <w:tcPr>
            <w:tcW w:w="1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[***REDACTED***]</w:t>
            </w:r>
          </w:p>
        </w:tc>
        <w:tc>
          <w:tcPr>
            <w:tcW w:w="46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[***REDACTED***]</w:t>
            </w:r>
          </w:p>
        </w:tc>
      </w:tr>
      <w:tr>
        <w:trPr>
          <w:trHeight w:val="237"/>
        </w:trPr>
        <w:tc>
          <w:tcPr>
            <w:tcW w:w="572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 Cost Direct and Indirect per year</w:t>
            </w:r>
          </w:p>
        </w:tc>
        <w:tc>
          <w:tcPr>
            <w:tcW w:w="3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[***REDACTED***]</w:t>
            </w:r>
          </w:p>
        </w:tc>
        <w:tc>
          <w:tcPr>
            <w:tcW w:w="46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[***REDACTED***]</w:t>
            </w:r>
          </w:p>
        </w:tc>
      </w:tr>
      <w:tr>
        <w:trPr>
          <w:trHeight w:val="237"/>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Budget Requested All Year</w:t>
            </w:r>
          </w:p>
        </w:tc>
        <w:tc>
          <w:tcPr>
            <w:tcW w:w="1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$256,272</w:t>
            </w:r>
          </w:p>
        </w:tc>
      </w:tr>
      <w:tr>
        <w:trPr>
          <w:trHeight w:val="430"/>
        </w:trPr>
        <w:tc>
          <w:tcPr>
            <w:tcW w:w="2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b w:val="1"/>
          <w:bCs w:val="1"/>
          <w:color w:val="auto"/>
        </w:rPr>
        <w:t>CONFIDENTIAL TREATMENT REQUESTED BY MARKER THERAPEUTICS, INC.</w:t>
      </w: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0E0E0E"/>
        </w:rPr>
        <w:t>Baylor College of Medicine — Baylor Licensing Group</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u w:val="single" w:color="auto"/>
          <w:color w:val="0E0E0E"/>
        </w:rPr>
        <w:t>Monetary Contract Routing Sheet</w:t>
      </w:r>
    </w:p>
    <w:p>
      <w:pPr>
        <w:spacing w:after="0" w:line="211"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Contract Type: Sponsored Research Agreement BRAIN 54715-1</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Contract Parties: Marker Therapeutics</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Contract Principal Investigator: Juan Vera and Ann Leen</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Effective Date: 11/16/2018</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Contract Term: ending November 15, 2022</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Termination without Cause: none</w:t>
      </w:r>
    </w:p>
    <w:p>
      <w:pPr>
        <w:spacing w:after="0" w:line="225" w:lineRule="exact"/>
        <w:rPr>
          <w:rFonts w:ascii="Arial" w:cs="Arial" w:eastAsia="Arial" w:hAnsi="Arial"/>
          <w:sz w:val="18"/>
          <w:szCs w:val="18"/>
          <w:color w:val="0E0E0E"/>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Payment Amount: up to $256,272 (years 1 and 2 only, years 3 and 4 will be covered in an amendment)</w:t>
      </w:r>
    </w:p>
    <w:p>
      <w:pPr>
        <w:spacing w:after="0" w:line="225" w:lineRule="exact"/>
        <w:rPr>
          <w:rFonts w:ascii="Arial" w:cs="Arial" w:eastAsia="Arial" w:hAnsi="Arial"/>
          <w:sz w:val="18"/>
          <w:szCs w:val="18"/>
          <w:color w:val="0E0E0E"/>
        </w:rPr>
      </w:pPr>
    </w:p>
    <w:p>
      <w:pPr>
        <w:ind w:left="980" w:hanging="324"/>
        <w:spacing w:after="0"/>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0E0E0E"/>
        </w:rPr>
        <w:t>On or before Effective Date $76,882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0E0E0E"/>
        </w:rPr>
        <w:t>Equal monthly installments of the remainder $153,764 for two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0E0E0E"/>
        </w:rPr>
      </w:pPr>
      <w:r>
        <w:rPr>
          <w:rFonts w:ascii="Arial" w:cs="Arial" w:eastAsia="Arial" w:hAnsi="Arial"/>
          <w:sz w:val="18"/>
          <w:szCs w:val="18"/>
          <w:color w:val="0E0E0E"/>
        </w:rPr>
        <w:t>%IDC: [***REDACTED***]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0E0E0E"/>
        </w:rPr>
        <w:t>Principal Investigator Certification: I certify that I have read the contract and understand the business terms, that the contract is in Baylor's best interest, and that the activity is consistent with Baylor's mission.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Signature of Principal Investigator:</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426"/>
        </w:trPr>
        <w:tc>
          <w:tcPr>
            <w:tcW w:w="6740" w:type="dxa"/>
            <w:vAlign w:val="bottom"/>
          </w:tcPr>
          <w:p>
            <w:pPr>
              <w:spacing w:after="0"/>
              <w:rPr>
                <w:sz w:val="20"/>
                <w:szCs w:val="20"/>
                <w:color w:val="auto"/>
              </w:rPr>
            </w:pPr>
            <w:r>
              <w:rPr>
                <w:rFonts w:ascii="Arial" w:cs="Arial" w:eastAsia="Arial" w:hAnsi="Arial"/>
                <w:sz w:val="18"/>
                <w:szCs w:val="18"/>
                <w:color w:val="auto"/>
              </w:rPr>
              <w:t>Signature of Department Administrator:</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426"/>
        </w:trPr>
        <w:tc>
          <w:tcPr>
            <w:tcW w:w="6740" w:type="dxa"/>
            <w:vAlign w:val="bottom"/>
          </w:tcPr>
          <w:p>
            <w:pPr>
              <w:spacing w:after="0"/>
              <w:rPr>
                <w:sz w:val="20"/>
                <w:szCs w:val="20"/>
                <w:color w:val="auto"/>
              </w:rPr>
            </w:pPr>
            <w:r>
              <w:rPr>
                <w:rFonts w:ascii="Arial" w:cs="Arial" w:eastAsia="Arial" w:hAnsi="Arial"/>
                <w:sz w:val="18"/>
                <w:szCs w:val="18"/>
                <w:color w:val="auto"/>
              </w:rPr>
              <w:t>Signature of Department Chair:</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669"/>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10.38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Services Agreement (“Agreement”) is hereby made and entered into this 19th day of October, 2018 (“Effective Date”) by and between Marker Therapeutics, Inc., a Delaware corporation, having an address at 3200 Southwest Freeway, Suite 2240, Houston, Texas 77027 and its subsidiaries (“Marker” or the “Company”), and Ann Leen, having an address at 2727 Drexel Drive, Houston, Texas 77027 (“Consultant”). Marker and Consultant are referred to herein collectively as the “Parties” and individually as a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Marker is in need of consulting assistance in the area of a Chief Scientific Officer;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Consultant has represented that Consultant is qualified to perform and possesses the knowledge to perform those certain services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Agreement;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Marker desires to engage Consultant as an independent contractor to perform those services set forth herein, and Consultant desires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such engagement.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above recitals, which are incorporated herein as covenants, the mutual promises herein made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exchanged and for other valuable consideration, the receipt and sufficiency of which are hereby acknowledged, the Parties agree as follows:</w:t>
      </w:r>
    </w:p>
    <w:p>
      <w:pPr>
        <w:spacing w:after="0" w:line="138" w:lineRule="exact"/>
        <w:rPr>
          <w:sz w:val="20"/>
          <w:szCs w:val="20"/>
          <w:color w:val="auto"/>
        </w:rPr>
      </w:pPr>
    </w:p>
    <w:p>
      <w:pPr>
        <w:jc w:val="both"/>
        <w:ind w:left="340" w:hanging="332"/>
        <w:spacing w:after="0" w:line="266"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Engagement.</w:t>
      </w:r>
      <w:r>
        <w:rPr>
          <w:rFonts w:ascii="Arial" w:cs="Arial" w:eastAsia="Arial" w:hAnsi="Arial"/>
          <w:sz w:val="18"/>
          <w:szCs w:val="18"/>
          <w:color w:val="auto"/>
        </w:rPr>
        <w:t xml:space="preserve"> Marker hereby engages Consultant as an independent contractor to perform consulting services set forth in this Agreement and in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 Consulting Services</w:t>
      </w:r>
      <w:r>
        <w:rPr>
          <w:rFonts w:ascii="Arial" w:cs="Arial" w:eastAsia="Arial" w:hAnsi="Arial"/>
          <w:sz w:val="18"/>
          <w:szCs w:val="18"/>
          <w:color w:val="auto"/>
        </w:rPr>
        <w:t>, which is attached hereto and incorporated herein by reference (collectively, the “Services” or “Consulting Services”).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accepts such engagement under the terms set forth herein.</w:t>
      </w:r>
    </w:p>
    <w:p>
      <w:pPr>
        <w:spacing w:after="0" w:line="176"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Marker shall pay Consultant pursuant to the terms of </w:t>
      </w:r>
      <w:r>
        <w:rPr>
          <w:rFonts w:ascii="Arial" w:cs="Arial" w:eastAsia="Arial" w:hAnsi="Arial"/>
          <w:sz w:val="17"/>
          <w:szCs w:val="17"/>
          <w:b w:val="1"/>
          <w:bCs w:val="1"/>
          <w:u w:val="single" w:color="auto"/>
          <w:color w:val="auto"/>
        </w:rPr>
        <w:t>Schedule 2, Compensation</w:t>
      </w:r>
      <w:r>
        <w:rPr>
          <w:rFonts w:ascii="Arial" w:cs="Arial" w:eastAsia="Arial" w:hAnsi="Arial"/>
          <w:sz w:val="17"/>
          <w:szCs w:val="17"/>
          <w:color w:val="auto"/>
        </w:rPr>
        <w:t>, attached hereto. Consultant shall be entitled to reimbursement for reasonable expenses, including travel provided that Consultant submits itemized statements of such expenses in a form acceptable to the Company. All travel within the continental U.S. will be coach class unless otherwise authorized by an executive officer of the Company. Invoices are subject to review and approval by Marker and if approved, will be paid no later than 30 days after receipt.</w:t>
      </w:r>
    </w:p>
    <w:p>
      <w:pPr>
        <w:spacing w:after="0" w:line="168"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Stock Option Award</w:t>
      </w:r>
      <w:r>
        <w:rPr>
          <w:rFonts w:ascii="Arial" w:cs="Arial" w:eastAsia="Arial" w:hAnsi="Arial"/>
          <w:sz w:val="18"/>
          <w:szCs w:val="18"/>
          <w:color w:val="auto"/>
        </w:rPr>
        <w:t>. Upon execution of the Agreement, Marker will grant Consultant pursuant to the Company’s 2014 Omnibus Stock Ownership Plan, as amended options to acquire up to 500,000 shares of Marker’s common stock (the “Options”), in accordance with the terms provided the Stock Option Award Agreement attached as Exhibit A. The Options shall become vested upon the Consultant’s continued performance of Services under this Agreement for four years from the date of the grant of the Options with 125,000 shares of the Options vesting on the first anniversary of the date of grant and the remaining options vesting evenly over the following thirty six (36) months. The Options shall be exercisable at the closing price of Marker’s common stock as of the date of the grant of such Options.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5" w:name="page176"/>
    <w:bookmarkEnd w:id="175"/>
    <w:p>
      <w:pPr>
        <w:jc w:val="both"/>
        <w:ind w:left="332" w:hanging="332"/>
        <w:spacing w:after="0" w:line="259" w:lineRule="auto"/>
        <w:tabs>
          <w:tab w:leader="none" w:pos="33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 and Termination without Cause.</w:t>
      </w:r>
      <w:r>
        <w:rPr>
          <w:rFonts w:ascii="Arial" w:cs="Arial" w:eastAsia="Arial" w:hAnsi="Arial"/>
          <w:sz w:val="18"/>
          <w:szCs w:val="18"/>
          <w:color w:val="auto"/>
        </w:rPr>
        <w:t xml:space="preserve"> The term of this Agreement shall be for twelve (12) months from the Effective Date and may be renewed by written agreement of the Parties (collectively the “Term”). Either Party may terminate this Agreement without cause by giving thirty (30) days notice providing written notice to the other Party, provided that this Agreement shall terminate automatically in the event of the death or disability of Consultant.</w:t>
      </w:r>
    </w:p>
    <w:p>
      <w:pPr>
        <w:spacing w:after="0" w:line="186"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Breach, Right to Cure, and Termination for Cause.</w:t>
      </w:r>
      <w:r>
        <w:rPr>
          <w:rFonts w:ascii="Arial" w:cs="Arial" w:eastAsia="Arial" w:hAnsi="Arial"/>
          <w:sz w:val="18"/>
          <w:szCs w:val="18"/>
          <w:color w:val="auto"/>
        </w:rPr>
        <w:t xml:space="preserve"> In the event either Party breaches any provision of this Agreement, the non-breaching Party may provide written notice of such breach to the breaching Party and the breaching Party shall have seven (7) days from the date of notice to cure such breach. If such breach is not cured within seven (7) days from the date of notice, the non-breaching Party may, in addition to any other remedies it may have, immediately terminate this Agreement by providing written notice to the breaching Party.</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Consultant Status.</w:t>
      </w:r>
    </w:p>
    <w:p>
      <w:pPr>
        <w:spacing w:after="0" w:line="225" w:lineRule="exact"/>
        <w:rPr>
          <w:sz w:val="20"/>
          <w:szCs w:val="20"/>
          <w:color w:val="auto"/>
        </w:rPr>
      </w:pPr>
    </w:p>
    <w:p>
      <w:pPr>
        <w:jc w:val="both"/>
        <w:ind w:left="1292" w:hanging="647"/>
        <w:spacing w:after="0" w:line="293" w:lineRule="auto"/>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 xml:space="preserve">Independent Contractor. </w:t>
      </w:r>
      <w:r>
        <w:rPr>
          <w:rFonts w:ascii="Arial" w:cs="Arial" w:eastAsia="Arial" w:hAnsi="Arial"/>
          <w:sz w:val="16"/>
          <w:szCs w:val="16"/>
          <w:color w:val="auto"/>
        </w:rPr>
        <w:t>Consultant’s relationship with Marker shall be that of an independent contractor, and Consultant acknowledges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agrees that in performing all Services, Consultant is acting solely as an independent contractor and not as an employee or agent of Marker and will not by reason of this Agreement or by reason of her Consulting Services to the Company be entitled to participate in or to receive any benefit or right under any of the Company's employee benefit or welfare plans. Consultant shall not hold herself out to be an employee or agent of Marker and may use Marker’s name in her business only with prior written permission by Marker. Except as specifically authorized by the Company, Consultant shall not enter into any agreements or incur any obligations on behalf of the Company.</w:t>
      </w:r>
    </w:p>
    <w:p>
      <w:pPr>
        <w:spacing w:after="0" w:line="165" w:lineRule="exact"/>
        <w:rPr>
          <w:sz w:val="20"/>
          <w:szCs w:val="20"/>
          <w:color w:val="auto"/>
        </w:rPr>
      </w:pPr>
    </w:p>
    <w:p>
      <w:pPr>
        <w:jc w:val="both"/>
        <w:ind w:left="1292" w:hanging="647"/>
        <w:spacing w:after="0" w:line="257"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 xml:space="preserve">Taxes. </w:t>
      </w:r>
      <w:r>
        <w:rPr>
          <w:rFonts w:ascii="Arial" w:cs="Arial" w:eastAsia="Arial" w:hAnsi="Arial"/>
          <w:sz w:val="18"/>
          <w:szCs w:val="18"/>
          <w:color w:val="auto"/>
        </w:rPr>
        <w:t>Marker shall not be responsible to Consultant or to any governmental agency for the withholding of federal or state income, social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security or other taxes which are customarily imposed upon the salaries of employees. Consultant acknowledges and agrees that as an independent contractor, Consultant is self-employed and that Consultant alone will be responsible for federal, state and local taxes, social security withholding, fees, assessments, self-employment taxes, and any other taxes on any compensation payable to Consultant by Marker under this Agreement (collectively the “Taxes”).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76" w:name="page177"/>
    <w:bookmarkEnd w:id="176"/>
    <w:p>
      <w:pPr>
        <w:jc w:val="both"/>
        <w:ind w:left="1292" w:hanging="647"/>
        <w:spacing w:after="0" w:line="272"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 xml:space="preserve">Best Efforts. </w:t>
      </w:r>
      <w:r>
        <w:rPr>
          <w:rFonts w:ascii="Arial" w:cs="Arial" w:eastAsia="Arial" w:hAnsi="Arial"/>
          <w:sz w:val="17"/>
          <w:szCs w:val="17"/>
          <w:color w:val="auto"/>
        </w:rPr>
        <w:t>It is recognized that Consultant is not obligated to devote all of her time, energy and skill to the business interests of Marker</w:t>
      </w:r>
      <w:r>
        <w:rPr>
          <w:rFonts w:ascii="Arial" w:cs="Arial" w:eastAsia="Arial" w:hAnsi="Arial"/>
          <w:sz w:val="17"/>
          <w:szCs w:val="17"/>
          <w:u w:val="single" w:color="auto"/>
          <w:color w:val="auto"/>
        </w:rPr>
        <w:t xml:space="preserve"> </w:t>
      </w:r>
      <w:r>
        <w:rPr>
          <w:rFonts w:ascii="Arial" w:cs="Arial" w:eastAsia="Arial" w:hAnsi="Arial"/>
          <w:sz w:val="17"/>
          <w:szCs w:val="17"/>
          <w:color w:val="auto"/>
        </w:rPr>
        <w:t>but, at the same time, Consultant: (i) shall refrain from any other activity (for herself or any other company) that would compete with or conflict with the activities of Marker related to the generation and/or commercialization of T cells targeting non-viral tumor-associated antigens and/or cancer testis antigens; (ii) shall not engage in any other endeavor which would unreasonably interfere with Consultant’s obligations under this Agreement; and (iii) shall devote such time as may be necessary for the performance of the Services. The Parties acknowledge that Consultant is employed by Baylor College of Medicine, a Texas non-profit corporation (“Baylor”) and Marker has an exclusive license agreement with Baylor (the “License Agreement”).</w:t>
      </w:r>
    </w:p>
    <w:p>
      <w:pPr>
        <w:spacing w:after="0" w:line="178"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 xml:space="preserve">Non-Solicitation. </w:t>
      </w:r>
      <w:r>
        <w:rPr>
          <w:rFonts w:ascii="Arial" w:cs="Arial" w:eastAsia="Arial" w:hAnsi="Arial"/>
          <w:sz w:val="18"/>
          <w:szCs w:val="18"/>
          <w:color w:val="auto"/>
        </w:rPr>
        <w:t>During the Term of this Agreement and for a period of one (1) year subsequent to the termination or expiration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Consultant shall not, without the prior written consent of Marker, directly, indirectly, or through any other party solicit employees of Marker for employment by Consultant.</w:t>
      </w:r>
    </w:p>
    <w:p>
      <w:pPr>
        <w:spacing w:after="0" w:line="181" w:lineRule="exact"/>
        <w:rPr>
          <w:sz w:val="20"/>
          <w:szCs w:val="20"/>
          <w:color w:val="auto"/>
        </w:rPr>
      </w:pPr>
    </w:p>
    <w:p>
      <w:pPr>
        <w:jc w:val="both"/>
        <w:ind w:left="1292" w:hanging="647"/>
        <w:spacing w:after="0" w:line="291" w:lineRule="auto"/>
        <w:tabs>
          <w:tab w:leader="none" w:pos="127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this Agreement and for a period of one (1) year subsequent to the termination or expiration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Consultant shall not, within the United States of America: (i) engage in any employment, business, or activity or provide services to any third party that is in any way competitive with the business or activities of Marker related to the generation and/or commercialization of T cells targeting non-viral tumor-associated antigens and/or cancer testis antigens, or (ii) assist any other person or organization in competing with Marker or engaging in competition with the business or activities of Marker related to the generation and/or commercialization of T cells targeting non-viral tumor-associated antigens and/or cancer testis antigens. For the avoidance of doubt business or activities related to the generation and/or commercialization of T cells targeting neo-epitopes are excluded from this agreement.</w:t>
      </w:r>
    </w:p>
    <w:p>
      <w:pPr>
        <w:spacing w:after="0" w:line="167" w:lineRule="exact"/>
        <w:rPr>
          <w:sz w:val="20"/>
          <w:szCs w:val="20"/>
          <w:color w:val="auto"/>
        </w:rPr>
      </w:pPr>
    </w:p>
    <w:p>
      <w:pPr>
        <w:jc w:val="both"/>
        <w:ind w:left="332" w:hanging="332"/>
        <w:spacing w:after="0" w:line="255" w:lineRule="auto"/>
        <w:tabs>
          <w:tab w:leader="none" w:pos="33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Release and Indemnification.</w:t>
      </w:r>
      <w:r>
        <w:rPr>
          <w:rFonts w:ascii="Arial" w:cs="Arial" w:eastAsia="Arial" w:hAnsi="Arial"/>
          <w:sz w:val="18"/>
          <w:szCs w:val="18"/>
          <w:color w:val="auto"/>
        </w:rPr>
        <w:t xml:space="preserve"> Consultant shall be solely liable for any loss or damage to any person or property caused by the actions or omissions of Consultant. Consultant hereby waives, releases, discharges and indemnifies Marker and its employees, directors, officers and agents and holds the same harmless from and against, and Consultant assumes full responsibility for: (i) any and all liabilities, costs, actions, demands or damages whatsoever, including attorneys’ costs and fees, with respect to or relating to any injury, sickness, harm or damage incurred by the Consultant that is related to this Agreement or the performance of the Services; (ii) injuries to persons, or damages to property, including theft, related to or resulting from Consultant’s acts or omissions; (iii) the payment of any Taxes, including any fines, interest or penalties associated, imposed or required with respect to this Agreement; and (iv) any liabilities, claims, and liens of Consultant.</w:t>
      </w:r>
    </w:p>
    <w:p>
      <w:pPr>
        <w:spacing w:after="0" w:line="189" w:lineRule="exact"/>
        <w:rPr>
          <w:rFonts w:ascii="Arial" w:cs="Arial" w:eastAsia="Arial" w:hAnsi="Arial"/>
          <w:sz w:val="18"/>
          <w:szCs w:val="18"/>
          <w:color w:val="auto"/>
        </w:rPr>
      </w:pPr>
    </w:p>
    <w:p>
      <w:pPr>
        <w:ind w:left="332" w:hanging="332"/>
        <w:spacing w:after="0"/>
        <w:tabs>
          <w:tab w:leader="none" w:pos="33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Rights to Materials.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jc w:val="both"/>
        <w:ind w:left="1952" w:hanging="647"/>
        <w:spacing w:after="0" w:line="257" w:lineRule="auto"/>
        <w:tabs>
          <w:tab w:leader="none" w:pos="193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The term “Company Documentation” shall mean notes, memoranda, reports, lists, records, drawings, sketches, designs, specifications, software programs, books, files, forms, papers, accounts, data, documentation and other materials of any nature and in any form, whether written, printed or in digital format or otherwise, whether prepared or paid for by Consultant or anyone else relating to any matter related to the performance of the Services, the scope of the business of Marker, or Marker’s dealings or affairs.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77" w:name="page178"/>
    <w:bookmarkEnd w:id="177"/>
    <w:p>
      <w:pPr>
        <w:jc w:val="both"/>
        <w:ind w:left="760" w:hanging="647"/>
        <w:spacing w:after="0" w:line="269" w:lineRule="auto"/>
        <w:tabs>
          <w:tab w:leader="none" w:pos="7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The term “Confidential Information” shall mean any information concerning the organization, business or finances of Marker or of any third party which Marker is under an obligation to keep confidential that is maintained by Marker as confidential. Such Confidential Information shall include, but is not limited to, trade secrets or confidential information respecting patient or research participant lists, patient records, procedures, business plans and strategies, projects, plans, proposals, research and development, inventions, products, designs, market research data or analyses, technical information, marketing activities and procedures, methods, know-how, techniques, systems, processes, credit, financial and other data concerning Marker. For purposes of this Agreement, Confidential Information shall not include any information: (i) that is publicly available at the time of disclosure; (ii) that is or becomes generally known to the public through no fault of the Consultant; (iii) that is obtained without restriction from an independent source having a bona fide right to use and disclose such information, without restriction as to further use or disclosure; (iv) that Marker approves in advance in writing for unrestricted release; or (v) that is required to be disclosed by law, provided that written notice of the intent to disclose based on such reason is provided to Marker by Consultant seven (7) days prior to the scheduled date of disclosure.</w:t>
      </w:r>
    </w:p>
    <w:p>
      <w:pPr>
        <w:spacing w:after="0" w:line="180" w:lineRule="exact"/>
        <w:rPr>
          <w:sz w:val="20"/>
          <w:szCs w:val="20"/>
          <w:color w:val="auto"/>
        </w:rPr>
      </w:pPr>
    </w:p>
    <w:p>
      <w:pPr>
        <w:jc w:val="both"/>
        <w:ind w:left="760" w:hanging="647"/>
        <w:spacing w:after="0" w:line="287" w:lineRule="auto"/>
        <w:tabs>
          <w:tab w:leader="none" w:pos="7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The term “Proprietary Rights and Inventions” shall mean any and all rights and materials, including, but not limited to, patentable or non-patentable inventions, discoveries, concepts, ideas, techniques, methods (excluding published or standard methods dedicated to the public), apparatus, formulas, trademark and service mark rights, patent rights, trade secret rights and all other proprietary rights, as well as improvements thereof, generated by, made or conceived by, or arising out of the efforts of Consultant, either solely or jointly with others, whether patentable or not and whether or not reduced to practice, while: (i) acting in furtherance of this Agreement, which includes performing the Services; or (ii) utilizing Marker’s facilities, personnel or materials. Proprietary Rights and Inventions shall be deemed Confidential Information. The Consultant has informed Marker, in writing, of any and all inventions which he claims as her own or otherwise intends to exclude from this Agreement because it was developed by her prior to the Effective Date. The Consultant acknowledges that after execution of this Agreement he shall have no right to exclude any Proprietary Rights and Inventions from this Agreement. Consultant shall make and maintain adequate and current written records of all Proprietary Rights and Inventions, and shall disclose all Proprietary Rights and Inventions promptly, fully and in writing to the Company immediately upon development of the same and at any time upon request.</w:t>
      </w:r>
    </w:p>
    <w:p>
      <w:pPr>
        <w:spacing w:after="0" w:line="16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6" w:right="239" w:bottom="1440" w:gutter="0" w:footer="0" w:header="0"/>
        </w:sectPr>
      </w:pPr>
    </w:p>
    <w:bookmarkStart w:id="178" w:name="page179"/>
    <w:bookmarkEnd w:id="178"/>
    <w:p>
      <w:pPr>
        <w:jc w:val="both"/>
        <w:ind w:left="100" w:hanging="647"/>
        <w:spacing w:after="0" w:line="269" w:lineRule="auto"/>
        <w:tabs>
          <w:tab w:leader="none" w:pos="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 xml:space="preserve">Nondisclosure. </w:t>
      </w:r>
      <w:r>
        <w:rPr>
          <w:rFonts w:ascii="Arial" w:cs="Arial" w:eastAsia="Arial" w:hAnsi="Arial"/>
          <w:sz w:val="17"/>
          <w:szCs w:val="17"/>
          <w:color w:val="auto"/>
        </w:rPr>
        <w:t>Consultant acknowledges that Marker’s Confidential Information is valuable, special and a unique asset of Marker, and that</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Consultant may, whether or not intentionally, gain access to and knowledge of the Confidential Information during Consultant’s performance under this Agreement. In light of the highly competitive nature of the industry in which Marker’s business is conducted, Consultant shall not reveal to any person or entity any Confidential Information, except as authorized by Marker in writing, and shall keep secret all matters entrusted to Consultant and shall not use or attempt to use any Confidential Information, except as may be required in the course of performing the Services under this Agreement, nor shall Consultant directly or indirectly use any Confidential Information in any manner that may injure or cause loss or may be calculated to injure or cause loss to Marker. The obligations of confidentiality and nonuse shall survive for ten (10) years from the expiration or termination of this Agreement, whichever occurs first. Furthermore, Consultant shall not make, use or permit to be used any Company Documentation otherwise than for the benefit of Marker, whether during the Term or after the termination or conclusion of this Agreement. All Company Documentation shall be and remain the sole and exclusive property of Marker. Immediately upon the termination or conclusion of this Agreement, Consultant shall immediately deliver all Company Documentation in her possession, and all copies thereof, to Marker.</w:t>
      </w:r>
    </w:p>
    <w:p>
      <w:pPr>
        <w:spacing w:after="0" w:line="180" w:lineRule="exact"/>
        <w:rPr>
          <w:sz w:val="20"/>
          <w:szCs w:val="20"/>
          <w:color w:val="auto"/>
        </w:rPr>
      </w:pPr>
    </w:p>
    <w:p>
      <w:pPr>
        <w:jc w:val="both"/>
        <w:ind w:left="100" w:hanging="647"/>
        <w:spacing w:after="0" w:line="269" w:lineRule="auto"/>
        <w:tabs>
          <w:tab w:leader="none" w:pos="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 xml:space="preserve">Conveyance. </w:t>
      </w:r>
      <w:r>
        <w:rPr>
          <w:rFonts w:ascii="Arial" w:cs="Arial" w:eastAsia="Arial" w:hAnsi="Arial"/>
          <w:sz w:val="17"/>
          <w:szCs w:val="17"/>
          <w:color w:val="auto"/>
        </w:rPr>
        <w:t>Consultant hereby conveys, assigns, transfers and delivers to Marker, and agrees to convey, assign, transfer and deliver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Marker, all Proprietary Rights and Inventions, as well as Consultant’s right, title and interest in and to any Proprietary Rights and Inventions, if any. Consultant shall not, at any time or in any manner, challenge Marker’s ownership of such Proprietary Rights and Inventions. Consultant shall assist Marker or its representatives, at the expense of Marker, to obtain, maintain and enforce any United States and foreign letters patent for any Proprietary Rights and Inventions, that Marker may elect and shall execute, acknowledge and confirm in writing the complete ownership by Marker of the Proprietary Rights and Inventions, as requested by Marker from time to time. Consultant also agrees to execute an unconditional assignment to Marker of Consultant’s right, title and interest in the Proprietary Rights and Inventions. In the event that the above provisions requiring Consultant’s execution of an assignment to Marker is found invalid or void, Consultant agrees that Marker shall have a non-exclusive, royalty-free, perpetual license to make, use, sell or exploit such Proprietary Rights and Inventions. The Parties acknowledge the work Consultant performs for Baylor is subject to obligations Consultant has to Baylor, including as to work done at Baylor that would be part of the License Agreement.</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79" w:name="page180"/>
    <w:bookmarkEnd w:id="179"/>
    <w:p>
      <w:pPr>
        <w:jc w:val="both"/>
        <w:ind w:left="1292" w:hanging="647"/>
        <w:spacing w:after="0" w:line="291" w:lineRule="auto"/>
        <w:tabs>
          <w:tab w:leader="none" w:pos="127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 xml:space="preserve">Remedies. </w:t>
      </w:r>
      <w:r>
        <w:rPr>
          <w:rFonts w:ascii="Arial" w:cs="Arial" w:eastAsia="Arial" w:hAnsi="Arial"/>
          <w:sz w:val="16"/>
          <w:szCs w:val="16"/>
          <w:color w:val="auto"/>
        </w:rPr>
        <w:t>Consultant acknowledges and agrees that Marker’s remedy at law for a breach or threatened breach of any of the provisions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Section 7 would be inadequate and the breach shall be per se deemed as causing irreparable harm to Marker. Therefore, in the event of a breach by Consultant of any of the provisions of Section 7, Consultant agrees that, in addition to any remedy at law available to Marker, including, but not limited to, monetary damages, Marker, without posting any bond, shall be entitled to obtain, and Consultant agrees not to oppose Marker’s request for equitable relief in the form of specific performance, temporary restraining order, temporary or permanent injunction, or any other equitable remedy which may then be available to Marker. Nothing in this Agreement shall be construed as prohibiting Marker from pursuing any other remedies available to it for such breach or threatened breach.</w:t>
      </w:r>
    </w:p>
    <w:p>
      <w:pPr>
        <w:spacing w:after="0" w:line="167" w:lineRule="exact"/>
        <w:rPr>
          <w:sz w:val="20"/>
          <w:szCs w:val="20"/>
          <w:color w:val="auto"/>
        </w:rPr>
      </w:pPr>
    </w:p>
    <w:p>
      <w:pPr>
        <w:jc w:val="both"/>
        <w:ind w:left="1292" w:hanging="647"/>
        <w:spacing w:after="0" w:line="279" w:lineRule="auto"/>
        <w:tabs>
          <w:tab w:leader="none" w:pos="127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 xml:space="preserve">Consultants’ Third-Party Confidential Information. </w:t>
      </w:r>
      <w:r>
        <w:rPr>
          <w:rFonts w:ascii="Arial" w:cs="Arial" w:eastAsia="Arial" w:hAnsi="Arial"/>
          <w:sz w:val="17"/>
          <w:szCs w:val="17"/>
          <w:color w:val="auto"/>
        </w:rPr>
        <w:t>During the Term of this Agreement, Consultant will not improperly disclose to Marker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use in the conduct of the Services any proprietary or confidential information or trade secrets of any former employer or other third party to which Consultant owes a duty of confidentiality with respect to same, and that Consultant will not bring onto the premises of Marker any proprietary information belonging to a third party unless consented to in writing by such third party.</w:t>
      </w:r>
    </w:p>
    <w:p>
      <w:pPr>
        <w:spacing w:after="0" w:line="171"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 xml:space="preserve">Return of property. </w:t>
      </w:r>
      <w:r>
        <w:rPr>
          <w:rFonts w:ascii="Arial" w:cs="Arial" w:eastAsia="Arial" w:hAnsi="Arial"/>
          <w:sz w:val="18"/>
          <w:szCs w:val="18"/>
          <w:color w:val="auto"/>
        </w:rPr>
        <w:t>The Consultant agrees that all originals and all copies of materials containing, representing, evidencing, recording,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constituting any Confidential Information, however and whenever produced (whether by the Consultant or others), shall be the sole property of the Company.</w:t>
      </w:r>
    </w:p>
    <w:p>
      <w:pPr>
        <w:spacing w:after="0" w:line="181" w:lineRule="exact"/>
        <w:rPr>
          <w:sz w:val="20"/>
          <w:szCs w:val="20"/>
          <w:color w:val="auto"/>
        </w:rPr>
      </w:pPr>
    </w:p>
    <w:p>
      <w:pPr>
        <w:jc w:val="both"/>
        <w:ind w:left="1292"/>
        <w:spacing w:after="0" w:line="276" w:lineRule="auto"/>
        <w:rPr>
          <w:sz w:val="20"/>
          <w:szCs w:val="20"/>
          <w:color w:val="auto"/>
        </w:rPr>
      </w:pPr>
      <w:r>
        <w:rPr>
          <w:rFonts w:ascii="Arial" w:cs="Arial" w:eastAsia="Arial" w:hAnsi="Arial"/>
          <w:sz w:val="17"/>
          <w:szCs w:val="17"/>
          <w:color w:val="auto"/>
        </w:rPr>
        <w:t>At any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her control.</w:t>
      </w:r>
    </w:p>
    <w:p>
      <w:pPr>
        <w:spacing w:after="0" w:line="173" w:lineRule="exact"/>
        <w:rPr>
          <w:sz w:val="20"/>
          <w:szCs w:val="20"/>
          <w:color w:val="auto"/>
        </w:rPr>
      </w:pPr>
    </w:p>
    <w:p>
      <w:pPr>
        <w:jc w:val="both"/>
        <w:ind w:left="1292" w:right="20"/>
        <w:spacing w:after="0" w:line="277" w:lineRule="auto"/>
        <w:rPr>
          <w:sz w:val="20"/>
          <w:szCs w:val="20"/>
          <w:color w:val="auto"/>
        </w:rPr>
      </w:pPr>
      <w:r>
        <w:rPr>
          <w:rFonts w:ascii="Arial" w:cs="Arial" w:eastAsia="Arial" w:hAnsi="Arial"/>
          <w:sz w:val="18"/>
          <w:szCs w:val="18"/>
          <w:color w:val="auto"/>
        </w:rPr>
        <w:t>The Consultant further agrees that upon termination of her engagement she shall not take with her any documents or data in any form or of any description containing or pertaining to Confidential Information or any Inventions.</w:t>
      </w:r>
    </w:p>
    <w:p>
      <w:pPr>
        <w:spacing w:after="0" w:line="170" w:lineRule="exact"/>
        <w:rPr>
          <w:sz w:val="20"/>
          <w:szCs w:val="20"/>
          <w:color w:val="auto"/>
        </w:rPr>
      </w:pPr>
    </w:p>
    <w:p>
      <w:pPr>
        <w:ind w:left="5272" w:right="2940" w:hanging="5272"/>
        <w:spacing w:after="0" w:line="528" w:lineRule="auto"/>
        <w:tabs>
          <w:tab w:leader="none" w:pos="33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Binding.</w:t>
      </w:r>
      <w:r>
        <w:rPr>
          <w:rFonts w:ascii="Arial" w:cs="Arial" w:eastAsia="Arial" w:hAnsi="Arial"/>
          <w:sz w:val="18"/>
          <w:szCs w:val="18"/>
          <w:color w:val="auto"/>
        </w:rPr>
        <w:t xml:space="preserve"> This Agreement shall be binding upon the Parties and their respective successors and permitted assigns. 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6" w:right="239" w:bottom="1440" w:gutter="0" w:footer="0" w:header="0"/>
        </w:sectPr>
      </w:pPr>
    </w:p>
    <w:bookmarkStart w:id="180" w:name="page181"/>
    <w:bookmarkEnd w:id="180"/>
    <w:p>
      <w:pPr>
        <w:jc w:val="both"/>
        <w:ind w:left="332" w:hanging="332"/>
        <w:spacing w:after="0" w:line="312" w:lineRule="auto"/>
        <w:tabs>
          <w:tab w:leader="none" w:pos="33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Modification and Severability.</w:t>
      </w:r>
      <w:r>
        <w:rPr>
          <w:rFonts w:ascii="Arial" w:cs="Arial" w:eastAsia="Arial" w:hAnsi="Arial"/>
          <w:sz w:val="16"/>
          <w:szCs w:val="16"/>
          <w:color w:val="auto"/>
        </w:rPr>
        <w:t xml:space="preserve"> This Agreement may not be modified orally. Modification to this Agreement may be made from time to time, provided that such modification is in writing, attached as an addendum to this Agreement and signed by both Parties. In the event any provision of this Agreement or any part thereof is held invalid or unenforceable, the validity and enforceability of the remaining portions of the Agreement shall not be affected.</w:t>
      </w:r>
    </w:p>
    <w:p>
      <w:pPr>
        <w:spacing w:after="0" w:line="146" w:lineRule="exact"/>
        <w:rPr>
          <w:rFonts w:ascii="Arial" w:cs="Arial" w:eastAsia="Arial" w:hAnsi="Arial"/>
          <w:sz w:val="16"/>
          <w:szCs w:val="16"/>
          <w:color w:val="auto"/>
        </w:rPr>
      </w:pPr>
    </w:p>
    <w:p>
      <w:pPr>
        <w:jc w:val="both"/>
        <w:ind w:left="332" w:hanging="332"/>
        <w:spacing w:after="0" w:line="264" w:lineRule="auto"/>
        <w:tabs>
          <w:tab w:leader="none" w:pos="33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payment, or communication required, permitted, or desired to be given in relation to this Agreement shall be deemed effectively given when personally delivered; when received by overnight courier; or five (5) days after being deposited in the United States mail, and sent first class with postage prepaid thereon, certified and return receipt requested, addressed as follows:</w:t>
      </w:r>
    </w:p>
    <w:p>
      <w:pPr>
        <w:sectPr>
          <w:pgSz w:w="11900" w:h="16838" w:orient="portrait"/>
          <w:cols w:equalWidth="0" w:num="1">
            <w:col w:w="11412"/>
          </w:cols>
          <w:pgMar w:left="248" w:top="665" w:right="239" w:bottom="1440" w:gutter="0" w:footer="0" w:header="0"/>
        </w:sectPr>
      </w:pPr>
    </w:p>
    <w:p>
      <w:pPr>
        <w:spacing w:after="0" w:line="18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Consultant: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Ann Leen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2727 Drexel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77027</w:t>
      </w:r>
    </w:p>
    <w:p>
      <w:pPr>
        <w:spacing w:after="0" w:line="200" w:lineRule="exact"/>
        <w:rPr>
          <w:sz w:val="20"/>
          <w:szCs w:val="20"/>
          <w:color w:val="auto"/>
        </w:rPr>
      </w:pPr>
    </w:p>
    <w:p>
      <w:pPr>
        <w:sectPr>
          <w:pgSz w:w="11900" w:h="16838" w:orient="portrait"/>
          <w:cols w:equalWidth="0" w:num="2">
            <w:col w:w="2512" w:space="720"/>
            <w:col w:w="8180"/>
          </w:cols>
          <w:pgMar w:left="248" w:top="665" w:right="239" w:bottom="1440" w:gutter="0" w:footer="0" w:header="0"/>
          <w:type w:val="continuous"/>
        </w:sectPr>
      </w:pPr>
    </w:p>
    <w:p>
      <w:pPr>
        <w:spacing w:after="0" w:line="34" w:lineRule="exact"/>
        <w:rPr>
          <w:sz w:val="20"/>
          <w:szCs w:val="20"/>
          <w:color w:val="auto"/>
        </w:rPr>
      </w:pPr>
    </w:p>
    <w:p>
      <w:pPr>
        <w:jc w:val="center"/>
        <w:ind w:left="652"/>
        <w:spacing w:after="0"/>
        <w:rPr>
          <w:sz w:val="20"/>
          <w:szCs w:val="20"/>
          <w:color w:val="auto"/>
        </w:rPr>
      </w:pPr>
      <w:r>
        <w:rPr>
          <w:rFonts w:ascii="Arial" w:cs="Arial" w:eastAsia="Arial" w:hAnsi="Arial"/>
          <w:sz w:val="17"/>
          <w:szCs w:val="17"/>
          <w:color w:val="auto"/>
        </w:rPr>
        <w:t>Marker: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3200 Southwest Freeway, Suite 2240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77027</w:t>
      </w:r>
    </w:p>
    <w:p>
      <w:pPr>
        <w:spacing w:after="0" w:line="200" w:lineRule="exact"/>
        <w:rPr>
          <w:sz w:val="20"/>
          <w:szCs w:val="20"/>
          <w:color w:val="auto"/>
        </w:rPr>
      </w:pPr>
    </w:p>
    <w:p>
      <w:pPr>
        <w:sectPr>
          <w:pgSz w:w="11900" w:h="16838" w:orient="portrait"/>
          <w:cols w:equalWidth="0" w:num="2">
            <w:col w:w="2512" w:space="720"/>
            <w:col w:w="8180"/>
          </w:cols>
          <w:pgMar w:left="248" w:top="665" w:right="239" w:bottom="1440" w:gutter="0" w:footer="0" w:header="0"/>
          <w:type w:val="continuous"/>
        </w:sectPr>
      </w:pPr>
    </w:p>
    <w:p>
      <w:pPr>
        <w:spacing w:after="0" w:line="1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Shumaker, Loop &amp; Kendrick,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A. Catchur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E.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Florida 33602</w:t>
      </w:r>
    </w:p>
    <w:p>
      <w:pPr>
        <w:spacing w:after="0" w:line="200" w:lineRule="exact"/>
        <w:rPr>
          <w:sz w:val="20"/>
          <w:szCs w:val="20"/>
          <w:color w:val="auto"/>
        </w:rPr>
      </w:pPr>
    </w:p>
    <w:p>
      <w:pPr>
        <w:sectPr>
          <w:pgSz w:w="11900" w:h="16838" w:orient="portrait"/>
          <w:cols w:equalWidth="0" w:num="2">
            <w:col w:w="2512" w:space="720"/>
            <w:col w:w="8180"/>
          </w:cols>
          <w:pgMar w:left="248" w:top="665" w:right="239" w:bottom="1440" w:gutter="0" w:footer="0" w:header="0"/>
          <w:type w:val="continuous"/>
        </w:sectPr>
      </w:pPr>
    </w:p>
    <w:p>
      <w:pPr>
        <w:spacing w:after="0" w:line="11" w:lineRule="exact"/>
        <w:rPr>
          <w:sz w:val="20"/>
          <w:szCs w:val="20"/>
          <w:color w:val="auto"/>
        </w:rPr>
      </w:pPr>
    </w:p>
    <w:p>
      <w:pPr>
        <w:ind w:left="332" w:hanging="332"/>
        <w:spacing w:after="0"/>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Sections 6, 7, 8, and 14 shall survive termination or expiration of this Agreement.</w:t>
      </w:r>
    </w:p>
    <w:p>
      <w:pPr>
        <w:spacing w:after="0" w:line="225"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In the event Consultant shall be delayed or hindered in or prevented from the performance of any act required hereunder by reasons of strike, lockouts, labor troubles, inability to procure materials, failure of power or restrictive government or judicial orders or decrees, riots, insurrection, war, Acts of God, or any other reason or cause beyond Consultant's reasonable control, then performance of such act shall be excused for the reasonable period of such delay.</w:t>
      </w:r>
    </w:p>
    <w:p>
      <w:pPr>
        <w:spacing w:after="0" w:line="186"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has been entered into in the State of Texas and shall be governed by, construed and interpreted in accordance with the laws of the State of Texas without reference to conflict of laws principles or statutory rules of arbitration included therein. Any dispute and proceeding under this Agreement shall be subject to the exclusive jurisdiction and venue of the state and federal courts located in Harris County, Texas, and the Parties hereby consent to the exclusive personal jurisdiction and venue of these courts.</w:t>
      </w:r>
    </w:p>
    <w:p>
      <w:pPr>
        <w:spacing w:after="0" w:line="186"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xml:space="preserve"> The failure of either Party to insist upon the strict performance of any term of this Agreement shall not constitute a waiver of such term or a waiver of the right to assert a breach thereof. No waiver of any breach shall alter or affect this Agreement, which shall continue in full force and effect until its expiration or termination.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type w:val="continuous"/>
        </w:sectPr>
      </w:pPr>
    </w:p>
    <w:bookmarkStart w:id="181" w:name="page182"/>
    <w:bookmarkEnd w:id="181"/>
    <w:p>
      <w:pPr>
        <w:jc w:val="both"/>
        <w:ind w:left="34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prevailing Party shall be entitled to collect from the other Party all reasonable fees, costs and expenses including attorneys’ fees and costs incurred by the prevailing Party in connection with: (i) the enforcement of any available remedy for breach of this Agreement; or (ii) any dispute arising from or related to this Agreement or the relationship between the Parties.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understanding between the Parties and contains all the understandings between the Parties with respect to the subject matter hereof; this Agreement supersedes any and all other understandings, either oral or written, between the Parties with respect to the subject matter hereto.</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herein and shall not be assignable by operation of law or otherwise.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xml:space="preserve"> In the event that the Consultant requests or needs protected health information as defined under the Health Insurance Portability and Accountability Act of 1996 ("HIPAA") in order to perform the Services, then if permitted by law, Marker shall transfer the protected health information under a separate agreement (e.g. Business Associate Agreement).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Marker Premises.</w:t>
      </w:r>
      <w:r>
        <w:rPr>
          <w:rFonts w:ascii="Arial" w:cs="Arial" w:eastAsia="Arial" w:hAnsi="Arial"/>
          <w:sz w:val="17"/>
          <w:szCs w:val="17"/>
          <w:color w:val="auto"/>
        </w:rPr>
        <w:t xml:space="preserve"> Consultant will abide by all laws, rules and regulations that apply to the performance of the Services and, when on Marker’s premises, will comply with Marker’s policies, procedures and standards with respect to conduct of visitors as made known to Consultant.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on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/s/Peter Hoang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387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/s/Ann Leen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 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CONSULTING SERVICES</w:t>
      </w:r>
    </w:p>
    <w:p>
      <w:pPr>
        <w:spacing w:after="0" w:line="200" w:lineRule="exact"/>
        <w:rPr>
          <w:sz w:val="20"/>
          <w:szCs w:val="20"/>
          <w:color w:val="auto"/>
        </w:rPr>
      </w:pPr>
    </w:p>
    <w:p>
      <w:pPr>
        <w:spacing w:after="0" w:line="241" w:lineRule="exact"/>
        <w:rPr>
          <w:sz w:val="20"/>
          <w:szCs w:val="20"/>
          <w:color w:val="auto"/>
        </w:rPr>
      </w:pPr>
    </w:p>
    <w:p>
      <w:pPr>
        <w:ind w:left="880" w:hanging="872"/>
        <w:spacing w:after="0"/>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Scope.</w:t>
      </w:r>
      <w:r>
        <w:rPr>
          <w:rFonts w:ascii="Arial" w:cs="Arial" w:eastAsia="Arial" w:hAnsi="Arial"/>
          <w:sz w:val="17"/>
          <w:szCs w:val="17"/>
          <w:color w:val="auto"/>
        </w:rPr>
        <w:t xml:space="preserve"> Company hereby retains Consultant, and Consultant hereby agrees to be retained by Company as its </w:t>
      </w:r>
      <w:r>
        <w:rPr>
          <w:rFonts w:ascii="Arial" w:cs="Arial" w:eastAsia="Arial" w:hAnsi="Arial"/>
          <w:sz w:val="17"/>
          <w:szCs w:val="17"/>
          <w:b w:val="1"/>
          <w:bCs w:val="1"/>
          <w:color w:val="auto"/>
        </w:rPr>
        <w:t>Chief Scientific Officer</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jc w:val="both"/>
        <w:ind w:firstLine="8"/>
        <w:spacing w:after="0" w:line="291" w:lineRule="auto"/>
        <w:tabs>
          <w:tab w:leader="none" w:pos="97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During the term of this Agreement, Consultant shall be reasonably available to Marker via e-mail, telephone or in person to Marker for consulting services as its Chief Scientific Officer and perform the duties typically assigned to the chief scientific officer of a similarly situated company in the Company’s industry. The Consultant shall also perform such other reasonable duties as may hereafter be requested of her by the Chief Executive Officer, consistent with the services and providing such further services to the Company as may reasonably be requested of her. Such consulting services as requested from time to time by Marker may include, but not be limited to, subject matter related to Marker’s technologies under development, ongoing clinical studies, scientific research and other activities that are within the scope of duties of a Chief Scientific Officer. The Consultant will report to the Chief Executive Officer of the Company, and carry out the decisions and otherwise abide by and enforce the rules and policies of the Company.</w:t>
      </w:r>
    </w:p>
    <w:p>
      <w:pPr>
        <w:spacing w:after="0" w:line="167" w:lineRule="exact"/>
        <w:rPr>
          <w:rFonts w:ascii="Arial" w:cs="Arial" w:eastAsia="Arial" w:hAnsi="Arial"/>
          <w:sz w:val="16"/>
          <w:szCs w:val="16"/>
          <w:color w:val="auto"/>
        </w:rPr>
      </w:pPr>
    </w:p>
    <w:p>
      <w:pPr>
        <w:ind w:left="880" w:hanging="872"/>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Performance and Time Commitment.</w:t>
      </w:r>
      <w:r>
        <w:rPr>
          <w:rFonts w:ascii="Arial" w:cs="Arial" w:eastAsia="Arial" w:hAnsi="Arial"/>
          <w:sz w:val="18"/>
          <w:szCs w:val="18"/>
          <w:color w:val="auto"/>
        </w:rPr>
        <w:t xml:space="preserve"> The Consultant agrees to be available to render the Consulting Services as requested.</w:t>
      </w:r>
    </w:p>
    <w:p>
      <w:pPr>
        <w:spacing w:after="0" w:line="225" w:lineRule="exact"/>
        <w:rPr>
          <w:rFonts w:ascii="Arial" w:cs="Arial" w:eastAsia="Arial" w:hAnsi="Arial"/>
          <w:sz w:val="18"/>
          <w:szCs w:val="18"/>
          <w:color w:val="auto"/>
        </w:rPr>
      </w:pPr>
    </w:p>
    <w:p>
      <w:pPr>
        <w:jc w:val="both"/>
        <w:ind w:firstLine="8"/>
        <w:spacing w:after="0" w:line="264" w:lineRule="auto"/>
        <w:tabs>
          <w:tab w:leader="none" w:pos="89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Professional Standards.</w:t>
      </w:r>
      <w:r>
        <w:rPr>
          <w:rFonts w:ascii="Arial" w:cs="Arial" w:eastAsia="Arial" w:hAnsi="Arial"/>
          <w:sz w:val="18"/>
          <w:szCs w:val="18"/>
          <w:color w:val="auto"/>
        </w:rPr>
        <w:t xml:space="preserve"> The Consultant agrees to devote her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payable to Consultant shall consist of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Annual Cash Consulting Fee.</w:t>
      </w:r>
      <w:r>
        <w:rPr>
          <w:rFonts w:ascii="Arial" w:cs="Arial" w:eastAsia="Arial" w:hAnsi="Arial"/>
          <w:sz w:val="18"/>
          <w:szCs w:val="18"/>
          <w:color w:val="auto"/>
        </w:rPr>
        <w:t xml:space="preserve"> Marker will pay Consultant a base consulting fee of $350,000.00 in cash per year (“Base Consulting Fee”). The Consultant’s base consulting fee shall be paid in approximately equal bi-weekly installments in accordance with the Company’s customary payroll practices.</w:t>
      </w:r>
    </w:p>
    <w:p>
      <w:pPr>
        <w:spacing w:after="0" w:line="18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Discretionary Cash Payment</w:t>
      </w:r>
      <w:r>
        <w:rPr>
          <w:rFonts w:ascii="Arial" w:cs="Arial" w:eastAsia="Arial" w:hAnsi="Arial"/>
          <w:sz w:val="16"/>
          <w:szCs w:val="16"/>
          <w:color w:val="auto"/>
        </w:rPr>
        <w:t>. For each calendar year during the term of this Agreement, Consultant shall be eligible to receive a discretionary cash payment of a maximum of 35% of Consultant’s Base Consulting Fee based on Consultant’s services and commitment to Marker, prorated for partial years, to be paid within a reasonable time after the end of the applicable fiscal year of the Company, but in no event later than five days after the completion of the audit for the prior year it being understood that the Board of Directors of Marker may in its discretion pay such bonus earlier.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10.39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October 17, 2018 by and between Marker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believes that highly competent persons have become more reluctant to serve publicly-held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4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WHEREAS, the Board of Directors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w:t>
      </w:r>
      <w:r>
        <w:rPr>
          <w:rFonts w:ascii="Arial" w:cs="Arial" w:eastAsia="Arial" w:hAnsi="Arial"/>
          <w:sz w:val="17"/>
          <w:szCs w:val="17"/>
          <w:u w:val="single" w:color="auto"/>
          <w:color w:val="auto"/>
        </w:rPr>
        <w:t>Bylaws</w:t>
      </w:r>
      <w:r>
        <w:rPr>
          <w:rFonts w:ascii="Arial" w:cs="Arial" w:eastAsia="Arial" w:hAnsi="Arial"/>
          <w:sz w:val="17"/>
          <w:szCs w:val="17"/>
          <w:color w:val="auto"/>
        </w:rPr>
        <w:t>”) and the Certificate of Incorporation of the Company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require indemnification of the officers and directors of the Company. Indemnitee may also be entitled to indemnification pursuant to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Bylaws,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uncertainties relating to such insurance and to indemnification may increase the difficulty of attracting and retaining such persons;</w:t>
      </w:r>
    </w:p>
    <w:p>
      <w:pPr>
        <w:spacing w:after="0" w:line="23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WHEREAS, the Board of Directors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8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WHEREAS, this Agreement is a supplement to and in furtherance of the Bylaws, Certificate of Incorporation and any resolutions adopted pursuant thereto, and shall not be deemed a substitute therefor, nor to diminish or abrogate any rights of Indemnitee thereunder;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6" w:name="page187"/>
    <w:bookmarkEnd w:id="186"/>
    <w:p>
      <w:pPr>
        <w:ind w:right="340" w:firstLine="441"/>
        <w:spacing w:after="0" w:line="277" w:lineRule="auto"/>
        <w:rPr>
          <w:sz w:val="20"/>
          <w:szCs w:val="20"/>
          <w:color w:val="auto"/>
        </w:rPr>
      </w:pPr>
      <w:r>
        <w:rPr>
          <w:rFonts w:ascii="Arial" w:cs="Arial" w:eastAsia="Arial" w:hAnsi="Arial"/>
          <w:sz w:val="18"/>
          <w:szCs w:val="18"/>
          <w:color w:val="auto"/>
        </w:rPr>
        <w:t>WHEREAS, one of the conditions that Indemnitee requires in order to serve as a director and/or an officer of the Company is that Indemnitee be so indemnified.</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by Indemnitee</w:t>
      </w:r>
      <w:r>
        <w:rPr>
          <w:rFonts w:ascii="Arial" w:cs="Arial" w:eastAsia="Arial" w:hAnsi="Arial"/>
          <w:sz w:val="17"/>
          <w:szCs w:val="17"/>
          <w:color w:val="auto"/>
        </w:rPr>
        <w:t>. Indemnitee agrees to serve, as applicable, as a director, officer, employee or agent of the Company or, at the request of the Company, as a director, officer, employee, agent or fiduciary of another corporation, partnership, joint venture, trust or other enterprise.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Marker Entity) and Indemnitee. Indemnitee specifically acknowledges that Indemnitee’s employment with the Company (or any of its subsidiaries or any Marker Entity), if any, is at will, and the Indemnitee may be discharged at any time for any reason, with or without cause, except as may be otherwise provided in any written employment contract between Indemnitee and the Company (or any of its subsidiaries or any Marker Entity), other applicable formal severance policies duly adopted by the Board of Directors, or, with respect to service as a director or officer of the Company, by the Certificate of Incorporation, the Company’s Bylaws, and the DGCL. The foregoing notwithstanding, this Agreement shall continue in force after Indemnitee has ceased to serve, as applicable, as an officer, director, agent or employee of the Company or, at the request of the Company, as a director, officer, employee, agent or fiduciary of another corporation, partnership, joint venture, trust or other enterprise, as provided in Section 13 hereof.</w:t>
      </w:r>
    </w:p>
    <w:p>
      <w:pPr>
        <w:spacing w:after="0" w:line="18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in accordance with the provisions of this Section 2 if Indemnitee is, or is threatened to be made, a party to or a participant in any Proceeding, other than a Proceeding by or in the right of the Company to procure a judgment in its favor, by reason of Indemnitee’s Corporate Status. Pursuant to this Section 2,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in accordance with the provisions of this Section 3 if Indemnitee is, or is threatened to be made, a party to or a participant in any Proceeding by or in the right of the Company to procure a judgment in its favor, by reason of Indemnitee’s Corporate Status.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3 in respect of any claim, issue or matter as to which Indemnitee shall have been finally adjudged by a court to be liable to the Company, unless and only to the extent that the Delaware Court (as hereinafter defined) or any court in which the Proceeding was brought shall determine upon application that, despite the adjudication of liability but in view of all the circumstances of the case, Indemnitee is fairly and reasonably entitled to indemnification.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87" w:name="page188"/>
    <w:bookmarkEnd w:id="187"/>
    <w:p>
      <w:pPr>
        <w:ind w:firstLine="441"/>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xml:space="preserve">. Notwithstanding any other provision of this Agreement, to the fullest extent permitted by applicable law and to the extent that Indemnitee is, by reason of Indemnitee’s Corporate Status, a party to (or a participant in) and is successful, on the merits or otherwise, in defense of any Proceeding or any claim, issue or matter therein (including, without limitation, any Proceeding brought by or in the right of the Company), the Company shall indemnify Indemnitee with respect to, and hold Indemnitee harmless from and against, all Expenses actually and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to the fullest extent permitted by law, indemnify Indemnitee against all Expenses actually and reasonably incurred by Indemnitee or on behalf of Indemnitee in connection with or related to each successfully resolved claim, issue or matter. For purposes of this Section 4 and without limitation, the termination of any claim, issue or matter in such a Proceeding by dismissal, with or without prejudice, on substantive or procedural grounds, or settlement of any such claim prior to a final judgment by a court of competent jurisdiction with respect to such Proceeding, shall be deemed to be a successful result as to such claim, issue or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settlement of any claim, issue or matter in such a Proceeding shall not be deemed to be a successful result as to such claim, issue or matter if such settlement is effected by Indemnitee without the Company’ prior written consent, which consent shall not be unreasonably withheld, delayed or conditioned.</w:t>
      </w:r>
    </w:p>
    <w:p>
      <w:pPr>
        <w:spacing w:after="0" w:line="18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or otherwise to indemnification by the Company for some or a portion of the Expenses incurred by Indemnitee or on behalf of Indemnitee in connection with a Proceeding or any claim, issue or matter therein, in whole or in part, the Company shall, to the fullest extent permitted by law, indemnify Indemnitee to the fullest extent to which Indemnitee is entitled to such indemnification.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Additional Expenses to Secure Recovery or as a Witness</w:t>
      </w:r>
      <w:r>
        <w:rPr>
          <w:rFonts w:ascii="Arial" w:cs="Arial" w:eastAsia="Arial" w:hAnsi="Arial"/>
          <w:sz w:val="18"/>
          <w:szCs w:val="18"/>
          <w:color w:val="auto"/>
        </w:rPr>
        <w:t>.</w:t>
      </w:r>
    </w:p>
    <w:p>
      <w:pPr>
        <w:spacing w:after="0" w:line="225" w:lineRule="exact"/>
        <w:rPr>
          <w:sz w:val="20"/>
          <w:szCs w:val="20"/>
          <w:color w:val="auto"/>
        </w:rPr>
      </w:pPr>
    </w:p>
    <w:p>
      <w:pPr>
        <w:ind w:right="380" w:firstLine="889"/>
        <w:spacing w:after="0" w:line="288" w:lineRule="auto"/>
        <w:tabs>
          <w:tab w:leader="none" w:pos="112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Company shall, to the fullest extent permitted by law, indemnify Indemnitee with respect to, and hold Indemnitee harmless from and against, any and all Expenses and, if requested by Indemnitee, shall advance on an as-incurred basis (as provided in Section 8 of this Agreement) such Expenses to Indemnitee, which are incurred by Indemnitee in connection with any action or proceeding or part thereof brought by Indemnitee for</w:t>
      </w:r>
    </w:p>
    <w:p>
      <w:pPr>
        <w:ind w:right="120" w:firstLine="8"/>
        <w:spacing w:after="0" w:line="323" w:lineRule="auto"/>
        <w:tabs>
          <w:tab w:leader="none" w:pos="21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indemnification or advance payment of Expenses by the Company under this Agreement, any other agreement, the Certificate of Incorporation or Bylaws of the Company as now or hereafter in effect; or (ii) recovery under any director and officer liability insurance policies maintained by the Company.</w:t>
      </w:r>
    </w:p>
    <w:p>
      <w:pPr>
        <w:spacing w:after="0" w:line="138" w:lineRule="exact"/>
        <w:rPr>
          <w:rFonts w:ascii="Arial" w:cs="Arial" w:eastAsia="Arial" w:hAnsi="Arial"/>
          <w:sz w:val="16"/>
          <w:szCs w:val="16"/>
          <w:color w:val="auto"/>
        </w:rPr>
      </w:pPr>
    </w:p>
    <w:p>
      <w:pPr>
        <w:ind w:right="20" w:firstLine="889"/>
        <w:spacing w:after="0" w:line="259" w:lineRule="auto"/>
        <w:tabs>
          <w:tab w:leader="none" w:pos="113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the extent that Indemnitee is, by reason of Indemnitee’s Corporate Status, a witness (or is forced or asked to respond to discovery requests) in any Proceeding to which Indemnitee is not a party, the Company shall, to the fullest extent permitted by law, indemnify Indemnitee with respect to, and hold Indemnitee harmless from and against, and the Company will advance on an as-incurred basis (as provided in Section 8 of this Agreement), all Expenses reasonably incurred by Indemnitee or on behalf of Indemnitee in connection therewith.</w:t>
      </w:r>
    </w:p>
    <w:p>
      <w:pPr>
        <w:spacing w:after="0" w:line="18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indemnification payment in connection with any claim involving Indemnitee: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6" w:right="259" w:bottom="1440" w:gutter="0" w:footer="0" w:header="0"/>
        </w:sectPr>
      </w:pPr>
    </w:p>
    <w:bookmarkStart w:id="188" w:name="page189"/>
    <w:bookmarkEnd w:id="188"/>
    <w:p>
      <w:pPr>
        <w:ind w:firstLine="889"/>
        <w:spacing w:after="0" w:line="277" w:lineRule="auto"/>
        <w:tabs>
          <w:tab w:leader="none" w:pos="11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70" w:lineRule="exact"/>
        <w:rPr>
          <w:rFonts w:ascii="Arial" w:cs="Arial" w:eastAsia="Arial" w:hAnsi="Arial"/>
          <w:sz w:val="18"/>
          <w:szCs w:val="18"/>
          <w:color w:val="auto"/>
        </w:rPr>
      </w:pPr>
    </w:p>
    <w:p>
      <w:pPr>
        <w:ind w:right="120" w:firstLine="889"/>
        <w:spacing w:after="0" w:line="264" w:lineRule="auto"/>
        <w:tabs>
          <w:tab w:leader="none" w:pos="11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(i) expenses and the payment of profits arising from the purchase and sale by Indemnitee of securities in violation of Section 16(b) of the Securities Exchange Act of 1934, as amended, or any similar successor statute, or (ii) the payment of amounts required to be reimbursed to the Company pursuant to Section 304 of the Sarbanes-Oxley Act of 2002, as amended, or any similar statute; or</w:t>
      </w:r>
    </w:p>
    <w:p>
      <w:pPr>
        <w:spacing w:after="0" w:line="181" w:lineRule="exact"/>
        <w:rPr>
          <w:rFonts w:ascii="Arial" w:cs="Arial" w:eastAsia="Arial" w:hAnsi="Arial"/>
          <w:sz w:val="18"/>
          <w:szCs w:val="18"/>
          <w:color w:val="auto"/>
        </w:rPr>
      </w:pPr>
    </w:p>
    <w:p>
      <w:pPr>
        <w:ind w:right="280" w:firstLine="889"/>
        <w:spacing w:after="0" w:line="279" w:lineRule="auto"/>
        <w:tabs>
          <w:tab w:leader="none" w:pos="112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except as provided in Section 11(d)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of Directors authorized the Proceeding (or any part of any Proceeding) prior to its initiation or (ii) the Company provides the indemnification, in its sole discretion, pursuant to the powers vested in the Company under applicable law.</w:t>
      </w:r>
    </w:p>
    <w:p>
      <w:pPr>
        <w:spacing w:after="0" w:line="17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Advances of Expenses</w:t>
      </w:r>
      <w:r>
        <w:rPr>
          <w:rFonts w:ascii="Arial" w:cs="Arial" w:eastAsia="Arial" w:hAnsi="Arial"/>
          <w:sz w:val="17"/>
          <w:szCs w:val="17"/>
          <w:color w:val="auto"/>
        </w:rPr>
        <w:t>. Notwithstanding any provision of this Agreement to the contrary (other than Section 11(d)), the Company shall advance, to the extent not prohibited by law, the Expenses incurred by Indemnitee in connection with any Proceeding (or any part of any Proceeding) not initiated by Indemnitee or any Proceeding initiated by Indemnitee with the prior approval of the Board of Directors as provided in Section 7(c),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11(d),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8 shall not apply to any claim made by Indemnitee for which indemnity is excluded pursuant to Section 7.</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71" w:lineRule="auto"/>
        <w:tabs>
          <w:tab w:leader="none" w:pos="1441"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Notice of Proceeding</w:t>
      </w:r>
      <w:r>
        <w:rPr>
          <w:rFonts w:ascii="Arial" w:cs="Arial" w:eastAsia="Arial" w:hAnsi="Arial"/>
          <w:sz w:val="17"/>
          <w:szCs w:val="17"/>
          <w:color w:val="auto"/>
        </w:rPr>
        <w:t>. Indemnitee agrees to notify the Company promptly upon being served with any summons, citation, subpoena, complaint, indictment, information or other document relating to any Proceeding or matter which may be subject to indemnification or advancement of Expenses hereunder. Any failure by Indemnitee to notify the Company will not relieve the Company of its advancement or indemnification obligations under this Agreement unless, and only to the extent that, the Company can establish that such omission to notify resulted in actual and material prejudice to it which prejudice cannot be reversed or otherwise eliminated without any material negative effect on the Company, and the omission to notify the Company will, in any event, not relieve the Company from any liability which it may have to indemnify Indemnitee otherwise than under this Agreement. If, at the time of receipt of any such notice, the Company has director and officer liability insurance policies in effect, the Company will promptly notify the relevant insurers in accordance with the procedures and requirements of such policies.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6" w:right="279" w:bottom="1440" w:gutter="0" w:footer="0" w:header="0"/>
        </w:sectPr>
      </w:pPr>
    </w:p>
    <w:bookmarkStart w:id="189" w:name="page190"/>
    <w:bookmarkEnd w:id="189"/>
    <w:p>
      <w:pPr>
        <w:ind w:left="-20" w:firstLine="889"/>
        <w:spacing w:after="0" w:line="268" w:lineRule="auto"/>
        <w:tabs>
          <w:tab w:leader="none" w:pos="1431"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Defense; Settlement</w:t>
      </w:r>
      <w:r>
        <w:rPr>
          <w:rFonts w:ascii="Arial" w:cs="Arial" w:eastAsia="Arial" w:hAnsi="Arial"/>
          <w:sz w:val="17"/>
          <w:szCs w:val="17"/>
          <w:color w:val="auto"/>
        </w:rPr>
        <w:t>. Indemnitee shall have the sole right and obligation to control the defense or conduct of any claim or Proceeding with respect to Indemnitee. The Company shall not, without the prior written consent of Indemnitee, which may be provided or withheld in Indemnitee’s sole discretion, effect any settlement of any Proceeding against Indemnitee or which could have been brought against Indemnitee or which potentially or actually imposes any cost, liability, exposure or burden on Indemnitee unless (i) such settlement solely involves the payment of money or performance of any obligation by persons other than Indemnitee and includes an unconditional, full release of Indemnitee by all relevant parties from all liability on any matters that are the subject of such Proceeding and an acknowledgment that Indemnitee denies all wrongdoing in connection with such matters and (ii) the Company has fully indemnified the Indemnitee with respect to, and held Indemnitee harmless from and against, all Expenses and other amounts incurred by Indemnitee or on behalf of Indemnitee in connection with such Proceeding. The Company shall not be obligated to indemnify Indemnitee against amounts paid in settlement of a Proceeding against Indemnitee if such settlement is effected by Indemnitee without the Company’ prior written consent, which consent shall not be unreasonably withheld, delayed or conditioned, unless such settlement solely involves the payment of money or performance of any obligation by persons other than the Company and includes an unconditional release of the Company by any party to such Proceeding other than the Indemnitee from all liability on any matters that are the subject of such Proceeding and an acknowledgment that the Company denies all wrongdoing in connection with such matters.</w:t>
      </w:r>
    </w:p>
    <w:p>
      <w:pPr>
        <w:spacing w:after="0" w:line="187" w:lineRule="exact"/>
        <w:rPr>
          <w:rFonts w:ascii="Arial" w:cs="Arial" w:eastAsia="Arial" w:hAnsi="Arial"/>
          <w:sz w:val="17"/>
          <w:szCs w:val="17"/>
          <w:color w:val="auto"/>
        </w:rPr>
      </w:pPr>
    </w:p>
    <w:p>
      <w:pPr>
        <w:ind w:left="1420" w:hanging="551"/>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Request for Advancement; Request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0" w:firstLine="1440"/>
        <w:spacing w:after="0" w:line="271" w:lineRule="auto"/>
        <w:tabs>
          <w:tab w:leader="none" w:pos="193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which cannot be waived, an unsecured written undertaking to repay amounts advanced. The Company shall make advance payment of Expenses to Indemnitee no later than five (5) business days after receipt of the written request for advancement (and each subsequent request for advancement) by Indemnitee. If, at the time of receipt of any such written request for advancement of Expenses, the Company has director and officer insurance policies in effect, the Company will promptly notify the relevant insurers in accordance with the procedures and requirements of such policies. The Company shall thereafter keep such director and officer insurers informed of the status of the Proceeding or other claim and take such other actions, as appropriate to secure coverage of Indemnitee for such claim.</w:t>
      </w:r>
    </w:p>
    <w:p>
      <w:pPr>
        <w:spacing w:after="0" w:line="178" w:lineRule="exact"/>
        <w:rPr>
          <w:rFonts w:ascii="Arial" w:cs="Arial" w:eastAsia="Arial" w:hAnsi="Arial"/>
          <w:sz w:val="17"/>
          <w:szCs w:val="17"/>
          <w:color w:val="auto"/>
        </w:rPr>
      </w:pPr>
    </w:p>
    <w:p>
      <w:pPr>
        <w:ind w:left="-20" w:firstLine="1440"/>
        <w:spacing w:after="0" w:line="270" w:lineRule="auto"/>
        <w:tabs>
          <w:tab w:leader="none" w:pos="198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To obtain indemnification under this Agreement, at any time before or after submission of a request for advancement pursuant to Section 9(c)(i) of this Agreement, Indemnitee may submit a written request for indemnification hereunder. The time at which Indemnitee submits a written request for indemnification shall be determined by the Indemnitee in the Indemnitee’s sole discretion. Once Indemnitee submits such a written request for indemnification (and only at such time that Indemnitee submits such a written request for indemnification), a Determination (as hereinafter defined) shall thereafter be made, as provided in and only to the extent required by Section 9(d) of this Agreement. In no event shall a Determination be made, or required to be made, as a condition to or otherwise in connection with any advancement of Expenses pursuant to Section 8 and Section 9(c)(i) of this Agreement. If, at the time of receipt of any such request for indemnification, the Company has director and officer insurance policies in effect, the Company will promptly notify the relevant insurers and take such other actions as necessary or appropriate to secure coverage of Indemnitee for such claim in accordance with the procedures and requirements of such policies.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66" w:right="239" w:bottom="1440" w:gutter="0" w:footer="0" w:header="0"/>
        </w:sectPr>
      </w:pPr>
    </w:p>
    <w:bookmarkStart w:id="190" w:name="page191"/>
    <w:bookmarkEnd w:id="190"/>
    <w:p>
      <w:pPr>
        <w:ind w:left="-20" w:firstLine="889"/>
        <w:spacing w:after="0" w:line="284" w:lineRule="auto"/>
        <w:tabs>
          <w:tab w:leader="none" w:pos="143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The Company agrees that Indemnitee shall be indemnified to the fullest extent permitted by law and that no Determination shall be required in connection with such indemnification unless specifically required by applicable law which cannot be waived. In no event shall a Determination be required in connection with indemnification for Expenses pursuant to Section 6 of this Agreement or incurred in connection with any Proceeding or portion thereof with respect to which Indemnitee has been successful on the merits or otherwise. Any decision that a Determination is required by law in connection with any other indemnification of Indemnitee, and any such Determination, shall be made within twenty (20) days after receipt of Indemnitee’s written request for indemnification pursuant to Section 9(c)(ii) and such Determination shall be made either (i) by the Disinterested Directors (as hereinafter defined), even though less than a quorum, so long as Indemnitee does not request that such Determination be made by Independent Counsel (as hereinafter defined), or (ii) if so requested by Indemnitee, in Indemnitee’s sole discretion, by Independent Counsel in a written opinion to the Company and Indemnitee. If a Determination is made that Indemnitee is entitled to indemnification, payment to Indemnitee shall be made within five (5) business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Expenses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 If the person, persons or entity empowered or selected under this Section 9(d) to determine whether Indemnitee is entitled to indemnification shall not have made a determination within twenty (20)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twenty (20) day period may be extended for a reasonable time, not to exceed an additional twenty (20)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9(d) shall not apply if the determination of entitlement to indemnification is to be made by Independent Counsel pursuant to Section 9(e).</w:t>
      </w:r>
    </w:p>
    <w:p>
      <w:pPr>
        <w:spacing w:after="0" w:line="178" w:lineRule="exact"/>
        <w:rPr>
          <w:rFonts w:ascii="Arial" w:cs="Arial" w:eastAsia="Arial" w:hAnsi="Arial"/>
          <w:sz w:val="16"/>
          <w:szCs w:val="16"/>
          <w:color w:val="auto"/>
        </w:rPr>
      </w:pPr>
    </w:p>
    <w:p>
      <w:pPr>
        <w:ind w:left="-20" w:right="20" w:firstLine="889"/>
        <w:spacing w:after="0" w:line="267" w:lineRule="auto"/>
        <w:tabs>
          <w:tab w:leader="none" w:pos="1421"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Independent Counsel</w:t>
      </w:r>
      <w:r>
        <w:rPr>
          <w:rFonts w:ascii="Arial" w:cs="Arial" w:eastAsia="Arial" w:hAnsi="Arial"/>
          <w:sz w:val="17"/>
          <w:szCs w:val="17"/>
          <w:color w:val="auto"/>
        </w:rPr>
        <w:t xml:space="preserve">. In the event Indemnitee requests that the Determination be made by Independent Counsel pursuant to Section 9(d) of this Agreement, the Independent Counsel shall be selected as provided in this Section 9(e). The Independent Counsel shall be selected by Indemnitee (unless Indemnitee shall request that such selection be made by the Board of Directors, in which event the Board of Directors shall make such selection on behalf of the Company, subject to the remaining provisions of this Section 9(e)), and Indemnitee or the Company, as the case may be, shall give written notice to the other, advising the Company or Indemnitee of the identity of the Independent Counsel so selected. The Company or Indemnitee, as the case may be, may, within five (5) days after such written notice of selection shall have been received, deliver to Indemnitee or the Company, as the case may be, a written objection to such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objection may be asserted only on the ground that the Independent Counsel so selected does not meet the requirements of “</w:t>
      </w:r>
      <w:r>
        <w:rPr>
          <w:rFonts w:ascii="Arial" w:cs="Arial" w:eastAsia="Arial" w:hAnsi="Arial"/>
          <w:sz w:val="17"/>
          <w:szCs w:val="17"/>
          <w:u w:val="single" w:color="auto"/>
          <w:color w:val="auto"/>
        </w:rPr>
        <w:t>Independent Counsel</w:t>
      </w:r>
      <w:r>
        <w:rPr>
          <w:rFonts w:ascii="Arial" w:cs="Arial" w:eastAsia="Arial" w:hAnsi="Arial"/>
          <w:sz w:val="17"/>
          <w:szCs w:val="17"/>
          <w:color w:val="auto"/>
        </w:rPr>
        <w:t>” as defined in Section 15 of this Agreement, and the objection shall set forth with particularity the factual basis of such assertion. Absent a proper and timely objection, the person so selected shall act as Independent Counsel. If a written objection is so made and substantiated, the Independent Counsel so selected may not serve as Independent Counsel unless and until such objection is withdrawn or a court of competent jurisdiction has determined that such objection is without merit. If, within ten (10) days after submission by Indemnitee of a written request for indemnification pursuant to Section 9(c)(ii) of this Agreement and after a request for the appointment of Independent Counsel has been made,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9(d) of this Agreement. Upon the due commencement of any judicial proceeding or arbitration pursuant to Section 9(f) of this Agreement, Independent Counsel shall be discharged and relieved of any further responsibility in such capacity (subject to the applicable standards of professional conduct then prevailing). Any expenses incurred by or in connection with the appointment of Independent Counsel shall be borne by the Company (irrespective of the Determination of Indemnitee’s entitlement to indemnification) and not by Indemnitee.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191" w:name="page192"/>
    <w:bookmarkEnd w:id="191"/>
    <w:p>
      <w:pPr>
        <w:ind w:right="20" w:firstLine="889"/>
        <w:spacing w:after="0" w:line="289" w:lineRule="auto"/>
        <w:tabs>
          <w:tab w:leader="none" w:pos="142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Consequences of Determination; Remedies of Indemnitee</w:t>
      </w:r>
      <w:r>
        <w:rPr>
          <w:rFonts w:ascii="Arial" w:cs="Arial" w:eastAsia="Arial" w:hAnsi="Arial"/>
          <w:sz w:val="16"/>
          <w:szCs w:val="16"/>
          <w:color w:val="auto"/>
        </w:rPr>
        <w:t>. The Company shall be bound by and shall have no right to challenge a Favorable Determination. If an Adverse Determination is made, or if for any other reason the Company does not make timely indemnification payments or advances of Expenses, Indemnitee shall have the right to commence a Proceeding before a court of competent jurisdiction to challenge such Adverse Determination and/or to require the Company to make such payments or advances (and the Company shall have the right to defend its position in such Proceeding and to appeal any adverse judgment in such Proceeding). Indemnitee shall be entitled to be indemnified for all Expenses incurred in connection with such a Proceeding and to have such Expenses advanced by the Company in accordance with Section 8 of this Agreement. If Indemnitee fails to challenge an Adverse Determination within twenty (20) business days,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Indemnitee under this Agreement.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Presumptions; Burden and Standard of Proof</w:t>
      </w:r>
      <w:r>
        <w:rPr>
          <w:rFonts w:ascii="Arial" w:cs="Arial" w:eastAsia="Arial" w:hAnsi="Arial"/>
          <w:sz w:val="16"/>
          <w:szCs w:val="16"/>
          <w:color w:val="auto"/>
        </w:rPr>
        <w:t>. The parties intend and agree that, to the extent permitted by law, in connection with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Determination with respect to Indemnitee’s entitlement to indemnification hereunder by any person, including a court:</w:t>
      </w:r>
    </w:p>
    <w:p>
      <w:pPr>
        <w:spacing w:after="0" w:line="211" w:lineRule="exact"/>
        <w:rPr>
          <w:sz w:val="20"/>
          <w:szCs w:val="20"/>
          <w:color w:val="auto"/>
        </w:rPr>
      </w:pPr>
    </w:p>
    <w:p>
      <w:pPr>
        <w:ind w:right="140" w:firstLine="1440"/>
        <w:spacing w:after="0" w:line="264" w:lineRule="auto"/>
        <w:tabs>
          <w:tab w:leader="none" w:pos="19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will be presumed that Indemnitee is entitled to indemnification under this Agreement (notwithstanding any Adverse Determination), and the Company will have the burden of proof to overcome that presumption in connection with the making any determination contrary to that presumption;</w:t>
      </w:r>
    </w:p>
    <w:p>
      <w:pPr>
        <w:spacing w:after="0" w:line="181" w:lineRule="exact"/>
        <w:rPr>
          <w:rFonts w:ascii="Arial" w:cs="Arial" w:eastAsia="Arial" w:hAnsi="Arial"/>
          <w:sz w:val="18"/>
          <w:szCs w:val="18"/>
          <w:color w:val="auto"/>
        </w:rPr>
      </w:pPr>
    </w:p>
    <w:p>
      <w:pPr>
        <w:jc w:val="both"/>
        <w:ind w:right="100" w:firstLine="1440"/>
        <w:spacing w:after="0" w:line="259" w:lineRule="auto"/>
        <w:tabs>
          <w:tab w:leader="none" w:pos="201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and, with respect to any criminal action or proceeding, had reasonable cause to believe that Indemnitee’s conduct was unlawful;</w:t>
      </w:r>
    </w:p>
    <w:p>
      <w:pPr>
        <w:spacing w:after="0" w:line="186" w:lineRule="exact"/>
        <w:rPr>
          <w:rFonts w:ascii="Arial" w:cs="Arial" w:eastAsia="Arial" w:hAnsi="Arial"/>
          <w:sz w:val="18"/>
          <w:szCs w:val="18"/>
          <w:color w:val="auto"/>
        </w:rPr>
      </w:pPr>
    </w:p>
    <w:p>
      <w:pPr>
        <w:ind w:firstLine="1440"/>
        <w:spacing w:after="0" w:line="257" w:lineRule="auto"/>
        <w:tabs>
          <w:tab w:leader="none" w:pos="20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Indemnitee will be deemed to have acted in good faith if Indemnitee’s action is based on the records or books of account of the Company, including financial statements, or on information supplied to Indemnitee by the officers, employees, or committees of the Board of Directors of the Company, or on the advice of legal counsel or other advisors (including financial advisors and accountants) for the Company or on information or records given in reports made to the Company by an independent certified public accountant or by an appraiser or other expert or advisor selected by the Company; and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92" w:name="page193"/>
    <w:bookmarkEnd w:id="192"/>
    <w:p>
      <w:pPr>
        <w:ind w:right="80" w:firstLine="1440"/>
        <w:spacing w:after="0" w:line="258" w:lineRule="auto"/>
        <w:tabs>
          <w:tab w:leader="none" w:pos="20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officer, agent or employee of the Company will not be imputed to Indemnitee in a manner that limits or otherwise adversely affects Indemnitee’s rights hereunder.</w:t>
      </w:r>
    </w:p>
    <w:p>
      <w:pPr>
        <w:spacing w:after="0" w:line="1" w:lineRule="exact"/>
        <w:rPr>
          <w:rFonts w:ascii="Arial" w:cs="Arial" w:eastAsia="Arial" w:hAnsi="Arial"/>
          <w:sz w:val="18"/>
          <w:szCs w:val="18"/>
          <w:color w:val="auto"/>
        </w:rPr>
      </w:pPr>
    </w:p>
    <w:p>
      <w:pPr>
        <w:ind w:right="520" w:firstLine="441"/>
        <w:spacing w:after="0" w:line="261" w:lineRule="auto"/>
        <w:rPr>
          <w:rFonts w:ascii="Arial" w:cs="Arial" w:eastAsia="Arial" w:hAnsi="Arial"/>
          <w:sz w:val="18"/>
          <w:szCs w:val="18"/>
          <w:color w:val="auto"/>
        </w:rPr>
      </w:pPr>
      <w:r>
        <w:rPr>
          <w:rFonts w:ascii="Arial" w:cs="Arial" w:eastAsia="Arial" w:hAnsi="Arial"/>
          <w:sz w:val="18"/>
          <w:szCs w:val="18"/>
          <w:color w:val="auto"/>
        </w:rPr>
        <w:t>The provisions of this Section 10 shall not be deemed to be exclusive or to limit in any way the other circumstances in which Indemnitee may be deemed to have met the applicable standard of conduct set forth in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87" w:lineRule="auto"/>
        <w:tabs>
          <w:tab w:leader="none" w:pos="144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Subject to Section 11(e),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9 of this Agreement within twenty (20) days after receipt by the Company of the request for indemnification, (iv) payment of indemnification is not made pursuant to Section 4, 5 or 6 of this Agreement within ten (10) days after receipt by the Company of a written request therefor, (v) payment of indemnification pursuant to Section 2, 3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Indemnitee’s entitlement to such indemnification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172" w:lineRule="exact"/>
        <w:rPr>
          <w:rFonts w:ascii="Arial" w:cs="Arial" w:eastAsia="Arial" w:hAnsi="Arial"/>
          <w:sz w:val="16"/>
          <w:szCs w:val="16"/>
          <w:color w:val="auto"/>
        </w:rPr>
      </w:pPr>
    </w:p>
    <w:p>
      <w:pPr>
        <w:ind w:firstLine="818"/>
        <w:spacing w:after="0" w:line="253"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9 of this Agreement that Indemnitee is not entitled to indemnification, any judicial proceeding or arbitration commenced pursuant to this Section 11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11 the Company shall have the burden of proving Indemnitee is not entitled to indemnification or advancement of Expenses, as the case may be.</w:t>
      </w:r>
    </w:p>
    <w:p>
      <w:pPr>
        <w:spacing w:after="0" w:line="3" w:lineRule="exact"/>
        <w:rPr>
          <w:rFonts w:ascii="Arial" w:cs="Arial" w:eastAsia="Arial" w:hAnsi="Arial"/>
          <w:sz w:val="18"/>
          <w:szCs w:val="18"/>
          <w:color w:val="auto"/>
        </w:rPr>
      </w:pPr>
    </w:p>
    <w:p>
      <w:pPr>
        <w:ind w:right="480" w:firstLine="889"/>
        <w:spacing w:after="0" w:line="273" w:lineRule="auto"/>
        <w:tabs>
          <w:tab w:leader="none" w:pos="144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9 of this Agreement that Indemnitee is entitled to indemnification, the Company shall be bound by such determination in any judicial proceeding or arbitration commenced pursuant to this Section 11, absent (i) proof of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6" w:lineRule="exact"/>
        <w:rPr>
          <w:rFonts w:ascii="Arial" w:cs="Arial" w:eastAsia="Arial" w:hAnsi="Arial"/>
          <w:sz w:val="17"/>
          <w:szCs w:val="17"/>
          <w:color w:val="auto"/>
        </w:rPr>
      </w:pPr>
    </w:p>
    <w:p>
      <w:pPr>
        <w:ind w:right="40" w:firstLine="889"/>
        <w:spacing w:after="0" w:line="269" w:lineRule="auto"/>
        <w:tabs>
          <w:tab w:leader="none" w:pos="144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Company shall, to the fullest extent not prohibited by law, be precluded from asserting in any judicial proceeding or arbitration commenced pursuant to this Section 11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6" w:right="259" w:bottom="1440" w:gutter="0" w:footer="0" w:header="0"/>
        </w:sectPr>
      </w:pPr>
    </w:p>
    <w:bookmarkStart w:id="193" w:name="page194"/>
    <w:bookmarkEnd w:id="193"/>
    <w:p>
      <w:pPr>
        <w:ind w:left="-8" w:right="240" w:firstLine="889"/>
        <w:spacing w:after="0" w:line="277" w:lineRule="auto"/>
        <w:tabs>
          <w:tab w:leader="none" w:pos="143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70"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sz w:val="20"/>
          <w:szCs w:val="20"/>
          <w:color w:val="auto"/>
        </w:rPr>
      </w:pPr>
    </w:p>
    <w:p>
      <w:pPr>
        <w:ind w:left="-8" w:right="60" w:firstLine="889"/>
        <w:spacing w:after="0" w:line="270" w:lineRule="auto"/>
        <w:tabs>
          <w:tab w:leader="none" w:pos="143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Delaware law, whether by statute or judicial decision, permits greater indemnification or advancement of Expenses than would be afforded currently under the Bylaws,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7"/>
          <w:szCs w:val="17"/>
          <w:color w:val="auto"/>
        </w:rPr>
      </w:pPr>
    </w:p>
    <w:p>
      <w:pPr>
        <w:ind w:left="-8" w:right="60" w:firstLine="889"/>
        <w:spacing w:after="0" w:line="284" w:lineRule="auto"/>
        <w:tabs>
          <w:tab w:leader="none" w:pos="14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of any Marker Entity,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continue to provide such insurance coverage to Indemnitee for a period of at least ten</w:t>
      </w:r>
    </w:p>
    <w:p>
      <w:pPr>
        <w:spacing w:after="0" w:line="2" w:lineRule="exact"/>
        <w:rPr>
          <w:rFonts w:ascii="Arial" w:cs="Arial" w:eastAsia="Arial" w:hAnsi="Arial"/>
          <w:sz w:val="16"/>
          <w:szCs w:val="16"/>
          <w:color w:val="auto"/>
        </w:rPr>
      </w:pPr>
    </w:p>
    <w:p>
      <w:pPr>
        <w:ind w:left="352" w:hanging="352"/>
        <w:spacing w:after="0"/>
        <w:tabs>
          <w:tab w:leader="none" w:pos="3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years after Indemnitee ceases to serve as a director or an officer or in any other Corporate Status.</w:t>
      </w:r>
    </w:p>
    <w:p>
      <w:pPr>
        <w:spacing w:after="0" w:line="210" w:lineRule="exact"/>
        <w:rPr>
          <w:rFonts w:ascii="Arial" w:cs="Arial" w:eastAsia="Arial" w:hAnsi="Arial"/>
          <w:sz w:val="18"/>
          <w:szCs w:val="18"/>
          <w:color w:val="auto"/>
        </w:rPr>
      </w:pPr>
    </w:p>
    <w:p>
      <w:pPr>
        <w:ind w:left="-8" w:firstLine="889"/>
        <w:spacing w:after="0" w:line="264" w:lineRule="auto"/>
        <w:tabs>
          <w:tab w:leader="none" w:pos="143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event of any payment made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ind w:left="-8" w:right="80" w:firstLine="889"/>
        <w:spacing w:after="0" w:line="264" w:lineRule="auto"/>
        <w:tabs>
          <w:tab w:leader="none" w:pos="14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666" w:right="259" w:bottom="1440" w:gutter="0" w:footer="0" w:header="0"/>
        </w:sectPr>
      </w:pPr>
    </w:p>
    <w:bookmarkStart w:id="194" w:name="page195"/>
    <w:bookmarkEnd w:id="194"/>
    <w:p>
      <w:pPr>
        <w:ind w:firstLine="889"/>
        <w:spacing w:after="0" w:line="279" w:lineRule="auto"/>
        <w:tabs>
          <w:tab w:leader="none" w:pos="143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Duration of Agreement; Successors</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72" w:lineRule="auto"/>
        <w:tabs>
          <w:tab w:leader="none" w:pos="143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This Agreement shall continue until and terminate upon the later of: (i) ten (10) years after the date that Indemnitee shall have ceased to serve as a director, officer, employee or agent of the Company or, at the request of the Company, as a director, officer, employee, agent or fiduciary of another corporation, partnership, joint venture, trust or other enterprise or (ii) one (1) year after the final termination of any Proceeding then pending in respect of which Indemnitee is granted rights of indemnification or advancement of Expenses hereunder and of any proceeding commenced by Indemnitee pursuant to Section 11 of this Agreement relating thereto. For the avoidance of doubt, this Agreement shall provide for rights of indemnification and advancement of Expenses as set forth herein for any event or occurrence related to Indemnitee’s service for the Company, regardless of whether such events or occurrences occurred before or after the date of this Agreement.</w:t>
      </w:r>
    </w:p>
    <w:p>
      <w:pPr>
        <w:spacing w:after="0" w:line="177" w:lineRule="exact"/>
        <w:rPr>
          <w:rFonts w:ascii="Arial" w:cs="Arial" w:eastAsia="Arial" w:hAnsi="Arial"/>
          <w:sz w:val="17"/>
          <w:szCs w:val="17"/>
          <w:color w:val="auto"/>
        </w:rPr>
      </w:pPr>
    </w:p>
    <w:p>
      <w:pPr>
        <w:ind w:right="20" w:firstLine="889"/>
        <w:spacing w:after="0" w:line="271" w:lineRule="auto"/>
        <w:tabs>
          <w:tab w:leader="none" w:pos="144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Marker Entity, and shall inure to the benefit of Indemnitee and Indemnitee’s spouse, assigns, heirs, devisees, executors and administrators and other legal representatives. The Company shall require and cause any successor (whether direct or indirect by purchase, merger, consolidation or otherwise) to all or substantially all of the business 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79"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5" w:name="page196"/>
    <w:bookmarkEnd w:id="195"/>
    <w:p>
      <w:pPr>
        <w:ind w:left="432"/>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ind w:left="-8" w:right="200" w:firstLine="889"/>
        <w:spacing w:after="0" w:line="264" w:lineRule="auto"/>
        <w:tabs>
          <w:tab w:leader="none" w:pos="111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by reason of such person’s past, present or future service as a director, officer, employee, fiduciary, trustee, or agent of the Company (including, without limitation, one who serves at the request of the Company as a director, officer, employee, fiduciary, trustee or agent of any other Marker Entity).</w:t>
      </w:r>
    </w:p>
    <w:p>
      <w:pPr>
        <w:spacing w:after="0" w:line="181" w:lineRule="exact"/>
        <w:rPr>
          <w:rFonts w:ascii="Arial" w:cs="Arial" w:eastAsia="Arial" w:hAnsi="Arial"/>
          <w:sz w:val="18"/>
          <w:szCs w:val="18"/>
          <w:color w:val="auto"/>
        </w:rPr>
      </w:pPr>
    </w:p>
    <w:p>
      <w:pPr>
        <w:ind w:left="-8" w:right="140" w:firstLine="889"/>
        <w:spacing w:after="0" w:line="257" w:lineRule="auto"/>
        <w:tabs>
          <w:tab w:leader="none" w:pos="112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means a determination that either (x) there is a reasonable basis for the conclusion that indemnification of Indemnitee is proper in the circumstances because Indemnitee met a/the particular standard(s) of conduct (a “</w:t>
      </w:r>
      <w:r>
        <w:rPr>
          <w:rFonts w:ascii="Arial" w:cs="Arial" w:eastAsia="Arial" w:hAnsi="Arial"/>
          <w:sz w:val="18"/>
          <w:szCs w:val="18"/>
          <w:u w:val="single" w:color="auto"/>
          <w:color w:val="auto"/>
        </w:rPr>
        <w:t>Favorable Determination</w:t>
      </w:r>
      <w:r>
        <w:rPr>
          <w:rFonts w:ascii="Arial" w:cs="Arial" w:eastAsia="Arial" w:hAnsi="Arial"/>
          <w:sz w:val="18"/>
          <w:szCs w:val="18"/>
          <w:color w:val="auto"/>
        </w:rPr>
        <w:t>”) or (y) there is no reasonable basis for the conclusion that indemnification of Indemnitee is proper in the circumstances because Indemnitee met a/the particular standard(s) of conduct (an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An Adverse Determination shall include the decision that a Determination was required in connection with indemnification and the decision as to the applicable standard of conduct.</w:t>
      </w:r>
    </w:p>
    <w:p>
      <w:pPr>
        <w:spacing w:after="0" w:line="188" w:lineRule="exact"/>
        <w:rPr>
          <w:rFonts w:ascii="Arial" w:cs="Arial" w:eastAsia="Arial" w:hAnsi="Arial"/>
          <w:sz w:val="18"/>
          <w:szCs w:val="18"/>
          <w:color w:val="auto"/>
        </w:rPr>
      </w:pPr>
    </w:p>
    <w:p>
      <w:pPr>
        <w:ind w:left="-8" w:right="1120" w:firstLine="889"/>
        <w:spacing w:after="0" w:line="342" w:lineRule="auto"/>
        <w:tabs>
          <w:tab w:leader="none" w:pos="111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Disinterested Director</w:t>
      </w:r>
      <w:r>
        <w:rPr>
          <w:rFonts w:ascii="Arial" w:cs="Arial" w:eastAsia="Arial" w:hAnsi="Arial"/>
          <w:sz w:val="16"/>
          <w:szCs w:val="16"/>
          <w:color w:val="auto"/>
        </w:rPr>
        <w:t>” means a director of the Company who is not and was not a party to the Proceeding in respect of which indemnification is sought by Indemnitee and does not otherwise have an interest materially adverse to any interest of the Indemnitee.</w:t>
      </w:r>
    </w:p>
    <w:p>
      <w:pPr>
        <w:spacing w:after="0" w:line="123" w:lineRule="exact"/>
        <w:rPr>
          <w:rFonts w:ascii="Arial" w:cs="Arial" w:eastAsia="Arial" w:hAnsi="Arial"/>
          <w:sz w:val="16"/>
          <w:szCs w:val="16"/>
          <w:color w:val="auto"/>
        </w:rPr>
      </w:pPr>
    </w:p>
    <w:p>
      <w:pPr>
        <w:ind w:left="-8" w:firstLine="889"/>
        <w:spacing w:after="0" w:line="288" w:lineRule="auto"/>
        <w:tabs>
          <w:tab w:leader="none" w:pos="112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direct and indirect costs, fees and expenses of any type or nature whatsoever and shall specifically include, without limitation, all reasonable attorneys’ fees, retainers, court costs, transcript costs, fees and costs of experts, witness fees and costs,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or an appeal resulting from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attorneys’ fees and all other expenses incurred by or on behalf of Indemnitee in connection with preparing and submitting any requests or statements for indemnification, advancement, contribution or any other right provided by this Agreement. Expenses, however, shall not include amounts of judgments or fines against Indemnitee.</w:t>
      </w:r>
    </w:p>
    <w:p>
      <w:pPr>
        <w:spacing w:after="0" w:line="169" w:lineRule="exact"/>
        <w:rPr>
          <w:rFonts w:ascii="Arial" w:cs="Arial" w:eastAsia="Arial" w:hAnsi="Arial"/>
          <w:sz w:val="16"/>
          <w:szCs w:val="16"/>
          <w:color w:val="auto"/>
        </w:rPr>
      </w:pPr>
    </w:p>
    <w:p>
      <w:pPr>
        <w:ind w:left="1132" w:hanging="251"/>
        <w:spacing w:after="0"/>
        <w:tabs>
          <w:tab w:leader="none" w:pos="113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at any time, any law firm, or a member of a law firm, that (a) is experienced in matters of corporation law and</w:t>
      </w:r>
    </w:p>
    <w:p>
      <w:pPr>
        <w:spacing w:after="0" w:line="46" w:lineRule="exact"/>
        <w:rPr>
          <w:rFonts w:ascii="Arial" w:cs="Arial" w:eastAsia="Arial" w:hAnsi="Arial"/>
          <w:sz w:val="16"/>
          <w:szCs w:val="16"/>
          <w:color w:val="auto"/>
        </w:rPr>
      </w:pPr>
    </w:p>
    <w:p>
      <w:pPr>
        <w:ind w:left="-8" w:right="40" w:firstLine="8"/>
        <w:spacing w:after="0" w:line="288" w:lineRule="auto"/>
        <w:tabs>
          <w:tab w:leader="none" w:pos="2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is not, at such time, or has not been in the five years prior to such time, retained to represent: (i) any Marker Entity or Indemnitee in any matter material to either such party (other than with respect to matters concerning Indemnitee under this Agreement, or of other indemnities under similar indemnification agreements), or (ii) any other party to the Proceeding giving rise to a claim for indemnification hereunder. Notwithstanding the foregoing, the term “</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agree to pay the reasonable fees and expenses of the Independent Counsel referred to above and to fully indemnify such counsel against any and all Expenses, claims, liabilities and damages arising out of or relating to this Agreement or its engagement pursuant hereto and to be jointly and severally liable therefor.</w:t>
      </w:r>
    </w:p>
    <w:p>
      <w:pPr>
        <w:spacing w:after="0" w:line="168" w:lineRule="exact"/>
        <w:rPr>
          <w:rFonts w:ascii="Arial" w:cs="Arial" w:eastAsia="Arial" w:hAnsi="Arial"/>
          <w:sz w:val="16"/>
          <w:szCs w:val="16"/>
          <w:color w:val="auto"/>
        </w:rPr>
      </w:pPr>
    </w:p>
    <w:p>
      <w:pPr>
        <w:ind w:left="-8" w:right="220" w:firstLine="889"/>
        <w:spacing w:after="0" w:line="264" w:lineRule="auto"/>
        <w:tabs>
          <w:tab w:leader="none" w:pos="109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Marker Entity</w:t>
      </w:r>
      <w:r>
        <w:rPr>
          <w:rFonts w:ascii="Arial" w:cs="Arial" w:eastAsia="Arial" w:hAnsi="Arial"/>
          <w:sz w:val="18"/>
          <w:szCs w:val="18"/>
          <w:color w:val="auto"/>
        </w:rPr>
        <w:t>” means the Company, any of its subsidiaries and any other corporation, partnership, limited liability company, joint venture, trust, employee benefit plan or other enterprise with respect to which Indemnitee serves as a director, officer, employee, partner, representative, fiduciary, trustee, or agent, or in any similar capacity, at the request of the Company.</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6" w:right="239" w:bottom="1440" w:gutter="0" w:footer="0" w:header="0"/>
        </w:sectPr>
      </w:pPr>
    </w:p>
    <w:bookmarkStart w:id="196" w:name="page197"/>
    <w:bookmarkEnd w:id="196"/>
    <w:p>
      <w:pPr>
        <w:ind w:right="40" w:firstLine="889"/>
        <w:spacing w:after="0" w:line="271" w:lineRule="auto"/>
        <w:tabs>
          <w:tab w:leader="none" w:pos="113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includes any actual, threatened, pending or completed action, suit, arbitration, alternate dispute resolution mechanism, investigation (formal or informal), inquiry, administrative hearing or any other actual, threatened, pending or completed proceeding, whether brought by or in the right of the Company or otherwise and whether civil, criminal, administrative or investigative in nature, in which Indemnitee was, is, may be or will be involved as a party, witness or otherwise, by reason of Indemnitee’s Corporate Status or by reason of any action taken by Indemnitee or of any inaction on Indemnitee’s part while acting as director, officer, employees, fiduciary, trustee or agent of any Marker Entity (in each case whether or not he is acting or serving in any such capacity or has such status at the time any liability or expense is incurred for which indemnification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79"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Construction</w:t>
      </w:r>
      <w:r>
        <w:rPr>
          <w:rFonts w:ascii="Arial" w:cs="Arial" w:eastAsia="Arial" w:hAnsi="Arial"/>
          <w:sz w:val="16"/>
          <w:szCs w:val="16"/>
          <w:color w:val="auto"/>
        </w:rPr>
        <w:t>. Whenever required by the context, as used in this Agreement the singular number shall include the plural, the plural shall include the singular, and all words herein in any gender shall be deemed to include (as appropriate) the masculine, feminine and neuter genders.</w:t>
      </w:r>
    </w:p>
    <w:p>
      <w:pPr>
        <w:spacing w:after="0" w:line="124"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Reliance</w:t>
      </w:r>
      <w:r>
        <w:rPr>
          <w:rFonts w:ascii="Arial" w:cs="Arial" w:eastAsia="Arial" w:hAnsi="Arial"/>
          <w:sz w:val="17"/>
          <w:szCs w:val="17"/>
          <w:color w:val="auto"/>
        </w:rPr>
        <w:t>. The Company expressly confirm and agree that they have entered into this Agreement and assumed the obligations imposed on each of them hereby in order to induce Indemnitee to serve as a director and/or an officer of one or more of the Company, and the Company acknowledge that Indemnitee is relying upon this Agreement in serving as a director and/or an officer of one or more of the Company.</w:t>
      </w:r>
    </w:p>
    <w:p>
      <w:pPr>
        <w:spacing w:after="0" w:line="166"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a writing identified as such by all of the parties hereto. Except as otherwise expressly provided herein, the rights of a party hereunder (including the right to enforce the obligations hereunder of the other parties) may be waived only with the written consent of such party, and no waiver of any of the provisions of this Agreement shall be deemed or shall constitute a waiver of any other provisions hereof (whether or not similar) nor shall such waiver constitute a continuing waiver.</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 Mechanics</w:t>
      </w:r>
      <w:r>
        <w:rPr>
          <w:rFonts w:ascii="Arial" w:cs="Arial" w:eastAsia="Arial" w:hAnsi="Arial"/>
          <w:sz w:val="18"/>
          <w:szCs w:val="18"/>
          <w:color w:val="auto"/>
        </w:rPr>
        <w:t>. All notices, requests, demands or other communications hereunder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8" w:lineRule="exact"/>
        <w:rPr>
          <w:sz w:val="20"/>
          <w:szCs w:val="20"/>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to Indemnitee to:</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7" w:name="page198"/>
    <w:bookmarkEnd w:id="197"/>
    <w:p>
      <w:pPr>
        <w:ind w:left="980" w:hanging="324"/>
        <w:spacing w:after="0"/>
        <w:tabs>
          <w:tab w:leader="none" w:pos="9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980" w:right="8540"/>
        <w:spacing w:after="0" w:line="259" w:lineRule="auto"/>
        <w:rPr>
          <w:rFonts w:ascii="Arial" w:cs="Arial" w:eastAsia="Arial" w:hAnsi="Arial"/>
          <w:sz w:val="18"/>
          <w:szCs w:val="18"/>
          <w:color w:val="auto"/>
        </w:rPr>
      </w:pPr>
      <w:r>
        <w:rPr>
          <w:rFonts w:ascii="Arial" w:cs="Arial" w:eastAsia="Arial" w:hAnsi="Arial"/>
          <w:sz w:val="18"/>
          <w:szCs w:val="18"/>
          <w:color w:val="auto"/>
        </w:rPr>
        <w:t>Marker Therapeutics, Inc. 5 West Forsyth Street Suite 200 Jacksonville, FL 32202</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or to such other address as may have been furnished (in the manner prescribed above) as follows: (a) in the case of a change in address for notices to Indemnitee, furnished by Indemnitee to the Company and (b) in the case of a change in address for notices to the Company, furnished by the Company to Indemnitee.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other directors, officers, employees and agents) and Indemnitee in connection with such event(s) and/or transaction(s).</w:t>
      </w:r>
    </w:p>
    <w:p>
      <w:pPr>
        <w:spacing w:after="0" w:line="189"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 of Chancery of the State of Delaware (the “</w:t>
      </w:r>
      <w:r>
        <w:rPr>
          <w:rFonts w:ascii="Arial" w:cs="Arial" w:eastAsia="Arial" w:hAnsi="Arial"/>
          <w:sz w:val="18"/>
          <w:szCs w:val="18"/>
          <w:u w:val="single" w:color="auto"/>
          <w:color w:val="auto"/>
        </w:rPr>
        <w:t>Delaware Court</w:t>
      </w:r>
      <w:r>
        <w:rPr>
          <w:rFonts w:ascii="Arial" w:cs="Arial" w:eastAsia="Arial" w:hAnsi="Arial"/>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9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MARKER THERAPEUTICS, INC.</w:t>
      </w:r>
    </w:p>
    <w:p>
      <w:pPr>
        <w:spacing w:after="0" w:line="23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-130810</wp:posOffset>
            </wp:positionV>
            <wp:extent cx="25298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-130810</wp:posOffset>
            </wp:positionV>
            <wp:extent cx="25298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[Signature Page to Indemnification Agreement]</w:t>
      </w: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79"/>
          </w:cols>
          <w:pgMar w:left="680" w:top="666"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THIS AMENDMENT TO EMPLOYMENT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 on this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March, 2019, by and between Marker Therapeutics, Inc., a Delaware corporation (formerly known as TapImmune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Peter L. Hoang, an individual (the “</w:t>
      </w:r>
      <w:r>
        <w:rPr>
          <w:rFonts w:ascii="Arial" w:cs="Arial" w:eastAsia="Arial" w:hAnsi="Arial"/>
          <w:sz w:val="17"/>
          <w:szCs w:val="17"/>
          <w:u w:val="single" w:color="auto"/>
          <w:color w:val="auto"/>
        </w:rPr>
        <w:t>Executive</w:t>
      </w:r>
      <w:r>
        <w:rPr>
          <w:rFonts w:ascii="Arial" w:cs="Arial" w:eastAsia="Arial" w:hAnsi="Arial"/>
          <w:sz w:val="17"/>
          <w:szCs w:val="17"/>
          <w:color w:val="auto"/>
        </w:rPr>
        <w:t>”), and amends that certain Employment Agreement between the Company and the Executive, dated September 22, 2017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w:t>
      </w:r>
    </w:p>
    <w:p>
      <w:pPr>
        <w:spacing w:after="0" w:line="19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entered into the Employment Agreement on September 22, 2017;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desire to amend the Executive’s Employment Agreement, as provided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Executive and the Company for themselves, their heirs, successors and assigns, in consideration of their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intending to be legally bound, hereby agree that the Employment Agreement is hereby amended as follows:</w:t>
      </w:r>
    </w:p>
    <w:p>
      <w:pPr>
        <w:spacing w:after="0" w:line="166" w:lineRule="exact"/>
        <w:rPr>
          <w:sz w:val="20"/>
          <w:szCs w:val="20"/>
          <w:color w:val="auto"/>
        </w:rPr>
      </w:pPr>
    </w:p>
    <w:p>
      <w:pPr>
        <w:ind w:left="840" w:hanging="184"/>
        <w:spacing w:after="0"/>
        <w:tabs>
          <w:tab w:leader="none" w:pos="8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Section 4 of the Employment Agreement - Compensation and Benefits is hereby deleted and replaced in its entirety with the following:</w:t>
      </w:r>
    </w:p>
    <w:p>
      <w:pPr>
        <w:spacing w:after="0" w:line="232" w:lineRule="exact"/>
        <w:rPr>
          <w:rFonts w:ascii="Arial" w:cs="Arial" w:eastAsia="Arial" w:hAnsi="Arial"/>
          <w:sz w:val="17"/>
          <w:szCs w:val="17"/>
          <w:color w:val="auto"/>
        </w:rPr>
      </w:pPr>
    </w:p>
    <w:p>
      <w:pPr>
        <w:ind w:left="840" w:hanging="18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93" w:lineRule="auto"/>
        <w:tabs>
          <w:tab w:leader="none" w:pos="1541"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Upon the Effective Date, the Executive’s annual rate of base salary commencing effective January 1, 2019, shall be three hundred eighty thousand dollars ($380,000) per year, which shall be paid by the Company to the Executive bi-weekly in accordance with the Company’s customary payroll practices, and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 The Executive’s salary will not be reduced without Executive’s prior written consent except that the Board may, in its sole discretion, reduce Executive’s base salary in connection with a salary reduction applicable to all Company senior executive officers in substantially the same proportions.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0" w:name="page201"/>
    <w:bookmarkEnd w:id="200"/>
    <w:p>
      <w:pPr>
        <w:jc w:val="both"/>
        <w:ind w:firstLine="1305"/>
        <w:spacing w:after="0" w:line="255" w:lineRule="auto"/>
        <w:tabs>
          <w:tab w:leader="none" w:pos="155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 During the Term, the Executive shall be eligible for an annual performance bonus of up to fifty percent (50%) of the Executive’s annual base salary, based on goals and other conditions as the Board shall determine in its sole discretion on an annual basis (the “</w:t>
      </w: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The Annual Performance Bonus will be payable in the form of cash or fully-vested shares of the Company’s common stock, or a combination thereof, at the Board’s discretion, in any case to be paid or delivered as soon as practicable after the end of the year in which it is earned and in any event not more than ninety (90) days after the end of such year. Payment of the Annual Performance Bonus shall be expressly conditioned upon Executive’s employment with the Company on the date that the Annual Performance Bonus is paid, except as provided in Section 9(b) and Section 10(a) below</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188" w:lineRule="exact"/>
        <w:rPr>
          <w:sz w:val="20"/>
          <w:szCs w:val="20"/>
          <w:color w:val="auto"/>
        </w:rPr>
      </w:pPr>
    </w:p>
    <w:p>
      <w:pPr>
        <w:jc w:val="both"/>
        <w:ind w:firstLine="1305"/>
        <w:spacing w:after="0" w:line="257" w:lineRule="auto"/>
        <w:tabs>
          <w:tab w:leader="none" w:pos="158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senior level executives, on terms comparable to those provided to such executives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senior level executives of the Company.</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55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twenty-one (21) days paid vacation per calendar year plus such sick leave as he may reasonably and actually require. Accrued and unused vacation shall be paid at termination of employment in accordance with payroll practices applicable to all employees.</w:t>
      </w:r>
    </w:p>
    <w:p>
      <w:pPr>
        <w:spacing w:after="0" w:line="181" w:lineRule="exact"/>
        <w:rPr>
          <w:rFonts w:ascii="Arial" w:cs="Arial" w:eastAsia="Arial" w:hAnsi="Arial"/>
          <w:sz w:val="18"/>
          <w:szCs w:val="18"/>
          <w:color w:val="auto"/>
        </w:rPr>
      </w:pPr>
    </w:p>
    <w:p>
      <w:pPr>
        <w:ind w:firstLine="1305"/>
        <w:spacing w:after="0" w:line="342" w:lineRule="auto"/>
        <w:tabs>
          <w:tab w:leader="none" w:pos="155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Reimbursement of Business Expenses</w:t>
      </w:r>
      <w:r>
        <w:rPr>
          <w:rFonts w:ascii="Arial" w:cs="Arial" w:eastAsia="Arial" w:hAnsi="Arial"/>
          <w:sz w:val="16"/>
          <w:szCs w:val="16"/>
          <w:color w:val="auto"/>
        </w:rPr>
        <w:t>.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23" w:lineRule="exact"/>
        <w:rPr>
          <w:rFonts w:ascii="Arial" w:cs="Arial" w:eastAsia="Arial" w:hAnsi="Arial"/>
          <w:sz w:val="16"/>
          <w:szCs w:val="16"/>
          <w:color w:val="auto"/>
        </w:rPr>
      </w:pPr>
    </w:p>
    <w:p>
      <w:pPr>
        <w:ind w:right="20" w:firstLine="1305"/>
        <w:spacing w:after="0" w:line="277" w:lineRule="auto"/>
        <w:tabs>
          <w:tab w:leader="none" w:pos="152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use its commercially reasonable efforts to maintain a Directors and Officers Insurance policy with no less than $2.0 million coverage, and to list the Executive as one of the covered management employees under such policy.</w:t>
      </w:r>
    </w:p>
    <w:p>
      <w:pPr>
        <w:spacing w:after="0" w:line="170" w:lineRule="exact"/>
        <w:rPr>
          <w:sz w:val="20"/>
          <w:szCs w:val="20"/>
          <w:color w:val="auto"/>
        </w:rPr>
      </w:pPr>
    </w:p>
    <w:p>
      <w:pPr>
        <w:ind w:firstLine="721"/>
        <w:spacing w:after="0" w:line="277" w:lineRule="auto"/>
        <w:tabs>
          <w:tab w:leader="none" w:pos="90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Section 7 of the Employment Agreement - Non-Competition and Non-Solicitation Covenants, particularly the sentence in Section7(a) providing the meaning of the Company Products and Services is hereby deleted and replaced with the following:</w:t>
      </w:r>
    </w:p>
    <w:p>
      <w:pPr>
        <w:spacing w:after="0" w:line="170" w:lineRule="exact"/>
        <w:rPr>
          <w:sz w:val="20"/>
          <w:szCs w:val="20"/>
          <w:color w:val="auto"/>
        </w:rPr>
      </w:pPr>
    </w:p>
    <w:p>
      <w:pPr>
        <w:jc w:val="both"/>
        <w:ind w:left="660" w:right="640"/>
        <w:spacing w:after="0" w:line="255"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Company Products and Services</w:t>
      </w:r>
      <w:r>
        <w:rPr>
          <w:rFonts w:ascii="Arial" w:cs="Arial" w:eastAsia="Arial" w:hAnsi="Arial"/>
          <w:sz w:val="18"/>
          <w:szCs w:val="18"/>
          <w:color w:val="auto"/>
        </w:rPr>
        <w:t>” means (i) the generation and/or commercialization of T cells targeting non-viral tumor-associated antigens and/or cancer testis antigens and related applications or any cancer immunotherapy T-Cell vaccines and directly related applications (a) which the Applicable Entities currently anticipate developing, producing, designing, providing, marketing, distributing or selling as of the date of termination of Executive’s employment with the Company,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01" w:name="page202"/>
    <w:bookmarkEnd w:id="201"/>
    <w:p>
      <w:pPr>
        <w:ind w:left="840" w:hanging="184"/>
        <w:spacing w:after="0"/>
        <w:tabs>
          <w:tab w:leader="none" w:pos="8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Section 12 of the Employment Agreement - Notices, particularly Section 12(b) thereof is hereby deleted and replaced with the following:</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 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Chairman of the Board.</w:t>
      </w:r>
    </w:p>
    <w:p>
      <w:pPr>
        <w:spacing w:after="0" w:line="211" w:lineRule="exact"/>
        <w:rPr>
          <w:sz w:val="20"/>
          <w:szCs w:val="20"/>
          <w:color w:val="auto"/>
        </w:rPr>
      </w:pPr>
    </w:p>
    <w:p>
      <w:pPr>
        <w:ind w:left="920" w:hanging="199"/>
        <w:spacing w:after="0"/>
        <w:tabs>
          <w:tab w:leader="none" w:pos="9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Section 17 of the Employment Agreement - General Provisions, particularly Section 17(a) thereof, is hereby deleted and replaced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720" w:firstLine="1"/>
        <w:spacing w:after="0" w:line="277" w:lineRule="auto"/>
        <w:tabs>
          <w:tab w:leader="none" w:pos="10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Texas, without giving effect to any principles of conflicts of law that would result in application of the law of any other jurisdiction.</w:t>
      </w:r>
    </w:p>
    <w:p>
      <w:pPr>
        <w:spacing w:after="0" w:line="170" w:lineRule="exact"/>
        <w:rPr>
          <w:sz w:val="20"/>
          <w:szCs w:val="20"/>
          <w:color w:val="auto"/>
        </w:rPr>
      </w:pPr>
    </w:p>
    <w:p>
      <w:pPr>
        <w:ind w:left="900" w:hanging="179"/>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expressly amended by this Amendment, the Employment Agreement shall continue and remain in full force and effect.</w:t>
      </w:r>
    </w:p>
    <w:p>
      <w:pPr>
        <w:spacing w:after="0" w:line="221" w:lineRule="exact"/>
        <w:rPr>
          <w:rFonts w:ascii="Arial" w:cs="Arial" w:eastAsia="Arial" w:hAnsi="Arial"/>
          <w:sz w:val="18"/>
          <w:szCs w:val="18"/>
          <w:color w:val="auto"/>
        </w:rPr>
      </w:pPr>
    </w:p>
    <w:p>
      <w:pPr>
        <w:ind w:left="5680" w:right="3920" w:hanging="1038"/>
        <w:spacing w:after="0" w:line="532" w:lineRule="auto"/>
        <w:rPr>
          <w:rFonts w:ascii="Arial" w:cs="Arial" w:eastAsia="Arial" w:hAnsi="Arial"/>
          <w:sz w:val="18"/>
          <w:szCs w:val="18"/>
          <w:color w:val="auto"/>
        </w:rPr>
      </w:pPr>
      <w:r>
        <w:rPr>
          <w:rFonts w:ascii="Arial" w:cs="Arial" w:eastAsia="Arial" w:hAnsi="Arial"/>
          <w:sz w:val="18"/>
          <w:szCs w:val="18"/>
          <w:b w:val="1"/>
          <w:bCs w:val="1"/>
          <w:color w:val="auto"/>
        </w:rPr>
        <w:t xml:space="preserve">[SIGNATURE PAGE TO FOLLOW]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2" w:name="page203"/>
    <w:bookmarkEnd w:id="202"/>
    <w:p>
      <w:pPr>
        <w:jc w:val="center"/>
        <w:ind w:right="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written above for the purposes herein contained.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COMPANY –Marker Therapeutics, Inc.</w:t>
            </w:r>
          </w:p>
        </w:tc>
        <w:tc>
          <w:tcPr>
            <w:tcW w:w="34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c>
          <w:tcPr>
            <w:tcW w:w="342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L. Hoang</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Anthony Kim</w:t>
            </w:r>
          </w:p>
        </w:tc>
        <w:tc>
          <w:tcPr>
            <w:tcW w:w="3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Name: Peter L. Hoang</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18"/>
                <w:szCs w:val="18"/>
                <w:color w:val="auto"/>
              </w:rPr>
            </w:pPr>
          </w:p>
        </w:tc>
        <w:tc>
          <w:tcPr>
            <w:tcW w:w="398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of Marker Therapeutics, Inc. on Form S-1 (File No. 333-205757), on Form S-3 (File Nos. 333-215258, No. 333-220538 and 333-228059) and on Form S-8 (File. Nos. 333-223900 and 333-228056) of our report dated March 15, 2019, with respect to our audits of the consolidated financial statements of Marker Therapeutics, Inc. as of December 31, 2018 and 2017 and for the two years in the period ended December 31, 2018 and our report dated March 15, 2019 with respect to our audit of the effectiveness of internal control over financial reporting of Marker Therapeutics, Inc. as of December 31, 2018, which reports are included in this Annual Report on Form 10-K of Marker Therapeutics, Inc. for the year ended December 31,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80" w:hanging="672"/>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6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8"/>
        <w:spacing w:after="0" w:line="277" w:lineRule="auto"/>
        <w:tabs>
          <w:tab w:leader="none" w:pos="67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1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32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13"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32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7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80" w:firstLine="656"/>
        <w:spacing w:after="0" w:line="308" w:lineRule="auto"/>
        <w:tabs>
          <w:tab w:leader="none" w:pos="1303"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1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Hoang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Peter L Hoang</w:t>
            </w:r>
          </w:p>
        </w:tc>
        <w:tc>
          <w:tcPr>
            <w:tcW w:w="570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48"/>
        </w:trPr>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80" w:hanging="672"/>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67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8"/>
        <w:spacing w:after="0" w:line="277" w:lineRule="auto"/>
        <w:tabs>
          <w:tab w:leader="none" w:pos="67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1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32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1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32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7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80" w:firstLine="656"/>
        <w:spacing w:after="0" w:line="308" w:lineRule="auto"/>
        <w:tabs>
          <w:tab w:leader="none" w:pos="130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1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Anthony Kim</w:t>
            </w:r>
          </w:p>
        </w:tc>
        <w:tc>
          <w:tcPr>
            <w:tcW w:w="570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48"/>
        </w:trPr>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2018 as filed with the Securities and Exchange Commission on the date hereof (the “Report”), I, Peter Hoang, Principal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15, 2019</w:t>
      </w: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2018 as filed with the Securities and Exchange Commission on the date hereof (the “Report”), I, Anthony Kim, Principal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15, 2019</w:t>
      </w: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2"/>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1)"/>
      <w:numFmt w:val="lowerRoman"/>
      <w:start w:val="2"/>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
      <w:numFmt w:val="bullet"/>
      <w:start w:val="1"/>
    </w:lvl>
  </w:abstractNum>
  <w:abstractNum w:abstractNumId="45">
    <w:nsid w:val="1D545C4D"/>
    <w:multiLevelType w:val="hybridMultilevel"/>
    <w:lvl w:ilvl="0">
      <w:lvlJc w:val="left"/>
      <w:lvlText w:val="%1)"/>
      <w:numFmt w:val="decimal"/>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o"/>
      <w:numFmt w:val="bullet"/>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1)"/>
      <w:numFmt w:val="lowerRoman"/>
      <w:start w:val="2"/>
    </w:lvl>
  </w:abstractNum>
  <w:abstractNum w:abstractNumId="53">
    <w:nsid w:val="53584BCB"/>
    <w:multiLevelType w:val="hybridMultilevel"/>
    <w:lvl w:ilvl="0">
      <w:lvlJc w:val="left"/>
      <w:lvlText w:val="(%1)"/>
      <w:numFmt w:val="lowerRoman"/>
      <w:start w:val="1"/>
    </w:lvl>
  </w:abstractNum>
  <w:abstractNum w:abstractNumId="54">
    <w:nsid w:val="415E286C"/>
    <w:multiLevelType w:val="hybridMultilevel"/>
    <w:lvl w:ilvl="0">
      <w:lvlJc w:val="left"/>
      <w:lvlText w:val="(%1)"/>
      <w:numFmt w:val="lowerRoman"/>
      <w:start w:val="1"/>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decimal"/>
      <w:start w:val="1"/>
    </w:lvl>
  </w:abstractNum>
  <w:abstractNum w:abstractNumId="57">
    <w:nsid w:val="45E6D486"/>
    <w:multiLevelType w:val="hybridMultilevel"/>
    <w:lvl w:ilvl="0">
      <w:lvlJc w:val="left"/>
      <w:lvlText w:val="(%1)"/>
      <w:numFmt w:val="lowerLetter"/>
      <w:start w:val="2"/>
    </w:lvl>
  </w:abstractNum>
  <w:abstractNum w:abstractNumId="58">
    <w:nsid w:val="5C10FE21"/>
    <w:multiLevelType w:val="hybridMultilevel"/>
    <w:lvl w:ilvl="0">
      <w:lvlJc w:val="left"/>
      <w:lvlText w:val="(%1)"/>
      <w:numFmt w:val="lowerLetter"/>
      <w:start w:val="3"/>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lowerRoman"/>
      <w:start w:val="1"/>
    </w:lvl>
  </w:abstractNum>
  <w:abstractNum w:abstractNumId="63">
    <w:nsid w:val="39B7AAA2"/>
    <w:multiLevelType w:val="hybridMultilevel"/>
    <w:lvl w:ilvl="0">
      <w:lvlJc w:val="left"/>
      <w:lvlText w:val="(%1)"/>
      <w:numFmt w:val="lowerRoman"/>
      <w:start w:val="1"/>
    </w:lvl>
  </w:abstractNum>
  <w:abstractNum w:abstractNumId="64">
    <w:nsid w:val="2B0D8DBE"/>
    <w:multiLevelType w:val="hybridMultilevel"/>
    <w:lvl w:ilvl="0">
      <w:lvlJc w:val="left"/>
      <w:lvlText w:val="(%1)"/>
      <w:numFmt w:val="lowerRoman"/>
      <w:start w:val="4"/>
    </w:lvl>
  </w:abstractNum>
  <w:abstractNum w:abstractNumId="65">
    <w:nsid w:val="6C80EC70"/>
    <w:multiLevelType w:val="hybridMultilevel"/>
    <w:lvl w:ilvl="0">
      <w:lvlJc w:val="left"/>
      <w:lvlText w:val="(%1)"/>
      <w:numFmt w:val="lowerRoman"/>
      <w:start w:val="1"/>
    </w:lvl>
  </w:abstractNum>
  <w:abstractNum w:abstractNumId="66">
    <w:nsid w:val="379E21B5"/>
    <w:multiLevelType w:val="hybridMultilevel"/>
    <w:lvl w:ilvl="0">
      <w:lvlJc w:val="left"/>
      <w:lvlText w:val="%1."/>
      <w:numFmt w:val="decimal"/>
      <w:start w:val="2"/>
    </w:lvl>
  </w:abstractNum>
  <w:abstractNum w:abstractNumId="67">
    <w:nsid w:val="69E373"/>
    <w:multiLevelType w:val="hybridMultilevel"/>
    <w:lvl w:ilvl="0">
      <w:lvlJc w:val="left"/>
      <w:lvlText w:val="(%1)"/>
      <w:numFmt w:val="lowerRoman"/>
      <w:start w:val="1"/>
    </w:lvl>
  </w:abstractNum>
  <w:abstractNum w:abstractNumId="68">
    <w:nsid w:val="2C27173B"/>
    <w:multiLevelType w:val="hybridMultilevel"/>
    <w:lvl w:ilvl="0">
      <w:lvlJc w:val="left"/>
      <w:lvlText w:val="(%1)"/>
      <w:numFmt w:val="lowerRoman"/>
      <w:start w:val="3"/>
    </w:lvl>
  </w:abstractNum>
  <w:abstractNum w:abstractNumId="69">
    <w:nsid w:val="4C9B0904"/>
    <w:multiLevelType w:val="hybridMultilevel"/>
    <w:lvl w:ilvl="0">
      <w:lvlJc w:val="left"/>
      <w:lvlText w:val="%1."/>
      <w:numFmt w:val="decimal"/>
      <w:start w:val="3"/>
    </w:lvl>
  </w:abstractNum>
  <w:abstractNum w:abstractNumId="70">
    <w:nsid w:val="6AA7B75C"/>
    <w:multiLevelType w:val="hybridMultilevel"/>
    <w:lvl w:ilvl="0">
      <w:lvlJc w:val="left"/>
      <w:lvlText w:val="(%1)"/>
      <w:numFmt w:val="lowerRoman"/>
      <w:start w:val="1"/>
    </w:lvl>
  </w:abstractNum>
  <w:abstractNum w:abstractNumId="71">
    <w:nsid w:val="1DF029D3"/>
    <w:multiLevelType w:val="hybridMultilevel"/>
    <w:lvl w:ilvl="0">
      <w:lvlJc w:val="left"/>
      <w:lvlText w:val="%1."/>
      <w:numFmt w:val="decimal"/>
      <w:start w:val="4"/>
    </w:lvl>
  </w:abstractNum>
  <w:abstractNum w:abstractNumId="72">
    <w:nsid w:val="5675FF36"/>
    <w:multiLevelType w:val="hybridMultilevel"/>
    <w:lvl w:ilvl="0">
      <w:lvlJc w:val="left"/>
      <w:lvlText w:val="(%1)"/>
      <w:numFmt w:val="lowerRoman"/>
      <w:start w:val="1"/>
    </w:lvl>
  </w:abstractNum>
  <w:abstractNum w:abstractNumId="73">
    <w:nsid w:val="3DD15094"/>
    <w:multiLevelType w:val="hybridMultilevel"/>
    <w:lvl w:ilvl="0">
      <w:lvlJc w:val="left"/>
      <w:lvlText w:val="(%1)"/>
      <w:numFmt w:val="lowerRoman"/>
      <w:start w:val="1"/>
    </w:lvl>
  </w:abstractNum>
  <w:abstractNum w:abstractNumId="74">
    <w:nsid w:val="3DB012B3"/>
    <w:multiLevelType w:val="hybridMultilevel"/>
    <w:lvl w:ilvl="0">
      <w:lvlJc w:val="left"/>
      <w:lvlText w:val="(%1)"/>
      <w:numFmt w:val="lowerRoman"/>
      <w:start w:val="3"/>
    </w:lvl>
  </w:abstractNum>
  <w:abstractNum w:abstractNumId="75">
    <w:nsid w:val="2708C9AF"/>
    <w:multiLevelType w:val="hybridMultilevel"/>
    <w:lvl w:ilvl="0">
      <w:lvlJc w:val="left"/>
      <w:lvlText w:val="(%1)"/>
      <w:numFmt w:val="lowerRoman"/>
      <w:start w:val="1"/>
    </w:lvl>
  </w:abstractNum>
  <w:abstractNum w:abstractNumId="76">
    <w:nsid w:val="5B25ACE2"/>
    <w:multiLevelType w:val="hybridMultilevel"/>
    <w:lvl w:ilvl="0">
      <w:lvlJc w:val="left"/>
      <w:lvlText w:val="(%1)"/>
      <w:numFmt w:val="lowerRoman"/>
      <w:start w:val="2"/>
    </w:lvl>
  </w:abstractNum>
  <w:abstractNum w:abstractNumId="77">
    <w:nsid w:val="175DFCF0"/>
    <w:multiLevelType w:val="hybridMultilevel"/>
    <w:lvl w:ilvl="0">
      <w:lvlJc w:val="left"/>
      <w:lvlText w:val="%1."/>
      <w:numFmt w:val="decimal"/>
      <w:start w:val="5"/>
    </w:lvl>
  </w:abstractNum>
  <w:abstractNum w:abstractNumId="78">
    <w:nsid w:val="4F97E3E4"/>
    <w:multiLevelType w:val="hybridMultilevel"/>
    <w:lvl w:ilvl="0">
      <w:lvlJc w:val="left"/>
      <w:lvlText w:val="(%1)"/>
      <w:numFmt w:val="decimal"/>
      <w:start w:val="12"/>
    </w:lvl>
  </w:abstractNum>
  <w:abstractNum w:abstractNumId="79">
    <w:nsid w:val="53B0A9E"/>
    <w:multiLevelType w:val="hybridMultilevel"/>
    <w:lvl w:ilvl="0">
      <w:lvlJc w:val="left"/>
      <w:lvlText w:val="(%1)"/>
      <w:numFmt w:val="lowerRoman"/>
      <w:start w:val="1"/>
    </w:lvl>
  </w:abstractNum>
  <w:abstractNum w:abstractNumId="80">
    <w:nsid w:val="34FD6B4F"/>
    <w:multiLevelType w:val="hybridMultilevel"/>
    <w:lvl w:ilvl="0">
      <w:lvlJc w:val="left"/>
      <w:lvlText w:val="%1."/>
      <w:numFmt w:val="decimal"/>
      <w:start w:val="6"/>
    </w:lvl>
  </w:abstractNum>
  <w:abstractNum w:abstractNumId="81">
    <w:nsid w:val="5915FF32"/>
    <w:multiLevelType w:val="hybridMultilevel"/>
    <w:lvl w:ilvl="0">
      <w:lvlJc w:val="left"/>
      <w:lvlText w:val="%1."/>
      <w:numFmt w:val="decimal"/>
      <w:start w:val="7"/>
    </w:lvl>
  </w:abstractNum>
  <w:abstractNum w:abstractNumId="82">
    <w:nsid w:val="56438D15"/>
    <w:multiLevelType w:val="hybridMultilevel"/>
    <w:lvl w:ilvl="0">
      <w:lvlJc w:val="left"/>
      <w:lvlText w:val="%1."/>
      <w:numFmt w:val="decimal"/>
      <w:start w:val="8"/>
    </w:lvl>
  </w:abstractNum>
  <w:abstractNum w:abstractNumId="83">
    <w:nsid w:val="519E3149"/>
    <w:multiLevelType w:val="hybridMultilevel"/>
    <w:lvl w:ilvl="0">
      <w:lvlJc w:val="left"/>
      <w:lvlText w:val="%1."/>
      <w:numFmt w:val="decimal"/>
      <w:start w:val="9"/>
    </w:lvl>
  </w:abstractNum>
  <w:abstractNum w:abstractNumId="84">
    <w:nsid w:val="2C6E4AFD"/>
    <w:multiLevelType w:val="hybridMultilevel"/>
    <w:lvl w:ilvl="0">
      <w:lvlJc w:val="left"/>
      <w:lvlText w:val="(%1)"/>
      <w:numFmt w:val="lowerRoman"/>
      <w:start w:val="1"/>
    </w:lvl>
  </w:abstractNum>
  <w:abstractNum w:abstractNumId="85">
    <w:nsid w:val="17A1B582"/>
    <w:multiLevelType w:val="hybridMultilevel"/>
    <w:lvl w:ilvl="0">
      <w:lvlJc w:val="left"/>
      <w:lvlText w:val="(%1)"/>
      <w:numFmt w:val="lowerRoman"/>
      <w:start w:val="3"/>
    </w:lvl>
  </w:abstractNum>
  <w:abstractNum w:abstractNumId="86">
    <w:nsid w:val="4DF72E4E"/>
    <w:multiLevelType w:val="hybridMultilevel"/>
    <w:lvl w:ilvl="0">
      <w:lvlJc w:val="left"/>
      <w:lvlText w:val="%1."/>
      <w:numFmt w:val="decimal"/>
      <w:start w:val="10"/>
    </w:lvl>
  </w:abstractNum>
  <w:abstractNum w:abstractNumId="87">
    <w:nsid w:val="5046B5A9"/>
    <w:multiLevelType w:val="hybridMultilevel"/>
    <w:lvl w:ilvl="0">
      <w:lvlJc w:val="left"/>
      <w:lvlText w:val="%1."/>
      <w:numFmt w:val="decimal"/>
      <w:start w:val="11"/>
    </w:lvl>
  </w:abstractNum>
  <w:abstractNum w:abstractNumId="88">
    <w:nsid w:val="5D888A08"/>
    <w:multiLevelType w:val="hybridMultilevel"/>
    <w:lvl w:ilvl="0">
      <w:lvlJc w:val="left"/>
      <w:lvlText w:val="(%1)"/>
      <w:numFmt w:val="lowerRoman"/>
      <w:start w:val="1"/>
    </w:lvl>
  </w:abstractNum>
  <w:abstractNum w:abstractNumId="89">
    <w:nsid w:val="2A082C70"/>
    <w:multiLevelType w:val="hybridMultilevel"/>
    <w:lvl w:ilvl="0">
      <w:lvlJc w:val="left"/>
      <w:lvlText w:val="%1."/>
      <w:numFmt w:val="decimal"/>
      <w:start w:val="12"/>
    </w:lvl>
  </w:abstractNum>
  <w:abstractNum w:abstractNumId="90">
    <w:nsid w:val="5EC6AFD4"/>
    <w:multiLevelType w:val="hybridMultilevel"/>
    <w:lvl w:ilvl="0">
      <w:lvlJc w:val="left"/>
      <w:lvlText w:val="(%1)"/>
      <w:numFmt w:val="lowerRoman"/>
      <w:start w:val="3"/>
    </w:lvl>
  </w:abstractNum>
  <w:abstractNum w:abstractNumId="91">
    <w:nsid w:val="19E21BB2"/>
    <w:multiLevelType w:val="hybridMultilevel"/>
    <w:lvl w:ilvl="0">
      <w:lvlJc w:val="left"/>
      <w:lvlText w:val="%1."/>
      <w:numFmt w:val="decimal"/>
      <w:start w:val="13"/>
    </w:lvl>
  </w:abstractNum>
  <w:abstractNum w:abstractNumId="92">
    <w:nsid w:val="75E0858A"/>
    <w:multiLevelType w:val="hybridMultilevel"/>
    <w:lvl w:ilvl="0">
      <w:lvlJc w:val="left"/>
      <w:lvlText w:val="%1."/>
      <w:numFmt w:val="decimal"/>
      <w:start w:val="14"/>
    </w:lvl>
  </w:abstractNum>
  <w:abstractNum w:abstractNumId="93">
    <w:nsid w:val="57A61A29"/>
    <w:multiLevelType w:val="hybridMultilevel"/>
    <w:lvl w:ilvl="0">
      <w:lvlJc w:val="left"/>
      <w:lvlText w:val="(%1)"/>
      <w:numFmt w:val="decimal"/>
      <w:start w:val="60"/>
    </w:lvl>
  </w:abstractNum>
  <w:abstractNum w:abstractNumId="94">
    <w:nsid w:val="5399C654"/>
    <w:multiLevelType w:val="hybridMultilevel"/>
    <w:lvl w:ilvl="0">
      <w:lvlJc w:val="left"/>
      <w:lvlText w:val="%1."/>
      <w:numFmt w:val="decimal"/>
      <w:start w:val="15"/>
    </w:lvl>
  </w:abstractNum>
  <w:abstractNum w:abstractNumId="95">
    <w:nsid w:val="20EE1348"/>
    <w:multiLevelType w:val="hybridMultilevel"/>
    <w:lvl w:ilvl="0">
      <w:lvlJc w:val="left"/>
      <w:lvlText w:val="%1."/>
      <w:numFmt w:val="decimal"/>
      <w:start w:val="16"/>
    </w:lvl>
  </w:abstractNum>
  <w:abstractNum w:abstractNumId="96">
    <w:nsid w:val="4427069A"/>
    <w:multiLevelType w:val="hybridMultilevel"/>
    <w:lvl w:ilvl="0">
      <w:lvlJc w:val="left"/>
      <w:lvlText w:val="(%1)"/>
      <w:numFmt w:val="lowerRoman"/>
      <w:start w:val="1"/>
    </w:lvl>
  </w:abstractNum>
  <w:abstractNum w:abstractNumId="97">
    <w:nsid w:val="B37E80A"/>
    <w:multiLevelType w:val="hybridMultilevel"/>
    <w:lvl w:ilvl="0">
      <w:lvlJc w:val="left"/>
      <w:lvlText w:val="(%1)"/>
      <w:numFmt w:val="lowerRoman"/>
      <w:start w:val="2"/>
    </w:lvl>
  </w:abstractNum>
  <w:abstractNum w:abstractNumId="98">
    <w:nsid w:val="2157F6BC"/>
    <w:multiLevelType w:val="hybridMultilevel"/>
    <w:lvl w:ilvl="0">
      <w:lvlJc w:val="left"/>
      <w:lvlText w:val="%1"/>
      <w:numFmt w:val="lowerLetter"/>
      <w:start w:val="1"/>
    </w:lvl>
    <w:lvl w:ilvl="1">
      <w:lvlJc w:val="left"/>
      <w:lvlText w:val="(%2)"/>
      <w:numFmt w:val="lowerLetter"/>
      <w:start w:val="9"/>
    </w:lvl>
  </w:abstractNum>
  <w:abstractNum w:abstractNumId="99">
    <w:nsid w:val="704E1DD5"/>
    <w:multiLevelType w:val="hybridMultilevel"/>
    <w:lvl w:ilvl="0">
      <w:lvlJc w:val="left"/>
      <w:lvlText w:val="(%1)"/>
      <w:numFmt w:val="lowerLetter"/>
      <w:start w:val="1"/>
    </w:lvl>
    <w:lvl w:ilvl="1">
      <w:lvlJc w:val="left"/>
      <w:lvlText w:val="(%2)"/>
      <w:numFmt w:val="lowerLetter"/>
      <w:start w:val="35"/>
    </w:lvl>
  </w:abstractNum>
  <w:abstractNum w:abstractNumId="100">
    <w:nsid w:val="57D2F10E"/>
    <w:multiLevelType w:val="hybridMultilevel"/>
    <w:lvl w:ilvl="0">
      <w:lvlJc w:val="left"/>
      <w:lvlText w:val="(%1)"/>
      <w:numFmt w:val="lowerRoman"/>
      <w:start w:val="3"/>
    </w:lvl>
  </w:abstractNum>
  <w:abstractNum w:abstractNumId="101">
    <w:nsid w:val="BFFAE18"/>
    <w:multiLevelType w:val="hybridMultilevel"/>
    <w:lvl w:ilvl="0">
      <w:lvlJc w:val="left"/>
      <w:lvlText w:val="%1."/>
      <w:numFmt w:val="decimal"/>
      <w:start w:val="17"/>
    </w:lvl>
  </w:abstractNum>
  <w:abstractNum w:abstractNumId="102">
    <w:nsid w:val="E3E47A8"/>
    <w:multiLevelType w:val="hybridMultilevel"/>
    <w:lvl w:ilvl="0">
      <w:lvlJc w:val="left"/>
      <w:lvlText w:val="(%1)"/>
      <w:numFmt w:val="lowerRoman"/>
      <w:start w:val="6"/>
    </w:lvl>
  </w:abstractNum>
  <w:abstractNum w:abstractNumId="103">
    <w:nsid w:val="2E48F044"/>
    <w:multiLevelType w:val="hybridMultilevel"/>
    <w:lvl w:ilvl="0">
      <w:lvlJc w:val="left"/>
      <w:lvlText w:val="%1."/>
      <w:numFmt w:val="decimal"/>
      <w:start w:val="18"/>
    </w:lvl>
  </w:abstractNum>
  <w:abstractNum w:abstractNumId="104">
    <w:nsid w:val="49D0FEAC"/>
    <w:multiLevelType w:val="hybridMultilevel"/>
    <w:lvl w:ilvl="0">
      <w:lvlJc w:val="left"/>
      <w:lvlText w:val="%1."/>
      <w:numFmt w:val="decimal"/>
      <w:start w:val="1"/>
    </w:lvl>
  </w:abstractNum>
  <w:abstractNum w:abstractNumId="105">
    <w:nsid w:val="4BEE5A5B"/>
    <w:multiLevelType w:val="hybridMultilevel"/>
    <w:lvl w:ilvl="0">
      <w:lvlJc w:val="left"/>
      <w:lvlText w:val="%1."/>
      <w:numFmt w:val="decimal"/>
      <w:start w:val="1"/>
    </w:lvl>
  </w:abstractNum>
  <w:abstractNum w:abstractNumId="106">
    <w:nsid w:val="5551B9F3"/>
    <w:multiLevelType w:val="hybridMultilevel"/>
    <w:lvl w:ilvl="0">
      <w:lvlJc w:val="left"/>
      <w:lvlText w:val="%1."/>
      <w:numFmt w:val="decimal"/>
      <w:start w:val="2"/>
    </w:lvl>
  </w:abstractNum>
  <w:abstractNum w:abstractNumId="107">
    <w:nsid w:val="24F6AB8E"/>
    <w:multiLevelType w:val="hybridMultilevel"/>
    <w:lvl w:ilvl="0">
      <w:lvlJc w:val="left"/>
      <w:lvlText w:val="%1."/>
      <w:numFmt w:val="decimal"/>
      <w:start w:val="3"/>
    </w:lvl>
    <w:lvl w:ilvl="1">
      <w:lvlJc w:val="left"/>
      <w:lvlText w:val="(%2)"/>
      <w:numFmt w:val="lowerLetter"/>
      <w:start w:val="1"/>
    </w:lvl>
  </w:abstractNum>
  <w:abstractNum w:abstractNumId="108">
    <w:nsid w:val="634C574C"/>
    <w:multiLevelType w:val="hybridMultilevel"/>
    <w:lvl w:ilvl="0">
      <w:lvlJc w:val="left"/>
      <w:lvlText w:val="%1."/>
      <w:numFmt w:val="decimal"/>
      <w:start w:val="4"/>
    </w:lvl>
  </w:abstractNum>
  <w:abstractNum w:abstractNumId="109">
    <w:nsid w:val="24E99DD7"/>
    <w:multiLevelType w:val="hybridMultilevel"/>
    <w:lvl w:ilvl="0">
      <w:lvlJc w:val="left"/>
      <w:lvlText w:val="(%1)"/>
      <w:numFmt w:val="lowerLetter"/>
      <w:start w:val="1"/>
    </w:lvl>
  </w:abstractNum>
  <w:abstractNum w:abstractNumId="110">
    <w:nsid w:val="2A31B62D"/>
    <w:multiLevelType w:val="hybridMultilevel"/>
    <w:lvl w:ilvl="0">
      <w:lvlJc w:val="left"/>
      <w:lvlText w:val="(%1)"/>
      <w:numFmt w:val="lowerLetter"/>
      <w:start w:val="3"/>
    </w:lvl>
  </w:abstractNum>
  <w:abstractNum w:abstractNumId="111">
    <w:nsid w:val="1849C29B"/>
    <w:multiLevelType w:val="hybridMultilevel"/>
    <w:lvl w:ilvl="0">
      <w:lvlJc w:val="left"/>
      <w:lvlText w:val="%1."/>
      <w:numFmt w:val="decimal"/>
      <w:start w:val="5"/>
    </w:lvl>
    <w:lvl w:ilvl="1">
      <w:lvlJc w:val="left"/>
      <w:lvlText w:val="(%2)"/>
      <w:numFmt w:val="lowerLetter"/>
      <w:start w:val="1"/>
    </w:lvl>
  </w:abstractNum>
  <w:abstractNum w:abstractNumId="112">
    <w:nsid w:val="7DFF9D09"/>
    <w:multiLevelType w:val="hybridMultilevel"/>
    <w:lvl w:ilvl="0">
      <w:lvlJc w:val="left"/>
      <w:lvlText w:val="(%1)"/>
      <w:numFmt w:val="lowerLetter"/>
      <w:start w:val="6"/>
    </w:lvl>
  </w:abstractNum>
  <w:abstractNum w:abstractNumId="113">
    <w:nsid w:val="754342"/>
    <w:multiLevelType w:val="hybridMultilevel"/>
    <w:lvl w:ilvl="0">
      <w:lvlJc w:val="left"/>
      <w:lvlText w:val="%1"/>
      <w:numFmt w:val="decimal"/>
      <w:start w:val="1"/>
    </w:lvl>
    <w:lvl w:ilvl="1">
      <w:lvlJc w:val="left"/>
      <w:lvlText w:val="(%2)"/>
      <w:numFmt w:val="lowerLetter"/>
      <w:start w:val="1"/>
    </w:lvl>
  </w:abstractNum>
  <w:abstractNum w:abstractNumId="114">
    <w:nsid w:val="69E7F3E5"/>
    <w:multiLevelType w:val="hybridMultilevel"/>
    <w:lvl w:ilvl="0">
      <w:lvlJc w:val="left"/>
      <w:lvlText w:val="%1."/>
      <w:numFmt w:val="decimal"/>
      <w:start w:val="6"/>
    </w:lvl>
    <w:lvl w:ilvl="1">
      <w:lvlJc w:val="left"/>
      <w:lvlText w:val="%2"/>
      <w:numFmt w:val="lowerLetter"/>
      <w:start w:val="1"/>
    </w:lvl>
  </w:abstractNum>
  <w:abstractNum w:abstractNumId="115">
    <w:nsid w:val="2A6DE806"/>
    <w:multiLevelType w:val="hybridMultilevel"/>
    <w:lvl w:ilvl="0">
      <w:lvlJc w:val="left"/>
      <w:lvlText w:val="%1."/>
      <w:numFmt w:val="decimal"/>
      <w:start w:val="7"/>
    </w:lvl>
    <w:lvl w:ilvl="1">
      <w:lvlJc w:val="left"/>
      <w:lvlText w:val="(%2)"/>
      <w:numFmt w:val="lowerRoman"/>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8">
    <w:nsid w:val="7AB49D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9">
    <w:nsid w:val="759F82CD"/>
    <w:multiLevelType w:val="hybridMultilevel"/>
    <w:lvl w:ilvl="0">
      <w:lvlJc w:val="left"/>
      <w:lvlText w:val="%1."/>
      <w:numFmt w:val="decimal"/>
      <w:start w:val="10"/>
    </w:lvl>
  </w:abstractNum>
  <w:abstractNum w:abstractNumId="120">
    <w:nsid w:val="61E74EA3"/>
    <w:multiLevelType w:val="hybridMultilevel"/>
    <w:lvl w:ilvl="0">
      <w:lvlJc w:val="left"/>
      <w:lvlText w:val="%1."/>
      <w:numFmt w:val="decimal"/>
      <w:start w:val="11"/>
    </w:lvl>
  </w:abstractNum>
  <w:abstractNum w:abstractNumId="121">
    <w:nsid w:val="597B4D84"/>
    <w:multiLevelType w:val="hybridMultilevel"/>
    <w:lvl w:ilvl="0">
      <w:lvlJc w:val="left"/>
      <w:lvlText w:val="%1."/>
      <w:numFmt w:val="decimal"/>
      <w:start w:val="15"/>
    </w:lvl>
  </w:abstractNum>
  <w:abstractNum w:abstractNumId="122">
    <w:nsid w:val="F819E7F"/>
    <w:multiLevelType w:val="hybridMultilevel"/>
    <w:lvl w:ilvl="0">
      <w:lvlJc w:val="left"/>
      <w:lvlText w:val="%1."/>
      <w:numFmt w:val="decimal"/>
      <w:start w:val="16"/>
    </w:lvl>
  </w:abstractNum>
  <w:abstractNum w:abstractNumId="123">
    <w:nsid w:val="57C7D42D"/>
    <w:multiLevelType w:val="hybridMultilevel"/>
    <w:lvl w:ilvl="0">
      <w:lvlJc w:val="left"/>
      <w:lvlText w:val="%1."/>
      <w:numFmt w:val="decimal"/>
      <w:start w:val="17"/>
    </w:lvl>
  </w:abstractNum>
  <w:abstractNum w:abstractNumId="124">
    <w:nsid w:val="312167AD"/>
    <w:multiLevelType w:val="hybridMultilevel"/>
    <w:lvl w:ilvl="0">
      <w:lvlJc w:val="left"/>
      <w:lvlText w:val="%1."/>
      <w:numFmt w:val="decimal"/>
      <w:start w:val="1"/>
    </w:lvl>
    <w:lvl w:ilvl="1">
      <w:lvlJc w:val="left"/>
      <w:lvlText w:val="(%2)"/>
      <w:numFmt w:val="lowerLetter"/>
      <w:start w:val="1"/>
    </w:lvl>
  </w:abstractNum>
  <w:abstractNum w:abstractNumId="125">
    <w:nsid w:val="631B64D4"/>
    <w:multiLevelType w:val="hybridMultilevel"/>
    <w:lvl w:ilvl="0">
      <w:lvlJc w:val="left"/>
      <w:lvlText w:val="%1."/>
      <w:numFmt w:val="decimal"/>
      <w:start w:val="1"/>
    </w:lvl>
  </w:abstractNum>
  <w:abstractNum w:abstractNumId="126">
    <w:nsid w:val="78B5E776"/>
    <w:multiLevelType w:val="hybridMultilevel"/>
    <w:lvl w:ilvl="0">
      <w:lvlJc w:val="left"/>
      <w:lvlText w:val="%1."/>
      <w:numFmt w:val="decimal"/>
      <w:start w:val="4"/>
    </w:lvl>
  </w:abstractNum>
  <w:abstractNum w:abstractNumId="127">
    <w:nsid w:val="75486E47"/>
    <w:multiLevelType w:val="hybridMultilevel"/>
    <w:lvl w:ilvl="0">
      <w:lvlJc w:val="left"/>
      <w:lvlText w:val="%1."/>
      <w:numFmt w:val="decimal"/>
      <w:start w:val="7"/>
    </w:lvl>
  </w:abstractNum>
  <w:abstractNum w:abstractNumId="128">
    <w:nsid w:val="6E534CDE"/>
    <w:multiLevelType w:val="hybridMultilevel"/>
    <w:lvl w:ilvl="0">
      <w:lvlJc w:val="left"/>
      <w:lvlText w:val="%1."/>
      <w:numFmt w:val="decimal"/>
      <w:start w:val="9"/>
    </w:lvl>
  </w:abstractNum>
  <w:abstractNum w:abstractNumId="129">
    <w:nsid w:val="1A0DDE32"/>
    <w:multiLevelType w:val="hybridMultilevel"/>
    <w:lvl w:ilvl="0">
      <w:lvlJc w:val="left"/>
      <w:lvlText w:val="%1."/>
      <w:numFmt w:val="decimal"/>
      <w:start w:val="10"/>
    </w:lvl>
  </w:abstractNum>
  <w:abstractNum w:abstractNumId="130">
    <w:nsid w:val="65968C1C"/>
    <w:multiLevelType w:val="hybridMultilevel"/>
    <w:lvl w:ilvl="0">
      <w:lvlJc w:val="left"/>
      <w:lvlText w:val="%1."/>
      <w:numFmt w:val="decimal"/>
      <w:start w:val="12"/>
    </w:lvl>
  </w:abstractNum>
  <w:abstractNum w:abstractNumId="131">
    <w:nsid w:val="46263DEC"/>
    <w:multiLevelType w:val="hybridMultilevel"/>
    <w:lvl w:ilvl="0">
      <w:lvlJc w:val="left"/>
      <w:lvlText w:val="%1."/>
      <w:numFmt w:val="decimal"/>
      <w:start w:val="16"/>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decimal"/>
      <w:start w:val="1"/>
    </w:lvl>
  </w:abstractNum>
  <w:abstractNum w:abstractNumId="134">
    <w:nsid w:val="746F2E30"/>
    <w:multiLevelType w:val="hybridMultilevel"/>
    <w:lvl w:ilvl="0">
      <w:lvlJc w:val="left"/>
      <w:lvlText w:val="%1"/>
      <w:numFmt w:val="lowerLetter"/>
      <w:start w:val="1"/>
    </w:lvl>
    <w:lvl w:ilvl="1">
      <w:lvlJc w:val="left"/>
      <w:lvlText w:val="(%2)"/>
      <w:numFmt w:val="lowerLetter"/>
      <w:start w:val="1"/>
    </w:lvl>
  </w:abstractNum>
  <w:abstractNum w:abstractNumId="135">
    <w:nsid w:val="6FDE8AF6"/>
    <w:multiLevelType w:val="hybridMultilevel"/>
    <w:lvl w:ilvl="0">
      <w:lvlJc w:val="left"/>
      <w:lvlText w:val="(%1)"/>
      <w:numFmt w:val="lowerLetter"/>
      <w:start w:val="9"/>
    </w:lvl>
    <w:lvl w:ilvl="1">
      <w:lvlJc w:val="left"/>
      <w:lvlText w:val="(%2)"/>
      <w:numFmt w:val="lowerLetter"/>
      <w:start w:val="2"/>
    </w:lvl>
  </w:abstractNum>
  <w:abstractNum w:abstractNumId="136">
    <w:nsid w:val="3FC32E20"/>
    <w:multiLevelType w:val="hybridMultilevel"/>
    <w:lvl w:ilvl="0">
      <w:lvlJc w:val="left"/>
      <w:lvlText w:val="(%1)"/>
      <w:numFmt w:val="lowerLetter"/>
      <w:start w:val="1"/>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2"/>
    </w:lvl>
    <w:lvl w:ilvl="1">
      <w:lvlJc w:val="left"/>
      <w:lvlText w:val="(%2)"/>
      <w:numFmt w:val="lowerRoman"/>
      <w:start w:val="1"/>
    </w:lvl>
  </w:abstractNum>
  <w:abstractNum w:abstractNumId="139">
    <w:nsid w:val="230F856C"/>
    <w:multiLevelType w:val="hybridMultilevel"/>
    <w:lvl w:ilvl="0">
      <w:lvlJc w:val="left"/>
      <w:lvlText w:val="(%1)"/>
      <w:numFmt w:val="lowerLetter"/>
      <w:start w:val="4"/>
    </w:lvl>
  </w:abstractNum>
  <w:abstractNum w:abstractNumId="140">
    <w:nsid w:val="6EAA85FB"/>
    <w:multiLevelType w:val="hybridMultilevel"/>
    <w:lvl w:ilvl="0">
      <w:lvlJc w:val="left"/>
      <w:lvlText w:val="(%1)"/>
      <w:numFmt w:val="lowerLetter"/>
      <w:start w:val="6"/>
    </w:lvl>
  </w:abstractNum>
  <w:abstractNum w:abstractNumId="141">
    <w:nsid w:val="3F06ECB2"/>
    <w:multiLevelType w:val="hybridMultilevel"/>
    <w:lvl w:ilvl="0">
      <w:lvlJc w:val="left"/>
      <w:lvlText w:val="(%1)"/>
      <w:numFmt w:val="lowerRoman"/>
      <w:start w:val="1"/>
    </w:lvl>
  </w:abstractNum>
  <w:abstractNum w:abstractNumId="142">
    <w:nsid w:val="3B594807"/>
    <w:multiLevelType w:val="hybridMultilevel"/>
    <w:lvl w:ilvl="0">
      <w:lvlJc w:val="left"/>
      <w:lvlText w:val="(%1)"/>
      <w:numFmt w:val="lowerRoman"/>
      <w:start w:val="4"/>
    </w:lvl>
  </w:abstractNum>
  <w:abstractNum w:abstractNumId="143">
    <w:nsid w:val="6CAA2304"/>
    <w:multiLevelType w:val="hybridMultilevel"/>
    <w:lvl w:ilvl="0">
      <w:lvlJc w:val="left"/>
      <w:lvlText w:val="%1"/>
      <w:numFmt w:val="lowerLetter"/>
      <w:start w:val="1"/>
    </w:lvl>
    <w:lvl w:ilvl="1">
      <w:lvlJc w:val="left"/>
      <w:lvlText w:val="(%2)"/>
      <w:numFmt w:val="lowerLetter"/>
      <w:start w:val="1"/>
    </w:lvl>
  </w:abstractNum>
  <w:abstractNum w:abstractNumId="144">
    <w:nsid w:val="3F7C2FF4"/>
    <w:multiLevelType w:val="hybridMultilevel"/>
    <w:lvl w:ilvl="0">
      <w:lvlJc w:val="left"/>
      <w:lvlText w:val="(%1)"/>
      <w:numFmt w:val="lowerLetter"/>
      <w:start w:val="2"/>
    </w:lvl>
    <w:lvl w:ilvl="1">
      <w:lvlJc w:val="left"/>
      <w:lvlText w:val="(%2)"/>
      <w:numFmt w:val="lowerLetter"/>
      <w:start w:val="3"/>
    </w:lvl>
  </w:abstractNum>
  <w:abstractNum w:abstractNumId="145">
    <w:nsid w:val="25413BEC"/>
    <w:multiLevelType w:val="hybridMultilevel"/>
    <w:lvl w:ilvl="0">
      <w:lvlJc w:val="left"/>
      <w:lvlText w:val="(%1)"/>
      <w:numFmt w:val="lowerLetter"/>
      <w:start w:val="5"/>
    </w:lvl>
  </w:abstractNum>
  <w:abstractNum w:abstractNumId="146">
    <w:nsid w:val="17180B0B"/>
    <w:multiLevelType w:val="hybridMultilevel"/>
    <w:lvl w:ilvl="0">
      <w:lvlJc w:val="left"/>
      <w:lvlText w:val="%1"/>
      <w:numFmt w:val="decimal"/>
      <w:start w:val="1"/>
    </w:lvl>
    <w:lvl w:ilvl="1">
      <w:lvlJc w:val="left"/>
      <w:lvlText w:val="(%2)"/>
      <w:numFmt w:val="lowerLetter"/>
      <w:start w:val="1"/>
    </w:lvl>
  </w:abstractNum>
  <w:abstractNum w:abstractNumId="147">
    <w:nsid w:val="579328B9"/>
    <w:multiLevelType w:val="hybridMultilevel"/>
    <w:lvl w:ilvl="0">
      <w:lvlJc w:val="left"/>
      <w:lvlText w:val="(%1)"/>
      <w:numFmt w:val="decimal"/>
      <w:start w:val="10"/>
    </w:lvl>
    <w:lvl w:ilvl="1">
      <w:lvlJc w:val="left"/>
      <w:lvlText w:val="(%2)"/>
      <w:numFmt w:val="lowerLetter"/>
      <w:start w:val="3"/>
    </w:lvl>
  </w:abstractNum>
  <w:abstractNum w:abstractNumId="148">
    <w:nsid w:val="5D205E20"/>
    <w:multiLevelType w:val="hybridMultilevel"/>
    <w:lvl w:ilvl="0">
      <w:lvlJc w:val="left"/>
      <w:lvlText w:val="(%1)"/>
      <w:numFmt w:val="lowerLetter"/>
      <w:start w:val="5"/>
    </w:lvl>
  </w:abstractNum>
  <w:abstractNum w:abstractNumId="149">
    <w:nsid w:val="11CCA8BA"/>
    <w:multiLevelType w:val="hybridMultilevel"/>
    <w:lvl w:ilvl="0">
      <w:lvlJc w:val="left"/>
      <w:lvlText w:val="(%1)"/>
      <w:numFmt w:val="lowerLetter"/>
      <w:start w:val="1"/>
    </w:lvl>
  </w:abstractNum>
  <w:abstractNum w:abstractNumId="150">
    <w:nsid w:val="4D32AB86"/>
    <w:multiLevelType w:val="hybridMultilevel"/>
    <w:lvl w:ilvl="0">
      <w:lvlJc w:val="left"/>
      <w:lvlText w:val="%1"/>
      <w:numFmt w:val="lowerLetter"/>
      <w:start w:val="1"/>
    </w:lvl>
    <w:lvl w:ilvl="1">
      <w:lvlJc w:val="left"/>
      <w:lvlText w:val="(%2)"/>
      <w:numFmt w:val="lowerLetter"/>
      <w:start w:val="1"/>
    </w:lvl>
  </w:abstractNum>
  <w:abstractNum w:abstractNumId="151">
    <w:nsid w:val="3F07ACC3"/>
    <w:multiLevelType w:val="hybridMultilevel"/>
    <w:lvl w:ilvl="0">
      <w:lvlJc w:val="left"/>
      <w:lvlText w:val="(%1)"/>
      <w:numFmt w:val="lowerLetter"/>
      <w:start w:val="2"/>
    </w:lvl>
    <w:lvl w:ilvl="1">
      <w:lvlJc w:val="left"/>
      <w:lvlText w:val="(%2)"/>
      <w:numFmt w:val="lowerLetter"/>
      <w:start w:val="6"/>
    </w:lvl>
  </w:abstractNum>
  <w:abstractNum w:abstractNumId="152">
    <w:nsid w:val="6B47F63E"/>
    <w:multiLevelType w:val="hybridMultilevel"/>
    <w:lvl w:ilvl="0">
      <w:lvlJc w:val="left"/>
      <w:lvlText w:val="(%1)"/>
      <w:numFmt w:val="lowerLetter"/>
      <w:start w:val="7"/>
    </w:lvl>
  </w:abstractNum>
  <w:abstractNum w:abstractNumId="153">
    <w:nsid w:val="5CB44A05"/>
    <w:multiLevelType w:val="hybridMultilevel"/>
    <w:lvl w:ilvl="0">
      <w:lvlJc w:val="left"/>
      <w:lvlText w:val="(%1)"/>
      <w:numFmt w:val="lowerLetter"/>
      <w:start w:val="1"/>
    </w:lvl>
  </w:abstractNum>
  <w:abstractNum w:abstractNumId="154">
    <w:nsid w:val="16CF80F1"/>
    <w:multiLevelType w:val="hybridMultilevel"/>
    <w:lvl w:ilvl="0">
      <w:lvlJc w:val="left"/>
      <w:lvlText w:val="(%1)"/>
      <w:numFmt w:val="lowerLetter"/>
      <w:start w:val="2"/>
    </w:lvl>
  </w:abstractNum>
  <w:abstractNum w:abstractNumId="155">
    <w:nsid w:val="1C695DEC"/>
    <w:multiLevelType w:val="hybridMultilevel"/>
    <w:lvl w:ilvl="0">
      <w:lvlJc w:val="left"/>
      <w:lvlText w:val="%1."/>
      <w:numFmt w:val="decimal"/>
      <w:start w:val="1"/>
    </w:lvl>
    <w:lvl w:ilvl="1">
      <w:lvlJc w:val="left"/>
      <w:lvlText w:val="%2"/>
      <w:numFmt w:val="lowerLetter"/>
      <w:start w:val="1"/>
    </w:lvl>
  </w:abstractNum>
  <w:abstractNum w:abstractNumId="156">
    <w:nsid w:val="3FCFAED9"/>
    <w:multiLevelType w:val="hybridMultilevel"/>
    <w:lvl w:ilvl="0">
      <w:lvlJc w:val="left"/>
      <w:lvlText w:val="%1."/>
      <w:numFmt w:val="decimal"/>
      <w:start w:val="4"/>
    </w:lvl>
    <w:lvl w:ilvl="1">
      <w:lvlJc w:val="left"/>
      <w:lvlText w:val="(%2)"/>
      <w:numFmt w:val="lowerLetter"/>
      <w:start w:val="1"/>
    </w:lvl>
  </w:abstractNum>
  <w:abstractNum w:abstractNumId="157">
    <w:nsid w:val="F856867"/>
    <w:multiLevelType w:val="hybridMultilevel"/>
    <w:lvl w:ilvl="0">
      <w:lvlJc w:val="left"/>
      <w:lvlText w:val="(%1)"/>
      <w:numFmt w:val="lowerLetter"/>
      <w:start w:val="2"/>
    </w:lvl>
  </w:abstractNum>
  <w:abstractNum w:abstractNumId="158">
    <w:nsid w:val="11B1CC33"/>
    <w:multiLevelType w:val="hybridMultilevel"/>
    <w:lvl w:ilvl="0">
      <w:lvlJc w:val="left"/>
      <w:lvlText w:val="(%1)"/>
      <w:numFmt w:val="lowerLetter"/>
      <w:start w:val="3"/>
    </w:lvl>
  </w:abstractNum>
  <w:abstractNum w:abstractNumId="159">
    <w:nsid w:val="2E22FBB7"/>
    <w:multiLevelType w:val="hybridMultilevel"/>
    <w:lvl w:ilvl="0">
      <w:lvlJc w:val="left"/>
      <w:lvlText w:val="%1."/>
      <w:numFmt w:val="decimal"/>
      <w:start w:val="2"/>
    </w:lvl>
  </w:abstractNum>
  <w:abstractNum w:abstractNumId="160">
    <w:nsid w:val="29934699"/>
    <w:multiLevelType w:val="hybridMultilevel"/>
    <w:lvl w:ilvl="0">
      <w:lvlJc w:val="left"/>
      <w:lvlText w:val="%1."/>
      <w:numFmt w:val="decimal"/>
      <w:start w:val="3"/>
    </w:lvl>
  </w:abstractNum>
  <w:abstractNum w:abstractNumId="161">
    <w:nsid w:val="77485850"/>
    <w:multiLevelType w:val="hybridMultilevel"/>
    <w:lvl w:ilvl="0">
      <w:lvlJc w:val="left"/>
      <w:lvlText w:val="%1."/>
      <w:numFmt w:val="decimal"/>
      <w:start w:val="4"/>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decimal"/>
      <w:start w:val="5"/>
    </w:lvl>
  </w:abstractNum>
  <w:abstractNum w:abstractNumId="164">
    <w:nsid w:val="6B1D2C14"/>
    <w:multiLevelType w:val="hybridMultilevel"/>
    <w:lvl w:ilvl="0">
      <w:lvlJc w:val="left"/>
      <w:lvlText w:val="%1."/>
      <w:numFmt w:val="decimal"/>
      <w:start w:val="1"/>
    </w:lvl>
    <w:lvl w:ilvl="1">
      <w:lvlJc w:val="left"/>
      <w:lvlText w:val="%2."/>
      <w:numFmt w:val="lowerLetter"/>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jpe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141" Type="http://schemas.openxmlformats.org/officeDocument/2006/relationships/hyperlink" Target="http://www.sec.gov/Archives/edgar/data/1094038/000114420418054209/tv504951_ex3-4.htm" TargetMode="External"/><Relationship Id="rId142" Type="http://schemas.openxmlformats.org/officeDocument/2006/relationships/hyperlink" Target="http://www.sec.gov/Archives/edgar/data/1094038/000114420418054209/tv504951_ex3-6.htm" TargetMode="External"/><Relationship Id="rId143" Type="http://schemas.openxmlformats.org/officeDocument/2006/relationships/hyperlink" Target="http://www.sec.gov/Archives/edgar/data/1094038/000114420418054210/tv504949_ex4-1.htm" TargetMode="External"/><Relationship Id="rId144" Type="http://schemas.openxmlformats.org/officeDocument/2006/relationships/hyperlink" Target="http://www.sec.gov/Archives/edgar/data/1094038/000142488414000086/exhibit4-1.htm" TargetMode="External"/><Relationship Id="rId145" Type="http://schemas.openxmlformats.org/officeDocument/2006/relationships/hyperlink" Target="http://www.sec.gov/Archives/edgar/data/1094038/000142488415000006/exhibit4-6.htm" TargetMode="External"/><Relationship Id="rId146" Type="http://schemas.openxmlformats.org/officeDocument/2006/relationships/hyperlink" Target="http://www.sec.gov/Archives/edgar/data/1094038/000142488415000006/exhibit4-8.htm" TargetMode="External"/><Relationship Id="rId147" Type="http://schemas.openxmlformats.org/officeDocument/2006/relationships/hyperlink" Target="http://www.sec.gov/Archives/edgar/data/1094038/000142488415000006/exhibit4-9.htm" TargetMode="External"/><Relationship Id="rId148" Type="http://schemas.openxmlformats.org/officeDocument/2006/relationships/hyperlink" Target="http://www.sec.gov/Archives/edgar/data/1094038/000142488415000006/exhibit4-10.htm" TargetMode="External"/><Relationship Id="rId149" Type="http://schemas.openxmlformats.org/officeDocument/2006/relationships/hyperlink" Target="http://www.sec.gov/Archives/edgar/data/1094038/000142488415000030/exhibit4-6.htm" TargetMode="External"/><Relationship Id="rId150" Type="http://schemas.openxmlformats.org/officeDocument/2006/relationships/hyperlink" Target="http://www.sec.gov/Archives/edgar/data/1094038/000142488415000030/exhibit4-8.htm" TargetMode="External"/><Relationship Id="rId151" Type="http://schemas.openxmlformats.org/officeDocument/2006/relationships/hyperlink" Target="http://www.sec.gov/Archives/edgar/data/1094038/000142488415000030/exhibit4-9.htm" TargetMode="External"/><Relationship Id="rId152" Type="http://schemas.openxmlformats.org/officeDocument/2006/relationships/hyperlink" Target="http://www.sec.gov/Archives/edgar/data/1094038/000142488415000030/exhibit4-10.htm" TargetMode="External"/><Relationship Id="rId153" Type="http://schemas.openxmlformats.org/officeDocument/2006/relationships/hyperlink" Target="http://www.sec.gov/Archives/edgar/data/1094038/000119312516678673/d161424dex42.htm" TargetMode="External"/><Relationship Id="rId154" Type="http://schemas.openxmlformats.org/officeDocument/2006/relationships/hyperlink" Target="http://www.sec.gov/Archives/edgar/data/1094038/000119312516678673/d161424dex43.htm" TargetMode="External"/><Relationship Id="rId155" Type="http://schemas.openxmlformats.org/officeDocument/2006/relationships/hyperlink" Target="http://www.sec.gov/Archives/edgar/data/1094038/000119312516678673/d161424dex44.htm" TargetMode="External"/><Relationship Id="rId156" Type="http://schemas.openxmlformats.org/officeDocument/2006/relationships/hyperlink" Target="http://www.sec.gov/Archives/edgar/data/1094038/000119312516678673/d161424dex45.htm" TargetMode="External"/><Relationship Id="rId157" Type="http://schemas.openxmlformats.org/officeDocument/2006/relationships/hyperlink" Target="http://www.sec.gov/Archives/edgar/data/1094038/000119312516678673/d161424dex46.htm" TargetMode="External"/><Relationship Id="rId158" Type="http://schemas.openxmlformats.org/officeDocument/2006/relationships/hyperlink" Target="http://www.sec.gov/Archives/edgar/data/1094038/000119312516678673/d161424dex47.htm" TargetMode="External"/><Relationship Id="rId159" Type="http://schemas.openxmlformats.org/officeDocument/2006/relationships/hyperlink" Target="http://www.sec.gov/Archives/edgar/data/1094038/000119312516678673/d161424dex48.htm" TargetMode="External"/><Relationship Id="rId160" Type="http://schemas.openxmlformats.org/officeDocument/2006/relationships/hyperlink" Target="http://www.sec.gov/Archives/edgar/data/1094038/000119312516678673/d161424dex49.htm" TargetMode="External"/><Relationship Id="rId161" Type="http://schemas.openxmlformats.org/officeDocument/2006/relationships/hyperlink" Target="http://www.sec.gov/Archives/edgar/data/1094038/000119312516678673/d161424dex410.htm" TargetMode="External"/><Relationship Id="rId162" Type="http://schemas.openxmlformats.org/officeDocument/2006/relationships/hyperlink" Target="http://www.sec.gov/Archives/edgar/data/1094038/000119312516678673/d161424dex41.htm" TargetMode="External"/><Relationship Id="rId163" Type="http://schemas.openxmlformats.org/officeDocument/2006/relationships/hyperlink" Target="http://www.sec.gov/Archives/edgar/data/1094038/000119312516678673/d161424dex411.htm" TargetMode="External"/><Relationship Id="rId164" Type="http://schemas.openxmlformats.org/officeDocument/2006/relationships/hyperlink" Target="http://www.sec.gov/Archives/edgar/data/1094038/000114420417033502/v469341_ex4-1.htm" TargetMode="External"/><Relationship Id="rId165" Type="http://schemas.openxmlformats.org/officeDocument/2006/relationships/hyperlink" Target="http://www.sec.gov/Archives/edgar/data/1094038/000114420417033502/v469341_ex4-2.htm" TargetMode="External"/><Relationship Id="rId166" Type="http://schemas.openxmlformats.org/officeDocument/2006/relationships/hyperlink" Target="http://www.sec.gov/Archives/edgar/data/1094038/000119312516678673/d161424dex102.htm" TargetMode="External"/><Relationship Id="rId167" Type="http://schemas.openxmlformats.org/officeDocument/2006/relationships/hyperlink" Target="http://www.sec.gov/Archives/edgar/data/1094038/000114420417033502/v469341_ex10-2.htm" TargetMode="External"/><Relationship Id="rId168" Type="http://schemas.openxmlformats.org/officeDocument/2006/relationships/hyperlink" Target="http://www.sec.gov/Archives/edgar/data/1094038/000142488415000006/exhibit10-1.htm" TargetMode="External"/><Relationship Id="rId169" Type="http://schemas.openxmlformats.org/officeDocument/2006/relationships/hyperlink" Target="http://www.sec.gov/Archives/edgar/data/1094038/000142488415000030/exhibit10-1.htm" TargetMode="External"/><Relationship Id="rId170" Type="http://schemas.openxmlformats.org/officeDocument/2006/relationships/hyperlink" Target="http://www.sec.gov/Archives/edgar/data/1094038/000142488415000054/exhibit10-1.htm" TargetMode="External"/><Relationship Id="rId171" Type="http://schemas.openxmlformats.org/officeDocument/2006/relationships/hyperlink" Target="http://www.sec.gov/Archives/edgar/data/1094038/000142488415000057/exhibit10-1.htm" TargetMode="External"/><Relationship Id="rId172" Type="http://schemas.openxmlformats.org/officeDocument/2006/relationships/hyperlink" Target="http://www.sec.gov/Archives/edgar/data/1094038/000119312516678673/d161424dex101.htm" TargetMode="External"/><Relationship Id="rId173" Type="http://schemas.openxmlformats.org/officeDocument/2006/relationships/hyperlink" Target="http://www.sec.gov/Archives/edgar/data/1094038/000119312516678673/d161424dex103.htm" TargetMode="External"/><Relationship Id="rId174" Type="http://schemas.openxmlformats.org/officeDocument/2006/relationships/hyperlink" Target="http://www.sec.gov/Archives/edgar/data/1094038/000119312516678673/d161424dex104.htm" TargetMode="External"/><Relationship Id="rId175" Type="http://schemas.openxmlformats.org/officeDocument/2006/relationships/hyperlink" Target="http://www.sec.gov/Archives/edgar/data/1094038/000114420417033502/v469341_ex10-1.htm" TargetMode="External"/><Relationship Id="rId176" Type="http://schemas.openxmlformats.org/officeDocument/2006/relationships/hyperlink" Target="http://www.sec.gov/Archives/edgar/data/1094038/000114420417033502/v469341_ex10-3.htm" TargetMode="External"/><Relationship Id="rId177" Type="http://schemas.openxmlformats.org/officeDocument/2006/relationships/hyperlink" Target="http://www.sec.gov/Archives/edgar/data/1094038/000114420417033502/v469341_ex10-4.htm" TargetMode="External"/><Relationship Id="rId178" Type="http://schemas.openxmlformats.org/officeDocument/2006/relationships/hyperlink" Target="http://www.sec.gov/Archives/edgar/data/1094038/000114420417034074/v469703_ex10-1.htm" TargetMode="External"/><Relationship Id="rId179" Type="http://schemas.openxmlformats.org/officeDocument/2006/relationships/hyperlink" Target="http://www.sec.gov/Archives/edgar/data/1094038/000114420418033374/tv496182_ex10-1.htm" TargetMode="External"/><Relationship Id="rId180" Type="http://schemas.openxmlformats.org/officeDocument/2006/relationships/hyperlink" Target="http://www.sec.gov/Archives/edgar/data/1094038/000114420418033374/tv496182_ex4-1.htm" TargetMode="External"/><Relationship Id="rId181" Type="http://schemas.openxmlformats.org/officeDocument/2006/relationships/hyperlink" Target="http://www.sec.gov/Archives/edgar/data/1094038/000114420418033374/tv496182_ex4-2.htm" TargetMode="External"/><Relationship Id="rId182" Type="http://schemas.openxmlformats.org/officeDocument/2006/relationships/hyperlink" Target="http://www.sec.gov/Archives/edgar/data/1094038/000114420418028370/tv494002_ex2-1.htm" TargetMode="External"/><Relationship Id="rId183" Type="http://schemas.openxmlformats.org/officeDocument/2006/relationships/hyperlink" Target="http://www.sec.gov/Archives/edgar/data/1094038/000142488415000124/exhibit10-1.htm" TargetMode="External"/><Relationship Id="rId184" Type="http://schemas.openxmlformats.org/officeDocument/2006/relationships/hyperlink" Target="http://www.sec.gov/Archives/edgar/data/1094038/000119312516682054/d157003dex107.htm" TargetMode="External"/><Relationship Id="rId185" Type="http://schemas.openxmlformats.org/officeDocument/2006/relationships/hyperlink" Target="http://www.sec.gov/Archives/edgar/data/1094038/000142488410000008/forddef14-c.htm" TargetMode="External"/><Relationship Id="rId186" Type="http://schemas.openxmlformats.org/officeDocument/2006/relationships/hyperlink" Target="http://www.sec.gov/Archives/edgar/data/1094038/000114420417046574/v474594_ex10-1.htm" TargetMode="External"/><Relationship Id="rId187" Type="http://schemas.openxmlformats.org/officeDocument/2006/relationships/hyperlink" Target="http://www.sec.gov/Archives/edgar/data/1094038/000114420418054209/tv504951_ex4-4.htm" TargetMode="External"/><Relationship Id="rId188" Type="http://schemas.openxmlformats.org/officeDocument/2006/relationships/hyperlink" Target="http://www.sec.gov/Archives/edgar/data/1094038/000114420418054989/tv505356_ex10-3.htm" TargetMode="External"/><Relationship Id="rId189" Type="http://schemas.openxmlformats.org/officeDocument/2006/relationships/hyperlink" Target="http://www.sec.gov/Archives/edgar/data/1094038/000114420418056172/tv505663_ex10-1.htm" TargetMode="External"/><Relationship Id="rId190" Type="http://schemas.openxmlformats.org/officeDocument/2006/relationships/hyperlink" Target="http://www.sec.gov/Archives/edgar/data/1094038/000114420418054989/tv505356_ex10-2.htm" TargetMode="External"/><Relationship Id="rId191" Type="http://schemas.openxmlformats.org/officeDocument/2006/relationships/hyperlink" Target="http://www.sec.gov/Archives/edgar/data/1094038/000142488415000168/exhibit10-7.htm" TargetMode="External"/><Relationship Id="rId192" Type="http://schemas.openxmlformats.org/officeDocument/2006/relationships/hyperlink" Target="http://www.sec.gov/Archives/edgar/data/1094038/000142488415000168/exhibit10-8.htm" TargetMode="External"/><Relationship Id="rId193" Type="http://schemas.openxmlformats.org/officeDocument/2006/relationships/hyperlink" Target="http://www.sec.gov/Archives/edgar/data/1094038/000119312516650797/d208443dex101.htm" TargetMode="External"/><Relationship Id="rId194" Type="http://schemas.openxmlformats.org/officeDocument/2006/relationships/hyperlink" Target="http://www.sec.gov/Archives/edgar/data/1094038/000114420417049357/v475675_ex10-2.htm" TargetMode="External"/><Relationship Id="rId195" Type="http://schemas.openxmlformats.org/officeDocument/2006/relationships/hyperlink" Target="http://www.sec.gov/Archives/edgar/data/1094038/000114420417049357/v475675_ex10-1.htm" TargetMode="External"/><Relationship Id="rId196" Type="http://schemas.openxmlformats.org/officeDocument/2006/relationships/hyperlink" Target="http://www.sec.gov/Archives/edgar/data/1094038/000119312516690727/d230909dex101.htm" TargetMode="External"/><Relationship Id="rId197" Type="http://schemas.openxmlformats.org/officeDocument/2006/relationships/hyperlink" Target="http://www.sec.gov/Archives/edgar/data/1094038/000114420418062867/tv508378_ex10-2.htm" TargetMode="External"/><Relationship Id="rId198" Type="http://schemas.openxmlformats.org/officeDocument/2006/relationships/hyperlink" Target="http://www.sec.gov/Archives/edgar/data/1094038/000114420418062867/tv508378_ex10-3.htm" TargetMode="External"/><Relationship Id="rId199" Type="http://schemas.openxmlformats.org/officeDocument/2006/relationships/hyperlink" Target="http://www.sec.gov/Archives/edgar/data/1094038/000114420418054989/tv50535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2020-01-09T17:28:52Z</dcterms:created>
  <dcterms:modified xsi:type="dcterms:W3CDTF">2020-01-09T17:28:52Z</dcterms:modified>
</cp:coreProperties>
</file>