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10-Q</w:t>
      </w:r>
    </w:p>
    <w:p>
      <w:pPr>
        <w:spacing w:after="0" w:line="15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Under Section 13 or 15(d) of the Securities Exchange Act of 1934 for the quarterly period ended March 31, 2025</w:t>
      </w:r>
    </w:p>
    <w:p>
      <w:pPr>
        <w:spacing w:after="0" w:line="154" w:lineRule="exact"/>
        <w:rPr>
          <w:sz w:val="24"/>
          <w:szCs w:val="24"/>
          <w:color w:val="auto"/>
        </w:rPr>
      </w:pPr>
    </w:p>
    <w:p>
      <w:pPr>
        <w:ind w:left="3720" w:right="1140" w:hanging="3712"/>
        <w:spacing w:after="0" w:line="474" w:lineRule="auto"/>
        <w:tabs>
          <w:tab w:leader="none" w:pos="26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Transition Report Under Section 13 or 15(d) of the Securities Exchange Act of 1934 for the transition period from _____ to _____. Commission File Number: </w:t>
      </w:r>
      <w:r>
        <w:rPr>
          <w:rFonts w:ascii="Times New Roman" w:cs="Times New Roman" w:eastAsia="Times New Roman" w:hAnsi="Times New Roman"/>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-23495</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MARKER THERAPEUTICS,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registrant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4840" w:type="dxa"/>
            <w:vAlign w:val="bottom"/>
          </w:tcPr>
          <w:p>
            <w:pPr>
              <w:jc w:val="right"/>
              <w:ind w:right="1959"/>
              <w:spacing w:after="0"/>
              <w:rPr>
                <w:sz w:val="20"/>
                <w:szCs w:val="20"/>
                <w:color w:val="auto"/>
              </w:rPr>
            </w:pPr>
            <w:r>
              <w:rPr>
                <w:rFonts w:ascii="Times New Roman" w:cs="Times New Roman" w:eastAsia="Times New Roman" w:hAnsi="Times New Roman"/>
                <w:sz w:val="16"/>
                <w:szCs w:val="16"/>
                <w:b w:val="1"/>
                <w:bCs w:val="1"/>
                <w:color w:val="auto"/>
              </w:rPr>
              <w:t>45-4497941</w:t>
            </w:r>
          </w:p>
        </w:tc>
      </w:tr>
      <w:tr>
        <w:trPr>
          <w:trHeight w:val="210"/>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8"/>
                <w:szCs w:val="18"/>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41"/>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2450 Holcombe Blvd, Suite BCM-A, MS: BCM251</w:t>
            </w:r>
          </w:p>
        </w:tc>
        <w:tc>
          <w:tcPr>
            <w:tcW w:w="4840" w:type="dxa"/>
            <w:vAlign w:val="bottom"/>
          </w:tcPr>
          <w:p>
            <w:pPr>
              <w:spacing w:after="0"/>
              <w:rPr>
                <w:sz w:val="24"/>
                <w:szCs w:val="24"/>
                <w:color w:val="auto"/>
              </w:rPr>
            </w:pPr>
          </w:p>
        </w:tc>
      </w:tr>
      <w:tr>
        <w:trPr>
          <w:trHeight w:val="225"/>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Houston, Texas</w:t>
            </w:r>
          </w:p>
        </w:tc>
        <w:tc>
          <w:tcPr>
            <w:tcW w:w="4840" w:type="dxa"/>
            <w:vAlign w:val="bottom"/>
          </w:tcPr>
          <w:p>
            <w:pPr>
              <w:jc w:val="right"/>
              <w:ind w:right="2139"/>
              <w:spacing w:after="0"/>
              <w:rPr>
                <w:sz w:val="20"/>
                <w:szCs w:val="20"/>
                <w:color w:val="auto"/>
              </w:rPr>
            </w:pPr>
            <w:r>
              <w:rPr>
                <w:rFonts w:ascii="Times New Roman" w:cs="Times New Roman" w:eastAsia="Times New Roman" w:hAnsi="Times New Roman"/>
                <w:sz w:val="16"/>
                <w:szCs w:val="16"/>
                <w:b w:val="1"/>
                <w:bCs w:val="1"/>
                <w:color w:val="auto"/>
              </w:rPr>
              <w:t>77021</w:t>
            </w:r>
          </w:p>
        </w:tc>
      </w:tr>
      <w:tr>
        <w:trPr>
          <w:trHeight w:val="210"/>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0" w:type="dxa"/>
            <w:vAlign w:val="bottom"/>
          </w:tcPr>
          <w:p>
            <w:pPr>
              <w:spacing w:after="0"/>
              <w:rPr>
                <w:sz w:val="18"/>
                <w:szCs w:val="18"/>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337"/>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(713) 400-6400</w:t>
            </w:r>
          </w:p>
        </w:tc>
        <w:tc>
          <w:tcPr>
            <w:tcW w:w="2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0"/>
        </w:trPr>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(Issuer’s telephone number)</w:t>
            </w:r>
          </w:p>
        </w:tc>
        <w:tc>
          <w:tcPr>
            <w:tcW w:w="220" w:type="dxa"/>
            <w:vAlign w:val="bottom"/>
          </w:tcPr>
          <w:p>
            <w:pPr>
              <w:spacing w:after="0"/>
              <w:rPr>
                <w:sz w:val="18"/>
                <w:szCs w:val="18"/>
                <w:color w:val="auto"/>
              </w:rPr>
            </w:pPr>
          </w:p>
        </w:tc>
        <w:tc>
          <w:tcPr>
            <w:tcW w:w="4840" w:type="dxa"/>
            <w:vAlign w:val="bottom"/>
          </w:tcPr>
          <w:p>
            <w:pPr>
              <w:spacing w:after="0"/>
              <w:rPr>
                <w:sz w:val="18"/>
                <w:szCs w:val="18"/>
                <w:color w:val="auto"/>
              </w:rPr>
            </w:pPr>
          </w:p>
        </w:tc>
      </w:tr>
    </w:tbl>
    <w:p>
      <w:pPr>
        <w:spacing w:after="0" w:line="329"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351"/>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38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80" w:type="dxa"/>
            <w:vAlign w:val="bottom"/>
          </w:tcPr>
          <w:p>
            <w:pPr>
              <w:spacing w:after="0"/>
              <w:rPr>
                <w:sz w:val="20"/>
                <w:szCs w:val="20"/>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MRKR</w:t>
            </w:r>
          </w:p>
        </w:tc>
        <w:tc>
          <w:tcPr>
            <w:tcW w:w="16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62"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Accelerated filer</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9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right="162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11,314,835 shares of common stock outstanding as of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707390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55880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2025 and 2024</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2025 and</w:t>
            </w:r>
          </w:p>
        </w:tc>
        <w:tc>
          <w:tcPr>
            <w:tcW w:w="940" w:type="dxa"/>
            <w:vAlign w:val="bottom"/>
            <w:shd w:val="clear" w:color="auto" w:fill="CCEEFF"/>
          </w:tcPr>
          <w:p>
            <w:pPr>
              <w:spacing w:after="0"/>
              <w:rPr>
                <w:sz w:val="15"/>
                <w:szCs w:val="15"/>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88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10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425"/>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2,458,765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2,346,703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16,993,266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22,022,860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16,993,266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Related party payable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411,327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2,501,395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2,501,395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 March 31, 2025 and December 31, 2024, respectively</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11.2 million and 10.7 million</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March 31, 2025 and December 31, 2024, respectively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(see Note 8)</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465,944,020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465,564,876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(451,463,362)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(447,017,178)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14,491,871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18,558,406</w:t>
            </w: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16,993,266</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1000" w:right="2260"/>
        <w:spacing w:after="0" w:line="268" w:lineRule="auto"/>
        <w:rPr>
          <w:sz w:val="20"/>
          <w:szCs w:val="20"/>
          <w:color w:val="auto"/>
        </w:rPr>
      </w:pPr>
      <w:r>
        <w:rPr>
          <w:rFonts w:ascii="Times New Roman" w:cs="Times New Roman" w:eastAsia="Times New Roman" w:hAnsi="Times New Roman"/>
          <w:sz w:val="18"/>
          <w:szCs w:val="18"/>
          <w:b w:val="1"/>
          <w:bCs w:val="1"/>
          <w:color w:val="auto"/>
        </w:rPr>
        <w:t>MARKER THERAPEUTICS, INC. CONDENSED CONSOLIDATED STATEMENTS OF OPERATIONS (UNAUDITED)</w:t>
      </w:r>
    </w:p>
    <w:p>
      <w:pPr>
        <w:spacing w:after="0" w:line="182"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349,104</w:t>
            </w:r>
          </w:p>
        </w:tc>
        <w:tc>
          <w:tcPr>
            <w:tcW w:w="100" w:type="dxa"/>
            <w:vAlign w:val="bottom"/>
          </w:tcPr>
          <w:p>
            <w:pPr>
              <w:spacing w:after="0"/>
              <w:rPr>
                <w:sz w:val="18"/>
                <w:szCs w:val="18"/>
                <w:color w:val="auto"/>
              </w:rPr>
            </w:pP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early termination of vendor agreement</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4,957,777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(4,608,673)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156,195</w:t>
            </w:r>
          </w:p>
        </w:tc>
        <w:tc>
          <w:tcPr>
            <w:tcW w:w="0" w:type="dxa"/>
            <w:vAlign w:val="bottom"/>
          </w:tcPr>
          <w:p>
            <w:pPr>
              <w:spacing w:after="0"/>
              <w:rPr>
                <w:sz w:val="1"/>
                <w:szCs w:val="1"/>
                <w:color w:val="auto"/>
              </w:rPr>
            </w:pPr>
          </w:p>
        </w:tc>
      </w:tr>
      <w:tr>
        <w:trPr>
          <w:trHeight w:val="25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(4,446,184)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(2,392,822)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11,106,027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8,901,962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11,106,027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8,901,962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4"/>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0"/>
                <w:szCs w:val="10"/>
                <w:color w:val="auto"/>
              </w:rPr>
            </w:pPr>
          </w:p>
        </w:tc>
        <w:tc>
          <w:tcPr>
            <w:tcW w:w="13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940" w:type="dxa"/>
            <w:vAlign w:val="bottom"/>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11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10,709,005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10,708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465,564,876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(447,017,178)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18,558,406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exercise  of</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prefunded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(4,446,184)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11,214,835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11,213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465,944,020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(451,463,362)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14,491,871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4"/>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0"/>
                <w:szCs w:val="10"/>
                <w:color w:val="auto"/>
              </w:rPr>
            </w:pPr>
          </w:p>
        </w:tc>
        <w:tc>
          <w:tcPr>
            <w:tcW w:w="13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940" w:type="dxa"/>
            <w:vAlign w:val="bottom"/>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11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8,891,420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8,891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450,329,515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(436,285,863)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14,052,543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exercise of stock</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(2,392,822)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8,910,917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8,910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450,458,009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(438,678,685)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11,788,234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MARKER THERAPEUTICS, INC. CONDENSED CONSOLIDATED STATEMENTS OF CASH FLOWS (UNAUDITED)</w:t>
      </w:r>
    </w:p>
    <w:p>
      <w:pPr>
        <w:spacing w:after="0" w:line="182"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(4,446,184)</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(2,392,822)</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79,417</w:t>
            </w: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(357,576)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w:t>
            </w: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(823,647)</w:t>
            </w: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payable</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(1,299,173)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(975,690)</w:t>
            </w: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204,507</w:t>
            </w:r>
          </w:p>
        </w:tc>
      </w:tr>
      <w:tr>
        <w:trPr>
          <w:trHeight w:val="210"/>
        </w:trPr>
        <w:tc>
          <w:tcPr>
            <w:tcW w:w="7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(3,837,118)</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exercise of warrants and stock options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49,096</w:t>
            </w:r>
          </w:p>
        </w:tc>
      </w:tr>
      <w:tr>
        <w:trPr>
          <w:trHeight w:val="209"/>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(5,499,232)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(3,788,022)</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15,111,450</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13,693,208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11,323,428</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antigen recognizing (“MAR”)-T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Cell Ready; Manufacturing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26, 2023, the Company completed the previously announced transaction with Cell Ready, LLC (“Cell Ready”) pursuant to a Purchase Agreement (the “Cell Ready Purchase Agreement), dated May 1, 2023, by and between the Company and Cell Ready. Mr. John Wilson was a member of the Company’s board of directors at the time of the Cell Ready Purchase Agreement and through December 31, 2024 and is serving as the CEO of Cell Ready, therefore Cell Ready is a related party. Mr. Wilson resigned as a director of the Company on January 24,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closing of the Cell Ready Purchase Agreement, the Company no longer operates a cGMP manufacturing facility and instead relies on third parties for the clinical and, once approved, commercial manufacture of our product candidates. As such, on February 22, 2024, the Company entered into a Master Services Agreement for Product Supply (the “MSA”) with Cell Ready for the provision of various products and services by Cell Ready pursuant to work orders that may be entered into from time to time. Cell Ready is a contract development and manufacturing organization (CDMO).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the Company and Cell Ready. This payment is included in loss on early termination of vendor agreement within the condensed consolidated statement of operations.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Baylor College of Medicine (“BCM”) continues to supply the Company with products as the Company continues its clinical trials. Furthermore, in anticipation of the commencement of the Company’s larger pivotal trial for Lymphoma in 2026, as well as the eventual need for commercial scale production, the Company is evaluating and qualifying additional potential third-party manufacturing partners to provide potential multiple sources of clinical and commercial supply.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for the unaudited condensed consolidated statement of operations are not necessarily indicative of results to be expected for the year ending December 31, 2025, or for any future interim period. The condensed consolidated balance sheet at December 31, 2024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2024 and notes thereto included in the Company’s annual report on Form 10-K filed on March 31,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LIQUIDITY AND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2025, the Company had cash and cash equivalents of approximately $13.7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 and grants.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August 2021, the Company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“ATM Agreement”) with Cantor Fitzgerald &amp; Co. and RBC Capital Markets, LLC (the “Sales Agents”), pursuant to which the Company could offer and sell, from time to time at its sole discretion through the Sales Agents, shares of its common stock having an aggregate offering price of up to $75.0 million. Any shares of its common stock sold were issued pursuant to the Company’s shelf registration statement on Form S-3 (File No. 333-258687), which the SEC declared effective on August 19, 2021. However, our use of the shelf registration statement on Form S-3 is limited for so long as we were subject to General Instruction I.B.6 of Form S-3, which limits the amounts that we may sell under the registration statement and in accordance with the ATM agreement. The Sales Agents were entitled to compensation under the Sales Agreement at a commission rate equal to 3.0% of the gross sales price per share sold under the ATM Agreement, and we provided each of the Sales Agents with indemnification and contribution rights. There was no common stock issued under the ATM Agreement during the three months ended March 31, 2025 or 2024. On June 10, 2024, the Company provided notice of its termination of the ATM Agreement with Cantor Fitzgerald &amp; Co. and RBC Capital Markets, LLC. The Company is not subject to any termination penalties related to the termination of the ATM Agreement.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Company entered into an At The Market Offering Agreement, or the Sales Agreement, with H.C. Wainwright &amp; Co. LLC, relating to the sale of shares of its common stock having an agreement offering price of up to $11,431,713 from time to time through H.C. Wainwright &amp; Co. LLC. Any shares of common stock sold will be issued pursuant to the Company’s shelf registration statement on Form S-3 (File No. 333-283512), which the SEC declared effective on December 6, 2024. However, the Company’s use of the shelf registration statement on Form S-3 will be limited for so long as it is subject to General Instruction I.B.6 of Form S-3, which limits the amounts that the Company may sell under the registration statement and in accordance with the ATM agreement. H.C. Wainwright &amp; Co. LLC will be entitled to compensation under the Sales Agreement at a commission rate equal to 3.0% of the gross sales price per share sold under the ATM Agreement, and the Company’ has provided H.C. Wainwright &amp; Co. LLC with indemnification and contribution rights.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Cancer Prevention and Research Institute of Texas (“CPRIT”) to support the Company’s clinical investigation of MT-401 as an Off - the</w:t>
      </w:r>
    </w:p>
    <w:p>
      <w:pPr>
        <w:jc w:val="both"/>
        <w:ind w:firstLine="8"/>
        <w:spacing w:after="0" w:line="252" w:lineRule="auto"/>
        <w:tabs>
          <w:tab w:leader="none" w:pos="1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Shelf (OTS) product in patients with Acute Myeloid Leukemia (AML) (the “CPRIT AML Grant”). Through the date of this filing, the Company has received $11.0 million of funds from the CPRIT AML Grant. The Company recorded $0.2 million and $0.8 million of grant income related to the CPRIT AML Grant as revenue for the three months ended March 31, 2025 and 2024, respectively. As of March 31, 2025, the Company’s grant income receivable balance for this grant was $2.3 million, which represented grant income earned in advance of funds to be received from CPRIT. In April and May 2025, the Company received $0.5 million and $0.8 million, respectively, of funds from the CPRIT AML Grant.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received notice from the U.S. Food and Drug Administration (the “FDA”) that it had awarded the Company a $2.0 million grant from the FDA’s Orphan Products Grant program to support the Company’s clinical investigation of MT-401 for the treatment of post-transplant AML Through the date of this filing, the Company has received $1.0 million from the FDA grant. The Company recorded nil and $0.3 million of grant income related to the FDA grant as revenue for the three months ended March 31, 2025 and 2024, respectively, and as of March 31, 2025, the Company had no grant income receivable balance for this grant.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the Company received notice of a $2.0 million grant from the National Institutes of Health Small Business Innovation Research (“SBIR”) program to support the development and investigation of MT-401 for the treatment of AML patients following standard-of-care therapy with hypomethylating agents (the “SBIR AML Grant”). Through the date of this filing, the Company has received $1.3 million from SBIR. The Company recorded $0.1 million and $0.2 million of grant income related to the SBIR AML Grant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revenue for the three months ended March 31, 2025 and 2024, respectively. As of March 31, 2025, the Company’s grant income receivable balance for this grant was $0.1 million, which represented grant income earned in advance of funds to be received from the SBIR.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2 - year period from the National Institutes of Health - National Cancer Institute (“NIH”) to support control over tumor immune escape in pancreatic cancer using a dual T cell product strategy (the “Decoy Grant”). Through the date of this filing, the Company has received approximately $20,000 from NIH for this grant. The Company recorded approximately $14,000 of grant income related to the Decoy Grant as revenue during the three months ended March 31, 2025, and as of March 31, 2025, the Company’s grant income receivable balance for this grant was approximately $14,000.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SBIR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no grant income related to this grant as revenue for the three months ended March 31, 2025, and as of March 31, 2025, the Company had no grant income receivable balance related to this grant.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(the “PANACEA Grant”). Through the date of this filing, the Company has received approximately $15,000 from NIH for this grant. The Company recorded approximately $8,000 of grant income related to the PANACEA Grant as revenue during the three months ended March 31, 2025, and as of March 31, 2025, the Company’s grant income receivable balance for this grant was approximately $8,000.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received notice of an additional $9.5 million grant from CPRIT to support the clinical investigation of MT-601 in patients with metastatic pancreatic cancer (the “CPRIT Pancreatic Grant”). Through the date of this filing, the Company has received $1.5 million of funds from this grant. The Company recorded $13,000 of grant income related to this grant as revenue during the three months ended March 31, 2025, and as of March 31, 2025, the Company’s grant income receivable balance for this grant was $13,000. In April 2025, the Company received $1.5 million of funds from the CPRIT Pancreatic Grant.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Net proceeds from the sale of securities in the Private Placement was approximately $14.9 million, which does not include any proceeds that may be received upon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to incur substantial losses over the next several years during its development phase.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Company’s lack of recurring revenues, anticipated uses of cash and historical recurring cash losses from operating activities, and cash and cash equivalents as of March 31, 2025, the Company anticipates that it will be able to fund its operating expenses and capital expenditure requirements into the first quarter of 2026, assuming no additional grant funds are received. These factors raise substantial doubt regarding the Company’s ability to continue as a going concern.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considering raising additional capital through the issuance of common shares and intends to apply for additional grant funds, which could enable the Company to fund its operating expenses and capital expenditure requirements beyond the first quarter of 2026,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8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Initiates, continues, or accelerates clinical trials of its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the research and development of its product candidates and seeks to discover additional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and enforces intellectual property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contract manufacturing arrangements with contract manufacturing organizations for clinical manufacturing supply;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strategic transactions the Company may undertake;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to those previously disclosed in the Annual Report on Form 10-K for the year ended December 31, 2024 filed on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Credit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considers highly liquid investments with a maturity of three months or less when purchased to be cash equivalents. Cash and cash equivalents at March 31, 2025 consisted of cash and certificates of deposit in institutions in the United States. The Company maintains cash in accounts which are in excess of the Federal Deposit Insurance Corporation (“FDIC”) insured limits of $250,000. As of March 31, 2025, the Company had approximately $0.5 million in cash at financial institutions and approximately $13.2 million in U.S. government agency securities, for aggregate cash and cash equivalents of $13.7 million. As of December 31, 2024, the Company had approximately $1.1 million in cash at financial institutions and approximately $18.1 million in U.S. government agency securities, for aggregate cash and cash equivalents of $19.2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cash is received from grants in advance of incurring qualifying costs, it is recorded as restricted cash until it is earned and recorded to grant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incremental stock-based compensation expense of $0.3 million pertaining to the modification of stock options in connection with certain consultants, including individuals who were previously employed by Cell Ready, whose contracts have been extended. The modification provided for an acceleration of unvested options, resulting in $0.3 million in compensation expense that was immediately recognized, and is reflected in operating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adopted Accounting Standard Update (“ASU”) 2023-07, Segment Reporting (Topic 280) - Improvements to Reportable Segment Disclosures, as of January 1, 2024. See the section Recently Adopted Accounting Standards below for more information.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and commercialization of novel T cell-based immunotherapies for the treatment of hematological malignancies and solid tumor indications. The Company’s operations are organized and reported as a single reportable segment, which includes all activities related to the discovery, development, and commercialization of its products. The Company’s CODM, its chief executive officer, reviews operating results on an aggregate basis and manages the operations as a single operating segment.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policies of the Company’s single operating and reportable segment are the same as those described in the Company’s summary of significant accounting policies as previously disclosed in the Annual Report on Form 10-K for the year ended December 31, 2024 filed on March 31, 2025. The measure of segment assets is reported on the consolidated balance sheets as total assets. The CODM evaluates performance and allocates resources based on consolidated net income (loss) that also is reported on the consolidated statements of operations as net loss, and consolidated cash used in operations. The Company’s significant expenses are consistent with the expenses presented on the consolidated statement of operations. The CODM makes operating decisions based on the availability of cash and the allocation of cash to the required expenditures. Expenses are not regularly provided to the CODM on a more disaggregated basis for purposes of assessing segment performance and deciding how to allocate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Effective January 1, 2024, the Company adopted the new standard on a retrospective basis for annual periods, and interim periods beginning the first quarter of 2025. The Company does not believe the impact of the new guidance and related codification improvements had a material impact to its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guidance to have a material impact on its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share for the three months ended March 31, 2025 and 2024, respectively:</w:t>
      </w:r>
    </w:p>
    <w:p>
      <w:pPr>
        <w:spacing w:after="0" w:line="23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(4,446,184)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(2,392,822)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11,106,027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8,901,962</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11,106,027</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8,901,962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securities, rounded to the nearest thousand, were not included in the diluted net loss per share calculation because their effect was anti-dilutive for the periods presented:</w:t>
      </w:r>
    </w:p>
    <w:p>
      <w:pPr>
        <w:spacing w:after="0" w:line="16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00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639,000</w:t>
            </w: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purchase warrants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5,031,250</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5,759,250</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639,000</w:t>
            </w: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RECEIVABLE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Qualifying grant income earned in advance of cash received from grants is recognized as revenue and recorded as other receivable. The Company recorded $0.2 million and $0.8 million of grant income related to the CPRIT AML Grant for the three months ended March 31, 2025 and 2024, respectively. As of March 31, 2025, the Company’s grant income receivable balance for this grant was $2.3 million. In April and May 2025, the Company received $0.5 million and $0.8 million of funds from the CPRIT AML Grant, respectively.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$0.1 million and $0.2 million of grant income related to the SBIR AML Grant as revenue for the three months ended March 31, 2025 and 2024, respectively. As of March 31, 2025, the Company’s grant income receivable balance for this grant was $0.1 million , which represented grant income earned in advance of funds to be received from the SBIR.</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approximately $14,000 of grant income related to the Decoy Grant as revenue during the three months ended March 31, 2025, and as of March 31, 2025, the Company’s grant income receivable balance for this grant was approximately $14,000.</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approximately $8,000 of grant income related to the PANACEA Grant as revenue during the three months ended March 31, 2025, and as of March 31, 2025, the Company’s grant income receivable balance for this grant was $8,000.</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$13,000 of grant income related to the CPRIT Pancreatic Grant as revenue during the three months ended March 31, 2025, and as of March 31, 2025, the Company’s grant income receivable balance for this grant was $13,000. In April 2025, the Company received $1.5 million of funds from the CPRIT Pancreatic Grant.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ACCOUNTS PAYABLE, ACCRUED LIABILITIES AND RELATED PARTY PAYABLE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payable, accrued liabilities, and related party payable consist of the following as of March 31, 2024 and December 31, 2023,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1,066,000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1,711,000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204,000</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2,501,000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3,464,000</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$0.4 million and $1.7 million related-party payable as of March 31, 2025 and December 31, 2024, respectively, reflect amounts for outsourced product development and manufacturing services. See Note 12: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Private Placement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transaction closed on December 23, 2024. The purchase price per share of common stock and accompanying Private Placement Warrant to purchase a share of common stock was $3.20, and the purchase price per Pre-Funded Warrant and accompanying Private Placement Warrant to purchase a share of common stock was $3.199. Net proceeds from the sale of securities in the Private Placement was approximately $14.9 million, which does not include any proceeds that may be received upon the exercise of any warrants issued in the Private Placement. Both the Pre-Funded Warrants and the Private Placement Warrants were not exercisable until the Company obtained shareholder approval, which approval was received on March 21,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Exercise of Stock Options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certain outstanding options were exercised for 19,497 shares of common stock providing aggregate proceeds to the Company of approximately $49,000.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warrants outstanding at March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66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gridSpan w:val="2"/>
            <w:vMerge w:val="continue"/>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90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78"/>
        </w:trPr>
        <w:tc>
          <w:tcPr>
            <w:tcW w:w="7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Private</w:t>
            </w:r>
          </w:p>
        </w:tc>
        <w:tc>
          <w:tcPr>
            <w:tcW w:w="920" w:type="dxa"/>
            <w:vAlign w:val="bottom"/>
            <w:tcBorders>
              <w:top w:val="single" w:sz="8" w:color="CCEEFF"/>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placement</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9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CEEFF"/>
          </w:tcPr>
          <w:p>
            <w:pPr>
              <w:spacing w:after="0"/>
              <w:rPr>
                <w:sz w:val="20"/>
                <w:szCs w:val="20"/>
                <w:color w:val="auto"/>
              </w:rPr>
            </w:pP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5 years from shareholder approval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5,031,250</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5,031,250</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40" w:type="dxa"/>
            <w:vAlign w:val="bottom"/>
          </w:tcPr>
          <w:p>
            <w:pPr>
              <w:spacing w:after="0"/>
              <w:rPr>
                <w:sz w:val="18"/>
                <w:szCs w:val="18"/>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 years from shareholder approval</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3,247,445</w:t>
            </w:r>
          </w:p>
        </w:tc>
        <w:tc>
          <w:tcPr>
            <w:tcW w:w="14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2,741,615</w:t>
            </w:r>
          </w:p>
        </w:tc>
        <w:tc>
          <w:tcPr>
            <w:tcW w:w="0" w:type="dxa"/>
            <w:vAlign w:val="bottom"/>
          </w:tcPr>
          <w:p>
            <w:pPr>
              <w:spacing w:after="0"/>
              <w:rPr>
                <w:sz w:val="1"/>
                <w:szCs w:val="1"/>
                <w:color w:val="auto"/>
              </w:rPr>
            </w:pPr>
          </w:p>
        </w:tc>
      </w:tr>
      <w:tr>
        <w:trPr>
          <w:trHeight w:val="209"/>
        </w:trPr>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8,278,695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7,772,865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vMerge w:val="restart"/>
          </w:tcPr>
          <w:p>
            <w:pPr>
              <w:jc w:val="right"/>
              <w:ind w:right="1197"/>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Equity Incentive Awards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12, 2025, pursuant to the Company’s 2020 Equity Incentive Plan, the compensation committee of the Company’s board of directors approved 50,000 options to purchase the Company’s common stock as equity-based incentive awards to the Company’s Chief Executive Officer and President, Dr. Juan Vera, and 30,000 options to purchase the Company’s common stock as equity-based incentive awards to each Non-Employee Director. Each option award was granted with an exercise price of $1.59 per share, the closing price of the Company’s common stock on the Nasdaq Capital Market on February 12, 2025, with the option award vesting in three annual installments, subject to such Optionee’s continued service on the applicable vesting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three months ended March 31, 2025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Intrinsic Value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3"/>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727,704</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411,591</w:t>
            </w:r>
          </w:p>
        </w:tc>
        <w:tc>
          <w:tcPr>
            <w:tcW w:w="1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40" w:type="dxa"/>
            <w:vAlign w:val="bottom"/>
            <w:vMerge w:val="continue"/>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three months ended March 31, 2025 were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73"/>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Ended March 31, 2025</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102 %</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4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4.47 %</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expenses recorded during the respective periods:</w:t>
      </w:r>
    </w:p>
    <w:p>
      <w:pPr>
        <w:spacing w:after="0" w:line="23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000" w:type="dxa"/>
        <w:tblCellMar>
          <w:top w:w="0" w:type="dxa"/>
          <w:left w:w="0" w:type="dxa"/>
          <w:bottom w:w="0" w:type="dxa"/>
          <w:right w:w="0" w:type="dxa"/>
        </w:tblCellMar>
      </w:tblPr>
      <w:tr>
        <w:trPr>
          <w:trHeight w:val="142"/>
        </w:trPr>
        <w:tc>
          <w:tcPr>
            <w:tcW w:w="38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expenses:</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80" w:type="dxa"/>
            <w:vAlign w:val="bottom"/>
          </w:tcPr>
          <w:p>
            <w:pPr>
              <w:spacing w:after="0"/>
              <w:rPr>
                <w:sz w:val="18"/>
                <w:szCs w:val="18"/>
                <w:color w:val="auto"/>
              </w:rPr>
            </w:pP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stock compensation expenses</w:t>
            </w:r>
          </w:p>
        </w:tc>
        <w:tc>
          <w:tcPr>
            <w:tcW w:w="134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79,000</w:t>
            </w:r>
          </w:p>
        </w:tc>
      </w:tr>
      <w:tr>
        <w:trPr>
          <w:trHeight w:val="20"/>
        </w:trPr>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incremental stock-based compensation expense of $0.3 million pertaining to the modification of stock options in connection with certain consultants, including individuals who were previously employed by Cell Ready, whose contracts have been extended. The modification provided for an acceleration of unvested options, resulting in $0.3 million in compensation expense that was immediately recognized, and is reflected in operating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total stock-based compensation cost related to unvested awards not yet recognized was $0.3 million. The expected weighted average period compensation costs to be recognized was approximately 2.5 years. Future option grants will impact the compensation expense recognized.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GRANT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restricted cash recorded as of March 31, 2025 or December 31, 2024. If qualifying grant income is earned in advance of cash received from grants, it is recognized as revenue and recorded as other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CPRIT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the Company’s clinical investigation of MT-401 in patients with AML.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$0.2 million and $0.8 million of grant income related to the CPRIT AML Grant as revenue for the three months ended March 31, 2025, and 2024, respectively. As of March 31, 2025, the Company’s grant income receivable balance for this grant was $2.3 million, which represented grant income earned in advance of funds to be received from CPRIT. In April and May 2025, the Company received $0.5 million and $0.8 million of funds from the CPRIT AML Grant,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received notice of an additional $9.5 million grant from CPRIT to support the clinical investigation of MT-601 in patients with metastatic pancreatic cancer. The Company recorded $13,000 of grant income related to the CPRIT Pancreatic Grant as revenue for the three months ended March 31, 2025. As of March 31, 2025, the Company’s grant income receivable balance for this grant was $13,000, which represented grant income earned in advance of funds to be received from CPRIT. In April 2025, the Company received $1.5 million of funds from the CPRIT Pancreatic Grant.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CPRIT grants are subject to certain revenue-sharing arrangements, as per the grant agreements (see Note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FDA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Company’s clinical investigation of MT-401 for the treatment of post-transplant AML. The Company recorded nil and $0.3 million of grant income related to the FDA grant as revenue for the three months ended March 31, 2025 and March 31, 2024, respectively. As of March 31, 2025, the Company had no grant income receivable balance for this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SBIR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it had received a $2.0 million grant from the National Institutes of Health Small Business Innovation Research program to support the development and investigation of MT-401 for the treatment of AML patients following standard-of-care therapy with hypomethylating agents. The Company recorded $0.1 million and $0.2 million of grant income related to the SBIR AML Grant as revenue for the three months ended March 31, 2025 and 2024, respectively. As of March 31, 2025, the Company’s grant income receivable balance for this grant was $0.1 million, which represented grant income earned in advance of funds to be received from the SBIR.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 following anti-CD19 chimeric antigen receptor (CAR) T cell therapy. The Company recorded no grant income related to this grant as revenue for the three months ended March 31, 2025, and as of March 31, 2025, the Company had no grant income receivable balance for this grant.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received notice of another $2.0 million grant from the National Institutes of Health Small Business Innovation Research Program to support the clinical investigation of MT-601 in patients with pancreatic cancer. The Company recorded approximately $8,000 of grant income for the three months ended March 31, 2025 and had the same balance in other receivables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NIH – National Cancer Institute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to support control over tumor immune escape in pancreatic cancer using a dual T cell product strategy. The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Company recorded approximately $14,000 of grant income for the three months ended March 31, 2025 and recorded the same amount in other receivables as of March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Cancer Prevention and Research Institute of Texas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the Company’s clinical investigation of MT-401 in patients with AML. In December 2024, the Company received notice of an additional $9.5 million grant from CPRIT to support the clinical investigation of MT-601 in patients with pancreatic cancer. Both CPRIT grants contain identical terms surrounding intellectual property and revenue sharing.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Baylor College of Medicine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clinical trials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related party transaction expenses recorded for the three months ended March 31, 2025 and 2024, respectively.</w:t>
      </w:r>
    </w:p>
    <w:p>
      <w:pPr>
        <w:spacing w:after="0" w:line="16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000" w:type="dxa"/>
        <w:tblCellMar>
          <w:top w:w="0" w:type="dxa"/>
          <w:left w:w="0" w:type="dxa"/>
          <w:bottom w:w="0" w:type="dxa"/>
          <w:right w:w="0" w:type="dxa"/>
        </w:tblCellMar>
      </w:tblPr>
      <w:tr>
        <w:trPr>
          <w:trHeight w:val="142"/>
        </w:trPr>
        <w:tc>
          <w:tcPr>
            <w:tcW w:w="56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Baylor College of Medicine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Cell Ready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1,186,000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Wolf Manufacturing Corporation</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related party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1,186,000</w:t>
            </w: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$0.4 million of related party transactions are included in accounts payable and accrued liabilities as of March 31, 2025. See Note 7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Agreements with The Baylor College of Medicine (“BCM”)</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2019, May 2020 and July 2021, the Company entered into Clinical Supply Agreements with BCM, which provided for BCM to provide to the Company multi tumor antigen specific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2020, the Company entered into a Clinical Trial Agreement with BCM, which provided for BCM to provide to the Company investigator-initiated research studies.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 Clinical Site Agreement with BCM, which provided for BCM to conduct clinical trials for the Company and is a part of continuing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BCM is also a shareholder of the Company’s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incurred $0.6 million in expenses related to services and manufacturing costs and paid BCM approximately $40,000 for invoices received.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Wilson Wolf</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the Company utilized Wilson Wolf for the purchases of cell culture devices. Mr. John Wilson is a former director and current shareholder and is serving as the CEO of Wilson Wolf Manufacturing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incurred approximately $29,000 in expenses related to cell culture devices and paid Wilson Wolf approximately $29,000 for invoices received.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Cell Ready, LLC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utilized Cell Ready, LLC for clinical manufacturing supply and product development. On February 22, 2024, the Company entered into a 3-year Master Services Agreement for Product Supply (the “MSA”) with Cell Ready. Cell Ready, which is owned by a former director and current shareholder, Mr. John Wilson, is a contract development and manufacturing organization (CDMO). During the three months ended March 31, 2025, the Company incurred $0.6 million in expenses related to services and manufacturing costs and paid $2.6 million for invoices received.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the Company and Cell Ready.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that occurred up to the date these unaudited condensed consolidated financial statements were issued. Based upon this review, the Company did not identify any subsequent events that would have required adjustment to or disclosure in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should be read in conjunction with our unaudited condensed consolidated interim financial statements and related notes included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MAR-T cell program for:</w:t>
      </w:r>
    </w:p>
    <w:p>
      <w:pPr>
        <w:spacing w:after="0" w:line="225"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MAR-T cell product for the treatment of lymphoma and pancreatic cancer (MT-601)</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genetically engineer our MAR-T cell therapies and we believe that our product candidates are superior to T cells engineered with chimeric antigen receptors, or CAR-T, for several reasons including:</w:t>
      </w:r>
    </w:p>
    <w:p>
      <w:pPr>
        <w:spacing w:after="0" w:line="162"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minimized tumor immune escape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MAR-T cell therapies to date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no risk of mutagenesis and reduced manufacturing complexity →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123190</wp:posOffset>
            </wp:positionV>
            <wp:extent cx="5863590" cy="143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MAR-T cell recognition of cancer targets. For example, we are assessing the potential of combining MAR-T cell products with other products.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2024, we issued a press release providing an update on the progress and clinical observations from the Phase 1 APOLLO study, with a data cutoff date of September 10, 2024. Our Phase 1 APOLLO study is investigating MT-601, a MAR-T cell product, in patients with lymphoma who have relapsed after anti-CD19 chimeric antigen receptor (CAR) T cell therapy or where anti-CD19 CAR-T cells are not an option. In this update, clinical data was available for 9 patients from 5 clinical sites across the United States. Study participants showed early objective responses with and without lymphodepletion. However, immunomonitoring data confirmed that lymphodepletion enhanced the expansion and persistence of MAR-T cell clones in vivo.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the APOLLO study include:</w:t>
      </w:r>
    </w:p>
    <w:p>
      <w:pPr>
        <w:spacing w:after="0" w:line="221" w:lineRule="exact"/>
        <w:rPr>
          <w:sz w:val="20"/>
          <w:szCs w:val="20"/>
          <w:color w:val="auto"/>
        </w:rPr>
      </w:pPr>
    </w:p>
    <w:p>
      <w:pPr>
        <w:jc w:val="both"/>
        <w:ind w:left="680" w:hanging="321"/>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 Infusion of MT-601 was well tolerated in all study participants, with no observation of immune-effector cell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neurotoxicity syndrome (ICANS) and one reported Grade 1 cytokine release syndrome (CRS). No dose limiting toxicities (DLTs) have been reported to date.</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Efficacy </w:t>
      </w:r>
      <w:r>
        <w:rPr>
          <w:rFonts w:ascii="Times New Roman" w:cs="Times New Roman" w:eastAsia="Times New Roman" w:hAnsi="Times New Roman"/>
          <w:sz w:val="18"/>
          <w:szCs w:val="18"/>
          <w:color w:val="auto"/>
        </w:rPr>
        <w:t>– In the first dose cohort, 7 out of 9 patients achieved objective responses (78%) at first response assessment, with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demonstrating complete response (CR; 44.4%).</w:t>
      </w:r>
    </w:p>
    <w:p>
      <w:pPr>
        <w:spacing w:after="0" w:line="154"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Time in Follow-Up </w:t>
      </w:r>
      <w:r>
        <w:rPr>
          <w:rFonts w:ascii="Times New Roman" w:cs="Times New Roman" w:eastAsia="Times New Roman" w:hAnsi="Times New Roman"/>
          <w:sz w:val="18"/>
          <w:szCs w:val="18"/>
          <w:color w:val="auto"/>
        </w:rPr>
        <w:t>– Long-term follow-up of 6 to 12 months is currently available for three patients. Ongoing follow-up visits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being conducted to assess the durability of responses. All study participants are monitored closely to ensure comprehensive data collection and patient safety.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154305</wp:posOffset>
            </wp:positionV>
            <wp:extent cx="4852035" cy="2520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5203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we opened an in-house cGMP manufacturing facility in Houston, Texas, where we manufactured the clinical supply of our product candidates. Subsequently, on June 26, 2023, we completed a transaction with Cell Ready, LLC, or Cell Ready, pursuant to a Purchase Agreement, or the Cell Ready Purchase Agreement, dated May 1, 2023, by and between us and Cell Ready, pursuant to which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any contracts related to the equipment and Manufacturing Facilities (collectively referred to as the “Purchased Assets”). Following the closing of the Cell Ready Purchase Agreement, we no longer operate our own cGMP manufacturing facility and instead rely on third parties for the clinical and, once approved, commercial manufacture of our product candidates.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such, 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The MSA contains customary representations, warranties and indemnification provision. The initial term of the MSA was three years. On March 27, 2025, we mutually agreed with Cell Ready to terminate the MSA. In connection therewith, we and Cell Ready entered into a settlement and release agreement pursuant to which we paid Cell Ready approximately $453,000 and we and Cell Ready provided one another mutual releases of all claims associated with any and all agreements between Marker and Cell Ready.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BCM continues to supply us with products, as we continue our clinical trials. Furthermore, in anticipation of the commencement of our larger pivotal trial for Lymphoma in 2026, as well as the eventual need for commercial scale production, we are evaluating and qualifying additional potential third-party manufacturing partners to provide potential multiple sources of clinical and commercial supply. We are in discussions with a number of CDMO candidates and anticipate that we will select a partner organization and commence the qualification and technology transfer process later this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and 2024, we incurred $0.6 million and $1.2 million in expenses related to the Cell Ready services and manufacturing costs, respectively. During the three months ended March 31, 2025 we paid $2.6 million related to Cell Ready invoices received. During the three months ended March 31, 2025 we incurred $0.6 million in expenses related to BCM services and manufacturing costs. No BCM expenses were incurred during the three months ended March 31, 2024. During the three months ended March 31, 2025, we paid approximately $40,000 related to BCM invoices received.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transaction closed on December 23, 2024.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 Both the Pre-Funded Warrants and the Private Placement Warrants were not exercisable until the Company obtained shareholder approval.</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21, 2025, the Company held a Special Meeting of Stockholders (the “Special Meeting”) at which the stockholders approved, in accordance with Nasdaq Listing Rule 5635(d), of the issuance of the shares issuable upon exercise of (i) Series A Warrants to acquire 5,031,250 shares of Common Stock and (ii) Series B Warrants to acquire 3,247,445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of our results of operations and financial condition, amounts in financial tables, other than per-share amounts, have been rounded to the nearest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continuing operations for the three months ended March 31,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(895,000)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early termination of vendor agreement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4,957,000</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3,793,000</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1,164,000</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(2,549,000)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(4,446,000)</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(2,393,000)</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(2,053,000)</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generate any revenue during the three months ended March 31, 2025 and 2024, respectively, from the sales or licensing of our product candidates.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 During the three months ended March 31, 2025 and 2024, we recognized $0.2 million and $0.8 million of revenue, respectively, associated with the CPRIT AML Grant.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we received notice from the FDA that it had awarded us a $2.0 million grant from the FDA’s Orphan Products Grant program to support the clinical investigation of MT-401 for the treatment of post-transplant AML. During the three months ended March 31, 2025 and 2024, we recognized nil and $0.3 million of revenue, respectively associated with the FDA grant.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(the “SBIR AML Grant”). During the three months ended March 31, 2025 and 2024, we recognized $0.1 million and $0.2 million of revenue associated with the SBIR AML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to support control over tumor immune escape in pancreatic cancer using a dual T cell product strategy (the “Decoy Grant”). During the three months ended March 31, 2025, we recognized approximately $14,000 of revenue associated with the Decoy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received notice of an additional $2.0 million grant from the SBIR program to support the clinical investigation of MT-601 in patients with non-Hodgkin’s lymphoma (NHL) who have relapsed following anti-CD19 chimeric antigen receptor (CAR) T cell therapy. The Company recorded no grant income related to this grant as revenue for the three months ended March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(the “PANACEA Grant”). During the three months ended March 31, 2025, we recognized approximately $8,000 of revenue associated with the PANACEA Grant.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notice of an additional $9.5 million grant from CPRIT to support the clinical investigation of MT-601 in patients with metastatic pancreatic cancer (the “CPRIT Pancreatic Grant”). The Company recorded $13,000 of grant income related to this grant for the three months ended March 31, 2025. The CPRIT Pancreatic Grant and the CPRIT AML Grant are subject to certain revenue-sharing arrangements, see Note 11 to the accompanying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incurred during the three months ended March 31, 2025 were $5.0 million compared to $3.8 million during the same period ended 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and expenditures in operating expenses are outlined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22% to $3.1 million for the three months ended March 31, 2025, compared to $2.6 million for the three months ended March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$0.5 million in 2025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$0.8 million in clinical trial expense,</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$0.2 million in process development expenses,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$0.1 million in headcount-related expenses, offset by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$0.6 million in Cell Ready (outsourced) clinical manufacturing costs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12% to $1.4 million for the three months ended March 31, 2025, compared to $1.2 million during the same period ended 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$0.2 million in 2025 was primarily attributable legal and professional fees.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Early Termination of Vendor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mutually agreed with Cell Ready to terminate the MSA. In connection therewith, we entered into a settlement and release agreement with Cell Ready pursuant to which we paid Cell Ready approximately $453,000 and the parties provided one another with mutual releases of all claims associated with any and all agreements between us and Cell Ready.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$0.2 million and $0.2 million for the three months ended March 31, 2025 and 2024, respectively, and was attributable to interest income relating to funds that are held in U.S. Treasury notes and U.S. government agency-backed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our net loss during the three months ended March 31, 2025 compared to the three months ended March 31, 2024 was primarily due to cost increases in our research and development activities, cost increases in our general and administrative expenses, and the loss on termination of the Cell Ready MSA. We anticipate that we will continue to incur net losses in the future as we continue to invest in research and development activities, including clinical development of our MAR-T cell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as well as grants.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lack of recurring revenues, anticipated uses of cash and historical recurring cash losses from operating activities, and cash and cash equivalents as of March 31, 2025, we anticipate that we will be able to fund our operating expenses and capital expenditure requirements into the first quarter of 2026, assuming no additional grant funds are received. We are considering raising additional capital through the issuance of common shares and intend to apply for additional grant funds, which could enable us to fund our operating expenses and capital expenditure requirements beyond the first quarter of 2026, although no assurance can be given that such capital or existing awarded grants will be earned or future grants will be awarded. This estimate is subject to our ability to effectively manage our costs, raise additional capital, and receive additional grant funds.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working capital as of March 31, 2025 and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19,192,000</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2025 and 2024:</w:t>
      </w:r>
    </w:p>
    <w:p>
      <w:pPr>
        <w:spacing w:after="0" w:line="232"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(5,500,000)</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(3,837,000)</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49,000</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(3,788,000)</w:t>
            </w:r>
          </w:p>
        </w:tc>
      </w:tr>
      <w:tr>
        <w:trPr>
          <w:trHeight w:val="20"/>
        </w:trPr>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2025 was $5.5 million. The use of cash primarily related to our net loss of $4.4 million, offset by $0.4 million of non-cash stock-based compensation, and a $1.5 million decrease from changes in assets and liabilities.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2024 was $3.8 million. The use of cash primarily related to our net loss from continuing operations of $2.4 million offset by $0.1 million of non-cash stock-based compensation, and a $1.5 million decrease from changes in assets and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$505 and $0.1 million during the three months ended March 31, 2025 and March 31, 2024, respectively, due to the net proceeds from the exercise of warrants and stock options,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CPRIT to support the Company’s clinical investigation of MT-401 in patients with AML. Through the date of this filing, the Company has received $11.0 million of funds from the CPRIT AML Grant. The Company recorded $0.2 million of grant income related to the CPRIT grant as revenue during the three months ended March 31, 2025 and as of March 31, 2025, the Company had a grant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 balance of $2.3 million for this grant. In April and May 2025, the Company received $0.5 million and $0.8 million, respectively, of funds from the CPRIT AML Grant.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$1.0 million from the FDA grant. The Company recorded no grant income related to the FDA grant as revenue during the three months ended March 31, 2025 and as of March 31, 2025, the Company had no grant income receivable balance for this grant.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$1.3 million from the SBIR AML Grant. The Company recorded $0.1 million of grant income from the SBIR AML Grant as revenue during the three months ended March 31, 2025 and as of March 31, 2025, the Company had a grant income receivable balance of $0.1 million for this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(“NIH”) to support control over tumor immune escape in pancreatic cancer using a dual T cell product strategy. Through the date of this filing, the Company has received approximately $20,000 from the NIH for the Decoy Grant. The Company recorded approximately $14,000 of grant income related to the NIH grant as revenue during the three months ended March 31, 2025 and as of March 31, 2025, the Company had a grant income receivable balance of $14,000 for this grant.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SBIR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no grant income related to this grant as revenue for the three months ended March 31, 2025 and as of March 31, 2025, the Company had no grant income receivable balance for this grant.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Through the date of this filing, the Company has received approximately $15,000 of funds from the PANACEA Grant. The Company recorded approximately $8,000 of grant income related to this grant as revenue for the three months ended March 31, 2025 and as of March 31, 2025, the Company had a grant income receivable balance of $8,000 for this grant.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2024, the Company received notice an additional $9.5 million grant from CPRIT to support the clinical investigation of MT-601 in patients with metastatic pancreatic cancer. As of the date of this filing, the Company has received $1.5 million of funds related to this grant. The Company recorded approximately $13,000 of grant income related to this grant as revenue for the three months ended March 31, 2025 and as of March 31, 2025, the Company had a grant income receivable balance of $13,000 for this grant. In April 2025, the Company received $1.5 million of funds from the CPRIT Pancreatic Grant. The CPRIT Pancreatic Grant and the CPRIT AML Grant are subject to certain revenue-sharing arrangements, see Note 11 to the accompanying financial statements for further information.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2025, we had working capital of $14.5 million, compared to working capital of $18.6 million as of December 31, 2024. Operating expenses incurred during the three months ended March 31, 2025 were $5.0 million compared to $3.8 million during the equivalent prior year period. Based on our lack of recurring revenues, anticipated uses of cash and historical recurring cash losses from operating activities, and cash and cash equivalents as of March 31, 2025, we anticipate that we will be able to fund our operating expenses and capital expenditure requirements into the first quarter of 2026, assuming no additional grant funds are received. We are considering raising additional capital through the issuance of common shares and intends to apply for additional grant funds, which could enable us to fund our operating expenses and capital expenditure requirements beyond the first quarter of 2026,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83"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continue clinical trials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product candidates and seek to discover additional product candidates; seek regulatory approvals for our product candidates if they successfully complete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development of our manufacturing capabilities;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transactions we may undertake;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August 2021, we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and RBC Capital Markets, LLC, or the Sales Agents, pursuant to which we could offer and sell, from time to time at our sole discretion through the Sales Agents, shares of our common stock having an aggregate offering price of up to $75.0 million. Any shares of our common stock sold were issued pursuant to our shelf registration statement on Form S-3 (File No. 333-258687), which the SEC declared effective on August 19, 2021. However, our use of the shelf registration statement on Form S-3 was limited for so long as we are subject to General Instruction I.B.6 of Form S-3, which limits the amounts that we could sell under the registration statement and in accordance with the ATM agreement. The Sales Agents were entitled to compensation under the Sales Agreement at a commission rate equal to 3.0% of the gross sales price per share sold under the ATM Agreement, and we provided each of the Sales Agents with indemnification and contribution rights. There was no common stock issued under the ATM Agreement during the three months ended March 31, 2024. On June 10, 2024, the Company provided notice of its termination of the ATM Agreement with Cantor Fitzgerald &amp;</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 and RBC Capital Markets, LLC. The Company is not subject to any termination penalties related to the termination of the ATM Agreement.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we entered into an At The Market Offering Agreement, or the Sales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 may sell under the registration statement and in accordance with the ATM agreement. H.C. Wainwright &amp; Co. LLC will be entitled to compensation under the Sales Agreement at a commission rate equal to 3.0% of the gross sales price per share sold under the ATM Agreement, and we have provided H.C. Wainwright &amp; Co. LLC with indemnification and contribution rights.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transaction closed on December 23, 2024.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 Both the Pre-Funded Warrants and the Private Placement Warrants were not exercisable until the Company obtained shareholder approval, which approval was received on March 21,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sources of revenue, other than grant income, to provide incoming cash flows to sustain our future operations. As outlined above, our ability to pursue our long-term planned business activities is dependent upon our successful efforts to raise additional capital.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critical accounting policies include grant income. The Company does not have any critical accounting estimates.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grant income, the Company recognizes revenue when qualifying costs are incurred for the amount the Company is entitled to under the provisions of the contract.</w:t>
      </w:r>
    </w:p>
    <w:p>
      <w:pPr>
        <w:spacing w:after="0" w:line="117"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36830</wp:posOffset>
            </wp:positionV>
            <wp:extent cx="6283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6283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the end of the period covered by this report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as of the end of the period covered by this report. Based on that evaluation, our principal executive officer and principal financial officer concluded that our disclosure controls and procedures are effective in recording, processing, summarizing, and reporting, on a timely basis, information required to be disclosed by us in the reports that we file or submit under the Exchange Act.</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fiscal quarter ended March 31,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including those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2024, filed with the Securities and Exchange Commission on March 31, 2025. There have been no material changes to the risk factors described in that report.</w:t>
      </w:r>
    </w:p>
    <w:p>
      <w:pPr>
        <w:spacing w:after="0" w:line="179"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36830</wp:posOffset>
            </wp:positionV>
            <wp:extent cx="6283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any issuances of unregistered securities during the three months ended March 31, 2025.</w:t>
      </w:r>
    </w:p>
    <w:p>
      <w:pPr>
        <w:spacing w:after="0" w:line="167"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6283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36830</wp:posOffset>
            </wp:positionV>
            <wp:extent cx="6283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and Officer Trading Plans and Arrangements</w:t>
      </w:r>
      <w:r>
        <w:rPr>
          <w:rFonts w:ascii="Times New Roman" w:cs="Times New Roman" w:eastAsia="Times New Roman" w:hAnsi="Times New Roman"/>
          <w:sz w:val="18"/>
          <w:szCs w:val="18"/>
          <w:color w:val="auto"/>
        </w:rPr>
        <w:t>. During the quarterly period ended March 31, 2025, no director or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adopted or terminated any contract, instruction or written plan for the purchase or sale of securities of the Company intended to satisfy the affirmative defense conditions of Rule 10b5-1(c) of the Exchange Act or any “non-Rule 10b5-1 trading arrangement” (as defined in the Exchange Act).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included with this Quarterly Report on Form 10-Q:</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9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2700" w:type="dxa"/>
            <w:vAlign w:val="bottom"/>
            <w:gridSpan w:val="9"/>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9"/>
                <w:szCs w:val="9"/>
                <w:color w:val="auto"/>
              </w:rPr>
            </w:pPr>
          </w:p>
        </w:tc>
        <w:tc>
          <w:tcPr>
            <w:tcW w:w="620" w:type="dxa"/>
            <w:vAlign w:val="bottom"/>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6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9"/>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9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Certificate of Incorporation (Delaware).</w:t>
              </w:r>
            </w:hyperlink>
          </w:p>
        </w:tc>
        <w:tc>
          <w:tcPr>
            <w:tcW w:w="960" w:type="dxa"/>
            <w:vAlign w:val="bottom"/>
            <w:gridSpan w:val="6"/>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3"/>
          </w:tcPr>
          <w:p>
            <w:pPr>
              <w:jc w:val="center"/>
              <w:ind w:left="314"/>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Certificate  of  Amendment  to  Certificate  of</w:t>
              </w:r>
            </w:hyperlink>
          </w:p>
        </w:tc>
        <w:tc>
          <w:tcPr>
            <w:tcW w:w="160" w:type="dxa"/>
            <w:vAlign w:val="bottom"/>
            <w:gridSpan w:val="2"/>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3"/>
          </w:tcPr>
          <w:p>
            <w:pPr>
              <w:jc w:val="center"/>
              <w:ind w:left="314"/>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1"/>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Incorporation.</w:t>
              </w:r>
            </w:hyperlink>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Amendment  to  Amended  and</w:t>
              </w:r>
            </w:hyperlink>
          </w:p>
        </w:tc>
        <w:tc>
          <w:tcPr>
            <w:tcW w:w="200" w:type="dxa"/>
            <w:vAlign w:val="bottom"/>
            <w:gridSpan w:val="4"/>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3"/>
          </w:tcPr>
          <w:p>
            <w:pPr>
              <w:jc w:val="center"/>
              <w:ind w:left="314"/>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1/26/2023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1"/>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Restated Certificate of Incorporation</w:t>
              </w:r>
            </w:hyperlink>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Bylaws of Marker Therapeutics, Inc.</w:t>
              </w:r>
            </w:hyperlink>
          </w:p>
        </w:tc>
        <w:tc>
          <w:tcPr>
            <w:tcW w:w="1200" w:type="dxa"/>
            <w:vAlign w:val="bottom"/>
            <w:gridSpan w:val="8"/>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3"/>
          </w:tcPr>
          <w:p>
            <w:pPr>
              <w:jc w:val="center"/>
              <w:ind w:left="314"/>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8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15d-14(a) of the Securities</w:t>
            </w:r>
          </w:p>
        </w:tc>
        <w:tc>
          <w:tcPr>
            <w:tcW w:w="20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1933, as amended.</w:t>
            </w:r>
          </w:p>
        </w:tc>
        <w:tc>
          <w:tcPr>
            <w:tcW w:w="122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6"/>
                <w:szCs w:val="26"/>
                <w:color w:val="auto"/>
                <w:vertAlign w:val="superscript"/>
              </w:rPr>
              <w:t>*</w:t>
            </w:r>
          </w:p>
        </w:tc>
        <w:tc>
          <w:tcPr>
            <w:tcW w:w="200" w:type="dxa"/>
            <w:vAlign w:val="bottom"/>
          </w:tcPr>
          <w:p>
            <w:pPr>
              <w:spacing w:after="0"/>
              <w:rPr>
                <w:sz w:val="24"/>
                <w:szCs w:val="24"/>
                <w:color w:val="auto"/>
              </w:rPr>
            </w:pPr>
          </w:p>
        </w:tc>
        <w:tc>
          <w:tcPr>
            <w:tcW w:w="38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18 U.S.C. 1350 as adopted pursuant to Section</w:t>
            </w:r>
          </w:p>
        </w:tc>
        <w:tc>
          <w:tcPr>
            <w:tcW w:w="20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98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6"/>
                <w:szCs w:val="26"/>
                <w:color w:val="auto"/>
                <w:vertAlign w:val="superscript"/>
              </w:rPr>
              <w:t>*</w:t>
            </w:r>
          </w:p>
        </w:tc>
        <w:tc>
          <w:tcPr>
            <w:tcW w:w="200" w:type="dxa"/>
            <w:vAlign w:val="bottom"/>
          </w:tcPr>
          <w:p>
            <w:pPr>
              <w:spacing w:after="0"/>
              <w:rPr>
                <w:sz w:val="24"/>
                <w:szCs w:val="24"/>
                <w:color w:val="auto"/>
              </w:rPr>
            </w:pPr>
          </w:p>
        </w:tc>
        <w:tc>
          <w:tcPr>
            <w:tcW w:w="3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w:t>
            </w:r>
          </w:p>
        </w:tc>
        <w:tc>
          <w:tcPr>
            <w:tcW w:w="18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18 U.S.C. 1350 as adopted pursuant to Section</w:t>
            </w:r>
          </w:p>
        </w:tc>
        <w:tc>
          <w:tcPr>
            <w:tcW w:w="20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 - XBRL Instance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 XBRL Taxonomy Extension Presentation Linkbase Document</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Cover Page Interactive Data File (formatted as Inline XBRL and contained in Exhibit 101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87" w:lineRule="exact"/>
        <w:rPr>
          <w:sz w:val="20"/>
          <w:szCs w:val="20"/>
          <w:color w:val="auto"/>
        </w:r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80"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18415</wp:posOffset>
            </wp:positionV>
            <wp:extent cx="2880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Chief Executive Officer and Treasurer (Principal</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 Officer and Principal Financial and Accounting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Marker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Juan Vera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Chief Executive Officer and Treasurer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Marker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Juan Vera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Chief Executive Officer and Treasurer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March 31, 2025,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18415</wp:posOffset>
            </wp:positionV>
            <wp:extent cx="28289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Chief Executive Officer and Treasurer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Juan Vera, the Principal Financial Officer of Marker Therapeutics, Inc. (the “Company”) hereby certifies, pursuant to 18 U.S.C. Section 1350, as adopted pursuant to Section 906 of the Sarbanes-Oxley Act of 2002, that, to the best of his knowledge, the Quarterly Report on Form 10-Q for the period ended March 31, 2025,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18415</wp:posOffset>
            </wp:positionV>
            <wp:extent cx="2828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Chief Executive Officer and Treasurer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55" Type="http://schemas.openxmlformats.org/officeDocument/2006/relationships/hyperlink" Target="https://www.sec.gov/Archives/edgar/data/1094038/000114420418054209/tv504951_ex3-4.htm" TargetMode="External"/><Relationship Id="rId56" Type="http://schemas.openxmlformats.org/officeDocument/2006/relationships/hyperlink" Target="https://www.sec.gov/Archives/edgar/data/1094038/000119312522162322/d480537dex31.htm" TargetMode="External"/><Relationship Id="rId57" Type="http://schemas.openxmlformats.org/officeDocument/2006/relationships/hyperlink" Target="https://www.sec.gov/Archives/edgar/data/1094038/000110465923007019/tm234466d1_ex3-1.htm" TargetMode="External"/><Relationship Id="rId58" Type="http://schemas.openxmlformats.org/officeDocument/2006/relationships/hyperlink" Target="https://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2025-05-15T16:10:04Z</dcterms:created>
  <dcterms:modified xsi:type="dcterms:W3CDTF">2025-05-15T16:10:04Z</dcterms:modified>
</cp:coreProperties>
</file>