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both"/>
        <w:rPr/>
      </w:pPr>
      <w:hyperlink w:anchor="TOC">
        <w:bookmarkStart w:id="0" w:name="mrkr-20230630x10q.htm"/>
        <w:bookmarkStart w:id="1" w:name="ksmrkr2023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bookmarkStart w:id="2" w:name="_7db93193_0750_43f7_a741_d683704e4692"/>
      <w:bookmarkEnd w:id="2"/>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UNITED STATES 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Quarterly Report Under Section 13 or 15(d) of the Securities Exchange Act of 1934 for the quarterly period ended June 30, 2023</w:t>
      </w:r>
    </w:p>
    <w:p>
      <w:pPr>
        <w:pStyle w:val="TextBody"/>
        <w:pBdr/>
        <w:bidi w:val="0"/>
        <w:spacing w:before="0" w:after="240"/>
        <w:ind w:left="0" w:right="0" w:hanging="36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Transition Report Under Section 13 or 15(d) of the Securities Exchange Act of 1934 for the transition period from _____ to _____.</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Commission File Number: </w:t>
      </w:r>
      <w:r>
        <w:rPr>
          <w:rFonts w:ascii="Times New Roman;Times;serif" w:hAnsi="Times New Roman;Times;serif"/>
          <w:b/>
          <w:sz w:val="18"/>
        </w:rPr>
        <w:t>001-37939</w:t>
      </w:r>
    </w:p>
    <w:p>
      <w:pPr>
        <w:pStyle w:val="TextBody"/>
        <w:bidi w:val="0"/>
        <w:spacing w:before="0" w:after="240"/>
        <w:ind w:left="0" w:right="0" w:hanging="0"/>
        <w:jc w:val="center"/>
        <w:rPr/>
      </w:pPr>
      <w:r>
        <w:rPr/>
        <w:t>​</w:t>
      </w:r>
    </w:p>
    <w:p>
      <w:pPr>
        <w:pStyle w:val="TextBody"/>
        <w:bidi w:val="0"/>
        <w:spacing w:before="0" w:after="0"/>
        <w:ind w:left="0" w:right="0" w:hanging="0"/>
        <w:jc w:val="center"/>
        <w:rPr/>
      </w:pPr>
      <w:r>
        <w:rPr/>
        <w:drawing>
          <wp:inline distT="0" distB="0" distL="0" distR="0">
            <wp:extent cx="266636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6365" cy="762000"/>
                    </a:xfrm>
                    <a:prstGeom prst="rect">
                      <a:avLst/>
                    </a:prstGeom>
                  </pic:spPr>
                </pic:pic>
              </a:graphicData>
            </a:graphic>
          </wp:inline>
        </w:drawing>
      </w:r>
    </w:p>
    <w:p>
      <w:pPr>
        <w:pStyle w:val="TextBody"/>
        <w:bidi w:val="0"/>
        <w:spacing w:before="0" w:after="240"/>
        <w:ind w:left="0" w:right="0" w:hanging="0"/>
        <w:jc w:val="center"/>
        <w:rPr/>
      </w:pPr>
      <w:r>
        <w:rPr/>
        <w:t>​</w:t>
      </w:r>
    </w:p>
    <w:p>
      <w:pPr>
        <w:pStyle w:val="TextBody"/>
        <w:pBdr>
          <w:bottom w:val="single" w:sz="2" w:space="1" w:color="000000"/>
        </w:pBdr>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MARKER THERAPEUTICS,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registrant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M630QVvwXkGNhg9eVPRaWA_2_2"/>
      <w:bookmarkStart w:id="4" w:name="Tc_q9taBYDqF0On8vvwquDUUw_2_0"/>
      <w:bookmarkStart w:id="5" w:name="_9af6c5aa_2964_4dcd_963c_1242e1a24825"/>
      <w:bookmarkStart w:id="6" w:name="Tc_M630QVvwXkGNhg9eVPRaWA_2_2"/>
      <w:bookmarkStart w:id="7" w:name="Tc_q9taBYDqF0On8vvwquDUUw_2_0"/>
      <w:bookmarkStart w:id="8" w:name="_9af6c5aa_2964_4dcd_963c_1242e1a24825"/>
      <w:bookmarkEnd w:id="6"/>
      <w:bookmarkEnd w:id="7"/>
      <w:bookmarkEnd w:id="8"/>
    </w:p>
    <w:tbl>
      <w:tblPr>
        <w:tblW w:w="7363" w:type="dxa"/>
        <w:jc w:val="left"/>
        <w:tblInd w:w="0" w:type="dxa"/>
        <w:tblLayout w:type="fixed"/>
        <w:tblCellMar>
          <w:top w:w="0" w:type="dxa"/>
          <w:left w:w="0" w:type="dxa"/>
          <w:bottom w:w="0" w:type="dxa"/>
          <w:right w:w="0" w:type="dxa"/>
        </w:tblCellMar>
      </w:tblPr>
      <w:tblGrid>
        <w:gridCol w:w="4321"/>
        <w:gridCol w:w="326"/>
        <w:gridCol w:w="2716"/>
      </w:tblGrid>
      <w:tr>
        <w:trPr/>
        <w:tc>
          <w:tcPr>
            <w:tcW w:w="43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716" w:type="dxa"/>
            <w:tcBorders/>
            <w:vAlign w:val="center"/>
          </w:tcPr>
          <w:p>
            <w:pPr>
              <w:pStyle w:val="TableContents"/>
              <w:bidi w:val="0"/>
              <w:spacing w:before="0" w:after="0"/>
              <w:ind w:left="0" w:right="0" w:hanging="0"/>
              <w:jc w:val="both"/>
              <w:rPr/>
            </w:pPr>
            <w:r>
              <w:rPr/>
              <w:t>​</w:t>
            </w:r>
          </w:p>
        </w:tc>
      </w:tr>
      <w:tr>
        <w:trPr/>
        <w:tc>
          <w:tcPr>
            <w:tcW w:w="4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DELAWARE</w:t>
            </w:r>
          </w:p>
        </w:tc>
        <w:tc>
          <w:tcPr>
            <w:tcW w:w="326" w:type="dxa"/>
            <w:tcBorders/>
            <w:vAlign w:val="center"/>
          </w:tcPr>
          <w:p>
            <w:pPr>
              <w:pStyle w:val="TableContents"/>
              <w:bidi w:val="0"/>
              <w:spacing w:before="0" w:after="0"/>
              <w:ind w:left="0" w:right="0" w:hanging="0"/>
              <w:jc w:val="both"/>
              <w:rPr/>
            </w:pPr>
            <w:r>
              <w:rPr/>
              <w:t>    </w:t>
            </w:r>
          </w:p>
        </w:tc>
        <w:tc>
          <w:tcPr>
            <w:tcW w:w="27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45-4497941</w:t>
            </w:r>
          </w:p>
        </w:tc>
      </w:tr>
      <w:tr>
        <w:trPr/>
        <w:tc>
          <w:tcPr>
            <w:tcW w:w="43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27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9" w:name="Tc_icVw_7MZWkGy8otRJxbfew_3_2"/>
      <w:bookmarkStart w:id="10" w:name="Tc_nRiKLZJfPUySp8ccmKOwwg_3_0"/>
      <w:bookmarkStart w:id="11" w:name="Tc_wE9jjfg_sESqhPs5a3fwoQ_2_0"/>
      <w:bookmarkStart w:id="12" w:name="_b494b851_bca4_40ad_954f_bf49924fdd67"/>
      <w:bookmarkStart w:id="13" w:name="Tc_icVw_7MZWkGy8otRJxbfew_3_2"/>
      <w:bookmarkStart w:id="14" w:name="Tc_nRiKLZJfPUySp8ccmKOwwg_3_0"/>
      <w:bookmarkStart w:id="15" w:name="Tc_wE9jjfg_sESqhPs5a3fwoQ_2_0"/>
      <w:bookmarkStart w:id="16" w:name="_b494b851_bca4_40ad_954f_bf49924fdd67"/>
      <w:bookmarkEnd w:id="13"/>
      <w:bookmarkEnd w:id="14"/>
      <w:bookmarkEnd w:id="15"/>
      <w:bookmarkEnd w:id="16"/>
    </w:p>
    <w:tbl>
      <w:tblPr>
        <w:tblW w:w="4183" w:type="dxa"/>
        <w:jc w:val="left"/>
        <w:tblInd w:w="0" w:type="dxa"/>
        <w:tblLayout w:type="fixed"/>
        <w:tblCellMar>
          <w:top w:w="0" w:type="dxa"/>
          <w:left w:w="0" w:type="dxa"/>
          <w:bottom w:w="0" w:type="dxa"/>
          <w:right w:w="0" w:type="dxa"/>
        </w:tblCellMar>
      </w:tblPr>
      <w:tblGrid>
        <w:gridCol w:w="2926"/>
        <w:gridCol w:w="326"/>
        <w:gridCol w:w="93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292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29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9350 Kirby Drive, Suite 300</w:t>
            </w:r>
            <w:r>
              <w:rPr>
                <w:rFonts w:ascii="Times New Roman;Times;serif" w:hAnsi="Times New Roman;Times;serif"/>
                <w:sz w:val="18"/>
              </w:rPr>
              <w:br/>
            </w:r>
            <w:r>
              <w:rPr>
                <w:rFonts w:ascii="Times New Roman;Times;serif" w:hAnsi="Times New Roman;Times;serif"/>
                <w:b/>
                <w:sz w:val="18"/>
              </w:rPr>
              <w:t>Houston, Texas</w:t>
            </w:r>
          </w:p>
        </w:tc>
        <w:tc>
          <w:tcPr>
            <w:tcW w:w="326" w:type="dxa"/>
            <w:tcBorders/>
            <w:vAlign w:val="center"/>
          </w:tcPr>
          <w:p>
            <w:pPr>
              <w:pStyle w:val="TableContents"/>
              <w:bidi w:val="0"/>
              <w:spacing w:before="0" w:after="0"/>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77054</w:t>
            </w:r>
          </w:p>
        </w:tc>
      </w:tr>
      <w:tr>
        <w:trPr/>
        <w:tc>
          <w:tcPr>
            <w:tcW w:w="29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2596" w:type="dxa"/>
        <w:jc w:val="left"/>
        <w:tblInd w:w="0" w:type="dxa"/>
        <w:tblLayout w:type="fixed"/>
        <w:tblCellMar>
          <w:top w:w="0" w:type="dxa"/>
          <w:left w:w="0" w:type="dxa"/>
          <w:bottom w:w="28" w:type="dxa"/>
          <w:right w:w="0" w:type="dxa"/>
        </w:tblCellMar>
      </w:tblPr>
      <w:tblGrid>
        <w:gridCol w:w="2116"/>
        <w:gridCol w:w="326"/>
        <w:gridCol w:w="154"/>
      </w:tblGrid>
      <w:tr>
        <w:trPr/>
        <w:tc>
          <w:tcPr>
            <w:tcW w:w="21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(713) 400-6400</w:t>
            </w:r>
          </w:p>
        </w:tc>
        <w:tc>
          <w:tcPr>
            <w:tcW w:w="326" w:type="dxa"/>
            <w:tcBorders/>
            <w:tcMar>
              <w:bottom w:w="0" w:type="dxa"/>
            </w:tcMar>
            <w:vAlign w:val="center"/>
          </w:tcPr>
          <w:p>
            <w:pPr>
              <w:pStyle w:val="TableContents"/>
              <w:bidi w:val="0"/>
              <w:spacing w:before="0" w:after="0"/>
              <w:ind w:left="0" w:right="0" w:hanging="0"/>
              <w:jc w:val="both"/>
              <w:rPr/>
            </w:pPr>
            <w:r>
              <w:rPr/>
              <w:t>    </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(Issuer’s telephone number)</w:t>
            </w:r>
          </w:p>
        </w:tc>
        <w:tc>
          <w:tcPr>
            <w:tcW w:w="3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7" w:name="Tc_FmxJh_ekfk2ykxtxNjC3lA_1_0"/>
      <w:bookmarkStart w:id="18" w:name="_00ef329c_6308_41d1_b8be_3ecc9fb2756b"/>
      <w:bookmarkStart w:id="19" w:name="Tc_FmxJh_ekfk2ykxtxNjC3lA_1_0"/>
      <w:bookmarkStart w:id="20" w:name="_00ef329c_6308_41d1_b8be_3ecc9fb2756b"/>
      <w:bookmarkEnd w:id="19"/>
      <w:bookmarkEnd w:id="20"/>
    </w:p>
    <w:tbl>
      <w:tblPr>
        <w:tblW w:w="6316" w:type="dxa"/>
        <w:jc w:val="left"/>
        <w:tblInd w:w="0" w:type="dxa"/>
        <w:tblLayout w:type="fixed"/>
        <w:tblCellMar>
          <w:top w:w="0" w:type="dxa"/>
          <w:left w:w="0" w:type="dxa"/>
          <w:bottom w:w="28" w:type="dxa"/>
          <w:right w:w="0" w:type="dxa"/>
        </w:tblCellMar>
      </w:tblPr>
      <w:tblGrid>
        <w:gridCol w:w="6316"/>
      </w:tblGrid>
      <w:tr>
        <w:trPr/>
        <w:tc>
          <w:tcPr>
            <w:tcW w:w="6316"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4551 Kennedy Commerce Drive, Houston, Texas, 77032</w:t>
            </w:r>
          </w:p>
        </w:tc>
      </w:tr>
      <w:tr>
        <w:trPr/>
        <w:tc>
          <w:tcPr>
            <w:tcW w:w="6316" w:type="dxa"/>
            <w:tcBorders>
              <w:top w:val="single" w:sz="2" w:space="0" w:color="000000"/>
            </w:tcBorders>
            <w:tcMar>
              <w:top w:w="28" w:type="dxa"/>
              <w:bottom w:w="0" w:type="dxa"/>
            </w:tcMar>
            <w:vAlign w:val="center"/>
          </w:tcPr>
          <w:p>
            <w:pPr>
              <w:pStyle w:val="TableContents"/>
              <w:bidi w:val="0"/>
              <w:spacing w:before="0" w:after="0"/>
              <w:ind w:left="0" w:right="0" w:firstLine="360"/>
              <w:jc w:val="both"/>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1" w:name="Tc_A-6eSGG6Fku7ugwg2B6Jpg_2_4"/>
      <w:bookmarkStart w:id="22" w:name="Tc_Rg_BGr0dKUy2M3bn_UgVQA_1_4"/>
      <w:bookmarkStart w:id="23" w:name="Tc_QIRDAw7mgUKzUPugpF8xjg_1_2"/>
      <w:bookmarkStart w:id="24" w:name="Tc_E9_I6-Sw_Uq8J70LA7Vaww_1_0"/>
      <w:bookmarkStart w:id="25" w:name="_48eb8589_7c2b_4e5e_aafa_5d79a6048cfb"/>
      <w:bookmarkStart w:id="26" w:name="Tc_A-6eSGG6Fku7ugwg2B6Jpg_2_4"/>
      <w:bookmarkStart w:id="27" w:name="Tc_Rg_BGr0dKUy2M3bn_UgVQA_1_4"/>
      <w:bookmarkStart w:id="28" w:name="Tc_QIRDAw7mgUKzUPugpF8xjg_1_2"/>
      <w:bookmarkStart w:id="29" w:name="Tc_E9_I6-Sw_Uq8J70LA7Vaww_1_0"/>
      <w:bookmarkStart w:id="30" w:name="_48eb8589_7c2b_4e5e_aafa_5d79a6048cfb"/>
      <w:bookmarkEnd w:id="26"/>
      <w:bookmarkEnd w:id="27"/>
      <w:bookmarkEnd w:id="28"/>
      <w:bookmarkEnd w:id="29"/>
      <w:bookmarkEnd w:id="30"/>
    </w:p>
    <w:tbl>
      <w:tblPr>
        <w:tblW w:w="9295" w:type="dxa"/>
        <w:jc w:val="left"/>
        <w:tblInd w:w="0" w:type="dxa"/>
        <w:tblLayout w:type="fixed"/>
        <w:tblCellMar>
          <w:top w:w="0" w:type="dxa"/>
          <w:left w:w="0" w:type="dxa"/>
          <w:bottom w:w="0" w:type="dxa"/>
          <w:right w:w="0" w:type="dxa"/>
        </w:tblCellMar>
      </w:tblPr>
      <w:tblGrid>
        <w:gridCol w:w="3601"/>
        <w:gridCol w:w="326"/>
        <w:gridCol w:w="1561"/>
        <w:gridCol w:w="326"/>
        <w:gridCol w:w="3481"/>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3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6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$0.001 per share</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MRKR</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non-accelerated filer, a smaller reporting company, or an emerging growth company. See definition of “accelerated filer”, “large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1" w:name="Tc_PrQzj286702SIkxTxYEtjw_3_3"/>
      <w:bookmarkStart w:id="32" w:name="Tc_ic3-WL-iakOGl7FOn5d05Q_2_3"/>
      <w:bookmarkStart w:id="33" w:name="Tc_BiGvYhP_Mkehjsets8Rukg_2_2"/>
      <w:bookmarkStart w:id="34" w:name="Tc_MSrnOP_3TkOxxnQIlp2vbw_2_1"/>
      <w:bookmarkStart w:id="35" w:name="Tc_YbnH_w8QEEKga71JlhPyUg_1_4"/>
      <w:bookmarkStart w:id="36" w:name="Tc_1SIx5z185k-Qn21lFgXckg_1_3"/>
      <w:bookmarkStart w:id="37" w:name="Tc_1lt39nq_z0iiP5WTYTb1aw_1_2"/>
      <w:bookmarkStart w:id="38" w:name="Tc_HcHlXayK90WN2DNePjLlKw_1_1"/>
      <w:bookmarkStart w:id="39" w:name="_3975667d_23b5_4fb5_9a7d_66c55553b849"/>
      <w:bookmarkStart w:id="40" w:name="Tc_PrQzj286702SIkxTxYEtjw_3_3"/>
      <w:bookmarkStart w:id="41" w:name="Tc_ic3-WL-iakOGl7FOn5d05Q_2_3"/>
      <w:bookmarkStart w:id="42" w:name="Tc_BiGvYhP_Mkehjsets8Rukg_2_2"/>
      <w:bookmarkStart w:id="43" w:name="Tc_MSrnOP_3TkOxxnQIlp2vbw_2_1"/>
      <w:bookmarkStart w:id="44" w:name="Tc_YbnH_w8QEEKga71JlhPyUg_1_4"/>
      <w:bookmarkStart w:id="45" w:name="Tc_1SIx5z185k-Qn21lFgXckg_1_3"/>
      <w:bookmarkStart w:id="46" w:name="Tc_1lt39nq_z0iiP5WTYTb1aw_1_2"/>
      <w:bookmarkStart w:id="47" w:name="Tc_HcHlXayK90WN2DNePjLlKw_1_1"/>
      <w:bookmarkStart w:id="48" w:name="_3975667d_23b5_4fb5_9a7d_66c55553b849"/>
      <w:bookmarkEnd w:id="40"/>
      <w:bookmarkEnd w:id="41"/>
      <w:bookmarkEnd w:id="42"/>
      <w:bookmarkEnd w:id="43"/>
      <w:bookmarkEnd w:id="44"/>
      <w:bookmarkEnd w:id="45"/>
      <w:bookmarkEnd w:id="46"/>
      <w:bookmarkEnd w:id="47"/>
      <w:bookmarkEnd w:id="48"/>
    </w:p>
    <w:tbl>
      <w:tblPr>
        <w:tblW w:w="4493" w:type="dxa"/>
        <w:jc w:val="left"/>
        <w:tblInd w:w="0" w:type="dxa"/>
        <w:tblLayout w:type="fixed"/>
        <w:tblCellMar>
          <w:top w:w="0" w:type="dxa"/>
          <w:left w:w="0" w:type="dxa"/>
          <w:bottom w:w="0" w:type="dxa"/>
          <w:right w:w="0" w:type="dxa"/>
        </w:tblCellMar>
      </w:tblPr>
      <w:tblGrid>
        <w:gridCol w:w="124"/>
        <w:gridCol w:w="1651"/>
        <w:gridCol w:w="316"/>
        <w:gridCol w:w="2041"/>
        <w:gridCol w:w="36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xml:space="preserve"> </w:t>
            </w:r>
          </w:p>
        </w:tc>
        <w:tc>
          <w:tcPr>
            <w:tcW w:w="316" w:type="dxa"/>
            <w:tcBorders/>
            <w:vAlign w:val="center"/>
          </w:tcPr>
          <w:p>
            <w:pPr>
              <w:pStyle w:val="TableContents"/>
              <w:bidi w:val="0"/>
              <w:spacing w:before="0" w:after="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both"/>
              <w:rPr/>
            </w:pPr>
            <w:r>
              <w:rPr/>
              <w:t>☒</w:t>
            </w:r>
          </w:p>
        </w:tc>
      </w:tr>
      <w:tr>
        <w:trPr/>
        <w:tc>
          <w:tcPr>
            <w:tcW w:w="1775" w:type="dxa"/>
            <w:gridSpan w:val="2"/>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As of August 8, 2023, the Company had 8,809,260 shares of common stock issued and outstanding.</w:t>
      </w:r>
    </w:p>
    <w:p>
      <w:pPr>
        <w:pStyle w:val="TextBody"/>
        <w:bidi w:val="0"/>
        <w:spacing w:before="0" w:after="240"/>
        <w:ind w:left="0" w:right="0" w:hanging="0"/>
        <w:jc w:val="both"/>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pPr>
      <w:r>
        <w:rPr/>
        <w:t>​</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pPr>
      <w:bookmarkStart w:id="49" w:name="TOC"/>
      <w:bookmarkStart w:id="50" w:name="_69ff7a25_84ea_412c_9bd3_1a6b79f9dad1"/>
      <w:bookmarkEnd w:id="49"/>
      <w:bookmarkEnd w:id="50"/>
      <w:r>
        <w:rPr/>
        <w:t>​</w:t>
      </w:r>
    </w:p>
    <w:tbl>
      <w:tblPr>
        <w:tblW w:w="10205" w:type="dxa"/>
        <w:jc w:val="left"/>
        <w:tblInd w:w="0" w:type="dxa"/>
        <w:tblLayout w:type="fixed"/>
        <w:tblCellMar>
          <w:top w:w="0" w:type="dxa"/>
          <w:left w:w="0" w:type="dxa"/>
          <w:bottom w:w="0" w:type="dxa"/>
          <w:right w:w="0" w:type="dxa"/>
        </w:tblCellMar>
      </w:tblPr>
      <w:tblGrid>
        <w:gridCol w:w="811"/>
        <w:gridCol w:w="8823"/>
        <w:gridCol w:w="57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14985" cy="175260"/>
                      <wp:effectExtent l="0" t="0" r="0" b="0"/>
                      <wp:wrapNone/>
                      <wp:docPr id="2" name="Frame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602605" cy="175260"/>
                      <wp:effectExtent l="0" t="0" r="0" b="0"/>
                      <wp:wrapNone/>
                      <wp:docPr id="3" name="Frame2"/>
                      <a:graphic xmlns:a="http://schemas.openxmlformats.org/drawingml/2006/main">
                        <a:graphicData uri="http://schemas.microsoft.com/office/word/2010/wordprocessingShape">
                          <wps:wsp>
                            <wps:cNvSpPr txBox="1"/>
                            <wps:spPr>
                              <a:xfrm>
                                <a:off x="0" y="0"/>
                                <a:ext cx="56026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62585" cy="175260"/>
                      <wp:effectExtent l="0" t="0" r="0" b="0"/>
                      <wp:wrapNone/>
                      <wp:docPr id="4" name="Frame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4" w:type="dxa"/>
            <w:gridSpan w:val="2"/>
            <w:tcBorders/>
            <w:vAlign w:val="center"/>
          </w:tcPr>
          <w:p>
            <w:pPr>
              <w:pStyle w:val="TableContents"/>
              <w:bidi w:val="0"/>
              <w:spacing w:before="0" w:after="0"/>
              <w:ind w:left="0" w:right="0" w:hanging="0"/>
              <w:jc w:val="both"/>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bidi w:val="0"/>
              <w:spacing w:before="0" w:after="0"/>
              <w:ind w:left="0" w:right="0" w:hanging="0"/>
              <w:jc w:val="both"/>
              <w:rPr/>
            </w:pPr>
            <w:hyperlink w:anchor="PARTIFINANCIALINFORMATION_341259">
              <w:r>
                <w:rPr>
                  <w:rStyle w:val="InternetLink"/>
                  <w:rFonts w:ascii="Times New Roman;Times;serif" w:hAnsi="Times New Roman;Times;serif"/>
                  <w:b/>
                  <w:i w:val="false"/>
                  <w:caps w:val="false"/>
                  <w:smallCaps w:val="false"/>
                  <w:sz w:val="20"/>
                </w:rPr>
                <w:t>PART I – FINANCIAL INFORMATION</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1FinancialStatements_6919">
              <w:r>
                <w:rPr>
                  <w:rStyle w:val="InternetLink"/>
                  <w:rFonts w:ascii="Times New Roman;Times;serif" w:hAnsi="Times New Roman;Times;serif"/>
                  <w:b w:val="false"/>
                  <w:i w:val="false"/>
                  <w:caps w:val="false"/>
                  <w:smallCaps w:val="false"/>
                  <w:sz w:val="20"/>
                </w:rPr>
                <w:t>Item 1.</w:t>
              </w:r>
            </w:hyperlink>
          </w:p>
        </w:tc>
        <w:tc>
          <w:tcPr>
            <w:tcW w:w="8823" w:type="dxa"/>
            <w:tcBorders/>
            <w:shd w:fill="CCEEFF" w:val="clear"/>
            <w:vAlign w:val="center"/>
          </w:tcPr>
          <w:p>
            <w:pPr>
              <w:pStyle w:val="TableContents"/>
              <w:bidi w:val="0"/>
              <w:spacing w:before="0" w:after="0"/>
              <w:ind w:left="0" w:right="0" w:hanging="0"/>
              <w:jc w:val="both"/>
              <w:rPr/>
            </w:pPr>
            <w:hyperlink w:anchor="Item1FinancialStatements_6919">
              <w:r>
                <w:rPr>
                  <w:rStyle w:val="InternetLink"/>
                  <w:rFonts w:ascii="Times New Roman;Times;serif" w:hAnsi="Times New Roman;Times;serif"/>
                  <w:b w:val="false"/>
                  <w:i w:val="false"/>
                  <w:caps w:val="false"/>
                  <w:smallCaps w:val="false"/>
                  <w:sz w:val="20"/>
                </w:rPr>
                <w:t>Financial Statements (Unaudited)</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BALANCESHEETS_74901">
              <w:r>
                <w:rPr>
                  <w:rStyle w:val="InternetLink"/>
                  <w:rFonts w:ascii="Times New Roman;Times;serif" w:hAnsi="Times New Roman;Times;serif"/>
                  <w:b w:val="false"/>
                  <w:i w:val="false"/>
                  <w:caps w:val="false"/>
                  <w:smallCaps w:val="false"/>
                  <w:sz w:val="20"/>
                </w:rPr>
                <w:t>Condensed Consolidated Balance Sheets as of June 30, 2023 and December 31, 2022</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STATEMENTSOFOPERATI">
              <w:r>
                <w:rPr>
                  <w:rStyle w:val="InternetLink"/>
                  <w:rFonts w:ascii="Times New Roman;Times;serif" w:hAnsi="Times New Roman;Times;serif"/>
                  <w:b w:val="false"/>
                  <w:i w:val="false"/>
                  <w:caps w:val="false"/>
                  <w:smallCaps w:val="false"/>
                  <w:sz w:val="20"/>
                </w:rPr>
                <w:t xml:space="preserve">Condensed Consolidated Statements of Operations for the three and six months ended June 30, 2023 and 2022 </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 for the three and six months ended June 30, 2023 and 2022</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six months ended June 30, 2023 and 2022</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23" w:type="dxa"/>
            <w:tcBorders/>
            <w:shd w:fill="CCEEFF" w:val="clear"/>
            <w:vAlign w:val="center"/>
          </w:tcPr>
          <w:p>
            <w:pPr>
              <w:pStyle w:val="TableContents"/>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23" w:type="dxa"/>
            <w:tcBorders/>
            <w:shd w:fill="CCEEFF" w:val="clear"/>
            <w:vAlign w:val="center"/>
          </w:tcPr>
          <w:p>
            <w:pPr>
              <w:pStyle w:val="TableContents"/>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4ControlsandProcedures_453239">
              <w:r>
                <w:rPr>
                  <w:rStyle w:val="InternetLink"/>
                  <w:rFonts w:ascii="Times New Roman;Times;serif" w:hAnsi="Times New Roman;Times;serif"/>
                  <w:b w:val="false"/>
                  <w:i w:val="false"/>
                  <w:caps w:val="false"/>
                  <w:smallCaps w:val="false"/>
                  <w:sz w:val="20"/>
                </w:rPr>
                <w:t>Item 4.</w:t>
              </w:r>
            </w:hyperlink>
          </w:p>
        </w:tc>
        <w:tc>
          <w:tcPr>
            <w:tcW w:w="8823" w:type="dxa"/>
            <w:tcBorders/>
            <w:shd w:fill="CCEEFF" w:val="clear"/>
            <w:vAlign w:val="center"/>
          </w:tcPr>
          <w:p>
            <w:pPr>
              <w:pStyle w:val="TableContents"/>
              <w:bidi w:val="0"/>
              <w:spacing w:before="0" w:after="0"/>
              <w:ind w:left="0" w:right="0" w:hanging="0"/>
              <w:jc w:val="both"/>
              <w:rPr/>
            </w:pPr>
            <w:hyperlink w:anchor="Item4ControlsandProcedures_453239">
              <w:r>
                <w:rPr>
                  <w:rStyle w:val="InternetLink"/>
                  <w:rFonts w:ascii="Times New Roman;Times;serif" w:hAnsi="Times New Roman;Times;serif"/>
                  <w:b w:val="false"/>
                  <w:i w:val="false"/>
                  <w:caps w:val="false"/>
                  <w:smallCaps w:val="false"/>
                  <w:sz w:val="20"/>
                </w:rPr>
                <w:t>Controls and Procedures.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9634" w:type="dxa"/>
            <w:gridSpan w:val="2"/>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bidi w:val="0"/>
              <w:spacing w:before="0" w:after="0"/>
              <w:ind w:left="0" w:right="0" w:hanging="0"/>
              <w:jc w:val="both"/>
              <w:rPr/>
            </w:pPr>
            <w:hyperlink w:anchor="PARTIIOTHERINFORMATION_786639">
              <w:r>
                <w:rPr>
                  <w:rStyle w:val="InternetLink"/>
                  <w:rFonts w:ascii="Times New Roman;Times;serif" w:hAnsi="Times New Roman;Times;serif"/>
                  <w:b/>
                  <w:i w:val="false"/>
                  <w:caps w:val="false"/>
                  <w:smallCaps w:val="false"/>
                  <w:sz w:val="20"/>
                </w:rPr>
                <w:t xml:space="preserve">PART II – OTHER INFORMATION </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1LegalProceedings_798737">
              <w:r>
                <w:rPr>
                  <w:rStyle w:val="InternetLink"/>
                  <w:rFonts w:ascii="Times New Roman;Times;serif" w:hAnsi="Times New Roman;Times;serif"/>
                  <w:b w:val="false"/>
                  <w:i w:val="false"/>
                  <w:caps w:val="false"/>
                  <w:smallCaps w:val="false"/>
                  <w:sz w:val="20"/>
                </w:rPr>
                <w:t>Item 1.</w:t>
              </w:r>
            </w:hyperlink>
          </w:p>
        </w:tc>
        <w:tc>
          <w:tcPr>
            <w:tcW w:w="8823" w:type="dxa"/>
            <w:tcBorders/>
            <w:shd w:fill="CCEEFF" w:val="clear"/>
            <w:vAlign w:val="center"/>
          </w:tcPr>
          <w:p>
            <w:pPr>
              <w:pStyle w:val="TableContents"/>
              <w:bidi w:val="0"/>
              <w:spacing w:before="0" w:after="0"/>
              <w:ind w:left="0" w:right="0" w:hanging="0"/>
              <w:jc w:val="both"/>
              <w:rPr/>
            </w:pPr>
            <w:hyperlink w:anchor="Item1LegalProceedings_798737">
              <w:r>
                <w:rPr>
                  <w:rStyle w:val="InternetLink"/>
                  <w:rFonts w:ascii="Times New Roman;Times;serif" w:hAnsi="Times New Roman;Times;serif"/>
                  <w:b w:val="false"/>
                  <w:i w:val="false"/>
                  <w:caps w:val="false"/>
                  <w:smallCaps w:val="false"/>
                  <w:sz w:val="20"/>
                </w:rPr>
                <w:t>Legal Proceedings.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1ARiskFactors_449487">
              <w:r>
                <w:rPr>
                  <w:rStyle w:val="InternetLink"/>
                  <w:rFonts w:ascii="Times New Roman;Times;serif" w:hAnsi="Times New Roman;Times;serif"/>
                  <w:b w:val="false"/>
                  <w:i w:val="false"/>
                  <w:caps w:val="false"/>
                  <w:smallCaps w:val="false"/>
                  <w:sz w:val="20"/>
                </w:rPr>
                <w:t>Item 1A.</w:t>
              </w:r>
            </w:hyperlink>
          </w:p>
        </w:tc>
        <w:tc>
          <w:tcPr>
            <w:tcW w:w="8823" w:type="dxa"/>
            <w:tcBorders/>
            <w:shd w:fill="CCEEFF" w:val="clear"/>
            <w:vAlign w:val="center"/>
          </w:tcPr>
          <w:p>
            <w:pPr>
              <w:pStyle w:val="TableContents"/>
              <w:bidi w:val="0"/>
              <w:spacing w:before="0" w:after="0"/>
              <w:ind w:left="0" w:right="0" w:hanging="0"/>
              <w:jc w:val="both"/>
              <w:rPr/>
            </w:pPr>
            <w:hyperlink w:anchor="Item1ARiskFactors_449487">
              <w:r>
                <w:rPr>
                  <w:rStyle w:val="InternetLink"/>
                  <w:rFonts w:ascii="Times New Roman;Times;serif" w:hAnsi="Times New Roman;Times;serif"/>
                  <w:b w:val="false"/>
                  <w:i w:val="false"/>
                  <w:caps w:val="false"/>
                  <w:smallCaps w:val="false"/>
                  <w:sz w:val="20"/>
                </w:rPr>
                <w:t>Risk Factors.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23" w:type="dxa"/>
            <w:tcBorders/>
            <w:shd w:fill="CCEEFF" w:val="clear"/>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3DefaultsUponSeniorSecurities_390946">
              <w:r>
                <w:rPr>
                  <w:rStyle w:val="InternetLink"/>
                  <w:rFonts w:ascii="Times New Roman;Times;serif" w:hAnsi="Times New Roman;Times;serif"/>
                  <w:b w:val="false"/>
                  <w:i w:val="false"/>
                  <w:caps w:val="false"/>
                  <w:smallCaps w:val="false"/>
                  <w:sz w:val="20"/>
                </w:rPr>
                <w:t>Item 3.</w:t>
              </w:r>
            </w:hyperlink>
          </w:p>
        </w:tc>
        <w:tc>
          <w:tcPr>
            <w:tcW w:w="8823" w:type="dxa"/>
            <w:tcBorders/>
            <w:shd w:fill="CCEEFF" w:val="clear"/>
            <w:vAlign w:val="center"/>
          </w:tcPr>
          <w:p>
            <w:pPr>
              <w:pStyle w:val="TableContents"/>
              <w:bidi w:val="0"/>
              <w:spacing w:before="0" w:after="0"/>
              <w:ind w:left="0" w:right="0" w:hanging="0"/>
              <w:jc w:val="both"/>
              <w:rPr/>
            </w:pPr>
            <w:hyperlink w:anchor="Item3DefaultsUponSeniorSecurities_390946">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4MineSafetyDisclosure_210061">
              <w:r>
                <w:rPr>
                  <w:rStyle w:val="InternetLink"/>
                  <w:rFonts w:ascii="Times New Roman;Times;serif" w:hAnsi="Times New Roman;Times;serif"/>
                  <w:b w:val="false"/>
                  <w:i w:val="false"/>
                  <w:caps w:val="false"/>
                  <w:smallCaps w:val="false"/>
                  <w:sz w:val="20"/>
                </w:rPr>
                <w:t>Item 4.</w:t>
              </w:r>
            </w:hyperlink>
          </w:p>
        </w:tc>
        <w:tc>
          <w:tcPr>
            <w:tcW w:w="8823" w:type="dxa"/>
            <w:tcBorders/>
            <w:shd w:fill="CCEEFF" w:val="clear"/>
            <w:vAlign w:val="center"/>
          </w:tcPr>
          <w:p>
            <w:pPr>
              <w:pStyle w:val="TableContents"/>
              <w:bidi w:val="0"/>
              <w:spacing w:before="0" w:after="0"/>
              <w:ind w:left="0" w:right="0" w:hanging="0"/>
              <w:jc w:val="both"/>
              <w:rPr/>
            </w:pPr>
            <w:hyperlink w:anchor="Item4MineSafetyDisclosure_210061">
              <w:r>
                <w:rPr>
                  <w:rStyle w:val="InternetLink"/>
                  <w:rFonts w:ascii="Times New Roman;Times;serif" w:hAnsi="Times New Roman;Times;serif"/>
                  <w:b w:val="false"/>
                  <w:i w:val="false"/>
                  <w:caps w:val="false"/>
                  <w:smallCaps w:val="false"/>
                  <w:sz w:val="20"/>
                </w:rPr>
                <w:t>Mine Safety Disclosure.</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5OtherInformation_200318">
              <w:r>
                <w:rPr>
                  <w:rStyle w:val="InternetLink"/>
                  <w:rFonts w:ascii="Times New Roman;Times;serif" w:hAnsi="Times New Roman;Times;serif"/>
                  <w:b w:val="false"/>
                  <w:i w:val="false"/>
                  <w:caps w:val="false"/>
                  <w:smallCaps w:val="false"/>
                  <w:sz w:val="20"/>
                </w:rPr>
                <w:t>Item 5.</w:t>
              </w:r>
            </w:hyperlink>
          </w:p>
        </w:tc>
        <w:tc>
          <w:tcPr>
            <w:tcW w:w="8823" w:type="dxa"/>
            <w:tcBorders/>
            <w:shd w:fill="CCEEFF" w:val="clear"/>
            <w:vAlign w:val="center"/>
          </w:tcPr>
          <w:p>
            <w:pPr>
              <w:pStyle w:val="TableContents"/>
              <w:bidi w:val="0"/>
              <w:spacing w:before="0" w:after="0"/>
              <w:ind w:left="0" w:right="0" w:hanging="0"/>
              <w:jc w:val="both"/>
              <w:rPr/>
            </w:pPr>
            <w:hyperlink w:anchor="Item5OtherInformation_200318">
              <w:r>
                <w:rPr>
                  <w:rStyle w:val="InternetLink"/>
                  <w:rFonts w:ascii="Times New Roman;Times;serif" w:hAnsi="Times New Roman;Times;serif"/>
                  <w:b w:val="false"/>
                  <w:i w:val="false"/>
                  <w:caps w:val="false"/>
                  <w:smallCaps w:val="false"/>
                  <w:sz w:val="20"/>
                </w:rPr>
                <w:t>Other Information.</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hyperlink w:anchor="Item6Exhibits_556633">
              <w:r>
                <w:rPr>
                  <w:rStyle w:val="InternetLink"/>
                  <w:rFonts w:ascii="Times New Roman;Times;serif" w:hAnsi="Times New Roman;Times;serif"/>
                  <w:b w:val="false"/>
                  <w:i w:val="false"/>
                  <w:caps w:val="false"/>
                  <w:smallCaps w:val="false"/>
                  <w:sz w:val="20"/>
                </w:rPr>
                <w:t>Item 6.</w:t>
              </w:r>
            </w:hyperlink>
          </w:p>
        </w:tc>
        <w:tc>
          <w:tcPr>
            <w:tcW w:w="8823" w:type="dxa"/>
            <w:tcBorders/>
            <w:shd w:fill="CCEEFF" w:val="clear"/>
            <w:vAlign w:val="center"/>
          </w:tcPr>
          <w:p>
            <w:pPr>
              <w:pStyle w:val="TableContents"/>
              <w:bidi w:val="0"/>
              <w:spacing w:before="0" w:after="0"/>
              <w:ind w:left="0" w:right="0" w:hanging="0"/>
              <w:jc w:val="both"/>
              <w:rPr/>
            </w:pPr>
            <w:hyperlink w:anchor="Item6Exhibits_556633">
              <w:r>
                <w:rPr>
                  <w:rStyle w:val="InternetLink"/>
                  <w:rFonts w:ascii="Times New Roman;Times;serif" w:hAnsi="Times New Roman;Times;serif"/>
                  <w:b w:val="false"/>
                  <w:i w:val="false"/>
                  <w:caps w:val="false"/>
                  <w:smallCaps w:val="false"/>
                  <w:sz w:val="20"/>
                </w:rPr>
                <w:t>Exhibits.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9634" w:type="dxa"/>
            <w:gridSpan w:val="2"/>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bidi w:val="0"/>
              <w:spacing w:before="0" w:after="0"/>
              <w:ind w:left="0" w:right="0" w:hanging="0"/>
              <w:jc w:val="both"/>
              <w:rPr/>
            </w:pPr>
            <w:hyperlink w:anchor="SIGNATURES_208803">
              <w:r>
                <w:rPr>
                  <w:rStyle w:val="InternetLink"/>
                  <w:rFonts w:ascii="Times New Roman;Times;serif" w:hAnsi="Times New Roman;Times;serif"/>
                  <w:b w:val="false"/>
                  <w:i w:val="false"/>
                  <w:caps w:val="false"/>
                  <w:smallCaps w:val="false"/>
                  <w:sz w:val="20"/>
                </w:rPr>
                <w:t>Signatures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idi w:val="0"/>
        <w:spacing w:before="0" w:after="240"/>
        <w:ind w:left="0" w:right="0" w:hanging="979"/>
        <w:jc w:val="both"/>
        <w:rPr>
          <w:rFonts w:ascii="Times New Roman;Times;serif" w:hAnsi="Times New Roman;Times;serif"/>
          <w:b/>
          <w:sz w:val="20"/>
        </w:rPr>
      </w:pPr>
      <w:bookmarkStart w:id="51" w:name="PARTIFINANCIALINFORMATION_341259"/>
      <w:bookmarkStart w:id="52" w:name="_883a851f_1e8a_43ef_b9e0_b0da9777afbb"/>
      <w:bookmarkEnd w:id="51"/>
      <w:bookmarkEnd w:id="52"/>
      <w:r>
        <w:rPr>
          <w:rFonts w:ascii="Times New Roman;Times;serif" w:hAnsi="Times New Roman;Times;serif"/>
          <w:b/>
          <w:sz w:val="20"/>
        </w:rPr>
        <w:t>PART I.      FINANCIAL INFORMATION</w:t>
      </w:r>
    </w:p>
    <w:p>
      <w:pPr>
        <w:pStyle w:val="TextBody"/>
        <w:pBdr/>
        <w:bidi w:val="0"/>
        <w:spacing w:before="0" w:after="240"/>
        <w:ind w:left="0" w:right="0" w:hanging="979"/>
        <w:jc w:val="both"/>
        <w:rPr>
          <w:rFonts w:ascii="Times New Roman;Times;serif" w:hAnsi="Times New Roman;Times;serif"/>
          <w:b/>
          <w:sz w:val="20"/>
        </w:rPr>
      </w:pPr>
      <w:bookmarkStart w:id="53" w:name="Item1FinancialStatements_6919"/>
      <w:bookmarkEnd w:id="53"/>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54" w:name="CONDENSEDCONSOLIDATEDBALANCESHEETS_74901"/>
      <w:bookmarkEnd w:id="54"/>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5" w:name="Tc_GRRliIVE5kSVwCog1j3pwA_28_5"/>
      <w:bookmarkStart w:id="56" w:name="Tc_rSBiGmDu7Uict3FLzfWrWQ_28_2"/>
      <w:bookmarkStart w:id="57" w:name="Tc_45Z7uKVrIUe06t_9-YhZvg_28_0"/>
      <w:bookmarkStart w:id="58" w:name="Tc_n3NOrW9UDU6SJIWlbIziSA_26_0"/>
      <w:bookmarkStart w:id="59" w:name="Tc_4OAZPrvHv0e6SWRnIItdsw_25_0"/>
      <w:bookmarkStart w:id="60" w:name="Tc_KNom2ecDPkWb6YMRPmoktg_24_0"/>
      <w:bookmarkStart w:id="61" w:name="Tc_Zfmcf3gc20CQc_bG4oVZcQ_23_0"/>
      <w:bookmarkStart w:id="62" w:name="_580b4c59_65c1_4369_bc67_2c2f717423bb_3"/>
      <w:bookmarkStart w:id="63" w:name="_580b4c59_65c1_4369_bc67_2c2f717423bb_2"/>
      <w:bookmarkStart w:id="64" w:name="_580b4c59_65c1_4369_bc67_2c2f717423bb"/>
      <w:bookmarkStart w:id="65" w:name="Tc_0B1iWFnOGEuPIZ5PRLDsFQ_22_0"/>
      <w:bookmarkStart w:id="66" w:name="Tc_oCbHJsEX5kqXH0IPlFCQZQ_21_0"/>
      <w:bookmarkStart w:id="67" w:name="Tc_BxjHDRVTk0-gu0h7_zXrmw_19_0"/>
      <w:bookmarkStart w:id="68" w:name="Tc_BxvL0vKhB0asB1aT9BXzEQ_18_3"/>
      <w:bookmarkStart w:id="69" w:name="Tc_3FcV6-xz8ECbg2o7ApkT2A_18_0"/>
      <w:bookmarkStart w:id="70" w:name="Tc_leC2QLBAsU6RiOtLTOcTsw_17_0"/>
      <w:bookmarkStart w:id="71" w:name="Tc_N14PuIa4iEedEf_kfn33xg_16_0"/>
      <w:bookmarkStart w:id="72" w:name="Tc_do9ucVgxCU2kOZZom91pbw_15_5"/>
      <w:bookmarkStart w:id="73" w:name="Tc_jt2j2UbFYkGNiD5Q_75KEw_15_2"/>
      <w:bookmarkStart w:id="74" w:name="Tc_jbAeN9GHjUOQtu29MY7w8A_15_0"/>
      <w:bookmarkStart w:id="75" w:name="Tc_5X4gQ7vmc0OhXns_FhpbIQ_14_0"/>
      <w:bookmarkStart w:id="76" w:name="Tc_wVsMatsgqUutK1SRPozK9A_13_0"/>
      <w:bookmarkStart w:id="77" w:name="Tc_PaL1YlLqfkGPcGAp_s9_dA_11_5"/>
      <w:bookmarkStart w:id="78" w:name="Tc_Alw4URMReUuYib0EV-OYDA_11_2"/>
      <w:bookmarkStart w:id="79" w:name="Tc_dsgvb8EKjUylNl8TRV6sCg_11_0"/>
      <w:bookmarkStart w:id="80" w:name="Tc_DvsX22yZFUyKSsGNoWCZlg_10_3"/>
      <w:bookmarkStart w:id="81" w:name="Tc_xMPGPnRH4km0hzUVkl9aLA_10_0"/>
      <w:bookmarkStart w:id="82" w:name="Tc_SJZ5IrLno0ukfHgv-gvDCw_9_0"/>
      <w:bookmarkStart w:id="83" w:name="Tc_sZzwmG3r3kK0bYmZvHm_tA_8_3"/>
      <w:bookmarkStart w:id="84" w:name="Tc_IM86iT8DX02ZYEyEte-kBA_8_0"/>
      <w:bookmarkStart w:id="85" w:name="Tc_PfLu-ZXBTUOHb_hUqwZj4Q_7_0"/>
      <w:bookmarkStart w:id="86" w:name="Tc_UhLOlzcyzUW87sY-qkmqjg_6_0"/>
      <w:bookmarkStart w:id="87" w:name="Tc_Si1KEys1Nk682Xw5AYGnSw_5_5"/>
      <w:bookmarkStart w:id="88" w:name="Tc_uOAAYdgKZk6K0JsGf0ckRw_5_2"/>
      <w:bookmarkStart w:id="89" w:name="Tc_jb_RzEK5r0uPkXpOWUszIQ_5_0"/>
      <w:bookmarkStart w:id="90" w:name="Tc_MD9zFrgvZEi0u3a86mf24Q_4_0"/>
      <w:bookmarkStart w:id="91" w:name="Tc_mQScZajPl0KAFBocGO0dNg_3_0"/>
      <w:bookmarkStart w:id="92" w:name="Tc_A9A4qIXvikyV9pVEmT6cUg_2_5"/>
      <w:bookmarkStart w:id="93" w:name="Tc_STZRdU3LVUOU7UgiWDUPXw_2_2"/>
      <w:bookmarkStart w:id="94" w:name="Tc_RW7Eg2Lu4E2hMc8nNNlqQw_1_5"/>
      <w:bookmarkStart w:id="95" w:name="Tc_giRnrznJbUeBAA_CQEOS8w_1_2"/>
      <w:bookmarkStart w:id="96" w:name="_26afe0e9_21d1_4a66_8191_7bdba9228693"/>
      <w:bookmarkStart w:id="97" w:name="Tc_GRRliIVE5kSVwCog1j3pwA_28_5"/>
      <w:bookmarkStart w:id="98" w:name="Tc_rSBiGmDu7Uict3FLzfWrWQ_28_2"/>
      <w:bookmarkStart w:id="99" w:name="Tc_45Z7uKVrIUe06t_9-YhZvg_28_0"/>
      <w:bookmarkStart w:id="100" w:name="Tc_n3NOrW9UDU6SJIWlbIziSA_26_0"/>
      <w:bookmarkStart w:id="101" w:name="Tc_4OAZPrvHv0e6SWRnIItdsw_25_0"/>
      <w:bookmarkStart w:id="102" w:name="Tc_KNom2ecDPkWb6YMRPmoktg_24_0"/>
      <w:bookmarkStart w:id="103" w:name="Tc_Zfmcf3gc20CQc_bG4oVZcQ_23_0"/>
      <w:bookmarkStart w:id="104" w:name="_580b4c59_65c1_4369_bc67_2c2f717423bb_3"/>
      <w:bookmarkStart w:id="105" w:name="_580b4c59_65c1_4369_bc67_2c2f717423bb_2"/>
      <w:bookmarkStart w:id="106" w:name="_580b4c59_65c1_4369_bc67_2c2f717423bb"/>
      <w:bookmarkStart w:id="107" w:name="Tc_0B1iWFnOGEuPIZ5PRLDsFQ_22_0"/>
      <w:bookmarkStart w:id="108" w:name="Tc_oCbHJsEX5kqXH0IPlFCQZQ_21_0"/>
      <w:bookmarkStart w:id="109" w:name="Tc_BxjHDRVTk0-gu0h7_zXrmw_19_0"/>
      <w:bookmarkStart w:id="110" w:name="Tc_BxvL0vKhB0asB1aT9BXzEQ_18_3"/>
      <w:bookmarkStart w:id="111" w:name="Tc_3FcV6-xz8ECbg2o7ApkT2A_18_0"/>
      <w:bookmarkStart w:id="112" w:name="Tc_leC2QLBAsU6RiOtLTOcTsw_17_0"/>
      <w:bookmarkStart w:id="113" w:name="Tc_N14PuIa4iEedEf_kfn33xg_16_0"/>
      <w:bookmarkStart w:id="114" w:name="Tc_do9ucVgxCU2kOZZom91pbw_15_5"/>
      <w:bookmarkStart w:id="115" w:name="Tc_jt2j2UbFYkGNiD5Q_75KEw_15_2"/>
      <w:bookmarkStart w:id="116" w:name="Tc_jbAeN9GHjUOQtu29MY7w8A_15_0"/>
      <w:bookmarkStart w:id="117" w:name="Tc_5X4gQ7vmc0OhXns_FhpbIQ_14_0"/>
      <w:bookmarkStart w:id="118" w:name="Tc_wVsMatsgqUutK1SRPozK9A_13_0"/>
      <w:bookmarkStart w:id="119" w:name="Tc_PaL1YlLqfkGPcGAp_s9_dA_11_5"/>
      <w:bookmarkStart w:id="120" w:name="Tc_Alw4URMReUuYib0EV-OYDA_11_2"/>
      <w:bookmarkStart w:id="121" w:name="Tc_dsgvb8EKjUylNl8TRV6sCg_11_0"/>
      <w:bookmarkStart w:id="122" w:name="Tc_DvsX22yZFUyKSsGNoWCZlg_10_3"/>
      <w:bookmarkStart w:id="123" w:name="Tc_xMPGPnRH4km0hzUVkl9aLA_10_0"/>
      <w:bookmarkStart w:id="124" w:name="Tc_SJZ5IrLno0ukfHgv-gvDCw_9_0"/>
      <w:bookmarkStart w:id="125" w:name="Tc_sZzwmG3r3kK0bYmZvHm_tA_8_3"/>
      <w:bookmarkStart w:id="126" w:name="Tc_IM86iT8DX02ZYEyEte-kBA_8_0"/>
      <w:bookmarkStart w:id="127" w:name="Tc_PfLu-ZXBTUOHb_hUqwZj4Q_7_0"/>
      <w:bookmarkStart w:id="128" w:name="Tc_UhLOlzcyzUW87sY-qkmqjg_6_0"/>
      <w:bookmarkStart w:id="129" w:name="Tc_Si1KEys1Nk682Xw5AYGnSw_5_5"/>
      <w:bookmarkStart w:id="130" w:name="Tc_uOAAYdgKZk6K0JsGf0ckRw_5_2"/>
      <w:bookmarkStart w:id="131" w:name="Tc_jb_RzEK5r0uPkXpOWUszIQ_5_0"/>
      <w:bookmarkStart w:id="132" w:name="Tc_MD9zFrgvZEi0u3a86mf24Q_4_0"/>
      <w:bookmarkStart w:id="133" w:name="Tc_mQScZajPl0KAFBocGO0dNg_3_0"/>
      <w:bookmarkStart w:id="134" w:name="Tc_A9A4qIXvikyV9pVEmT6cUg_2_5"/>
      <w:bookmarkStart w:id="135" w:name="Tc_STZRdU3LVUOU7UgiWDUPXw_2_2"/>
      <w:bookmarkStart w:id="136" w:name="Tc_RW7Eg2Lu4E2hMc8nNNlqQw_1_5"/>
      <w:bookmarkStart w:id="137" w:name="Tc_giRnrznJbUeBAA_CQEOS8w_1_2"/>
      <w:bookmarkStart w:id="138" w:name="_26afe0e9_21d1_4a66_8191_7bdba9228693"/>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tbl>
      <w:tblPr>
        <w:tblW w:w="10205" w:type="dxa"/>
        <w:jc w:val="left"/>
        <w:tblInd w:w="0" w:type="dxa"/>
        <w:tblLayout w:type="fixed"/>
        <w:tblCellMar>
          <w:top w:w="0" w:type="dxa"/>
          <w:left w:w="0" w:type="dxa"/>
          <w:bottom w:w="0" w:type="dxa"/>
          <w:right w:w="0" w:type="dxa"/>
        </w:tblCellMar>
      </w:tblPr>
      <w:tblGrid>
        <w:gridCol w:w="6638"/>
        <w:gridCol w:w="326"/>
        <w:gridCol w:w="211"/>
        <w:gridCol w:w="1223"/>
        <w:gridCol w:w="326"/>
        <w:gridCol w:w="211"/>
        <w:gridCol w:w="1270"/>
      </w:tblGrid>
      <w:tr>
        <w:trPr/>
        <w:tc>
          <w:tcPr>
            <w:tcW w:w="6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215130" cy="175260"/>
                      <wp:effectExtent l="0" t="0" r="0" b="0"/>
                      <wp:wrapNone/>
                      <wp:docPr id="5" name="Frame4"/>
                      <a:graphic xmlns:a="http://schemas.openxmlformats.org/drawingml/2006/main">
                        <a:graphicData uri="http://schemas.microsoft.com/office/word/2010/wordprocessingShape">
                          <wps:wsp>
                            <wps:cNvSpPr txBox="1"/>
                            <wps:spPr>
                              <a:xfrm>
                                <a:off x="0" y="0"/>
                                <a:ext cx="421513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6"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7"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76605" cy="175260"/>
                      <wp:effectExtent l="0" t="0" r="0" b="0"/>
                      <wp:wrapNone/>
                      <wp:docPr id="8" name="Frame7"/>
                      <a:graphic xmlns:a="http://schemas.openxmlformats.org/drawingml/2006/main">
                        <a:graphicData uri="http://schemas.microsoft.com/office/word/2010/wordprocessingShape">
                          <wps:wsp>
                            <wps:cNvSpPr txBox="1"/>
                            <wps:spPr>
                              <a:xfrm>
                                <a:off x="0" y="0"/>
                                <a:ext cx="77660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0"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806450" cy="175260"/>
                      <wp:effectExtent l="0" t="0" r="0" b="0"/>
                      <wp:wrapNone/>
                      <wp:docPr id="11" name="Frame10"/>
                      <a:graphic xmlns:a="http://schemas.openxmlformats.org/drawingml/2006/main">
                        <a:graphicData uri="http://schemas.microsoft.com/office/word/2010/wordprocessingShape">
                          <wps:wsp>
                            <wps:cNvSpPr txBox="1"/>
                            <wps:spPr>
                              <a:xfrm>
                                <a:off x="0" y="0"/>
                                <a:ext cx="80645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663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3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both"/>
              <w:rPr/>
            </w:pPr>
            <w:r>
              <w:rPr/>
              <w:t>    </w:t>
            </w:r>
          </w:p>
        </w:tc>
        <w:tc>
          <w:tcPr>
            <w:tcW w:w="14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63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w:t>
            </w:r>
          </w:p>
        </w:tc>
        <w:tc>
          <w:tcPr>
            <w:tcW w:w="14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638"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3"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70" w:type="dxa"/>
            <w:tcBorders/>
            <w:shd w:fill="CCEEFF" w:val="clear"/>
            <w:vAlign w:val="center"/>
          </w:tcPr>
          <w:p>
            <w:pPr>
              <w:pStyle w:val="TableContents"/>
              <w:bidi w:val="0"/>
              <w:spacing w:before="0" w:after="1"/>
              <w:ind w:left="0" w:right="0" w:hanging="0"/>
              <w:jc w:val="both"/>
              <w:rPr/>
            </w:pPr>
            <w:r>
              <w:rPr/>
              <w:t>​</w:t>
            </w:r>
          </w:p>
        </w:tc>
      </w:tr>
      <w:tr>
        <w:trPr/>
        <w:tc>
          <w:tcPr>
            <w:tcW w:w="663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3"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70" w:type="dxa"/>
            <w:tcBorders/>
            <w:vAlign w:val="center"/>
          </w:tcPr>
          <w:p>
            <w:pPr>
              <w:pStyle w:val="TableContents"/>
              <w:bidi w:val="0"/>
              <w:spacing w:before="0" w:after="1"/>
              <w:ind w:left="0" w:right="0" w:hanging="0"/>
              <w:jc w:val="both"/>
              <w:rPr/>
            </w:pPr>
            <w:r>
              <w:rPr/>
              <w:t>​</w:t>
            </w:r>
          </w:p>
        </w:tc>
      </w:tr>
      <w:tr>
        <w:trPr/>
        <w:tc>
          <w:tcPr>
            <w:tcW w:w="663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18,122,086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11,782,172</w:t>
            </w:r>
          </w:p>
        </w:tc>
      </w:tr>
      <w:tr>
        <w:trPr/>
        <w:tc>
          <w:tcPr>
            <w:tcW w:w="663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Prepaid expenses and deposits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2,087,462</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1,849,239</w:t>
            </w:r>
          </w:p>
        </w:tc>
      </w:tr>
      <w:tr>
        <w:trPr/>
        <w:tc>
          <w:tcPr>
            <w:tcW w:w="663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receivables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1,746,100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2,402,004</w:t>
            </w:r>
          </w:p>
        </w:tc>
      </w:tr>
      <w:tr>
        <w:trPr/>
        <w:tc>
          <w:tcPr>
            <w:tcW w:w="663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Current assets of discontinued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585,840</w:t>
            </w:r>
          </w:p>
        </w:tc>
      </w:tr>
      <w:tr>
        <w:trPr/>
        <w:tc>
          <w:tcPr>
            <w:tcW w:w="663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21,955,648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16,619,255</w:t>
            </w:r>
          </w:p>
        </w:tc>
      </w:tr>
      <w:tr>
        <w:trPr/>
        <w:tc>
          <w:tcPr>
            <w:tcW w:w="663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Non-current assets of discontinued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17,802,929</w:t>
            </w:r>
          </w:p>
        </w:tc>
      </w:tr>
      <w:tr>
        <w:trPr/>
        <w:tc>
          <w:tcPr>
            <w:tcW w:w="6638"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2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21,955,648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7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34,422,184</w:t>
            </w:r>
          </w:p>
        </w:tc>
      </w:tr>
      <w:tr>
        <w:trPr/>
        <w:tc>
          <w:tcPr>
            <w:tcW w:w="663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70" w:type="dxa"/>
            <w:tcBorders/>
            <w:vAlign w:val="center"/>
          </w:tcPr>
          <w:p>
            <w:pPr>
              <w:pStyle w:val="TableContents"/>
              <w:bidi w:val="0"/>
              <w:spacing w:before="0" w:after="1"/>
              <w:ind w:left="0" w:right="0" w:hanging="0"/>
              <w:jc w:val="right"/>
              <w:rPr/>
            </w:pPr>
            <w:r>
              <w:rPr/>
              <w:t>​</w:t>
            </w:r>
          </w:p>
        </w:tc>
      </w:tr>
      <w:tr>
        <w:trPr/>
        <w:tc>
          <w:tcPr>
            <w:tcW w:w="6638"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2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70" w:type="dxa"/>
            <w:tcBorders/>
            <w:shd w:fill="CCEEFF" w:val="clear"/>
            <w:vAlign w:val="center"/>
          </w:tcPr>
          <w:p>
            <w:pPr>
              <w:pStyle w:val="TableContents"/>
              <w:bidi w:val="0"/>
              <w:spacing w:before="0" w:after="1"/>
              <w:ind w:left="0" w:right="0" w:hanging="0"/>
              <w:jc w:val="right"/>
              <w:rPr/>
            </w:pPr>
            <w:r>
              <w:rPr/>
              <w:t>  </w:t>
            </w:r>
          </w:p>
        </w:tc>
      </w:tr>
      <w:tr>
        <w:trPr/>
        <w:tc>
          <w:tcPr>
            <w:tcW w:w="663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2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70" w:type="dxa"/>
            <w:tcBorders/>
            <w:vAlign w:val="center"/>
          </w:tcPr>
          <w:p>
            <w:pPr>
              <w:pStyle w:val="TableContents"/>
              <w:bidi w:val="0"/>
              <w:spacing w:before="0" w:after="1"/>
              <w:ind w:left="0" w:right="0" w:hanging="0"/>
              <w:jc w:val="right"/>
              <w:rPr/>
            </w:pPr>
            <w:r>
              <w:rPr/>
              <w:t>  </w:t>
            </w:r>
          </w:p>
        </w:tc>
      </w:tr>
      <w:tr>
        <w:trPr/>
        <w:tc>
          <w:tcPr>
            <w:tcW w:w="663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2,660,616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2,521,193</w:t>
            </w:r>
          </w:p>
        </w:tc>
      </w:tr>
      <w:tr>
        <w:trPr/>
        <w:tc>
          <w:tcPr>
            <w:tcW w:w="663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Current liabilities of discontinued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260,280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5,260,616</w:t>
            </w:r>
          </w:p>
        </w:tc>
      </w:tr>
      <w:tr>
        <w:trPr/>
        <w:tc>
          <w:tcPr>
            <w:tcW w:w="663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2,920,896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7,781,809</w:t>
            </w:r>
          </w:p>
        </w:tc>
      </w:tr>
      <w:tr>
        <w:trPr/>
        <w:tc>
          <w:tcPr>
            <w:tcW w:w="663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Non-current liabilities of discontinued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7,039,338</w:t>
            </w:r>
          </w:p>
        </w:tc>
      </w:tr>
      <w:tr>
        <w:trPr/>
        <w:tc>
          <w:tcPr>
            <w:tcW w:w="663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2,920,896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14,821,147</w:t>
            </w:r>
          </w:p>
        </w:tc>
      </w:tr>
      <w:tr>
        <w:trPr/>
        <w:tc>
          <w:tcPr>
            <w:tcW w:w="663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70" w:type="dxa"/>
            <w:tcBorders/>
            <w:vAlign w:val="center"/>
          </w:tcPr>
          <w:p>
            <w:pPr>
              <w:pStyle w:val="TableContents"/>
              <w:bidi w:val="0"/>
              <w:spacing w:before="0" w:after="1"/>
              <w:ind w:left="0" w:right="0" w:hanging="0"/>
              <w:jc w:val="right"/>
              <w:rPr/>
            </w:pPr>
            <w:r>
              <w:rPr/>
              <w:t>​</w:t>
            </w:r>
          </w:p>
        </w:tc>
      </w:tr>
      <w:tr>
        <w:trPr/>
        <w:tc>
          <w:tcPr>
            <w:tcW w:w="663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70" w:type="dxa"/>
            <w:tcBorders/>
            <w:shd w:fill="CCEEFF" w:val="clear"/>
            <w:vAlign w:val="center"/>
          </w:tcPr>
          <w:p>
            <w:pPr>
              <w:pStyle w:val="TableContents"/>
              <w:bidi w:val="0"/>
              <w:spacing w:before="0" w:after="1"/>
              <w:ind w:left="0" w:right="0" w:hanging="0"/>
              <w:jc w:val="right"/>
              <w:rPr/>
            </w:pPr>
            <w:r>
              <w:rPr/>
              <w:t>​</w:t>
            </w:r>
          </w:p>
        </w:tc>
      </w:tr>
      <w:tr>
        <w:trPr/>
        <w:tc>
          <w:tcPr>
            <w:tcW w:w="663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Preferred stock - $0.001 par value, 5 million shares authorized and 0 shares issued and outstanding at June 30, 2023 and December 31, 2022, respectively</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3"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70"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63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Common stock, $0.001 par value, 30 million shares authorized, 8.8 million and 8.4 million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June 30, 2023 and December 31, 2022, respectively</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8,406</w:t>
            </w:r>
          </w:p>
        </w:tc>
      </w:tr>
      <w:tr>
        <w:trPr/>
        <w:tc>
          <w:tcPr>
            <w:tcW w:w="663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449,526,789</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447,641,680</w:t>
            </w:r>
          </w:p>
        </w:tc>
      </w:tr>
      <w:tr>
        <w:trPr/>
        <w:tc>
          <w:tcPr>
            <w:tcW w:w="6638"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(430,500,836)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(428,049,049)</w:t>
            </w:r>
          </w:p>
        </w:tc>
      </w:tr>
      <w:tr>
        <w:trPr/>
        <w:tc>
          <w:tcPr>
            <w:tcW w:w="6638"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19,034,752</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19,601,037</w:t>
            </w:r>
          </w:p>
        </w:tc>
      </w:tr>
      <w:tr>
        <w:trPr/>
        <w:tc>
          <w:tcPr>
            <w:tcW w:w="6638"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1"/>
              <w:ind w:left="0" w:right="0" w:hanging="0"/>
              <w:jc w:val="both"/>
              <w:rPr/>
            </w:pPr>
            <w:r>
              <w:rPr/>
              <w:t>​</w:t>
            </w:r>
          </w:p>
        </w:tc>
        <w:tc>
          <w:tcPr>
            <w:tcW w:w="1223"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1"/>
              <w:ind w:left="0" w:right="0" w:hanging="0"/>
              <w:jc w:val="both"/>
              <w:rPr/>
            </w:pPr>
            <w:r>
              <w:rPr/>
              <w:t>​</w:t>
            </w:r>
          </w:p>
        </w:tc>
        <w:tc>
          <w:tcPr>
            <w:tcW w:w="1270" w:type="dxa"/>
            <w:tcBorders>
              <w:top w:val="single" w:sz="2" w:space="0" w:color="000000"/>
            </w:tcBorders>
            <w:shd w:fill="CCEEFF" w:val="clear"/>
            <w:tcMar>
              <w:top w:w="28" w:type="dxa"/>
            </w:tcMar>
            <w:vAlign w:val="center"/>
          </w:tcPr>
          <w:p>
            <w:pPr>
              <w:pStyle w:val="TableContents"/>
              <w:bidi w:val="0"/>
              <w:spacing w:before="0" w:after="1"/>
              <w:ind w:left="0" w:right="0" w:hanging="0"/>
              <w:jc w:val="right"/>
              <w:rPr/>
            </w:pPr>
            <w:r>
              <w:rPr/>
              <w:t>​</w:t>
            </w:r>
          </w:p>
        </w:tc>
      </w:tr>
      <w:tr>
        <w:trPr/>
        <w:tc>
          <w:tcPr>
            <w:tcW w:w="6638"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Total liabilities and stockholders’ equity</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21,955,648</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7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34,422,184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26, 2023, the Company effected a one-for-ten (1-for-10) reverse stock split of its common stock and a corresponding reduction in the total number of authorized shares of its common stock from 300,000,000 to 30,000,000. All historical share and per share amounts reflected in this report have been adjusted to reflect the reverse stock split.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139" w:name="_23b20b4a_3555_4321_b2a6_ab09bd9f076e"/>
      <w:bookmarkEnd w:id="139"/>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140" w:name="CONDENSEDCONSOLIDATEDSTATEMENTSOFOPERATI"/>
      <w:bookmarkEnd w:id="140"/>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41" w:name="Tc_wKhvw_J-kUqi5ORDyX6qjg_28_0"/>
      <w:bookmarkStart w:id="142" w:name="Tc_VpSh5zxLBk2xW-8h-WcFSQ_27_0"/>
      <w:bookmarkStart w:id="143" w:name="Tc_F_Hxa_jU8UabZW6TXiQ0fQ_25_11"/>
      <w:bookmarkStart w:id="144" w:name="Tc_gwOlyecxP0-mxrdTTZ22nA_25_8"/>
      <w:bookmarkStart w:id="145" w:name="Tc_L9pD5MExNEWxxLApZA2G7g_25_5"/>
      <w:bookmarkStart w:id="146" w:name="Tc_o_dYFfDy206M0KtzE2NISA_25_2"/>
      <w:bookmarkStart w:id="147" w:name="Tc_TUK8toDA0EOMMkqgYXaTUw_25_0"/>
      <w:bookmarkStart w:id="148" w:name="Tc_MW6ffcIVwEeMjsHGfbAcDA_24_11"/>
      <w:bookmarkStart w:id="149" w:name="Tc_AGzc8PYwZUWBQzogGHPkvA_24_8"/>
      <w:bookmarkStart w:id="150" w:name="Tc_5KWCPGdND02VzwloiyK0tQ_24_5"/>
      <w:bookmarkStart w:id="151" w:name="Tc_MP8-y8Jxc0ymVXl_SnbD8A_24_2"/>
      <w:bookmarkStart w:id="152" w:name="Tc_wgaYQLbWNkmoY--ZATm6WA_24_0"/>
      <w:bookmarkStart w:id="153" w:name="Tc_c-UWYRXJqUe1MLDGRsGhLA_23_11"/>
      <w:bookmarkStart w:id="154" w:name="Tc_c5lgLAJys0i17zYAwe7H6Q_23_8"/>
      <w:bookmarkStart w:id="155" w:name="Tc_RtwC-l6z9Ui3bx8jvQkbwg_23_5"/>
      <w:bookmarkStart w:id="156" w:name="Tc_BtejXAVpmE28brJQDIJV4A_23_2"/>
      <w:bookmarkStart w:id="157" w:name="Tc_tVLF4VGAtkCMrg82g3j2ZQ_23_0"/>
      <w:bookmarkStart w:id="158" w:name="Tc_ACYB0etpXEOpDhN6GhR03w_22_0"/>
      <w:bookmarkStart w:id="159" w:name="Tc_U39lF88MM0qZQqcLSz9NKg_20_11"/>
      <w:bookmarkStart w:id="160" w:name="Tc_qEwlGfUpYEm4iusAnHdplw_20_8"/>
      <w:bookmarkStart w:id="161" w:name="Tc_6eFIQgdNs0ePIKoR8yqFQA_20_5"/>
      <w:bookmarkStart w:id="162" w:name="Tc_eB9jQRLHa0CLfW2Z7VvgfA_20_2"/>
      <w:bookmarkStart w:id="163" w:name="Tc_qXjMBp6USkWK4UPA2Ui6NA_20_0"/>
      <w:bookmarkStart w:id="164" w:name="Tc_6oRQJLa1Vk2s4CyfDskqSw_19_0"/>
      <w:bookmarkStart w:id="165" w:name="Tc_uMbxIFI1KEyfTGA51jHSvw_18_12"/>
      <w:bookmarkStart w:id="166" w:name="Tc_FmrsRfTygEejQtvm0o-Oag_18_6"/>
      <w:bookmarkStart w:id="167" w:name="Tc_ttQOf6YVAECGTsQXfTDRdw_18_0"/>
      <w:bookmarkStart w:id="168" w:name="Tc_FV3NqMz-iUCiVtfpP7VpIQ_17_0"/>
      <w:bookmarkStart w:id="169" w:name="Tc_ZSic6PjU5kyLLcNuaqZWNQ_16_0"/>
      <w:bookmarkStart w:id="170" w:name="Tc_FltLPak6l0-yK4Du8wgI6Q_15_0"/>
      <w:bookmarkStart w:id="171" w:name="Tc_OXiDMGxEiEGBO6vZT3bBNw_14_0"/>
      <w:bookmarkStart w:id="172" w:name="Tc_1FNJclYJ00GgJpY636pX3A_13_9"/>
      <w:bookmarkStart w:id="173" w:name="Tc_6RieXh8q7E2AH3fnPmFDyg_13_6"/>
      <w:bookmarkStart w:id="174" w:name="Tc_svEQPRW0oU-wsVnINgGlfw_13_3"/>
      <w:bookmarkStart w:id="175" w:name="Tc_ozvy4nTff0Sz6Z2FLiPV9Q_13_0"/>
      <w:bookmarkStart w:id="176" w:name="Tc_iS-E_v2chEGpOOBHJnBplQ_12_0"/>
      <w:bookmarkStart w:id="177" w:name="Tc_Dh_D07_Mrk-pRR1DMb5Q_A_11_0"/>
      <w:bookmarkStart w:id="178" w:name="Tc_JLDEbcWaI0GbEpnY0iXswA_10_0"/>
      <w:bookmarkStart w:id="179" w:name="Tc_WbI6OoiPRk6A_UoZej74HA_9_0"/>
      <w:bookmarkStart w:id="180" w:name="Tc_nh7HQzkSU0W3bcM3V2pjKA_8_0"/>
      <w:bookmarkStart w:id="181" w:name="Tc_mL1NcxHhIEK5xtSzsxhaYw_7_0"/>
      <w:bookmarkStart w:id="182" w:name="Tc_VzIwuojgx02yOcjttW0Brw_6_0"/>
      <w:bookmarkStart w:id="183" w:name="Tc_VYIT737NO06dDGluDsvvbQ_5_11"/>
      <w:bookmarkStart w:id="184" w:name="Tc_cXd_7tOBA06EpylgJTi86g_5_8"/>
      <w:bookmarkStart w:id="185" w:name="Tc_bIUP_V_vyUSBz0MOWPRarw_5_5"/>
      <w:bookmarkStart w:id="186" w:name="Tc_XFNHzlNebkaHwYMzPU1wTQ_5_2"/>
      <w:bookmarkStart w:id="187" w:name="Tc_bdcBzkn-nk2ywWw8Y3c8yA_5_0"/>
      <w:bookmarkStart w:id="188" w:name="Tc_WCqJS8lPF0elqVEiHQcSXQ_4_0"/>
      <w:bookmarkStart w:id="189" w:name="Tc_BiAo4aEigkCAeHkt_Tpnxg_3_11"/>
      <w:bookmarkStart w:id="190" w:name="Tc_7YMziNPXP0q7UoXWDJ3uCA_3_8"/>
      <w:bookmarkStart w:id="191" w:name="Tc_8bQ5oReP20yCw0z44G9VQQ_3_5"/>
      <w:bookmarkStart w:id="192" w:name="Tc_ukTTOD6p8USkEyxmdKHSvA_3_2"/>
      <w:bookmarkStart w:id="193" w:name="Tc_pEFJk3Ggv0eNy2pioKWIFQ_2_8"/>
      <w:bookmarkStart w:id="194" w:name="Tc_iQWuIdngfUKGgxgO9Xnhhw_2_2"/>
      <w:bookmarkStart w:id="195" w:name="Tc_rW9CuhoekkKhEmq5GBaa0Q_1_8"/>
      <w:bookmarkStart w:id="196" w:name="Tc_DHMIPz7ZBkGvqq9tIBfs8g_1_2"/>
      <w:bookmarkStart w:id="197" w:name="_27f4abe9_6cf8_486a_b066_c8b756ce667b"/>
      <w:bookmarkStart w:id="198" w:name="_2588ab24_cc7a_4032_b34b_4756242da2f0"/>
      <w:bookmarkStart w:id="199" w:name="Tc_wKhvw_J-kUqi5ORDyX6qjg_28_0"/>
      <w:bookmarkStart w:id="200" w:name="Tc_VpSh5zxLBk2xW-8h-WcFSQ_27_0"/>
      <w:bookmarkStart w:id="201" w:name="Tc_F_Hxa_jU8UabZW6TXiQ0fQ_25_11"/>
      <w:bookmarkStart w:id="202" w:name="Tc_gwOlyecxP0-mxrdTTZ22nA_25_8"/>
      <w:bookmarkStart w:id="203" w:name="Tc_L9pD5MExNEWxxLApZA2G7g_25_5"/>
      <w:bookmarkStart w:id="204" w:name="Tc_o_dYFfDy206M0KtzE2NISA_25_2"/>
      <w:bookmarkStart w:id="205" w:name="Tc_TUK8toDA0EOMMkqgYXaTUw_25_0"/>
      <w:bookmarkStart w:id="206" w:name="Tc_MW6ffcIVwEeMjsHGfbAcDA_24_11"/>
      <w:bookmarkStart w:id="207" w:name="Tc_AGzc8PYwZUWBQzogGHPkvA_24_8"/>
      <w:bookmarkStart w:id="208" w:name="Tc_5KWCPGdND02VzwloiyK0tQ_24_5"/>
      <w:bookmarkStart w:id="209" w:name="Tc_MP8-y8Jxc0ymVXl_SnbD8A_24_2"/>
      <w:bookmarkStart w:id="210" w:name="Tc_wgaYQLbWNkmoY--ZATm6WA_24_0"/>
      <w:bookmarkStart w:id="211" w:name="Tc_c-UWYRXJqUe1MLDGRsGhLA_23_11"/>
      <w:bookmarkStart w:id="212" w:name="Tc_c5lgLAJys0i17zYAwe7H6Q_23_8"/>
      <w:bookmarkStart w:id="213" w:name="Tc_RtwC-l6z9Ui3bx8jvQkbwg_23_5"/>
      <w:bookmarkStart w:id="214" w:name="Tc_BtejXAVpmE28brJQDIJV4A_23_2"/>
      <w:bookmarkStart w:id="215" w:name="Tc_tVLF4VGAtkCMrg82g3j2ZQ_23_0"/>
      <w:bookmarkStart w:id="216" w:name="Tc_ACYB0etpXEOpDhN6GhR03w_22_0"/>
      <w:bookmarkStart w:id="217" w:name="Tc_U39lF88MM0qZQqcLSz9NKg_20_11"/>
      <w:bookmarkStart w:id="218" w:name="Tc_qEwlGfUpYEm4iusAnHdplw_20_8"/>
      <w:bookmarkStart w:id="219" w:name="Tc_6eFIQgdNs0ePIKoR8yqFQA_20_5"/>
      <w:bookmarkStart w:id="220" w:name="Tc_eB9jQRLHa0CLfW2Z7VvgfA_20_2"/>
      <w:bookmarkStart w:id="221" w:name="Tc_qXjMBp6USkWK4UPA2Ui6NA_20_0"/>
      <w:bookmarkStart w:id="222" w:name="Tc_6oRQJLa1Vk2s4CyfDskqSw_19_0"/>
      <w:bookmarkStart w:id="223" w:name="Tc_uMbxIFI1KEyfTGA51jHSvw_18_12"/>
      <w:bookmarkStart w:id="224" w:name="Tc_FmrsRfTygEejQtvm0o-Oag_18_6"/>
      <w:bookmarkStart w:id="225" w:name="Tc_ttQOf6YVAECGTsQXfTDRdw_18_0"/>
      <w:bookmarkStart w:id="226" w:name="Tc_FV3NqMz-iUCiVtfpP7VpIQ_17_0"/>
      <w:bookmarkStart w:id="227" w:name="Tc_ZSic6PjU5kyLLcNuaqZWNQ_16_0"/>
      <w:bookmarkStart w:id="228" w:name="Tc_FltLPak6l0-yK4Du8wgI6Q_15_0"/>
      <w:bookmarkStart w:id="229" w:name="Tc_OXiDMGxEiEGBO6vZT3bBNw_14_0"/>
      <w:bookmarkStart w:id="230" w:name="Tc_1FNJclYJ00GgJpY636pX3A_13_9"/>
      <w:bookmarkStart w:id="231" w:name="Tc_6RieXh8q7E2AH3fnPmFDyg_13_6"/>
      <w:bookmarkStart w:id="232" w:name="Tc_svEQPRW0oU-wsVnINgGlfw_13_3"/>
      <w:bookmarkStart w:id="233" w:name="Tc_ozvy4nTff0Sz6Z2FLiPV9Q_13_0"/>
      <w:bookmarkStart w:id="234" w:name="Tc_iS-E_v2chEGpOOBHJnBplQ_12_0"/>
      <w:bookmarkStart w:id="235" w:name="Tc_Dh_D07_Mrk-pRR1DMb5Q_A_11_0"/>
      <w:bookmarkStart w:id="236" w:name="Tc_JLDEbcWaI0GbEpnY0iXswA_10_0"/>
      <w:bookmarkStart w:id="237" w:name="Tc_WbI6OoiPRk6A_UoZej74HA_9_0"/>
      <w:bookmarkStart w:id="238" w:name="Tc_nh7HQzkSU0W3bcM3V2pjKA_8_0"/>
      <w:bookmarkStart w:id="239" w:name="Tc_mL1NcxHhIEK5xtSzsxhaYw_7_0"/>
      <w:bookmarkStart w:id="240" w:name="Tc_VzIwuojgx02yOcjttW0Brw_6_0"/>
      <w:bookmarkStart w:id="241" w:name="Tc_VYIT737NO06dDGluDsvvbQ_5_11"/>
      <w:bookmarkStart w:id="242" w:name="Tc_cXd_7tOBA06EpylgJTi86g_5_8"/>
      <w:bookmarkStart w:id="243" w:name="Tc_bIUP_V_vyUSBz0MOWPRarw_5_5"/>
      <w:bookmarkStart w:id="244" w:name="Tc_XFNHzlNebkaHwYMzPU1wTQ_5_2"/>
      <w:bookmarkStart w:id="245" w:name="Tc_bdcBzkn-nk2ywWw8Y3c8yA_5_0"/>
      <w:bookmarkStart w:id="246" w:name="Tc_WCqJS8lPF0elqVEiHQcSXQ_4_0"/>
      <w:bookmarkStart w:id="247" w:name="Tc_BiAo4aEigkCAeHkt_Tpnxg_3_11"/>
      <w:bookmarkStart w:id="248" w:name="Tc_7YMziNPXP0q7UoXWDJ3uCA_3_8"/>
      <w:bookmarkStart w:id="249" w:name="Tc_8bQ5oReP20yCw0z44G9VQQ_3_5"/>
      <w:bookmarkStart w:id="250" w:name="Tc_ukTTOD6p8USkEyxmdKHSvA_3_2"/>
      <w:bookmarkStart w:id="251" w:name="Tc_pEFJk3Ggv0eNy2pioKWIFQ_2_8"/>
      <w:bookmarkStart w:id="252" w:name="Tc_iQWuIdngfUKGgxgO9Xnhhw_2_2"/>
      <w:bookmarkStart w:id="253" w:name="Tc_rW9CuhoekkKhEmq5GBaa0Q_1_8"/>
      <w:bookmarkStart w:id="254" w:name="Tc_DHMIPz7ZBkGvqq9tIBfs8g_1_2"/>
      <w:bookmarkStart w:id="255" w:name="_27f4abe9_6cf8_486a_b066_c8b756ce667b"/>
      <w:bookmarkStart w:id="256" w:name="_2588ab24_cc7a_4032_b34b_4756242da2f0"/>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tbl>
      <w:tblPr>
        <w:tblW w:w="10205" w:type="dxa"/>
        <w:jc w:val="left"/>
        <w:tblInd w:w="0" w:type="dxa"/>
        <w:tblLayout w:type="fixed"/>
        <w:tblCellMar>
          <w:top w:w="0" w:type="dxa"/>
          <w:left w:w="0" w:type="dxa"/>
          <w:bottom w:w="0" w:type="dxa"/>
          <w:right w:w="0" w:type="dxa"/>
        </w:tblCellMar>
      </w:tblPr>
      <w:tblGrid>
        <w:gridCol w:w="3762"/>
        <w:gridCol w:w="326"/>
        <w:gridCol w:w="211"/>
        <w:gridCol w:w="1032"/>
        <w:gridCol w:w="326"/>
        <w:gridCol w:w="211"/>
        <w:gridCol w:w="1032"/>
        <w:gridCol w:w="326"/>
        <w:gridCol w:w="211"/>
        <w:gridCol w:w="1046"/>
        <w:gridCol w:w="326"/>
        <w:gridCol w:w="211"/>
        <w:gridCol w:w="1185"/>
      </w:tblGrid>
      <w:tr>
        <w:trPr/>
        <w:tc>
          <w:tcPr>
            <w:tcW w:w="3762"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2"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2"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85" w:type="dxa"/>
            <w:tcBorders/>
            <w:vAlign w:val="center"/>
          </w:tcPr>
          <w:p>
            <w:pPr>
              <w:pStyle w:val="TableContents"/>
              <w:bidi w:val="0"/>
              <w:spacing w:before="0" w:after="1"/>
              <w:ind w:left="0" w:right="0" w:hanging="0"/>
              <w:jc w:val="both"/>
              <w:rPr/>
            </w:pPr>
            <w:r>
              <w:rPr/>
              <w:t>​</w:t>
            </w:r>
          </w:p>
        </w:tc>
      </w:tr>
      <w:tr>
        <w:trPr/>
        <w:tc>
          <w:tcPr>
            <w:tcW w:w="3762"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281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26" w:type="dxa"/>
            <w:tcBorders/>
            <w:vAlign w:val="center"/>
          </w:tcPr>
          <w:p>
            <w:pPr>
              <w:pStyle w:val="TableContents"/>
              <w:bidi w:val="0"/>
              <w:spacing w:before="0" w:after="1"/>
              <w:ind w:left="0" w:right="0" w:hanging="0"/>
              <w:jc w:val="center"/>
              <w:rPr/>
            </w:pPr>
            <w:r>
              <w:rPr/>
              <w:t>​</w:t>
            </w:r>
          </w:p>
        </w:tc>
        <w:tc>
          <w:tcPr>
            <w:tcW w:w="297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3762"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81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w:t>
            </w:r>
          </w:p>
        </w:tc>
        <w:tc>
          <w:tcPr>
            <w:tcW w:w="297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762"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2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    </w:t>
            </w:r>
          </w:p>
        </w:tc>
        <w:tc>
          <w:tcPr>
            <w:tcW w:w="12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both"/>
              <w:rPr/>
            </w:pPr>
            <w:r>
              <w:rPr/>
              <w:t>    </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    </w:t>
            </w:r>
          </w:p>
        </w:tc>
        <w:tc>
          <w:tcPr>
            <w:tcW w:w="13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62"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2"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2"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85" w:type="dxa"/>
            <w:tcBorders/>
            <w:shd w:fill="CCEEFF" w:val="clear"/>
            <w:vAlign w:val="center"/>
          </w:tcPr>
          <w:p>
            <w:pPr>
              <w:pStyle w:val="TableContents"/>
              <w:bidi w:val="0"/>
              <w:spacing w:before="0" w:after="1"/>
              <w:ind w:left="0" w:right="0" w:hanging="0"/>
              <w:jc w:val="both"/>
              <w:rPr/>
            </w:pPr>
            <w:r>
              <w:rPr/>
              <w:t>​</w:t>
            </w:r>
          </w:p>
        </w:tc>
      </w:tr>
      <w:tr>
        <w:trPr/>
        <w:tc>
          <w:tcPr>
            <w:tcW w:w="3762"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762,658</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790,508</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1,996,995</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1,754,830</w:t>
            </w:r>
          </w:p>
        </w:tc>
      </w:tr>
      <w:tr>
        <w:trPr/>
        <w:tc>
          <w:tcPr>
            <w:tcW w:w="3762"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both"/>
              <w:rPr/>
            </w:pPr>
            <w:r>
              <w:rPr/>
              <w:t> </w:t>
            </w:r>
          </w:p>
        </w:tc>
        <w:tc>
          <w:tcPr>
            <w:tcW w:w="103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762,658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both"/>
              <w:rPr/>
            </w:pPr>
            <w:r>
              <w:rPr/>
              <w:t> </w:t>
            </w:r>
          </w:p>
        </w:tc>
        <w:tc>
          <w:tcPr>
            <w:tcW w:w="1032"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790,508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pPr>
            <w:r>
              <w:rPr/>
              <w:t>​</w:t>
            </w:r>
          </w:p>
        </w:tc>
        <w:tc>
          <w:tcPr>
            <w:tcW w:w="104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1,996,995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both"/>
              <w:rPr/>
            </w:pPr>
            <w:r>
              <w:rPr/>
              <w:t>​</w:t>
            </w:r>
          </w:p>
        </w:tc>
        <w:tc>
          <w:tcPr>
            <w:tcW w:w="118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1,754,830</w:t>
            </w:r>
          </w:p>
        </w:tc>
      </w:tr>
      <w:tr>
        <w:trPr/>
        <w:tc>
          <w:tcPr>
            <w:tcW w:w="3762"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2"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2"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85" w:type="dxa"/>
            <w:tcBorders/>
            <w:vAlign w:val="center"/>
          </w:tcPr>
          <w:p>
            <w:pPr>
              <w:pStyle w:val="TableContents"/>
              <w:bidi w:val="0"/>
              <w:spacing w:before="0" w:after="1"/>
              <w:ind w:left="0" w:right="0" w:hanging="0"/>
              <w:jc w:val="right"/>
              <w:rPr/>
            </w:pPr>
            <w:r>
              <w:rPr/>
              <w:t>​</w:t>
            </w:r>
          </w:p>
        </w:tc>
      </w:tr>
      <w:tr>
        <w:trPr/>
        <w:tc>
          <w:tcPr>
            <w:tcW w:w="3762"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2,377,993</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2,923,877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5,754,492</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6,194,241</w:t>
            </w:r>
          </w:p>
        </w:tc>
      </w:tr>
      <w:tr>
        <w:trPr/>
        <w:tc>
          <w:tcPr>
            <w:tcW w:w="3762"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2,518,725</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3,135,168</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4,686,044</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1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6,486,465</w:t>
            </w:r>
          </w:p>
        </w:tc>
      </w:tr>
      <w:tr>
        <w:trPr/>
        <w:tc>
          <w:tcPr>
            <w:tcW w:w="3762"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4,896,718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6,059,045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10,440,536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1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12,680,706</w:t>
            </w:r>
          </w:p>
        </w:tc>
      </w:tr>
      <w:tr>
        <w:trPr/>
        <w:tc>
          <w:tcPr>
            <w:tcW w:w="3762"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(4,134,060)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(5,268,537)</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(8,443,541)</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both"/>
              <w:rPr/>
            </w:pPr>
            <w:r>
              <w:rPr/>
              <w:t>​</w:t>
            </w:r>
          </w:p>
        </w:tc>
        <w:tc>
          <w:tcPr>
            <w:tcW w:w="11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(10,925,876)</w:t>
            </w:r>
          </w:p>
        </w:tc>
      </w:tr>
      <w:tr>
        <w:trPr/>
        <w:tc>
          <w:tcPr>
            <w:tcW w:w="3762"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Other income (expenses):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3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3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0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85" w:type="dxa"/>
            <w:tcBorders/>
            <w:shd w:fill="CCEEFF" w:val="clear"/>
            <w:vAlign w:val="center"/>
          </w:tcPr>
          <w:p>
            <w:pPr>
              <w:pStyle w:val="TableContents"/>
              <w:bidi w:val="0"/>
              <w:spacing w:before="0" w:after="1"/>
              <w:ind w:left="0" w:right="0" w:hanging="0"/>
              <w:jc w:val="right"/>
              <w:rPr/>
            </w:pPr>
            <w:r>
              <w:rPr/>
              <w:t>​</w:t>
            </w:r>
          </w:p>
        </w:tc>
      </w:tr>
      <w:tr>
        <w:trPr/>
        <w:tc>
          <w:tcPr>
            <w:tcW w:w="3762"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Arbitration settlement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0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both"/>
              <w:rPr/>
            </w:pPr>
            <w:r>
              <w:rPr/>
              <w:t>​</w:t>
            </w:r>
          </w:p>
        </w:tc>
        <w:tc>
          <w:tcPr>
            <w:tcW w:w="11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(118,880)</w:t>
            </w:r>
          </w:p>
        </w:tc>
      </w:tr>
      <w:tr>
        <w:trPr/>
        <w:tc>
          <w:tcPr>
            <w:tcW w:w="3762"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35,080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35,786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119,734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1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38,902</w:t>
            </w:r>
          </w:p>
        </w:tc>
      </w:tr>
      <w:tr>
        <w:trPr/>
        <w:tc>
          <w:tcPr>
            <w:tcW w:w="3762"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continuing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(4,098,980)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(5,232,751)</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(8,323,807)</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both"/>
              <w:rPr/>
            </w:pPr>
            <w:r>
              <w:rPr/>
              <w:t>​</w:t>
            </w:r>
          </w:p>
        </w:tc>
        <w:tc>
          <w:tcPr>
            <w:tcW w:w="11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(11,005,854)</w:t>
            </w:r>
          </w:p>
        </w:tc>
      </w:tr>
      <w:tr>
        <w:trPr/>
        <w:tc>
          <w:tcPr>
            <w:tcW w:w="3762"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Discontinued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2"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2"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85" w:type="dxa"/>
            <w:tcBorders/>
            <w:shd w:fill="CCEEFF" w:val="clear"/>
            <w:vAlign w:val="center"/>
          </w:tcPr>
          <w:p>
            <w:pPr>
              <w:pStyle w:val="TableContents"/>
              <w:bidi w:val="0"/>
              <w:spacing w:before="0" w:after="1"/>
              <w:ind w:left="0" w:right="0" w:hanging="0"/>
              <w:jc w:val="right"/>
              <w:rPr/>
            </w:pPr>
            <w:r>
              <w:rPr/>
              <w:t>​</w:t>
            </w:r>
          </w:p>
        </w:tc>
      </w:tr>
      <w:tr>
        <w:trPr/>
        <w:tc>
          <w:tcPr>
            <w:tcW w:w="3762"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discontinued operations before income taxes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(2,179,657)</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(4,011,437)</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(2,922,406)</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both"/>
              <w:rPr/>
            </w:pPr>
            <w:r>
              <w:rPr/>
              <w:t>​</w:t>
            </w:r>
          </w:p>
        </w:tc>
        <w:tc>
          <w:tcPr>
            <w:tcW w:w="11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(8,148,842)</w:t>
            </w:r>
          </w:p>
        </w:tc>
      </w:tr>
      <w:tr>
        <w:trPr/>
        <w:tc>
          <w:tcPr>
            <w:tcW w:w="3762"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Gain on disposal of discontinued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8,794,426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8,794,426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1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762"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Income (loss) from discontinued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6,614,769</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(4,011,437)</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5,872,020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1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(8,148,842)</w:t>
            </w:r>
          </w:p>
        </w:tc>
      </w:tr>
      <w:tr>
        <w:trPr/>
        <w:tc>
          <w:tcPr>
            <w:tcW w:w="3762"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Net income (loss)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2,515,789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(9,244,188)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(2,451,787)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(19,154,696)</w:t>
            </w:r>
          </w:p>
        </w:tc>
      </w:tr>
      <w:tr>
        <w:trPr/>
        <w:tc>
          <w:tcPr>
            <w:tcW w:w="3762" w:type="dxa"/>
            <w:tcBorders/>
            <w:vAlign w:val="center"/>
          </w:tcPr>
          <w:p>
            <w:pPr>
              <w:pStyle w:val="TableContents"/>
              <w:pBdr/>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85" w:type="dxa"/>
            <w:tcBorders/>
            <w:vAlign w:val="center"/>
          </w:tcPr>
          <w:p>
            <w:pPr>
              <w:pStyle w:val="TableContents"/>
              <w:bidi w:val="0"/>
              <w:spacing w:before="0" w:after="1"/>
              <w:ind w:left="0" w:right="0" w:hanging="0"/>
              <w:jc w:val="right"/>
              <w:rPr/>
            </w:pPr>
            <w:r>
              <w:rPr/>
              <w:t>​</w:t>
            </w:r>
          </w:p>
        </w:tc>
      </w:tr>
      <w:tr>
        <w:trPr/>
        <w:tc>
          <w:tcPr>
            <w:tcW w:w="3762"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earnings (loss) per share, basic and diluted:</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85" w:type="dxa"/>
            <w:tcBorders/>
            <w:shd w:fill="CCEEFF" w:val="clear"/>
            <w:vAlign w:val="center"/>
          </w:tcPr>
          <w:p>
            <w:pPr>
              <w:pStyle w:val="TableContents"/>
              <w:bidi w:val="0"/>
              <w:spacing w:before="0" w:after="1"/>
              <w:ind w:left="0" w:right="0" w:hanging="0"/>
              <w:jc w:val="right"/>
              <w:rPr/>
            </w:pPr>
            <w:r>
              <w:rPr/>
              <w:t>​</w:t>
            </w:r>
          </w:p>
        </w:tc>
      </w:tr>
      <w:tr>
        <w:trPr/>
        <w:tc>
          <w:tcPr>
            <w:tcW w:w="3762"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continuing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(0.47)</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(0.63)</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(0.95)</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3762"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Income (loss) from discontinued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(0.98)</w:t>
            </w:r>
          </w:p>
        </w:tc>
      </w:tr>
      <w:tr>
        <w:trPr/>
        <w:tc>
          <w:tcPr>
            <w:tcW w:w="3762"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earnings (loss) per share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326" w:type="dxa"/>
            <w:tcBorders/>
            <w:vAlign w:val="center"/>
          </w:tcPr>
          <w:p>
            <w:pPr>
              <w:pStyle w:val="TableContents"/>
              <w:bidi w:val="0"/>
              <w:spacing w:before="0" w:after="1"/>
              <w:ind w:left="0" w:right="0" w:hanging="0"/>
              <w:jc w:val="both"/>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(0.28)</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r>
      <w:tr>
        <w:trPr/>
        <w:tc>
          <w:tcPr>
            <w:tcW w:w="3762" w:type="dxa"/>
            <w:tcBorders/>
            <w:shd w:fill="CCEEFF" w:val="clear"/>
            <w:vAlign w:val="center"/>
          </w:tcPr>
          <w:p>
            <w:pPr>
              <w:pStyle w:val="TableContents"/>
              <w:pBdr/>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85" w:type="dxa"/>
            <w:tcBorders/>
            <w:shd w:fill="CCEEFF" w:val="clear"/>
            <w:vAlign w:val="center"/>
          </w:tcPr>
          <w:p>
            <w:pPr>
              <w:pStyle w:val="TableContents"/>
              <w:bidi w:val="0"/>
              <w:spacing w:before="0" w:after="1"/>
              <w:ind w:left="0" w:right="0" w:hanging="0"/>
              <w:jc w:val="right"/>
              <w:rPr/>
            </w:pPr>
            <w:r>
              <w:rPr/>
              <w:t>​</w:t>
            </w:r>
          </w:p>
        </w:tc>
      </w:tr>
      <w:tr>
        <w:trPr/>
        <w:tc>
          <w:tcPr>
            <w:tcW w:w="3762"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Weighted average number of common shares outstanding, </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85" w:type="dxa"/>
            <w:tcBorders/>
            <w:vAlign w:val="center"/>
          </w:tcPr>
          <w:p>
            <w:pPr>
              <w:pStyle w:val="TableContents"/>
              <w:bidi w:val="0"/>
              <w:spacing w:before="0" w:after="1"/>
              <w:ind w:left="0" w:right="0" w:hanging="0"/>
              <w:jc w:val="right"/>
              <w:rPr/>
            </w:pPr>
            <w:r>
              <w:rPr/>
              <w:t>​</w:t>
            </w:r>
          </w:p>
        </w:tc>
      </w:tr>
      <w:tr>
        <w:trPr/>
        <w:tc>
          <w:tcPr>
            <w:tcW w:w="3762"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Basic and diluted</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8,798,956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8,359,205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8,760,209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18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8,335,119</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26, 2023, the Company effected a one-for-ten (1-for-10) reverse stock split of its common stock. All historical share and per share amounts reflected in this report have been adjusted to reflect the reverse stock split.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257" w:name="_31274d9c_b380_42df_850f_357e6e5db1a1"/>
      <w:bookmarkEnd w:id="257"/>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258" w:name="CONDENSEDCONSOLIDATEDSTATEMENTSOFSTOCKHO"/>
      <w:bookmarkEnd w:id="258"/>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259" w:name="Tc_b6C5PRcF0kCUsfB9uSxtRg_9_0"/>
      <w:bookmarkStart w:id="260" w:name="Tc_0gy61biXqk2wdU5yT-9dCw_8_8"/>
      <w:bookmarkStart w:id="261" w:name="Tc_6cnIIRkLzUaOHSQmDPb47Q_8_5"/>
      <w:bookmarkStart w:id="262" w:name="Tc__zjF9Gh5QEeq_c54jRaxHA_8_2"/>
      <w:bookmarkStart w:id="263" w:name="Tc_khbT-DxdnUCbzy2ZLlQCwg_8_0"/>
      <w:bookmarkStart w:id="264" w:name="Tc_cf1LcovCfEOLSvBkprWhVw_7_11"/>
      <w:bookmarkStart w:id="265" w:name="Tc_W4c2pxE-zkiyUTm7SJ7N7w_7_5"/>
      <w:bookmarkStart w:id="266" w:name="Tc_39hpIy0LF0yB9ykKFAuVYg_7_2"/>
      <w:bookmarkStart w:id="267" w:name="Tc_kqPy4U81lUqtivOp4Qg72A_7_0"/>
      <w:bookmarkStart w:id="268" w:name="Tc_jRSDh4PqOU2eVAHJm0r02A_6_11"/>
      <w:bookmarkStart w:id="269" w:name="Tc_-9v0fl6zlUq3NVhWbKOxYQ_6_5"/>
      <w:bookmarkStart w:id="270" w:name="Tc_MQg31BIUnEyb3oFWrumfCw_6_0"/>
      <w:bookmarkStart w:id="271" w:name="Tc_EZWYIrd5lkyCR4Su_6fjCw_5_13"/>
      <w:bookmarkStart w:id="272" w:name="Tc_2Ru2VJ6HvEW9nXpY6qhXlA_5_10"/>
      <w:bookmarkStart w:id="273" w:name="Tc_5PIvd96rw0CBJLD_9k6FCQ_5_7"/>
      <w:bookmarkStart w:id="274" w:name="Tc_6NRmsYZccUCYZgkh646I9g_5_4"/>
      <w:bookmarkStart w:id="275" w:name="Tc_A528iSG5dUWKWfWrzZbJ1Q_5_0"/>
      <w:bookmarkStart w:id="276" w:name="Tc_ViTqT8VkXEGPtoZJdEy33A_4_13"/>
      <w:bookmarkStart w:id="277" w:name="Tc_sOFgGCVsu0iyQ_9ALDuFlA_4_10"/>
      <w:bookmarkStart w:id="278" w:name="Tc_rwmFRyAkpU-HXUWbafmXZQ_4_7"/>
      <w:bookmarkStart w:id="279" w:name="Tc_KLACqPVNK06TdSWHfZjEYw_4_4"/>
      <w:bookmarkStart w:id="280" w:name="Tc_678TGERtSEG7l1E_A-vMSQ_4_2"/>
      <w:bookmarkStart w:id="281" w:name="Tc_ekFmVzDzDkaOybQ4vfadsA_3_13"/>
      <w:bookmarkStart w:id="282" w:name="Tc_Lq5NKxFPJ0-SgXmOtdusCQ_3_10"/>
      <w:bookmarkStart w:id="283" w:name="Tc_QVrmsuZNS0qTAFzDnoU0Tg_3_7"/>
      <w:bookmarkStart w:id="284" w:name="Tc_I_Csn7o-eES0kePSQYu64w_3_2"/>
      <w:bookmarkStart w:id="285" w:name="Tc_2yVAKfYQP0muNkv5CVQgzQ_2_13"/>
      <w:bookmarkStart w:id="286" w:name="Tc_FLfNTVWlsEOgNDK4-Sb6qg_1_2"/>
      <w:bookmarkStart w:id="287" w:name="_54c1946e_d944_416e_89a0_b6e5afed3a82"/>
      <w:bookmarkStart w:id="288" w:name="Tc_b6C5PRcF0kCUsfB9uSxtRg_9_0"/>
      <w:bookmarkStart w:id="289" w:name="Tc_0gy61biXqk2wdU5yT-9dCw_8_8"/>
      <w:bookmarkStart w:id="290" w:name="Tc_6cnIIRkLzUaOHSQmDPb47Q_8_5"/>
      <w:bookmarkStart w:id="291" w:name="Tc__zjF9Gh5QEeq_c54jRaxHA_8_2"/>
      <w:bookmarkStart w:id="292" w:name="Tc_khbT-DxdnUCbzy2ZLlQCwg_8_0"/>
      <w:bookmarkStart w:id="293" w:name="Tc_cf1LcovCfEOLSvBkprWhVw_7_11"/>
      <w:bookmarkStart w:id="294" w:name="Tc_W4c2pxE-zkiyUTm7SJ7N7w_7_5"/>
      <w:bookmarkStart w:id="295" w:name="Tc_39hpIy0LF0yB9ykKFAuVYg_7_2"/>
      <w:bookmarkStart w:id="296" w:name="Tc_kqPy4U81lUqtivOp4Qg72A_7_0"/>
      <w:bookmarkStart w:id="297" w:name="Tc_jRSDh4PqOU2eVAHJm0r02A_6_11"/>
      <w:bookmarkStart w:id="298" w:name="Tc_-9v0fl6zlUq3NVhWbKOxYQ_6_5"/>
      <w:bookmarkStart w:id="299" w:name="Tc_MQg31BIUnEyb3oFWrumfCw_6_0"/>
      <w:bookmarkStart w:id="300" w:name="Tc_EZWYIrd5lkyCR4Su_6fjCw_5_13"/>
      <w:bookmarkStart w:id="301" w:name="Tc_2Ru2VJ6HvEW9nXpY6qhXlA_5_10"/>
      <w:bookmarkStart w:id="302" w:name="Tc_5PIvd96rw0CBJLD_9k6FCQ_5_7"/>
      <w:bookmarkStart w:id="303" w:name="Tc_6NRmsYZccUCYZgkh646I9g_5_4"/>
      <w:bookmarkStart w:id="304" w:name="Tc_A528iSG5dUWKWfWrzZbJ1Q_5_0"/>
      <w:bookmarkStart w:id="305" w:name="Tc_ViTqT8VkXEGPtoZJdEy33A_4_13"/>
      <w:bookmarkStart w:id="306" w:name="Tc_sOFgGCVsu0iyQ_9ALDuFlA_4_10"/>
      <w:bookmarkStart w:id="307" w:name="Tc_rwmFRyAkpU-HXUWbafmXZQ_4_7"/>
      <w:bookmarkStart w:id="308" w:name="Tc_KLACqPVNK06TdSWHfZjEYw_4_4"/>
      <w:bookmarkStart w:id="309" w:name="Tc_678TGERtSEG7l1E_A-vMSQ_4_2"/>
      <w:bookmarkStart w:id="310" w:name="Tc_ekFmVzDzDkaOybQ4vfadsA_3_13"/>
      <w:bookmarkStart w:id="311" w:name="Tc_Lq5NKxFPJ0-SgXmOtdusCQ_3_10"/>
      <w:bookmarkStart w:id="312" w:name="Tc_QVrmsuZNS0qTAFzDnoU0Tg_3_7"/>
      <w:bookmarkStart w:id="313" w:name="Tc_I_Csn7o-eES0kePSQYu64w_3_2"/>
      <w:bookmarkStart w:id="314" w:name="Tc_2yVAKfYQP0muNkv5CVQgzQ_2_13"/>
      <w:bookmarkStart w:id="315" w:name="Tc_FLfNTVWlsEOgNDK4-Sb6qg_1_2"/>
      <w:bookmarkStart w:id="316" w:name="_54c1946e_d944_416e_89a0_b6e5afed3a82"/>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tbl>
      <w:tblPr>
        <w:tblW w:w="10205" w:type="dxa"/>
        <w:jc w:val="left"/>
        <w:tblInd w:w="0" w:type="dxa"/>
        <w:tblLayout w:type="fixed"/>
        <w:tblCellMar>
          <w:top w:w="0" w:type="dxa"/>
          <w:left w:w="0" w:type="dxa"/>
          <w:bottom w:w="0" w:type="dxa"/>
          <w:right w:w="0" w:type="dxa"/>
        </w:tblCellMar>
      </w:tblPr>
      <w:tblGrid>
        <w:gridCol w:w="2692"/>
        <w:gridCol w:w="326"/>
        <w:gridCol w:w="931"/>
        <w:gridCol w:w="326"/>
        <w:gridCol w:w="218"/>
        <w:gridCol w:w="593"/>
        <w:gridCol w:w="326"/>
        <w:gridCol w:w="211"/>
        <w:gridCol w:w="1141"/>
        <w:gridCol w:w="326"/>
        <w:gridCol w:w="211"/>
        <w:gridCol w:w="1225"/>
        <w:gridCol w:w="326"/>
        <w:gridCol w:w="211"/>
        <w:gridCol w:w="1142"/>
      </w:tblGrid>
      <w:tr>
        <w:trPr/>
        <w:tc>
          <w:tcPr>
            <w:tcW w:w="269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93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593"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225"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42" w:type="dxa"/>
            <w:tcBorders/>
            <w:vAlign w:val="center"/>
          </w:tcPr>
          <w:p>
            <w:pPr>
              <w:pStyle w:val="TableContents"/>
              <w:bidi w:val="0"/>
              <w:spacing w:before="0" w:after="0"/>
              <w:ind w:left="0" w:right="0" w:hanging="0"/>
              <w:jc w:val="both"/>
              <w:rPr/>
            </w:pPr>
            <w:r>
              <w:rPr/>
              <w:t>​</w:t>
            </w:r>
          </w:p>
        </w:tc>
      </w:tr>
      <w:tr>
        <w:trPr/>
        <w:tc>
          <w:tcPr>
            <w:tcW w:w="269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7187"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2023</w:t>
            </w:r>
          </w:p>
        </w:tc>
      </w:tr>
      <w:tr>
        <w:trPr/>
        <w:tc>
          <w:tcPr>
            <w:tcW w:w="269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59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2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135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9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06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both"/>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26" w:type="dxa"/>
            <w:tcBorders/>
            <w:vAlign w:val="center"/>
          </w:tcPr>
          <w:p>
            <w:pPr>
              <w:pStyle w:val="TableContents"/>
              <w:bidi w:val="0"/>
              <w:spacing w:before="0" w:after="0"/>
              <w:ind w:left="0" w:right="0" w:hanging="0"/>
              <w:jc w:val="both"/>
              <w:rPr/>
            </w:pPr>
            <w:r>
              <w:rPr/>
              <w:t>​</w:t>
            </w:r>
          </w:p>
        </w:tc>
        <w:tc>
          <w:tcPr>
            <w:tcW w:w="143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both"/>
              <w:rPr/>
            </w:pPr>
            <w:r>
              <w:rPr/>
              <w:t>​</w:t>
            </w:r>
          </w:p>
        </w:tc>
        <w:tc>
          <w:tcPr>
            <w:tcW w:w="135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692"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both"/>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0"/>
              <w:ind w:left="0" w:right="0" w:hanging="0"/>
              <w:jc w:val="both"/>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vAlign w:val="center"/>
          </w:tcPr>
          <w:p>
            <w:pPr>
              <w:pStyle w:val="TableContents"/>
              <w:bidi w:val="0"/>
              <w:spacing w:before="0" w:after="0"/>
              <w:ind w:left="0" w:right="0" w:hanging="0"/>
              <w:jc w:val="both"/>
              <w:rPr/>
            </w:pPr>
            <w:r>
              <w:rPr/>
              <w:t>​</w:t>
            </w:r>
          </w:p>
        </w:tc>
        <w:tc>
          <w:tcPr>
            <w:tcW w:w="14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both"/>
              <w:rPr/>
            </w:pPr>
            <w:r>
              <w:rPr/>
              <w:t>​</w:t>
            </w:r>
          </w:p>
        </w:tc>
        <w:tc>
          <w:tcPr>
            <w:tcW w:w="13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692"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Balance at April 1, 2023</w:t>
            </w:r>
          </w:p>
        </w:tc>
        <w:tc>
          <w:tcPr>
            <w:tcW w:w="326" w:type="dxa"/>
            <w:tcBorders/>
            <w:shd w:fill="CCEEFF" w:val="clear"/>
            <w:vAlign w:val="center"/>
          </w:tcPr>
          <w:p>
            <w:pPr>
              <w:pStyle w:val="TableContents"/>
              <w:bidi w:val="0"/>
              <w:spacing w:before="0" w:after="0"/>
              <w:ind w:left="0" w:right="0" w:hanging="0"/>
              <w:jc w:val="both"/>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8,798,829</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59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8,799</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448,921,174</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22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(433,016,625)</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15,913,348</w:t>
            </w:r>
          </w:p>
        </w:tc>
      </w:tr>
      <w:tr>
        <w:trPr/>
        <w:tc>
          <w:tcPr>
            <w:tcW w:w="2692"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Issuance of common stock from exercise of stock options </w:t>
            </w:r>
          </w:p>
        </w:tc>
        <w:tc>
          <w:tcPr>
            <w:tcW w:w="326" w:type="dxa"/>
            <w:tcBorders/>
            <w:vAlign w:val="center"/>
          </w:tcPr>
          <w:p>
            <w:pPr>
              <w:pStyle w:val="TableContents"/>
              <w:bidi w:val="0"/>
              <w:spacing w:before="0" w:after="0"/>
              <w:ind w:left="0" w:right="0" w:hanging="0"/>
              <w:jc w:val="both"/>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vAlign w:val="center"/>
          </w:tcPr>
          <w:p>
            <w:pPr>
              <w:pStyle w:val="TableContents"/>
              <w:bidi w:val="0"/>
              <w:spacing w:before="0" w:after="0"/>
              <w:ind w:left="0" w:right="0" w:hanging="0"/>
              <w:jc w:val="both"/>
              <w:rPr/>
            </w:pPr>
            <w:r>
              <w:rPr/>
              <w:t>​</w:t>
            </w:r>
          </w:p>
        </w:tc>
        <w:tc>
          <w:tcPr>
            <w:tcW w:w="218" w:type="dxa"/>
            <w:tcBorders/>
            <w:vAlign w:val="center"/>
          </w:tcPr>
          <w:p>
            <w:pPr>
              <w:pStyle w:val="TableContents"/>
              <w:bidi w:val="0"/>
              <w:spacing w:before="0" w:after="0"/>
              <w:ind w:left="0" w:right="0" w:hanging="0"/>
              <w:jc w:val="both"/>
              <w:rPr/>
            </w:pPr>
            <w:r>
              <w:rPr/>
              <w:t>​</w:t>
            </w:r>
          </w:p>
        </w:tc>
        <w:tc>
          <w:tcPr>
            <w:tcW w:w="5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22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w:t>
            </w:r>
          </w:p>
        </w:tc>
      </w:tr>
      <w:tr>
        <w:trPr/>
        <w:tc>
          <w:tcPr>
            <w:tcW w:w="2692"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Stock-based compensation </w:t>
            </w:r>
          </w:p>
        </w:tc>
        <w:tc>
          <w:tcPr>
            <w:tcW w:w="326" w:type="dxa"/>
            <w:tcBorders/>
            <w:shd w:fill="CCEEFF" w:val="clear"/>
            <w:vAlign w:val="center"/>
          </w:tcPr>
          <w:p>
            <w:pPr>
              <w:pStyle w:val="TableContents"/>
              <w:bidi w:val="0"/>
              <w:spacing w:before="0" w:after="0"/>
              <w:ind w:left="0" w:right="0" w:hanging="0"/>
              <w:jc w:val="both"/>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shd w:fill="CCEEFF" w:val="clear"/>
            <w:vAlign w:val="center"/>
          </w:tcPr>
          <w:p>
            <w:pPr>
              <w:pStyle w:val="TableContents"/>
              <w:bidi w:val="0"/>
              <w:spacing w:before="0" w:after="0"/>
              <w:ind w:left="0" w:right="0" w:hanging="0"/>
              <w:jc w:val="both"/>
              <w:rPr/>
            </w:pPr>
            <w:r>
              <w:rPr/>
              <w:t> </w:t>
            </w:r>
          </w:p>
        </w:tc>
        <w:tc>
          <w:tcPr>
            <w:tcW w:w="5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604,879</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22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604,879</w:t>
            </w:r>
          </w:p>
        </w:tc>
      </w:tr>
      <w:tr>
        <w:trPr/>
        <w:tc>
          <w:tcPr>
            <w:tcW w:w="2692"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income </w:t>
            </w:r>
          </w:p>
        </w:tc>
        <w:tc>
          <w:tcPr>
            <w:tcW w:w="326" w:type="dxa"/>
            <w:tcBorders/>
            <w:vAlign w:val="center"/>
          </w:tcPr>
          <w:p>
            <w:pPr>
              <w:pStyle w:val="TableContents"/>
              <w:bidi w:val="0"/>
              <w:spacing w:before="0" w:after="0"/>
              <w:ind w:left="0" w:right="0" w:hanging="0"/>
              <w:jc w:val="both"/>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5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2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2,515,789</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1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2,515,789</w:t>
            </w:r>
          </w:p>
        </w:tc>
      </w:tr>
      <w:tr>
        <w:trPr/>
        <w:tc>
          <w:tcPr>
            <w:tcW w:w="2692"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Balance at June 30, 2023</w:t>
            </w:r>
          </w:p>
        </w:tc>
        <w:tc>
          <w:tcPr>
            <w:tcW w:w="326" w:type="dxa"/>
            <w:tcBorders/>
            <w:shd w:fill="CCEEFF" w:val="clear"/>
            <w:vAlign w:val="center"/>
          </w:tcPr>
          <w:p>
            <w:pPr>
              <w:pStyle w:val="TableContents"/>
              <w:bidi w:val="0"/>
              <w:spacing w:before="0" w:after="0"/>
              <w:ind w:left="0" w:right="0" w:hanging="0"/>
              <w:jc w:val="both"/>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8,799,173</w:t>
            </w:r>
          </w:p>
        </w:tc>
        <w:tc>
          <w:tcPr>
            <w:tcW w:w="326" w:type="dxa"/>
            <w:tcBorders/>
            <w:shd w:fill="CCEEFF" w:val="clear"/>
            <w:vAlign w:val="center"/>
          </w:tcPr>
          <w:p>
            <w:pPr>
              <w:pStyle w:val="TableContents"/>
              <w:bidi w:val="0"/>
              <w:spacing w:before="0" w:after="0"/>
              <w:ind w:left="0" w:right="0" w:hanging="0"/>
              <w:jc w:val="both"/>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5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8,799</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449,526,789</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2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(430,500,836)</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14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19,034,752</w:t>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17" w:name="Tc_TfkJy5RHb0OSREt3zOqq9g_12_0"/>
      <w:bookmarkStart w:id="318" w:name="Tc_NS09Q2a7w06cL3tqHA2vrg_11_14"/>
      <w:bookmarkStart w:id="319" w:name="Tc_N1z5_wVIq061OIT97D-rNg_11_11"/>
      <w:bookmarkStart w:id="320" w:name="Tc_pqjbMDzjiESg1-ZeCElNbg_11_8"/>
      <w:bookmarkStart w:id="321" w:name="Tc_AOsrExl42UG3plhkZ1e1Bg_11_5"/>
      <w:bookmarkStart w:id="322" w:name="Tc_bT8-REKx90i77lgynbZntg_11_0"/>
      <w:bookmarkStart w:id="323" w:name="Tc_jdoPl87bP0ewxy66Ra3xyg_10_8"/>
      <w:bookmarkStart w:id="324" w:name="Tc_GkEz3bFqGUCfy5jHRYvKAg_10_5"/>
      <w:bookmarkStart w:id="325" w:name="Tc_8jKCaKLYBkKJtK-Me_w3-Q_10_2"/>
      <w:bookmarkStart w:id="326" w:name="Tc_oLQCUFdJdEWgx6qk0o1CJg_10_0"/>
      <w:bookmarkStart w:id="327" w:name="Tc_jBvo5i7uhUyxP-6MTMMCCA_9_0"/>
      <w:bookmarkStart w:id="328" w:name="Tc_MeUe_ZGTF0GrMOfbXS2NTw_8_11"/>
      <w:bookmarkStart w:id="329" w:name="Tc_FoN8ycuyGE2S4wYOxO7dYg_8_5"/>
      <w:bookmarkStart w:id="330" w:name="Tc_LrR8so-fi0yU8ZgcP80aYw_8_0"/>
      <w:bookmarkStart w:id="331" w:name="Tc_NnAAdmpyukG6fjopyX0Wnw_7_14"/>
      <w:bookmarkStart w:id="332" w:name="Tc_yyf_BdKdo0qZMH74q6UE8Q_7_11"/>
      <w:bookmarkStart w:id="333" w:name="Tc_VFvRtKMnj0CWJk6e4LExvQ_7_0"/>
      <w:bookmarkStart w:id="334" w:name="Tc_SOqjPr0ImEi7duoXZReiOA_6_11"/>
      <w:bookmarkStart w:id="335" w:name="Tc_rX_nwsB7mEW7Vhw23Qf5LQ_6_0"/>
      <w:bookmarkStart w:id="336" w:name="Tc_Te7O_XzJtkWd2uzo72t5EQ_5_13"/>
      <w:bookmarkStart w:id="337" w:name="Tc_gs9_daG08EaaA7oTt01bmw_5_10"/>
      <w:bookmarkStart w:id="338" w:name="Tc_wziWbNSPzkCuEPQSvbyz4g_5_7"/>
      <w:bookmarkStart w:id="339" w:name="Tc_BTex1Js-ZE-RLmZVn51E7Q_5_4"/>
      <w:bookmarkStart w:id="340" w:name="Tc_BJjFDR_Kn0SfqswebOq2QA_5_0"/>
      <w:bookmarkStart w:id="341" w:name="Tc_uDYZwgOafE2ZLYyMSSsntw_4_13"/>
      <w:bookmarkStart w:id="342" w:name="Tc_Gq9YWycZqEKIRlWo14ammA_4_10"/>
      <w:bookmarkStart w:id="343" w:name="Tc_OO_meX-OSE-fLC64HutIxQ_4_7"/>
      <w:bookmarkStart w:id="344" w:name="Tc_Ffo_KjsRpkqEl2liYDlPgg_4_4"/>
      <w:bookmarkStart w:id="345" w:name="Tc_yESKYwL49EmeTFi5jK8wKg_4_2"/>
      <w:bookmarkStart w:id="346" w:name="Tc_Jf0erZTTAUSDEKl19ecTkQ_3_13"/>
      <w:bookmarkStart w:id="347" w:name="Tc_7rw2TySzTkWrkUjMftuBKg_3_10"/>
      <w:bookmarkStart w:id="348" w:name="Tc_qkcAIKnq3U2ibgKZ-wDY-Q_3_7"/>
      <w:bookmarkStart w:id="349" w:name="Tc_2K0N5dd8akKgyqiVrEJ04w_3_2"/>
      <w:bookmarkStart w:id="350" w:name="Tc_IgoILmS5uUmrJc1B0fBVbg_2_13"/>
      <w:bookmarkStart w:id="351" w:name="Tc_aqEapg5kbk6083jTPcjjXA_1_2"/>
      <w:bookmarkStart w:id="352" w:name="_1b3ec23e_d425_4652_ba59_9304c2a44292"/>
      <w:bookmarkStart w:id="353" w:name="Tc_TfkJy5RHb0OSREt3zOqq9g_12_0"/>
      <w:bookmarkStart w:id="354" w:name="Tc_NS09Q2a7w06cL3tqHA2vrg_11_14"/>
      <w:bookmarkStart w:id="355" w:name="Tc_N1z5_wVIq061OIT97D-rNg_11_11"/>
      <w:bookmarkStart w:id="356" w:name="Tc_pqjbMDzjiESg1-ZeCElNbg_11_8"/>
      <w:bookmarkStart w:id="357" w:name="Tc_AOsrExl42UG3plhkZ1e1Bg_11_5"/>
      <w:bookmarkStart w:id="358" w:name="Tc_bT8-REKx90i77lgynbZntg_11_0"/>
      <w:bookmarkStart w:id="359" w:name="Tc_jdoPl87bP0ewxy66Ra3xyg_10_8"/>
      <w:bookmarkStart w:id="360" w:name="Tc_GkEz3bFqGUCfy5jHRYvKAg_10_5"/>
      <w:bookmarkStart w:id="361" w:name="Tc_8jKCaKLYBkKJtK-Me_w3-Q_10_2"/>
      <w:bookmarkStart w:id="362" w:name="Tc_oLQCUFdJdEWgx6qk0o1CJg_10_0"/>
      <w:bookmarkStart w:id="363" w:name="Tc_jBvo5i7uhUyxP-6MTMMCCA_9_0"/>
      <w:bookmarkStart w:id="364" w:name="Tc_MeUe_ZGTF0GrMOfbXS2NTw_8_11"/>
      <w:bookmarkStart w:id="365" w:name="Tc_FoN8ycuyGE2S4wYOxO7dYg_8_5"/>
      <w:bookmarkStart w:id="366" w:name="Tc_LrR8so-fi0yU8ZgcP80aYw_8_0"/>
      <w:bookmarkStart w:id="367" w:name="Tc_NnAAdmpyukG6fjopyX0Wnw_7_14"/>
      <w:bookmarkStart w:id="368" w:name="Tc_yyf_BdKdo0qZMH74q6UE8Q_7_11"/>
      <w:bookmarkStart w:id="369" w:name="Tc_VFvRtKMnj0CWJk6e4LExvQ_7_0"/>
      <w:bookmarkStart w:id="370" w:name="Tc_SOqjPr0ImEi7duoXZReiOA_6_11"/>
      <w:bookmarkStart w:id="371" w:name="Tc_rX_nwsB7mEW7Vhw23Qf5LQ_6_0"/>
      <w:bookmarkStart w:id="372" w:name="Tc_Te7O_XzJtkWd2uzo72t5EQ_5_13"/>
      <w:bookmarkStart w:id="373" w:name="Tc_gs9_daG08EaaA7oTt01bmw_5_10"/>
      <w:bookmarkStart w:id="374" w:name="Tc_wziWbNSPzkCuEPQSvbyz4g_5_7"/>
      <w:bookmarkStart w:id="375" w:name="Tc_BTex1Js-ZE-RLmZVn51E7Q_5_4"/>
      <w:bookmarkStart w:id="376" w:name="Tc_BJjFDR_Kn0SfqswebOq2QA_5_0"/>
      <w:bookmarkStart w:id="377" w:name="Tc_uDYZwgOafE2ZLYyMSSsntw_4_13"/>
      <w:bookmarkStart w:id="378" w:name="Tc_Gq9YWycZqEKIRlWo14ammA_4_10"/>
      <w:bookmarkStart w:id="379" w:name="Tc_OO_meX-OSE-fLC64HutIxQ_4_7"/>
      <w:bookmarkStart w:id="380" w:name="Tc_Ffo_KjsRpkqEl2liYDlPgg_4_4"/>
      <w:bookmarkStart w:id="381" w:name="Tc_yESKYwL49EmeTFi5jK8wKg_4_2"/>
      <w:bookmarkStart w:id="382" w:name="Tc_Jf0erZTTAUSDEKl19ecTkQ_3_13"/>
      <w:bookmarkStart w:id="383" w:name="Tc_7rw2TySzTkWrkUjMftuBKg_3_10"/>
      <w:bookmarkStart w:id="384" w:name="Tc_qkcAIKnq3U2ibgKZ-wDY-Q_3_7"/>
      <w:bookmarkStart w:id="385" w:name="Tc_2K0N5dd8akKgyqiVrEJ04w_3_2"/>
      <w:bookmarkStart w:id="386" w:name="Tc_IgoILmS5uUmrJc1B0fBVbg_2_13"/>
      <w:bookmarkStart w:id="387" w:name="Tc_aqEapg5kbk6083jTPcjjXA_1_2"/>
      <w:bookmarkStart w:id="388" w:name="_1b3ec23e_d425_4652_ba59_9304c2a4429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tbl>
      <w:tblPr>
        <w:tblW w:w="10205" w:type="dxa"/>
        <w:jc w:val="left"/>
        <w:tblInd w:w="0" w:type="dxa"/>
        <w:tblLayout w:type="fixed"/>
        <w:tblCellMar>
          <w:top w:w="0" w:type="dxa"/>
          <w:left w:w="0" w:type="dxa"/>
          <w:bottom w:w="0" w:type="dxa"/>
          <w:right w:w="0" w:type="dxa"/>
        </w:tblCellMar>
      </w:tblPr>
      <w:tblGrid>
        <w:gridCol w:w="2696"/>
        <w:gridCol w:w="326"/>
        <w:gridCol w:w="931"/>
        <w:gridCol w:w="326"/>
        <w:gridCol w:w="218"/>
        <w:gridCol w:w="593"/>
        <w:gridCol w:w="326"/>
        <w:gridCol w:w="211"/>
        <w:gridCol w:w="1141"/>
        <w:gridCol w:w="326"/>
        <w:gridCol w:w="211"/>
        <w:gridCol w:w="1221"/>
        <w:gridCol w:w="326"/>
        <w:gridCol w:w="211"/>
        <w:gridCol w:w="1142"/>
      </w:tblGrid>
      <w:tr>
        <w:trPr/>
        <w:tc>
          <w:tcPr>
            <w:tcW w:w="2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711960" cy="175260"/>
                      <wp:effectExtent l="0" t="0" r="0" b="0"/>
                      <wp:wrapNone/>
                      <wp:docPr id="12" name="Frame11"/>
                      <a:graphic xmlns:a="http://schemas.openxmlformats.org/drawingml/2006/main">
                        <a:graphicData uri="http://schemas.microsoft.com/office/word/2010/wordprocessingShape">
                          <wps:wsp>
                            <wps:cNvSpPr txBox="1"/>
                            <wps:spPr>
                              <a:xfrm>
                                <a:off x="0" y="0"/>
                                <a:ext cx="17119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91185" cy="175260"/>
                      <wp:effectExtent l="0" t="0" r="0" b="0"/>
                      <wp:wrapNone/>
                      <wp:docPr id="14" name="Frame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5"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8430" cy="175260"/>
                      <wp:effectExtent l="0" t="0" r="0" b="0"/>
                      <wp:wrapNone/>
                      <wp:docPr id="16" name="Frame15"/>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76555" cy="175260"/>
                      <wp:effectExtent l="0" t="0" r="0" b="0"/>
                      <wp:wrapNone/>
                      <wp:docPr id="17" name="Frame16"/>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8"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19"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24535" cy="175260"/>
                      <wp:effectExtent l="0" t="0" r="0" b="0"/>
                      <wp:wrapNone/>
                      <wp:docPr id="20" name="Frame1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1"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2"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75335" cy="175260"/>
                      <wp:effectExtent l="0" t="0" r="0" b="0"/>
                      <wp:wrapNone/>
                      <wp:docPr id="23" name="Frame22"/>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4"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5"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25170" cy="175260"/>
                      <wp:effectExtent l="0" t="0" r="0" b="0"/>
                      <wp:wrapNone/>
                      <wp:docPr id="26" name="Frame25"/>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69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7183"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2023</w:t>
            </w:r>
          </w:p>
        </w:tc>
      </w:tr>
      <w:tr>
        <w:trPr/>
        <w:tc>
          <w:tcPr>
            <w:tcW w:w="269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218" w:type="dxa"/>
            <w:tcBorders/>
            <w:vAlign w:val="center"/>
          </w:tcPr>
          <w:p>
            <w:pPr>
              <w:pStyle w:val="TableContents"/>
              <w:bidi w:val="0"/>
              <w:spacing w:before="0" w:after="1"/>
              <w:ind w:left="0" w:right="0" w:hanging="0"/>
              <w:jc w:val="both"/>
              <w:rPr/>
            </w:pPr>
            <w:r>
              <w:rPr/>
              <w:t>​</w:t>
            </w:r>
          </w:p>
        </w:tc>
        <w:tc>
          <w:tcPr>
            <w:tcW w:w="59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35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9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06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both"/>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26" w:type="dxa"/>
            <w:tcBorders/>
            <w:vAlign w:val="center"/>
          </w:tcPr>
          <w:p>
            <w:pPr>
              <w:pStyle w:val="TableContents"/>
              <w:bidi w:val="0"/>
              <w:spacing w:before="0" w:after="1"/>
              <w:ind w:left="0" w:right="0" w:hanging="0"/>
              <w:jc w:val="both"/>
              <w:rPr/>
            </w:pPr>
            <w:r>
              <w:rPr/>
              <w:t>​</w:t>
            </w:r>
          </w:p>
        </w:tc>
        <w:tc>
          <w:tcPr>
            <w:tcW w:w="14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both"/>
              <w:rPr/>
            </w:pPr>
            <w:r>
              <w:rPr/>
              <w:t>​</w:t>
            </w:r>
          </w:p>
        </w:tc>
        <w:tc>
          <w:tcPr>
            <w:tcW w:w="135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69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both"/>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1"/>
              <w:ind w:left="0" w:right="0" w:hanging="0"/>
              <w:jc w:val="both"/>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vAlign w:val="center"/>
          </w:tcPr>
          <w:p>
            <w:pPr>
              <w:pStyle w:val="TableContents"/>
              <w:bidi w:val="0"/>
              <w:spacing w:before="0" w:after="1"/>
              <w:ind w:left="0" w:right="0" w:hanging="0"/>
              <w:jc w:val="both"/>
              <w:rPr/>
            </w:pPr>
            <w:r>
              <w:rPr/>
              <w:t>    </w:t>
            </w:r>
          </w:p>
        </w:tc>
        <w:tc>
          <w:tcPr>
            <w:tcW w:w="14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both"/>
              <w:rPr/>
            </w:pPr>
            <w:r>
              <w:rPr/>
              <w:t>    </w:t>
            </w:r>
          </w:p>
        </w:tc>
        <w:tc>
          <w:tcPr>
            <w:tcW w:w="13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696"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Balance at January 1, 2023</w:t>
            </w:r>
          </w:p>
        </w:tc>
        <w:tc>
          <w:tcPr>
            <w:tcW w:w="326" w:type="dxa"/>
            <w:tcBorders/>
            <w:shd w:fill="CCEEFF" w:val="clear"/>
            <w:vAlign w:val="center"/>
          </w:tcPr>
          <w:p>
            <w:pPr>
              <w:pStyle w:val="TableContents"/>
              <w:bidi w:val="0"/>
              <w:spacing w:before="0" w:after="1"/>
              <w:ind w:left="0" w:right="0" w:hanging="0"/>
              <w:jc w:val="both"/>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8,405,771</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8,406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447,641,680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(428,049,049)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19,601,037</w:t>
            </w:r>
          </w:p>
        </w:tc>
      </w:tr>
      <w:tr>
        <w:trPr/>
        <w:tc>
          <w:tcPr>
            <w:tcW w:w="2696"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Issuance of common stock for cash </w:t>
            </w:r>
          </w:p>
        </w:tc>
        <w:tc>
          <w:tcPr>
            <w:tcW w:w="326"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212,761</w:t>
            </w:r>
          </w:p>
        </w:tc>
        <w:tc>
          <w:tcPr>
            <w:tcW w:w="326" w:type="dxa"/>
            <w:tcBorders/>
            <w:vAlign w:val="center"/>
          </w:tcPr>
          <w:p>
            <w:pPr>
              <w:pStyle w:val="TableContents"/>
              <w:bidi w:val="0"/>
              <w:spacing w:before="0" w:after="1"/>
              <w:ind w:left="0" w:right="0" w:hanging="0"/>
              <w:jc w:val="both"/>
              <w:rPr/>
            </w:pPr>
            <w:r>
              <w:rPr/>
              <w:t>​</w:t>
            </w:r>
          </w:p>
        </w:tc>
        <w:tc>
          <w:tcPr>
            <w:tcW w:w="218" w:type="dxa"/>
            <w:tcBorders/>
            <w:vAlign w:val="center"/>
          </w:tcPr>
          <w:p>
            <w:pPr>
              <w:pStyle w:val="TableContents"/>
              <w:bidi w:val="0"/>
              <w:spacing w:before="0" w:after="1"/>
              <w:ind w:left="0" w:right="0" w:hanging="0"/>
              <w:jc w:val="both"/>
              <w:rPr/>
            </w:pPr>
            <w:r>
              <w:rPr/>
              <w:t>​</w:t>
            </w:r>
          </w:p>
        </w:tc>
        <w:tc>
          <w:tcPr>
            <w:tcW w:w="5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619,761</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619,974</w:t>
            </w:r>
          </w:p>
        </w:tc>
      </w:tr>
      <w:tr>
        <w:trPr/>
        <w:tc>
          <w:tcPr>
            <w:tcW w:w="2696"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Issuance of common stock as commitment fee for future financing</w:t>
            </w:r>
          </w:p>
        </w:tc>
        <w:tc>
          <w:tcPr>
            <w:tcW w:w="326"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180,410</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shd w:fill="CCEEFF" w:val="clear"/>
            <w:vAlign w:val="center"/>
          </w:tcPr>
          <w:p>
            <w:pPr>
              <w:pStyle w:val="TableContents"/>
              <w:bidi w:val="0"/>
              <w:spacing w:before="0" w:after="1"/>
              <w:ind w:left="0" w:right="0" w:hanging="0"/>
              <w:jc w:val="both"/>
              <w:rPr/>
            </w:pPr>
            <w:r>
              <w:rPr/>
              <w:t>​</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42" w:type="dxa"/>
            <w:tcBorders/>
            <w:shd w:fill="CCEEFF" w:val="clear"/>
            <w:vAlign w:val="center"/>
          </w:tcPr>
          <w:p>
            <w:pPr>
              <w:pStyle w:val="TableContents"/>
              <w:bidi w:val="0"/>
              <w:spacing w:before="0" w:after="1"/>
              <w:ind w:left="0" w:right="0" w:hanging="0"/>
              <w:jc w:val="right"/>
              <w:rPr/>
            </w:pPr>
            <w:r>
              <w:rPr/>
              <w:t>—</w:t>
            </w:r>
          </w:p>
        </w:tc>
      </w:tr>
      <w:tr>
        <w:trPr/>
        <w:tc>
          <w:tcPr>
            <w:tcW w:w="2696"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Issuance of common stock from exercise of stock options </w:t>
            </w:r>
          </w:p>
        </w:tc>
        <w:tc>
          <w:tcPr>
            <w:tcW w:w="326"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vAlign w:val="center"/>
          </w:tcPr>
          <w:p>
            <w:pPr>
              <w:pStyle w:val="TableContents"/>
              <w:bidi w:val="0"/>
              <w:spacing w:before="0" w:after="1"/>
              <w:ind w:left="0" w:right="0" w:hanging="0"/>
              <w:jc w:val="both"/>
              <w:rPr/>
            </w:pPr>
            <w:r>
              <w:rPr/>
              <w:t>​</w:t>
            </w:r>
          </w:p>
        </w:tc>
        <w:tc>
          <w:tcPr>
            <w:tcW w:w="218" w:type="dxa"/>
            <w:tcBorders/>
            <w:vAlign w:val="center"/>
          </w:tcPr>
          <w:p>
            <w:pPr>
              <w:pStyle w:val="TableContents"/>
              <w:bidi w:val="0"/>
              <w:spacing w:before="0" w:after="1"/>
              <w:ind w:left="0" w:right="0" w:hanging="0"/>
              <w:jc w:val="both"/>
              <w:rPr/>
            </w:pPr>
            <w:r>
              <w:rPr/>
              <w:t>​</w:t>
            </w:r>
          </w:p>
        </w:tc>
        <w:tc>
          <w:tcPr>
            <w:tcW w:w="59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w:t>
            </w:r>
          </w:p>
        </w:tc>
      </w:tr>
      <w:tr>
        <w:trPr/>
        <w:tc>
          <w:tcPr>
            <w:tcW w:w="2696"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shd w:fill="CCEEFF" w:val="clear"/>
            <w:vAlign w:val="center"/>
          </w:tcPr>
          <w:p>
            <w:pPr>
              <w:pStyle w:val="TableContents"/>
              <w:bidi w:val="0"/>
              <w:spacing w:before="0" w:after="1"/>
              <w:ind w:left="0" w:right="0" w:hanging="0"/>
              <w:jc w:val="both"/>
              <w:rPr/>
            </w:pPr>
            <w:r>
              <w:rPr/>
              <w:t> </w:t>
            </w:r>
          </w:p>
        </w:tc>
        <w:tc>
          <w:tcPr>
            <w:tcW w:w="59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1,264,792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1,264,792</w:t>
            </w:r>
          </w:p>
        </w:tc>
      </w:tr>
      <w:tr>
        <w:trPr/>
        <w:tc>
          <w:tcPr>
            <w:tcW w:w="2696"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8" w:type="dxa"/>
            <w:tcBorders/>
            <w:vAlign w:val="center"/>
          </w:tcPr>
          <w:p>
            <w:pPr>
              <w:pStyle w:val="TableContents"/>
              <w:bidi w:val="0"/>
              <w:spacing w:before="0" w:after="1"/>
              <w:ind w:left="0" w:right="0" w:hanging="0"/>
              <w:jc w:val="both"/>
              <w:rPr/>
            </w:pPr>
            <w:r>
              <w:rPr/>
              <w:t> </w:t>
            </w:r>
          </w:p>
        </w:tc>
        <w:tc>
          <w:tcPr>
            <w:tcW w:w="59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(2,451,787)</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(2,451,787)</w:t>
            </w:r>
          </w:p>
        </w:tc>
      </w:tr>
      <w:tr>
        <w:trPr/>
        <w:tc>
          <w:tcPr>
            <w:tcW w:w="2696"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Fractional shares adjustment due to reverse split </w:t>
            </w:r>
          </w:p>
        </w:tc>
        <w:tc>
          <w:tcPr>
            <w:tcW w:w="326" w:type="dxa"/>
            <w:tcBorders/>
            <w:shd w:fill="CCEEFF" w:val="clear"/>
            <w:vAlign w:val="center"/>
          </w:tcPr>
          <w:p>
            <w:pPr>
              <w:pStyle w:val="TableContents"/>
              <w:bidi w:val="0"/>
              <w:spacing w:before="0" w:after="1"/>
              <w:ind w:left="0" w:right="0" w:hanging="0"/>
              <w:jc w:val="both"/>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5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1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696"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Balance at June 30, 2023</w:t>
            </w:r>
          </w:p>
        </w:tc>
        <w:tc>
          <w:tcPr>
            <w:tcW w:w="326" w:type="dxa"/>
            <w:tcBorders/>
            <w:vAlign w:val="center"/>
          </w:tcPr>
          <w:p>
            <w:pPr>
              <w:pStyle w:val="TableContents"/>
              <w:bidi w:val="0"/>
              <w:spacing w:before="0" w:after="1"/>
              <w:ind w:left="0" w:right="0" w:hanging="0"/>
              <w:jc w:val="both"/>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8,799,173</w:t>
            </w:r>
          </w:p>
        </w:tc>
        <w:tc>
          <w:tcPr>
            <w:tcW w:w="326" w:type="dxa"/>
            <w:tcBorders/>
            <w:vAlign w:val="center"/>
          </w:tcPr>
          <w:p>
            <w:pPr>
              <w:pStyle w:val="TableContents"/>
              <w:bidi w:val="0"/>
              <w:spacing w:before="0" w:after="1"/>
              <w:ind w:left="0" w:right="0" w:hanging="0"/>
              <w:jc w:val="both"/>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both"/>
              <w:rPr/>
            </w:pPr>
            <w:r>
              <w:rPr/>
              <w:t>​</w:t>
            </w:r>
          </w:p>
        </w:tc>
        <w:tc>
          <w:tcPr>
            <w:tcW w:w="5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8,799</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449,526,789</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w:t>
            </w:r>
          </w:p>
        </w:tc>
        <w:tc>
          <w:tcPr>
            <w:tcW w:w="12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(430,500,836)</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w:t>
            </w:r>
          </w:p>
        </w:tc>
        <w:tc>
          <w:tcPr>
            <w:tcW w:w="114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19,034,752</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89" w:name="Tc_teITeh-jbkenVW9AKN4gKA_9_13"/>
      <w:bookmarkStart w:id="390" w:name="Tc_fX6Ca-biJ0S0A1HOl3f4Sw_9_10"/>
      <w:bookmarkStart w:id="391" w:name="Tc_coJJbO8v9U-5utxxVp4RGw_9_7"/>
      <w:bookmarkStart w:id="392" w:name="Tc_DjT_7WEptk-aSMk8fiQE0A_9_4"/>
      <w:bookmarkStart w:id="393" w:name="Tc_Cj7PRSF55UakBxIQnlGFHw_9_0"/>
      <w:bookmarkStart w:id="394" w:name="Tc_eKBBtueTg0K41G7Hcqzo3A_8_8"/>
      <w:bookmarkStart w:id="395" w:name="Tc_htPSuhGpI06M8h4lPU7ewA_8_5"/>
      <w:bookmarkStart w:id="396" w:name="Tc_nYsZE4ofQ0CAjWneZ4GNaQ_8_2"/>
      <w:bookmarkStart w:id="397" w:name="Tc_L_bFmbynpU-gUTRUxhv84w_8_0"/>
      <w:bookmarkStart w:id="398" w:name="Tc_3OgnfBMDQ0OPw18WbPX7vw_7_11"/>
      <w:bookmarkStart w:id="399" w:name="Tc_2xidVseAOUuG7T56sJ7X5A_7_5"/>
      <w:bookmarkStart w:id="400" w:name="Tc_gcMMnPaIEU-yDwpGvvZw3g_7_2"/>
      <w:bookmarkStart w:id="401" w:name="Tc_WlCujkKgSU6sLu_oc1ym2A_7_0"/>
      <w:bookmarkStart w:id="402" w:name="Tc__YXKlzyv8EaW2DO3uQnifQ_6_11"/>
      <w:bookmarkStart w:id="403" w:name="Tc_tCfk8Ouokk2r3zmcQoP7Og_6_0"/>
      <w:bookmarkStart w:id="404" w:name="Tc_Dn9ummv0Rki0kTVDGSadZw_5_13"/>
      <w:bookmarkStart w:id="405" w:name="Tc_-5eSfaBN_ES0FYNRkM3kJg_5_10"/>
      <w:bookmarkStart w:id="406" w:name="Tc_8JHRxRHiVUeJ9aWZIOD4EA_5_7"/>
      <w:bookmarkStart w:id="407" w:name="Tc_BD99K7gdcE2QZgDCq03YSQ_5_4"/>
      <w:bookmarkStart w:id="408" w:name="Tc_TsMFpkAaTkiI5zT_8bfQcQ_5_0"/>
      <w:bookmarkStart w:id="409" w:name="Tc_av8M95ndJkOxxHLHJgmqSA_4_13"/>
      <w:bookmarkStart w:id="410" w:name="Tc_1O4qjKHc3UWcClj8ejZsJA_4_10"/>
      <w:bookmarkStart w:id="411" w:name="Tc_LQ-_pXRyEEmRTWfB7CCv3A_4_7"/>
      <w:bookmarkStart w:id="412" w:name="Tc_R3ktobcKoke_M6h8x2QFBA_4_4"/>
      <w:bookmarkStart w:id="413" w:name="Tc_E-P6twnI1UCO1Nsw_qefYQ_4_2"/>
      <w:bookmarkStart w:id="414" w:name="Tc_wA612-gL0UmmTazbAAzvYA_3_13"/>
      <w:bookmarkStart w:id="415" w:name="Tc_eYzIv7jJUkuJsAOvzLbGig_3_10"/>
      <w:bookmarkStart w:id="416" w:name="Tc_rJ-zphUyFEaEwdf6AwAl3g_3_7"/>
      <w:bookmarkStart w:id="417" w:name="Tc_OgIEuwgPt02iwVy6ln3a2g_3_2"/>
      <w:bookmarkStart w:id="418" w:name="Tc_aBbhtGOKlkSXDQTiLGUv8w_2_13"/>
      <w:bookmarkStart w:id="419" w:name="Tc_UrnpUuK450-8ZYrIsd8OUg_1_2"/>
      <w:bookmarkStart w:id="420" w:name="_487b0c6f_70c9_4906_b0b7_3fdfd29cc2de"/>
      <w:bookmarkStart w:id="421" w:name="Tc_teITeh-jbkenVW9AKN4gKA_9_13"/>
      <w:bookmarkStart w:id="422" w:name="Tc_fX6Ca-biJ0S0A1HOl3f4Sw_9_10"/>
      <w:bookmarkStart w:id="423" w:name="Tc_coJJbO8v9U-5utxxVp4RGw_9_7"/>
      <w:bookmarkStart w:id="424" w:name="Tc_DjT_7WEptk-aSMk8fiQE0A_9_4"/>
      <w:bookmarkStart w:id="425" w:name="Tc_Cj7PRSF55UakBxIQnlGFHw_9_0"/>
      <w:bookmarkStart w:id="426" w:name="Tc_eKBBtueTg0K41G7Hcqzo3A_8_8"/>
      <w:bookmarkStart w:id="427" w:name="Tc_htPSuhGpI06M8h4lPU7ewA_8_5"/>
      <w:bookmarkStart w:id="428" w:name="Tc_nYsZE4ofQ0CAjWneZ4GNaQ_8_2"/>
      <w:bookmarkStart w:id="429" w:name="Tc_L_bFmbynpU-gUTRUxhv84w_8_0"/>
      <w:bookmarkStart w:id="430" w:name="Tc_3OgnfBMDQ0OPw18WbPX7vw_7_11"/>
      <w:bookmarkStart w:id="431" w:name="Tc_2xidVseAOUuG7T56sJ7X5A_7_5"/>
      <w:bookmarkStart w:id="432" w:name="Tc_gcMMnPaIEU-yDwpGvvZw3g_7_2"/>
      <w:bookmarkStart w:id="433" w:name="Tc_WlCujkKgSU6sLu_oc1ym2A_7_0"/>
      <w:bookmarkStart w:id="434" w:name="Tc__YXKlzyv8EaW2DO3uQnifQ_6_11"/>
      <w:bookmarkStart w:id="435" w:name="Tc_tCfk8Ouokk2r3zmcQoP7Og_6_0"/>
      <w:bookmarkStart w:id="436" w:name="Tc_Dn9ummv0Rki0kTVDGSadZw_5_13"/>
      <w:bookmarkStart w:id="437" w:name="Tc_-5eSfaBN_ES0FYNRkM3kJg_5_10"/>
      <w:bookmarkStart w:id="438" w:name="Tc_8JHRxRHiVUeJ9aWZIOD4EA_5_7"/>
      <w:bookmarkStart w:id="439" w:name="Tc_BD99K7gdcE2QZgDCq03YSQ_5_4"/>
      <w:bookmarkStart w:id="440" w:name="Tc_TsMFpkAaTkiI5zT_8bfQcQ_5_0"/>
      <w:bookmarkStart w:id="441" w:name="Tc_av8M95ndJkOxxHLHJgmqSA_4_13"/>
      <w:bookmarkStart w:id="442" w:name="Tc_1O4qjKHc3UWcClj8ejZsJA_4_10"/>
      <w:bookmarkStart w:id="443" w:name="Tc_LQ-_pXRyEEmRTWfB7CCv3A_4_7"/>
      <w:bookmarkStart w:id="444" w:name="Tc_R3ktobcKoke_M6h8x2QFBA_4_4"/>
      <w:bookmarkStart w:id="445" w:name="Tc_E-P6twnI1UCO1Nsw_qefYQ_4_2"/>
      <w:bookmarkStart w:id="446" w:name="Tc_wA612-gL0UmmTazbAAzvYA_3_13"/>
      <w:bookmarkStart w:id="447" w:name="Tc_eYzIv7jJUkuJsAOvzLbGig_3_10"/>
      <w:bookmarkStart w:id="448" w:name="Tc_rJ-zphUyFEaEwdf6AwAl3g_3_7"/>
      <w:bookmarkStart w:id="449" w:name="Tc_OgIEuwgPt02iwVy6ln3a2g_3_2"/>
      <w:bookmarkStart w:id="450" w:name="Tc_aBbhtGOKlkSXDQTiLGUv8w_2_13"/>
      <w:bookmarkStart w:id="451" w:name="Tc_UrnpUuK450-8ZYrIsd8OUg_1_2"/>
      <w:bookmarkStart w:id="452" w:name="_487b0c6f_70c9_4906_b0b7_3fdfd29cc2de"/>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tbl>
      <w:tblPr>
        <w:tblW w:w="10205" w:type="dxa"/>
        <w:jc w:val="left"/>
        <w:tblInd w:w="0" w:type="dxa"/>
        <w:tblLayout w:type="fixed"/>
        <w:tblCellMar>
          <w:top w:w="0" w:type="dxa"/>
          <w:left w:w="0" w:type="dxa"/>
          <w:bottom w:w="0" w:type="dxa"/>
          <w:right w:w="0" w:type="dxa"/>
        </w:tblCellMar>
      </w:tblPr>
      <w:tblGrid>
        <w:gridCol w:w="2672"/>
        <w:gridCol w:w="326"/>
        <w:gridCol w:w="931"/>
        <w:gridCol w:w="326"/>
        <w:gridCol w:w="218"/>
        <w:gridCol w:w="593"/>
        <w:gridCol w:w="326"/>
        <w:gridCol w:w="211"/>
        <w:gridCol w:w="1141"/>
        <w:gridCol w:w="326"/>
        <w:gridCol w:w="211"/>
        <w:gridCol w:w="1245"/>
        <w:gridCol w:w="326"/>
        <w:gridCol w:w="211"/>
        <w:gridCol w:w="1142"/>
      </w:tblGrid>
      <w:tr>
        <w:trPr/>
        <w:tc>
          <w:tcPr>
            <w:tcW w:w="2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696720" cy="175260"/>
                      <wp:effectExtent l="0" t="0" r="0" b="0"/>
                      <wp:wrapNone/>
                      <wp:docPr id="27" name="Frame26"/>
                      <a:graphic xmlns:a="http://schemas.openxmlformats.org/drawingml/2006/main">
                        <a:graphicData uri="http://schemas.microsoft.com/office/word/2010/wordprocessingShape">
                          <wps:wsp>
                            <wps:cNvSpPr txBox="1"/>
                            <wps:spPr>
                              <a:xfrm>
                                <a:off x="0" y="0"/>
                                <a:ext cx="169672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8"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91185" cy="175260"/>
                      <wp:effectExtent l="0" t="0" r="0" b="0"/>
                      <wp:wrapNone/>
                      <wp:docPr id="29" name="Frame2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0"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8430" cy="175260"/>
                      <wp:effectExtent l="0" t="0" r="0" b="0"/>
                      <wp:wrapNone/>
                      <wp:docPr id="31" name="Frame30"/>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76555" cy="175260"/>
                      <wp:effectExtent l="0" t="0" r="0" b="0"/>
                      <wp:wrapNone/>
                      <wp:docPr id="32" name="Frame31"/>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3"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4"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724535" cy="175260"/>
                      <wp:effectExtent l="0" t="0" r="0" b="0"/>
                      <wp:wrapNone/>
                      <wp:docPr id="35" name="Frame3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6"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7"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790575" cy="175260"/>
                      <wp:effectExtent l="0" t="0" r="0" b="0"/>
                      <wp:wrapNone/>
                      <wp:docPr id="38" name="Frame37"/>
                      <a:graphic xmlns:a="http://schemas.openxmlformats.org/drawingml/2006/main">
                        <a:graphicData uri="http://schemas.microsoft.com/office/word/2010/wordprocessingShape">
                          <wps:wsp>
                            <wps:cNvSpPr txBox="1"/>
                            <wps:spPr>
                              <a:xfrm>
                                <a:off x="0" y="0"/>
                                <a:ext cx="79057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39"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0"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725170" cy="175260"/>
                      <wp:effectExtent l="0" t="0" r="0" b="0"/>
                      <wp:wrapNone/>
                      <wp:docPr id="41" name="Frame40"/>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672"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7207"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2022</w:t>
            </w:r>
          </w:p>
        </w:tc>
      </w:tr>
      <w:tr>
        <w:trPr/>
        <w:tc>
          <w:tcPr>
            <w:tcW w:w="2672"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218" w:type="dxa"/>
            <w:tcBorders/>
            <w:vAlign w:val="center"/>
          </w:tcPr>
          <w:p>
            <w:pPr>
              <w:pStyle w:val="TableContents"/>
              <w:bidi w:val="0"/>
              <w:spacing w:before="0" w:after="1"/>
              <w:ind w:left="0" w:right="0" w:hanging="0"/>
              <w:jc w:val="both"/>
              <w:rPr/>
            </w:pPr>
            <w:r>
              <w:rPr/>
              <w:t>​</w:t>
            </w:r>
          </w:p>
        </w:tc>
        <w:tc>
          <w:tcPr>
            <w:tcW w:w="59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4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35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72"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06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both"/>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26" w:type="dxa"/>
            <w:tcBorders/>
            <w:vAlign w:val="center"/>
          </w:tcPr>
          <w:p>
            <w:pPr>
              <w:pStyle w:val="TableContents"/>
              <w:bidi w:val="0"/>
              <w:spacing w:before="0" w:after="1"/>
              <w:ind w:left="0" w:right="0" w:hanging="0"/>
              <w:jc w:val="both"/>
              <w:rPr/>
            </w:pPr>
            <w:r>
              <w:rPr/>
              <w:t>​</w:t>
            </w:r>
          </w:p>
        </w:tc>
        <w:tc>
          <w:tcPr>
            <w:tcW w:w="14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both"/>
              <w:rPr/>
            </w:pPr>
            <w:r>
              <w:rPr/>
              <w:t>​</w:t>
            </w:r>
          </w:p>
        </w:tc>
        <w:tc>
          <w:tcPr>
            <w:tcW w:w="135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672"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both"/>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1"/>
              <w:ind w:left="0" w:right="0" w:hanging="0"/>
              <w:jc w:val="both"/>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vAlign w:val="center"/>
          </w:tcPr>
          <w:p>
            <w:pPr>
              <w:pStyle w:val="TableContents"/>
              <w:bidi w:val="0"/>
              <w:spacing w:before="0" w:after="1"/>
              <w:ind w:left="0" w:right="0" w:hanging="0"/>
              <w:jc w:val="both"/>
              <w:rPr/>
            </w:pPr>
            <w:r>
              <w:rPr/>
              <w:t>    </w:t>
            </w:r>
          </w:p>
        </w:tc>
        <w:tc>
          <w:tcPr>
            <w:tcW w:w="14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both"/>
              <w:rPr/>
            </w:pPr>
            <w:r>
              <w:rPr/>
              <w:t>    </w:t>
            </w:r>
          </w:p>
        </w:tc>
        <w:tc>
          <w:tcPr>
            <w:tcW w:w="13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672"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Balance at April 1, 2022</w:t>
            </w:r>
          </w:p>
        </w:tc>
        <w:tc>
          <w:tcPr>
            <w:tcW w:w="326"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8,345,119</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8,345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443,726,282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45"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(408,028,863)</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35,705,764</w:t>
            </w:r>
          </w:p>
        </w:tc>
      </w:tr>
      <w:tr>
        <w:trPr/>
        <w:tc>
          <w:tcPr>
            <w:tcW w:w="2672"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Issuance common shares for cash, net </w:t>
            </w:r>
          </w:p>
        </w:tc>
        <w:tc>
          <w:tcPr>
            <w:tcW w:w="326"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14,800</w:t>
            </w:r>
          </w:p>
        </w:tc>
        <w:tc>
          <w:tcPr>
            <w:tcW w:w="326" w:type="dxa"/>
            <w:tcBorders/>
            <w:vAlign w:val="center"/>
          </w:tcPr>
          <w:p>
            <w:pPr>
              <w:pStyle w:val="TableContents"/>
              <w:bidi w:val="0"/>
              <w:spacing w:before="0" w:after="1"/>
              <w:ind w:left="0" w:right="0" w:hanging="0"/>
              <w:jc w:val="both"/>
              <w:rPr/>
            </w:pPr>
            <w:r>
              <w:rPr/>
              <w:t>​</w:t>
            </w:r>
          </w:p>
        </w:tc>
        <w:tc>
          <w:tcPr>
            <w:tcW w:w="218" w:type="dxa"/>
            <w:tcBorders/>
            <w:vAlign w:val="center"/>
          </w:tcPr>
          <w:p>
            <w:pPr>
              <w:pStyle w:val="TableContents"/>
              <w:bidi w:val="0"/>
              <w:spacing w:before="0" w:after="1"/>
              <w:ind w:left="0" w:right="0" w:hanging="0"/>
              <w:jc w:val="both"/>
              <w:rPr/>
            </w:pPr>
            <w:r>
              <w:rPr/>
              <w:t>​</w:t>
            </w:r>
          </w:p>
        </w:tc>
        <w:tc>
          <w:tcPr>
            <w:tcW w:w="5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63,558</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63,573</w:t>
            </w:r>
          </w:p>
        </w:tc>
      </w:tr>
      <w:tr>
        <w:trPr/>
        <w:tc>
          <w:tcPr>
            <w:tcW w:w="2672"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Stock-based compensation </w:t>
            </w:r>
          </w:p>
        </w:tc>
        <w:tc>
          <w:tcPr>
            <w:tcW w:w="326"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shd w:fill="CCEEFF" w:val="clear"/>
            <w:vAlign w:val="center"/>
          </w:tcPr>
          <w:p>
            <w:pPr>
              <w:pStyle w:val="TableContents"/>
              <w:bidi w:val="0"/>
              <w:spacing w:before="0" w:after="1"/>
              <w:ind w:left="0" w:right="0" w:hanging="0"/>
              <w:jc w:val="both"/>
              <w:rPr/>
            </w:pPr>
            <w:r>
              <w:rPr/>
              <w:t>​</w:t>
            </w:r>
          </w:p>
        </w:tc>
        <w:tc>
          <w:tcPr>
            <w:tcW w:w="59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1,501,124</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4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1,501,124</w:t>
            </w:r>
          </w:p>
        </w:tc>
      </w:tr>
      <w:tr>
        <w:trPr/>
        <w:tc>
          <w:tcPr>
            <w:tcW w:w="2672"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Net loss </w:t>
            </w:r>
          </w:p>
        </w:tc>
        <w:tc>
          <w:tcPr>
            <w:tcW w:w="326" w:type="dxa"/>
            <w:tcBorders/>
            <w:vAlign w:val="center"/>
          </w:tcPr>
          <w:p>
            <w:pPr>
              <w:pStyle w:val="TableContents"/>
              <w:bidi w:val="0"/>
              <w:spacing w:before="0" w:after="1"/>
              <w:ind w:left="0" w:right="0" w:hanging="0"/>
              <w:jc w:val="both"/>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5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(9,244,188)</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(9,244,188)</w:t>
            </w:r>
          </w:p>
        </w:tc>
      </w:tr>
      <w:tr>
        <w:trPr/>
        <w:tc>
          <w:tcPr>
            <w:tcW w:w="2672"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Balance at June 30, 2022</w:t>
            </w:r>
          </w:p>
        </w:tc>
        <w:tc>
          <w:tcPr>
            <w:tcW w:w="326" w:type="dxa"/>
            <w:tcBorders/>
            <w:shd w:fill="CCEEFF" w:val="clear"/>
            <w:vAlign w:val="center"/>
          </w:tcPr>
          <w:p>
            <w:pPr>
              <w:pStyle w:val="TableContents"/>
              <w:bidi w:val="0"/>
              <w:spacing w:before="0" w:after="1"/>
              <w:ind w:left="0" w:right="0" w:hanging="0"/>
              <w:jc w:val="both"/>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8,359,919</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5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8,360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445,290,964</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(417,273,051)</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28,026,273</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53" w:name="Tc_bRLL8bgoq0CLmEn3IITnyw_9_13"/>
      <w:bookmarkStart w:id="454" w:name="Tc_RAJy_W41tUe6MHSooxaLGw_9_10"/>
      <w:bookmarkStart w:id="455" w:name="Tc_p0jcpBz5gUKWYvtnF94v4g_9_7"/>
      <w:bookmarkStart w:id="456" w:name="Tc_w4nzhxSwNkiHIS3RQxB0iA_9_4"/>
      <w:bookmarkStart w:id="457" w:name="Tc_6V4bY8Fs-ECG_sNd6viWKQ_9_0"/>
      <w:bookmarkStart w:id="458" w:name="Tc_pQ0Q_NSY1UGfUZsiJYsLww_8_8"/>
      <w:bookmarkStart w:id="459" w:name="Tc_XnLXFsfQpEO5FM2r8aveug_8_5"/>
      <w:bookmarkStart w:id="460" w:name="Tc_VJ9nlcJq80qy7aX9GB50Jg_8_2"/>
      <w:bookmarkStart w:id="461" w:name="Tc_9QflW90a6kKdsE20_h4hGA_8_0"/>
      <w:bookmarkStart w:id="462" w:name="Tc_lemcEzhfJEKtAefBDkFkkg_7_11"/>
      <w:bookmarkStart w:id="463" w:name="Tc_vdRuanvkdkGKnBlMOThJ1w_7_0"/>
      <w:bookmarkStart w:id="464" w:name="Tc_ujH2cEHjF0ujTMyqPelwmA_6_11"/>
      <w:bookmarkStart w:id="465" w:name="Tc_qcdoaDNejkiyUkEa5nxSSA_6_0"/>
      <w:bookmarkStart w:id="466" w:name="Tc_rXh3NAX0fEequu97-bxdBw_5_13"/>
      <w:bookmarkStart w:id="467" w:name="Tc_VOGZyduhA0Sw7jaeb4Ln6w_5_10"/>
      <w:bookmarkStart w:id="468" w:name="Tc_n005mjLtlE6El617rMjLgg_5_7"/>
      <w:bookmarkStart w:id="469" w:name="Tc_6I_ofzJQAk2mzWh0i6XfvA_5_4"/>
      <w:bookmarkStart w:id="470" w:name="Tc_Nind6OPlTUyZruAyAHzHVQ_5_0"/>
      <w:bookmarkStart w:id="471" w:name="Tc_SKl_kSB8DkS186FnLLKmMw_4_13"/>
      <w:bookmarkStart w:id="472" w:name="Tc_fzKrvHtNN0WUoSUXsGExZA_4_10"/>
      <w:bookmarkStart w:id="473" w:name="Tc_nag5yKotm0aYGrp_9IhWMQ_4_7"/>
      <w:bookmarkStart w:id="474" w:name="Tc_5QAa17qyqUCNqZUzED1MCw_4_4"/>
      <w:bookmarkStart w:id="475" w:name="Tc_vOfGf75gaUa_b4mHS6W4oA_4_2"/>
      <w:bookmarkStart w:id="476" w:name="Tc_gGYJDe50vkGhmmpzZkWdXQ_3_13"/>
      <w:bookmarkStart w:id="477" w:name="Tc_MKX2jx9XhECmfF_QIMe7_g_3_10"/>
      <w:bookmarkStart w:id="478" w:name="Tc_ccP8sPrDfE6EeZOOxYTlkw_3_7"/>
      <w:bookmarkStart w:id="479" w:name="Tc_oLXsjvVmOU-_3-vjCszVUA_3_2"/>
      <w:bookmarkStart w:id="480" w:name="Tc_sQ_wUElHpES5fBI5VoyKFw_2_13"/>
      <w:bookmarkStart w:id="481" w:name="Tc_B3hqSefIWkKuxbTHZnRIhg_1_2"/>
      <w:bookmarkStart w:id="482" w:name="_3988d77f_a6c6_4186_8fd7_1b8256652b54"/>
      <w:bookmarkStart w:id="483" w:name="Tc_bRLL8bgoq0CLmEn3IITnyw_9_13"/>
      <w:bookmarkStart w:id="484" w:name="Tc_RAJy_W41tUe6MHSooxaLGw_9_10"/>
      <w:bookmarkStart w:id="485" w:name="Tc_p0jcpBz5gUKWYvtnF94v4g_9_7"/>
      <w:bookmarkStart w:id="486" w:name="Tc_w4nzhxSwNkiHIS3RQxB0iA_9_4"/>
      <w:bookmarkStart w:id="487" w:name="Tc_6V4bY8Fs-ECG_sNd6viWKQ_9_0"/>
      <w:bookmarkStart w:id="488" w:name="Tc_pQ0Q_NSY1UGfUZsiJYsLww_8_8"/>
      <w:bookmarkStart w:id="489" w:name="Tc_XnLXFsfQpEO5FM2r8aveug_8_5"/>
      <w:bookmarkStart w:id="490" w:name="Tc_VJ9nlcJq80qy7aX9GB50Jg_8_2"/>
      <w:bookmarkStart w:id="491" w:name="Tc_9QflW90a6kKdsE20_h4hGA_8_0"/>
      <w:bookmarkStart w:id="492" w:name="Tc_lemcEzhfJEKtAefBDkFkkg_7_11"/>
      <w:bookmarkStart w:id="493" w:name="Tc_vdRuanvkdkGKnBlMOThJ1w_7_0"/>
      <w:bookmarkStart w:id="494" w:name="Tc_ujH2cEHjF0ujTMyqPelwmA_6_11"/>
      <w:bookmarkStart w:id="495" w:name="Tc_qcdoaDNejkiyUkEa5nxSSA_6_0"/>
      <w:bookmarkStart w:id="496" w:name="Tc_rXh3NAX0fEequu97-bxdBw_5_13"/>
      <w:bookmarkStart w:id="497" w:name="Tc_VOGZyduhA0Sw7jaeb4Ln6w_5_10"/>
      <w:bookmarkStart w:id="498" w:name="Tc_n005mjLtlE6El617rMjLgg_5_7"/>
      <w:bookmarkStart w:id="499" w:name="Tc_6I_ofzJQAk2mzWh0i6XfvA_5_4"/>
      <w:bookmarkStart w:id="500" w:name="Tc_Nind6OPlTUyZruAyAHzHVQ_5_0"/>
      <w:bookmarkStart w:id="501" w:name="Tc_SKl_kSB8DkS186FnLLKmMw_4_13"/>
      <w:bookmarkStart w:id="502" w:name="Tc_fzKrvHtNN0WUoSUXsGExZA_4_10"/>
      <w:bookmarkStart w:id="503" w:name="Tc_nag5yKotm0aYGrp_9IhWMQ_4_7"/>
      <w:bookmarkStart w:id="504" w:name="Tc_5QAa17qyqUCNqZUzED1MCw_4_4"/>
      <w:bookmarkStart w:id="505" w:name="Tc_vOfGf75gaUa_b4mHS6W4oA_4_2"/>
      <w:bookmarkStart w:id="506" w:name="Tc_gGYJDe50vkGhmmpzZkWdXQ_3_13"/>
      <w:bookmarkStart w:id="507" w:name="Tc_MKX2jx9XhECmfF_QIMe7_g_3_10"/>
      <w:bookmarkStart w:id="508" w:name="Tc_ccP8sPrDfE6EeZOOxYTlkw_3_7"/>
      <w:bookmarkStart w:id="509" w:name="Tc_oLXsjvVmOU-_3-vjCszVUA_3_2"/>
      <w:bookmarkStart w:id="510" w:name="Tc_sQ_wUElHpES5fBI5VoyKFw_2_13"/>
      <w:bookmarkStart w:id="511" w:name="Tc_B3hqSefIWkKuxbTHZnRIhg_1_2"/>
      <w:bookmarkStart w:id="512" w:name="_3988d77f_a6c6_4186_8fd7_1b8256652b54"/>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tbl>
      <w:tblPr>
        <w:tblW w:w="10205" w:type="dxa"/>
        <w:jc w:val="left"/>
        <w:tblInd w:w="0" w:type="dxa"/>
        <w:tblLayout w:type="fixed"/>
        <w:tblCellMar>
          <w:top w:w="0" w:type="dxa"/>
          <w:left w:w="0" w:type="dxa"/>
          <w:bottom w:w="0" w:type="dxa"/>
          <w:right w:w="0" w:type="dxa"/>
        </w:tblCellMar>
      </w:tblPr>
      <w:tblGrid>
        <w:gridCol w:w="2631"/>
        <w:gridCol w:w="326"/>
        <w:gridCol w:w="931"/>
        <w:gridCol w:w="326"/>
        <w:gridCol w:w="218"/>
        <w:gridCol w:w="593"/>
        <w:gridCol w:w="326"/>
        <w:gridCol w:w="211"/>
        <w:gridCol w:w="1141"/>
        <w:gridCol w:w="326"/>
        <w:gridCol w:w="211"/>
        <w:gridCol w:w="1243"/>
        <w:gridCol w:w="326"/>
        <w:gridCol w:w="211"/>
        <w:gridCol w:w="1185"/>
      </w:tblGrid>
      <w:tr>
        <w:trPr/>
        <w:tc>
          <w:tcPr>
            <w:tcW w:w="2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670685" cy="175260"/>
                      <wp:effectExtent l="0" t="0" r="0" b="0"/>
                      <wp:wrapNone/>
                      <wp:docPr id="42" name="Frame41"/>
                      <a:graphic xmlns:a="http://schemas.openxmlformats.org/drawingml/2006/main">
                        <a:graphicData uri="http://schemas.microsoft.com/office/word/2010/wordprocessingShape">
                          <wps:wsp>
                            <wps:cNvSpPr txBox="1"/>
                            <wps:spPr>
                              <a:xfrm>
                                <a:off x="0" y="0"/>
                                <a:ext cx="16706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3"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91185" cy="175260"/>
                      <wp:effectExtent l="0" t="0" r="0" b="0"/>
                      <wp:wrapNone/>
                      <wp:docPr id="44" name="Frame4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5"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8430" cy="175260"/>
                      <wp:effectExtent l="0" t="0" r="0" b="0"/>
                      <wp:wrapNone/>
                      <wp:docPr id="46" name="Frame45"/>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76555" cy="175260"/>
                      <wp:effectExtent l="0" t="0" r="0" b="0"/>
                      <wp:wrapNone/>
                      <wp:docPr id="47" name="Frame46"/>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8"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49"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724535" cy="175260"/>
                      <wp:effectExtent l="0" t="0" r="0" b="0"/>
                      <wp:wrapNone/>
                      <wp:docPr id="50" name="Frame4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1"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2"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789305" cy="175260"/>
                      <wp:effectExtent l="0" t="0" r="0" b="0"/>
                      <wp:wrapNone/>
                      <wp:docPr id="53" name="Frame52"/>
                      <a:graphic xmlns:a="http://schemas.openxmlformats.org/drawingml/2006/main">
                        <a:graphicData uri="http://schemas.microsoft.com/office/word/2010/wordprocessingShape">
                          <wps:wsp>
                            <wps:cNvSpPr txBox="1"/>
                            <wps:spPr>
                              <a:xfrm>
                                <a:off x="0" y="0"/>
                                <a:ext cx="78930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4"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5"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752475" cy="175260"/>
                      <wp:effectExtent l="0" t="0" r="0" b="0"/>
                      <wp:wrapNone/>
                      <wp:docPr id="56" name="Frame55"/>
                      <a:graphic xmlns:a="http://schemas.openxmlformats.org/drawingml/2006/main">
                        <a:graphicData uri="http://schemas.microsoft.com/office/word/2010/wordprocessingShape">
                          <wps:wsp>
                            <wps:cNvSpPr txBox="1"/>
                            <wps:spPr>
                              <a:xfrm>
                                <a:off x="0" y="0"/>
                                <a:ext cx="75247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63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7248"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2022</w:t>
            </w:r>
          </w:p>
        </w:tc>
      </w:tr>
      <w:tr>
        <w:trPr/>
        <w:tc>
          <w:tcPr>
            <w:tcW w:w="263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8" w:type="dxa"/>
            <w:tcBorders/>
            <w:vAlign w:val="center"/>
          </w:tcPr>
          <w:p>
            <w:pPr>
              <w:pStyle w:val="TableContents"/>
              <w:bidi w:val="0"/>
              <w:spacing w:before="0" w:after="1"/>
              <w:ind w:left="0" w:right="0" w:hanging="0"/>
              <w:jc w:val="both"/>
              <w:rPr/>
            </w:pPr>
            <w:r>
              <w:rPr/>
              <w:t>​</w:t>
            </w:r>
          </w:p>
        </w:tc>
        <w:tc>
          <w:tcPr>
            <w:tcW w:w="593"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43"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3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3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06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both"/>
              <w:rPr/>
            </w:pPr>
            <w:r>
              <w:rPr/>
              <w:t>​</w:t>
            </w:r>
          </w:p>
        </w:tc>
        <w:tc>
          <w:tcPr>
            <w:tcW w:w="13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26" w:type="dxa"/>
            <w:tcBorders/>
            <w:vAlign w:val="center"/>
          </w:tcPr>
          <w:p>
            <w:pPr>
              <w:pStyle w:val="TableContents"/>
              <w:bidi w:val="0"/>
              <w:spacing w:before="0" w:after="1"/>
              <w:ind w:left="0" w:right="0" w:hanging="0"/>
              <w:jc w:val="both"/>
              <w:rPr/>
            </w:pPr>
            <w:r>
              <w:rPr/>
              <w:t>​</w:t>
            </w:r>
          </w:p>
        </w:tc>
        <w:tc>
          <w:tcPr>
            <w:tcW w:w="145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both"/>
              <w:rPr/>
            </w:pPr>
            <w:r>
              <w:rPr/>
              <w:t>​</w:t>
            </w:r>
          </w:p>
        </w:tc>
        <w:tc>
          <w:tcPr>
            <w:tcW w:w="13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63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both"/>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1"/>
              <w:ind w:left="0" w:right="0" w:hanging="0"/>
              <w:jc w:val="both"/>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vAlign w:val="center"/>
          </w:tcPr>
          <w:p>
            <w:pPr>
              <w:pStyle w:val="TableContents"/>
              <w:bidi w:val="0"/>
              <w:spacing w:before="0" w:after="1"/>
              <w:ind w:left="0" w:right="0" w:hanging="0"/>
              <w:jc w:val="both"/>
              <w:rPr/>
            </w:pPr>
            <w:r>
              <w:rPr/>
              <w:t>    </w:t>
            </w:r>
          </w:p>
        </w:tc>
        <w:tc>
          <w:tcPr>
            <w:tcW w:w="14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both"/>
              <w:rPr/>
            </w:pPr>
            <w:r>
              <w:rPr/>
              <w:t>    </w:t>
            </w:r>
          </w:p>
        </w:tc>
        <w:tc>
          <w:tcPr>
            <w:tcW w:w="13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631"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Balance at January 1, 2022</w:t>
            </w:r>
          </w:p>
        </w:tc>
        <w:tc>
          <w:tcPr>
            <w:tcW w:w="326"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8,307,868</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8,308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442,095,642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4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(398,118,355)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85"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43,985,595</w:t>
            </w:r>
          </w:p>
        </w:tc>
      </w:tr>
      <w:tr>
        <w:trPr/>
        <w:tc>
          <w:tcPr>
            <w:tcW w:w="2631"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Issuance common shares for cash, net </w:t>
            </w:r>
          </w:p>
        </w:tc>
        <w:tc>
          <w:tcPr>
            <w:tcW w:w="326"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14,800</w:t>
            </w:r>
          </w:p>
        </w:tc>
        <w:tc>
          <w:tcPr>
            <w:tcW w:w="326" w:type="dxa"/>
            <w:tcBorders/>
            <w:vAlign w:val="center"/>
          </w:tcPr>
          <w:p>
            <w:pPr>
              <w:pStyle w:val="TableContents"/>
              <w:bidi w:val="0"/>
              <w:spacing w:before="0" w:after="1"/>
              <w:ind w:left="0" w:right="0" w:hanging="0"/>
              <w:jc w:val="both"/>
              <w:rPr/>
            </w:pPr>
            <w:r>
              <w:rPr/>
              <w:t>​</w:t>
            </w:r>
          </w:p>
        </w:tc>
        <w:tc>
          <w:tcPr>
            <w:tcW w:w="218" w:type="dxa"/>
            <w:tcBorders/>
            <w:vAlign w:val="center"/>
          </w:tcPr>
          <w:p>
            <w:pPr>
              <w:pStyle w:val="TableContents"/>
              <w:bidi w:val="0"/>
              <w:spacing w:before="0" w:after="1"/>
              <w:ind w:left="0" w:right="0" w:hanging="0"/>
              <w:jc w:val="both"/>
              <w:rPr/>
            </w:pPr>
            <w:r>
              <w:rPr/>
              <w:t>​</w:t>
            </w:r>
          </w:p>
        </w:tc>
        <w:tc>
          <w:tcPr>
            <w:tcW w:w="5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63,558</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63,573</w:t>
            </w:r>
          </w:p>
        </w:tc>
      </w:tr>
      <w:tr>
        <w:trPr/>
        <w:tc>
          <w:tcPr>
            <w:tcW w:w="2631"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37,251</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shd w:fill="CCEEFF" w:val="clear"/>
            <w:vAlign w:val="center"/>
          </w:tcPr>
          <w:p>
            <w:pPr>
              <w:pStyle w:val="TableContents"/>
              <w:bidi w:val="0"/>
              <w:spacing w:before="0" w:after="1"/>
              <w:ind w:left="0" w:right="0" w:hanging="0"/>
              <w:jc w:val="both"/>
              <w:rPr/>
            </w:pPr>
            <w:r>
              <w:rPr/>
              <w:t>​</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3,131,764</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4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3,131,801</w:t>
            </w:r>
          </w:p>
        </w:tc>
      </w:tr>
      <w:tr>
        <w:trPr/>
        <w:tc>
          <w:tcPr>
            <w:tcW w:w="2631"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both"/>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5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(19,154,696)</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1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(19,154,696)</w:t>
            </w:r>
          </w:p>
        </w:tc>
      </w:tr>
      <w:tr>
        <w:trPr/>
        <w:tc>
          <w:tcPr>
            <w:tcW w:w="2631"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Balance at June 30, 2022</w:t>
            </w:r>
          </w:p>
        </w:tc>
        <w:tc>
          <w:tcPr>
            <w:tcW w:w="326" w:type="dxa"/>
            <w:tcBorders/>
            <w:shd w:fill="CCEEFF" w:val="clear"/>
            <w:vAlign w:val="center"/>
          </w:tcPr>
          <w:p>
            <w:pPr>
              <w:pStyle w:val="TableContents"/>
              <w:bidi w:val="0"/>
              <w:spacing w:before="0" w:after="1"/>
              <w:ind w:left="0" w:right="0" w:hanging="0"/>
              <w:jc w:val="both"/>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8,359,919</w:t>
            </w:r>
          </w:p>
        </w:tc>
        <w:tc>
          <w:tcPr>
            <w:tcW w:w="326" w:type="dxa"/>
            <w:tcBorders/>
            <w:shd w:fill="CCEEFF" w:val="clear"/>
            <w:vAlign w:val="center"/>
          </w:tcPr>
          <w:p>
            <w:pPr>
              <w:pStyle w:val="TableContents"/>
              <w:bidi w:val="0"/>
              <w:spacing w:before="0" w:after="1"/>
              <w:ind w:left="0" w:right="0" w:hanging="0"/>
              <w:jc w:val="both"/>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5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8,360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445,290,964</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(417,273,051)</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8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28,026,273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26, 2023, the Company effected a one-for-ten (1-for-10) reverse stock split of its common stock. All historical share and per share amounts reflected in this report have been adjusted to reflect the reverse stock split.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513" w:name="_551cc50a_a2ea_44c3_80c2_ddaaf540b5fb"/>
      <w:bookmarkEnd w:id="513"/>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514" w:name="CONDENSEDCONSOLIDATEDSTATEMENTSOFCASHFLO"/>
      <w:bookmarkEnd w:id="514"/>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515" w:name="Tc_bA6rYnfipkWtjzILTA2Sdw_28_5"/>
      <w:bookmarkStart w:id="516" w:name="Tc_ALU5bjQ-a0yEfw_iESD3wQ_28_2"/>
      <w:bookmarkStart w:id="517" w:name="Tc_scoaLnKN90iKTsOaQKS1Mw_28_0"/>
      <w:bookmarkStart w:id="518" w:name="Tc_N5yNn5h1q06xZHMF_oVk5g_27_0"/>
      <w:bookmarkStart w:id="519" w:name="Tc_ggq994oKd0S_ryUWP3PHJw_25_0"/>
      <w:bookmarkStart w:id="520" w:name="Tc_0ok5Y8Fu80Cv1Gz60U1bZA_24_0"/>
      <w:bookmarkStart w:id="521" w:name="Tc_cNp2YJrN0kiFbLttGDI1bQ_23_6"/>
      <w:bookmarkStart w:id="522" w:name="Tc_602vLenexkysm-_mQGZ2Ew_23_0"/>
      <w:bookmarkStart w:id="523" w:name="Tc_6LKLhihXh0u5h8ka02uMmQ_22_0"/>
      <w:bookmarkStart w:id="524" w:name="Tc_4u8JlARgXE-9Om6CciM-jg_21_0"/>
      <w:bookmarkStart w:id="525" w:name="Tc_w0VrBVh9D0-xh-9l4f-iyg_20_0"/>
      <w:bookmarkStart w:id="526" w:name="Tc_09uDWK-sCUiAVMUV-lNYvw_19_0"/>
      <w:bookmarkStart w:id="527" w:name="Tc_HyosmdTqVkiI9vx0_daiZA_18_0"/>
      <w:bookmarkStart w:id="528" w:name="Tc_Q82rS-EozkWlhUWYbtXZPA_17_0"/>
      <w:bookmarkStart w:id="529" w:name="Tc_uVipTmHG806NlKUHF_jH1Q_16_0"/>
      <w:bookmarkStart w:id="530" w:name="Tc_s3_Tf2p3WUKB4k7IPLc_Og_15_0"/>
      <w:bookmarkStart w:id="531" w:name="Tc_VTwR1ILm80KkANhG7olWeA_14_3"/>
      <w:bookmarkStart w:id="532" w:name="Tc_fXFlH6ITUU6bnj34c0mjeg_14_0"/>
      <w:bookmarkStart w:id="533" w:name="Tc_piX_sYAdbUuak86nJADarA_13_0"/>
      <w:bookmarkStart w:id="534" w:name="Tc_u_6hDPJmWkeBw2Ed0TyXXw_12_0"/>
      <w:bookmarkStart w:id="535" w:name="Tc_00JXkwHHfU6pUBbMilsPow_11_0"/>
      <w:bookmarkStart w:id="536" w:name="Tc_lSeySMOlCU-vhvSFl6Jtnw_10_0"/>
      <w:bookmarkStart w:id="537" w:name="Tc_iPj-zf5DWkKTSrTPW-nJCA_9_0"/>
      <w:bookmarkStart w:id="538" w:name="Tc_Wm6Tfq7pokScyD0iI9TCgg_8_0"/>
      <w:bookmarkStart w:id="539" w:name="Tc_9dvsJYvlg0aO4XDo6bSbjg_7_0"/>
      <w:bookmarkStart w:id="540" w:name="Tc_hRgErg4ZukKyfDOBdC_pbQ_6_0"/>
      <w:bookmarkStart w:id="541" w:name="Tc_JfnY1E5CTEK5wvu19_3PZA_5_5"/>
      <w:bookmarkStart w:id="542" w:name="Tc_zOOsZkqYGUSIckNTyemrBQ_5_2"/>
      <w:bookmarkStart w:id="543" w:name="Tc_qGoceXnLZkK45QDyypy6Jw_5_0"/>
      <w:bookmarkStart w:id="544" w:name="Tc_f2RsSOfErE2l5MCG0kXo7Q_4_0"/>
      <w:bookmarkStart w:id="545" w:name="Tc_QvQAsBfDrkGRpBsiRejP2w_3_5"/>
      <w:bookmarkStart w:id="546" w:name="Tc_ZTMIaGajh06dVRl1UBhT6w_3_2"/>
      <w:bookmarkStart w:id="547" w:name="Tc_s7L833XVVkWVWAwmvfJI1Q_2_2"/>
      <w:bookmarkStart w:id="548" w:name="Tc_7p3s8pyPKk-ZmsyFC5Otig_1_2"/>
      <w:bookmarkStart w:id="549" w:name="_2754bc31_9829_47cf_b327_8a54e3fb6fa6"/>
      <w:bookmarkStart w:id="550" w:name="Tc_bA6rYnfipkWtjzILTA2Sdw_28_5"/>
      <w:bookmarkStart w:id="551" w:name="Tc_ALU5bjQ-a0yEfw_iESD3wQ_28_2"/>
      <w:bookmarkStart w:id="552" w:name="Tc_scoaLnKN90iKTsOaQKS1Mw_28_0"/>
      <w:bookmarkStart w:id="553" w:name="Tc_N5yNn5h1q06xZHMF_oVk5g_27_0"/>
      <w:bookmarkStart w:id="554" w:name="Tc_ggq994oKd0S_ryUWP3PHJw_25_0"/>
      <w:bookmarkStart w:id="555" w:name="Tc_0ok5Y8Fu80Cv1Gz60U1bZA_24_0"/>
      <w:bookmarkStart w:id="556" w:name="Tc_cNp2YJrN0kiFbLttGDI1bQ_23_6"/>
      <w:bookmarkStart w:id="557" w:name="Tc_602vLenexkysm-_mQGZ2Ew_23_0"/>
      <w:bookmarkStart w:id="558" w:name="Tc_6LKLhihXh0u5h8ka02uMmQ_22_0"/>
      <w:bookmarkStart w:id="559" w:name="Tc_4u8JlARgXE-9Om6CciM-jg_21_0"/>
      <w:bookmarkStart w:id="560" w:name="Tc_w0VrBVh9D0-xh-9l4f-iyg_20_0"/>
      <w:bookmarkStart w:id="561" w:name="Tc_09uDWK-sCUiAVMUV-lNYvw_19_0"/>
      <w:bookmarkStart w:id="562" w:name="Tc_HyosmdTqVkiI9vx0_daiZA_18_0"/>
      <w:bookmarkStart w:id="563" w:name="Tc_Q82rS-EozkWlhUWYbtXZPA_17_0"/>
      <w:bookmarkStart w:id="564" w:name="Tc_uVipTmHG806NlKUHF_jH1Q_16_0"/>
      <w:bookmarkStart w:id="565" w:name="Tc_s3_Tf2p3WUKB4k7IPLc_Og_15_0"/>
      <w:bookmarkStart w:id="566" w:name="Tc_VTwR1ILm80KkANhG7olWeA_14_3"/>
      <w:bookmarkStart w:id="567" w:name="Tc_fXFlH6ITUU6bnj34c0mjeg_14_0"/>
      <w:bookmarkStart w:id="568" w:name="Tc_piX_sYAdbUuak86nJADarA_13_0"/>
      <w:bookmarkStart w:id="569" w:name="Tc_u_6hDPJmWkeBw2Ed0TyXXw_12_0"/>
      <w:bookmarkStart w:id="570" w:name="Tc_00JXkwHHfU6pUBbMilsPow_11_0"/>
      <w:bookmarkStart w:id="571" w:name="Tc_lSeySMOlCU-vhvSFl6Jtnw_10_0"/>
      <w:bookmarkStart w:id="572" w:name="Tc_iPj-zf5DWkKTSrTPW-nJCA_9_0"/>
      <w:bookmarkStart w:id="573" w:name="Tc_Wm6Tfq7pokScyD0iI9TCgg_8_0"/>
      <w:bookmarkStart w:id="574" w:name="Tc_9dvsJYvlg0aO4XDo6bSbjg_7_0"/>
      <w:bookmarkStart w:id="575" w:name="Tc_hRgErg4ZukKyfDOBdC_pbQ_6_0"/>
      <w:bookmarkStart w:id="576" w:name="Tc_JfnY1E5CTEK5wvu19_3PZA_5_5"/>
      <w:bookmarkStart w:id="577" w:name="Tc_zOOsZkqYGUSIckNTyemrBQ_5_2"/>
      <w:bookmarkStart w:id="578" w:name="Tc_qGoceXnLZkK45QDyypy6Jw_5_0"/>
      <w:bookmarkStart w:id="579" w:name="Tc_f2RsSOfErE2l5MCG0kXo7Q_4_0"/>
      <w:bookmarkStart w:id="580" w:name="Tc_QvQAsBfDrkGRpBsiRejP2w_3_5"/>
      <w:bookmarkStart w:id="581" w:name="Tc_ZTMIaGajh06dVRl1UBhT6w_3_2"/>
      <w:bookmarkStart w:id="582" w:name="Tc_s7L833XVVkWVWAwmvfJI1Q_2_2"/>
      <w:bookmarkStart w:id="583" w:name="Tc_7p3s8pyPKk-ZmsyFC5Otig_1_2"/>
      <w:bookmarkStart w:id="584" w:name="_2754bc31_9829_47cf_b327_8a54e3fb6fa6"/>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tbl>
      <w:tblPr>
        <w:tblW w:w="9747" w:type="dxa"/>
        <w:jc w:val="left"/>
        <w:tblInd w:w="0" w:type="dxa"/>
        <w:tblLayout w:type="fixed"/>
        <w:tblCellMar>
          <w:top w:w="0" w:type="dxa"/>
          <w:left w:w="0" w:type="dxa"/>
          <w:bottom w:w="0" w:type="dxa"/>
          <w:right w:w="0" w:type="dxa"/>
        </w:tblCellMar>
      </w:tblPr>
      <w:tblGrid>
        <w:gridCol w:w="6316"/>
        <w:gridCol w:w="326"/>
        <w:gridCol w:w="211"/>
        <w:gridCol w:w="1156"/>
        <w:gridCol w:w="326"/>
        <w:gridCol w:w="211"/>
        <w:gridCol w:w="1201"/>
      </w:tblGrid>
      <w:tr>
        <w:trPr/>
        <w:tc>
          <w:tcPr>
            <w:tcW w:w="6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010660" cy="175260"/>
                      <wp:effectExtent l="0" t="0" r="0" b="0"/>
                      <wp:wrapNone/>
                      <wp:docPr id="57" name="Frame56"/>
                      <a:graphic xmlns:a="http://schemas.openxmlformats.org/drawingml/2006/main">
                        <a:graphicData uri="http://schemas.microsoft.com/office/word/2010/wordprocessingShape">
                          <wps:wsp>
                            <wps:cNvSpPr txBox="1"/>
                            <wps:spPr>
                              <a:xfrm>
                                <a:off x="0" y="0"/>
                                <a:ext cx="40106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8"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59"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734060" cy="175260"/>
                      <wp:effectExtent l="0" t="0" r="0" b="0"/>
                      <wp:wrapNone/>
                      <wp:docPr id="60" name="Frame59"/>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1"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2"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762635" cy="175260"/>
                      <wp:effectExtent l="0" t="0" r="0" b="0"/>
                      <wp:wrapNone/>
                      <wp:docPr id="63" name="Frame62"/>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631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31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631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31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631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    </w:t>
            </w:r>
          </w:p>
        </w:tc>
        <w:tc>
          <w:tcPr>
            <w:tcW w:w="14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31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5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01" w:type="dxa"/>
            <w:tcBorders/>
            <w:shd w:fill="CCEEFF" w:val="clear"/>
            <w:vAlign w:val="center"/>
          </w:tcPr>
          <w:p>
            <w:pPr>
              <w:pStyle w:val="TableContents"/>
              <w:bidi w:val="0"/>
              <w:spacing w:before="0" w:after="1"/>
              <w:ind w:left="0" w:right="0" w:hanging="0"/>
              <w:jc w:val="both"/>
              <w:rPr/>
            </w:pPr>
            <w:r>
              <w:rPr/>
              <w:t>​</w:t>
            </w:r>
          </w:p>
        </w:tc>
      </w:tr>
      <w:tr>
        <w:trPr/>
        <w:tc>
          <w:tcPr>
            <w:tcW w:w="63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(2,451,787)</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(19,154,696)</w:t>
            </w:r>
          </w:p>
        </w:tc>
      </w:tr>
      <w:tr>
        <w:trPr/>
        <w:tc>
          <w:tcPr>
            <w:tcW w:w="63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Less: gain (loss) from discontinued operations, net of tax</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5,872,020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(8,148,842)</w:t>
            </w:r>
          </w:p>
        </w:tc>
      </w:tr>
      <w:tr>
        <w:trPr/>
        <w:tc>
          <w:tcPr>
            <w:tcW w:w="63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 from continuing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(8,323,807)</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(11,005,854)</w:t>
            </w:r>
          </w:p>
        </w:tc>
      </w:tr>
      <w:tr>
        <w:trPr/>
        <w:tc>
          <w:tcPr>
            <w:tcW w:w="631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Reconciliation of net loss to net cash used in operating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01" w:type="dxa"/>
            <w:tcBorders/>
            <w:shd w:fill="CCEEFF" w:val="clear"/>
            <w:vAlign w:val="center"/>
          </w:tcPr>
          <w:p>
            <w:pPr>
              <w:pStyle w:val="TableContents"/>
              <w:bidi w:val="0"/>
              <w:spacing w:before="0" w:after="1"/>
              <w:ind w:left="0" w:right="0" w:hanging="0"/>
              <w:jc w:val="right"/>
              <w:rPr/>
            </w:pPr>
            <w:r>
              <w:rPr/>
              <w:t>​</w:t>
            </w:r>
          </w:p>
        </w:tc>
      </w:tr>
      <w:tr>
        <w:trPr/>
        <w:tc>
          <w:tcPr>
            <w:tcW w:w="63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539,858</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1,986,402</w:t>
            </w:r>
          </w:p>
        </w:tc>
      </w:tr>
      <w:tr>
        <w:trPr/>
        <w:tc>
          <w:tcPr>
            <w:tcW w:w="631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Changes in operating assets and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01" w:type="dxa"/>
            <w:tcBorders/>
            <w:shd w:fill="CCEEFF" w:val="clear"/>
            <w:vAlign w:val="center"/>
          </w:tcPr>
          <w:p>
            <w:pPr>
              <w:pStyle w:val="TableContents"/>
              <w:bidi w:val="0"/>
              <w:spacing w:before="0" w:after="1"/>
              <w:ind w:left="0" w:right="0" w:hanging="0"/>
              <w:jc w:val="right"/>
              <w:rPr/>
            </w:pPr>
            <w:r>
              <w:rPr/>
              <w:t>​</w:t>
            </w:r>
          </w:p>
        </w:tc>
      </w:tr>
      <w:tr>
        <w:trPr/>
        <w:tc>
          <w:tcPr>
            <w:tcW w:w="63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Prepaid expenses and deposits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(238,223)</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(309,254)</w:t>
            </w:r>
          </w:p>
        </w:tc>
      </w:tr>
      <w:tr>
        <w:trPr/>
        <w:tc>
          <w:tcPr>
            <w:tcW w:w="63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receivables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655,904</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(627,392)</w:t>
            </w:r>
          </w:p>
        </w:tc>
      </w:tr>
      <w:tr>
        <w:trPr/>
        <w:tc>
          <w:tcPr>
            <w:tcW w:w="63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197,030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(1,061,562)</w:t>
            </w:r>
          </w:p>
        </w:tc>
      </w:tr>
      <w:tr>
        <w:trPr/>
        <w:tc>
          <w:tcPr>
            <w:tcW w:w="63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(1,146,186)</w:t>
            </w:r>
          </w:p>
        </w:tc>
      </w:tr>
      <w:tr>
        <w:trPr/>
        <w:tc>
          <w:tcPr>
            <w:tcW w:w="63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used in operating activities - continuing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(7,169,238)</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(12,163,846)</w:t>
            </w:r>
          </w:p>
        </w:tc>
      </w:tr>
      <w:tr>
        <w:trPr/>
        <w:tc>
          <w:tcPr>
            <w:tcW w:w="63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used in operating activities - discontinued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(5,775,680)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(856,922)</w:t>
            </w:r>
          </w:p>
        </w:tc>
      </w:tr>
      <w:tr>
        <w:trPr/>
        <w:tc>
          <w:tcPr>
            <w:tcW w:w="63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(12,944,918)</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(13,020,768)</w:t>
            </w:r>
          </w:p>
        </w:tc>
      </w:tr>
      <w:tr>
        <w:trPr/>
        <w:tc>
          <w:tcPr>
            <w:tcW w:w="631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01" w:type="dxa"/>
            <w:tcBorders/>
            <w:shd w:fill="CCEEFF" w:val="clear"/>
            <w:vAlign w:val="center"/>
          </w:tcPr>
          <w:p>
            <w:pPr>
              <w:pStyle w:val="TableContents"/>
              <w:bidi w:val="0"/>
              <w:spacing w:before="0" w:after="1"/>
              <w:ind w:left="0" w:right="0" w:hanging="0"/>
              <w:jc w:val="right"/>
              <w:rPr/>
            </w:pPr>
            <w:r>
              <w:rPr/>
              <w:t>​</w:t>
            </w:r>
          </w:p>
        </w:tc>
      </w:tr>
      <w:tr>
        <w:trPr/>
        <w:tc>
          <w:tcPr>
            <w:tcW w:w="63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provided by (used in) investing activities - discontinued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18,664,122</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(4,718,428)</w:t>
            </w:r>
          </w:p>
        </w:tc>
      </w:tr>
      <w:tr>
        <w:trPr/>
        <w:tc>
          <w:tcPr>
            <w:tcW w:w="63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18,664,122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(4,718,428)</w:t>
            </w:r>
          </w:p>
        </w:tc>
      </w:tr>
      <w:tr>
        <w:trPr/>
        <w:tc>
          <w:tcPr>
            <w:tcW w:w="6316"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01" w:type="dxa"/>
            <w:tcBorders/>
            <w:vAlign w:val="center"/>
          </w:tcPr>
          <w:p>
            <w:pPr>
              <w:pStyle w:val="TableContents"/>
              <w:bidi w:val="0"/>
              <w:spacing w:before="0" w:after="1"/>
              <w:ind w:left="0" w:right="0" w:hanging="0"/>
              <w:jc w:val="right"/>
              <w:rPr/>
            </w:pPr>
            <w:r>
              <w:rPr/>
              <w:t>​</w:t>
            </w:r>
          </w:p>
        </w:tc>
      </w:tr>
      <w:tr>
        <w:trPr/>
        <w:tc>
          <w:tcPr>
            <w:tcW w:w="63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Proceeds from issuance of common stock, net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619,974</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63,573</w:t>
            </w:r>
          </w:p>
        </w:tc>
      </w:tr>
      <w:tr>
        <w:trPr/>
        <w:tc>
          <w:tcPr>
            <w:tcW w:w="63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Proceeds from stock options exercise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3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620,710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63,573</w:t>
            </w:r>
          </w:p>
        </w:tc>
      </w:tr>
      <w:tr>
        <w:trPr/>
        <w:tc>
          <w:tcPr>
            <w:tcW w:w="63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increase (decrease) in cash, cash equivalents  and restricted cash (1)</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6,339,914</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(17,675,623)</w:t>
            </w:r>
          </w:p>
        </w:tc>
      </w:tr>
      <w:tr>
        <w:trPr/>
        <w:tc>
          <w:tcPr>
            <w:tcW w:w="631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5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01" w:type="dxa"/>
            <w:tcBorders/>
            <w:shd w:fill="CCEEFF" w:val="clear"/>
            <w:vAlign w:val="center"/>
          </w:tcPr>
          <w:p>
            <w:pPr>
              <w:pStyle w:val="TableContents"/>
              <w:bidi w:val="0"/>
              <w:spacing w:before="0" w:after="1"/>
              <w:ind w:left="0" w:right="0" w:hanging="0"/>
              <w:jc w:val="both"/>
              <w:rPr/>
            </w:pPr>
            <w:r>
              <w:rPr/>
              <w:t>​</w:t>
            </w:r>
          </w:p>
        </w:tc>
      </w:tr>
      <w:tr>
        <w:trPr/>
        <w:tc>
          <w:tcPr>
            <w:tcW w:w="63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Cash, cash equivalents and restricted cash at beginning of the period (1)</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11,782,172</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43,497,331</w:t>
            </w:r>
          </w:p>
        </w:tc>
      </w:tr>
      <w:tr>
        <w:trPr/>
        <w:tc>
          <w:tcPr>
            <w:tcW w:w="631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and cash equivalents at end of the period</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18,122,086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25,821,708</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As of June 30, 2022 and December 31, 2021, the Company had $0 and $1,146,186 of restricted cash, respectively.</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585" w:name="Tc_YP_BOFS7IEaS2wbbM9jUFg_6_6"/>
      <w:bookmarkStart w:id="586" w:name="Tc_iRVzyJW9Qkycv2SZuTIu2g_6_5"/>
      <w:bookmarkStart w:id="587" w:name="Tc_GsqTSapJPUaBk5DitDlE1w_6_2"/>
      <w:bookmarkStart w:id="588" w:name="Tc_s46Ay4epwEa6JvQkOitAyA_6_0"/>
      <w:bookmarkStart w:id="589" w:name="Tc_tUtqiqVG8EiaFbcbEZnooA_5_5"/>
      <w:bookmarkStart w:id="590" w:name="Tc_SK5io9cV20SsigFf8_HXAg_5_2"/>
      <w:bookmarkStart w:id="591" w:name="Tc_clrHWp6830eEy6EcwWKkEA_5_0"/>
      <w:bookmarkStart w:id="592" w:name="Tc_0Lu1Fwx3oEe-t4fwYcb_TQ_4_0"/>
      <w:bookmarkStart w:id="593" w:name="Tc_IigR-NGvvEKevRB5cjT3Zg_3_5"/>
      <w:bookmarkStart w:id="594" w:name="Tc_RL2toKCoQEGk3pAQJYZIvg_3_2"/>
      <w:bookmarkStart w:id="595" w:name="Tc_pz1KB5usHUSolzPQqrC_mA_2_2"/>
      <w:bookmarkStart w:id="596" w:name="Tc_sfOfUBQlOkmTyAosh7gvUQ_1_2"/>
      <w:bookmarkStart w:id="597" w:name="_0b4a7dcc_626d_4cd2_bf71_c0681bbe3d2a"/>
      <w:bookmarkStart w:id="598" w:name="Tc_YP_BOFS7IEaS2wbbM9jUFg_6_6"/>
      <w:bookmarkStart w:id="599" w:name="Tc_iRVzyJW9Qkycv2SZuTIu2g_6_5"/>
      <w:bookmarkStart w:id="600" w:name="Tc_GsqTSapJPUaBk5DitDlE1w_6_2"/>
      <w:bookmarkStart w:id="601" w:name="Tc_s46Ay4epwEa6JvQkOitAyA_6_0"/>
      <w:bookmarkStart w:id="602" w:name="Tc_tUtqiqVG8EiaFbcbEZnooA_5_5"/>
      <w:bookmarkStart w:id="603" w:name="Tc_SK5io9cV20SsigFf8_HXAg_5_2"/>
      <w:bookmarkStart w:id="604" w:name="Tc_clrHWp6830eEy6EcwWKkEA_5_0"/>
      <w:bookmarkStart w:id="605" w:name="Tc_0Lu1Fwx3oEe-t4fwYcb_TQ_4_0"/>
      <w:bookmarkStart w:id="606" w:name="Tc_IigR-NGvvEKevRB5cjT3Zg_3_5"/>
      <w:bookmarkStart w:id="607" w:name="Tc_RL2toKCoQEGk3pAQJYZIvg_3_2"/>
      <w:bookmarkStart w:id="608" w:name="Tc_pz1KB5usHUSolzPQqrC_mA_2_2"/>
      <w:bookmarkStart w:id="609" w:name="Tc_sfOfUBQlOkmTyAosh7gvUQ_1_2"/>
      <w:bookmarkStart w:id="610" w:name="_0b4a7dcc_626d_4cd2_bf71_c0681bbe3d2a"/>
      <w:bookmarkEnd w:id="598"/>
      <w:bookmarkEnd w:id="599"/>
      <w:bookmarkEnd w:id="600"/>
      <w:bookmarkEnd w:id="601"/>
      <w:bookmarkEnd w:id="602"/>
      <w:bookmarkEnd w:id="603"/>
      <w:bookmarkEnd w:id="604"/>
      <w:bookmarkEnd w:id="605"/>
      <w:bookmarkEnd w:id="606"/>
      <w:bookmarkEnd w:id="607"/>
      <w:bookmarkEnd w:id="608"/>
      <w:bookmarkEnd w:id="609"/>
      <w:bookmarkEnd w:id="610"/>
    </w:p>
    <w:tbl>
      <w:tblPr>
        <w:tblW w:w="8502" w:type="dxa"/>
        <w:jc w:val="left"/>
        <w:tblInd w:w="0" w:type="dxa"/>
        <w:tblLayout w:type="fixed"/>
        <w:tblCellMar>
          <w:top w:w="0" w:type="dxa"/>
          <w:left w:w="0" w:type="dxa"/>
          <w:bottom w:w="0" w:type="dxa"/>
          <w:right w:w="0" w:type="dxa"/>
        </w:tblCellMar>
      </w:tblPr>
      <w:tblGrid>
        <w:gridCol w:w="5926"/>
        <w:gridCol w:w="326"/>
        <w:gridCol w:w="211"/>
        <w:gridCol w:w="781"/>
        <w:gridCol w:w="326"/>
        <w:gridCol w:w="211"/>
        <w:gridCol w:w="721"/>
      </w:tblGrid>
      <w:tr>
        <w:trPr/>
        <w:tc>
          <w:tcPr>
            <w:tcW w:w="5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763010" cy="175260"/>
                      <wp:effectExtent l="0" t="0" r="0" b="0"/>
                      <wp:wrapNone/>
                      <wp:docPr id="64" name="Frame63"/>
                      <a:graphic xmlns:a="http://schemas.openxmlformats.org/drawingml/2006/main">
                        <a:graphicData uri="http://schemas.microsoft.com/office/word/2010/wordprocessingShape">
                          <wps:wsp>
                            <wps:cNvSpPr txBox="1"/>
                            <wps:spPr>
                              <a:xfrm>
                                <a:off x="0" y="0"/>
                                <a:ext cx="3763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5"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6"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95935" cy="175260"/>
                      <wp:effectExtent l="0" t="0" r="0" b="0"/>
                      <wp:wrapNone/>
                      <wp:docPr id="67" name="Frame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8"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69"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57835" cy="175260"/>
                      <wp:effectExtent l="0" t="0" r="0" b="0"/>
                      <wp:wrapNone/>
                      <wp:docPr id="70" name="Frame6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59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    </w:t>
            </w:r>
          </w:p>
        </w:tc>
        <w:tc>
          <w:tcPr>
            <w:tcW w:w="225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5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2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5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92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Supplemental schedule of non-cash financing and investing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721" w:type="dxa"/>
            <w:tcBorders/>
            <w:shd w:fill="CCEEFF" w:val="clear"/>
            <w:vAlign w:val="center"/>
          </w:tcPr>
          <w:p>
            <w:pPr>
              <w:pStyle w:val="TableContents"/>
              <w:bidi w:val="0"/>
              <w:spacing w:before="0" w:after="1"/>
              <w:ind w:left="0" w:right="0" w:hanging="0"/>
              <w:jc w:val="center"/>
              <w:rPr/>
            </w:pPr>
            <w:r>
              <w:rPr/>
              <w:t>​</w:t>
            </w:r>
          </w:p>
        </w:tc>
      </w:tr>
      <w:tr>
        <w:trPr/>
        <w:tc>
          <w:tcPr>
            <w:tcW w:w="5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Changes between assets and liabilities in discontinued operations </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141,979</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25,025</w:t>
            </w:r>
          </w:p>
        </w:tc>
      </w:tr>
      <w:tr>
        <w:trPr/>
        <w:tc>
          <w:tcPr>
            <w:tcW w:w="5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Issuance of common stock as commitment fee for future financing</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611" w:name="_9a57250a_466b_4535_ade6_bed59c93ba17"/>
      <w:bookmarkEnd w:id="611"/>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612" w:name="NOTESTOCONDENSEDCONSOLIDATEDFINANCIALSTA"/>
      <w:bookmarkEnd w:id="612"/>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2023</w:t>
      </w:r>
    </w:p>
    <w:p>
      <w:pPr>
        <w:pStyle w:val="TextBody"/>
        <w:bidi w:val="0"/>
        <w:spacing w:before="0" w:after="24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 NATURE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Marker Therapeutics, Inc., a Delaware corporation (the “Company” or “we”), is a clinical-stage immuno-oncology company specializing in the development and commercialization of novel T cell-based immunotherapies for the treatment of hematological malignancies and solid tumor indications. The Company’s multiTAA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Purchase Agreement With Cell Ready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26, 2023, the Company completed the previously announced transaction with Cell Ready, LLC (“Cell Ready”) pursuant to a Purchase Agreement (the “Cell Ready Purchase Agreement), dated May 1, 2023, by and between the Company and Cell Ready. Mr. John Wilson is a member of the Company’s board of directors and is serving as the CEO of Cell Ready, therefore Cell Ready is a related party. Pursuant to the Cell Ready Purchase Agreement, effective as of the Closing Date, the Company (i) assigned to Cell Ready the leases for the Company’s two manufacturing facilities in Houston, Texas (the “Manufacturing Facilities”), (ii) sold to Cell Ready all of the equipment and leasehold improvements at the Manufacturing Facilities and (iii) assigned to Cell Ready its rights, title and interest in the Company's Master Services Agreement for Product Supply (the “MSA”), dated April 7, 2023, by and between the Company, Cell Ready and Indapta Therapeutics, Inc., as well as its rights, title and interest in any contracts related to the equipment and Manufacturing Facilities (collectively, the “Purchased Assets”).  Following the Closing Date, the Company and Cell Ready have agreed to enter into a long-term contract pursuant to which Cell Ready will perform a wide variety of services for the Company, including research and development, manufacturing, and regulatory activity in support of the Company’s clinical trials; however, the parties have not yet executed such agreement.  Cell Ready acquired the Purchased Assets for total consideration of $19.0 million. In connection with the purchase of the Manufacturing Facilities, Cell Ready also extended offers of employment to approximately 50 of the Company’s former employees in its manufacturing, development, quality and regulatory affairs functions.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Purchased Assets constituted a significant disposition. Based upon the magnitude of the disposition and because the Company is exiting certain manufacturing operations, the disposition represents a significant strategic shift that will have a material effect on the Company’s operations and financial results. Accordingly, the assets sold meet the definition of a discontinued operation, as defined by Accounting Standards Codification 205-20 – Discontinued Operations, and prior comparative periods have been retrospectively adjusted to reflect the current presentation.</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26, 2023, the Company effected a one-for-ten (1-for-10) reverse stock split of its common stock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references to common stock, warrants to purchase common stock, options to purchase common stock, share data, per share data and related information contained in the condensed consolidated financial statements have been retrospectively adjusted to reflect the effect of the Reverse Stock Split for all periods presented. Payment for fractional shares resulting from the reverse stock split amounted to $394.80.</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Organizational Restructuring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and June 2023, the Company implemented changes to its organizational structure as part of an operational cost reduction plan and reorganization plan due to the transaction with Cell Ready.  In connection with these changes, the Company reduced headcount, including the separation of its former Chief Executive Officer, Peter Hoang, in May 2023 and its former Chief Accounting Officer, Michael Loiacono in June 2023. During the second quarter of 2023, the Company recorded $0.9 million of severance and termination-related costs. The payments of these costs were completed in July of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May 1, 2023, the Company’s board of directors appointed Dr. Vera as the Company’s Chief Executive Officer.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Effective June 30, 2023, the board of directors appointed Eliot M. Lurier as the Company’s Interim Chief Financial Officer. Mr. Lurier provides consulting services to the Company pursuant to a consulting agreement between the Company and Danforth Advisors, LLC and receives no compensation directly from the Company.</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2: 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 (see Note 6 for information on discontinued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results for the condensed consolidated statement of operations are not necessarily indicative of results to be expected for the year ending December 31, 2023 or for any future interim period. The condensed consolidated balance sheet at June 30, 2023 has been derived from unaudited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2022 and notes thereto included in the Company’s annual report on Form 10-K filed on March 22, 2023.</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NOTE 3: LIQUIDITY AND FINANCIAL CONDITION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2023, the Company had cash and cash equivalents of approximately $18.1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entered into a Controlled Equity Offering</w:t>
      </w:r>
      <w:r>
        <w:rPr>
          <w:rFonts w:ascii="Times New Roman;Times;serif" w:hAnsi="Times New Roman;Times;serif"/>
          <w:sz w:val="15"/>
        </w:rPr>
        <w:t>SM</w:t>
      </w:r>
      <w:r>
        <w:rPr>
          <w:rFonts w:ascii="Times New Roman;Times;serif" w:hAnsi="Times New Roman;Times;serif"/>
          <w:sz w:val="20"/>
        </w:rPr>
        <w:t xml:space="preserve"> Sales Agreement (the “ATM Agreement”) with Cantor Fitzgerald &amp; Co. and RBC Capital Markets, LLC (the “Sales Agents”), pursuant to which the Company can offer and sell, from time to time at its sole discretion through the Sales Agents, shares of its common stock having an aggregate offering price of up to $75.0 million. Any shares of its common stock sold will be issued pursuant to the Company’s shelf registration statement on Form S-3 (File No. 333-258687), which the SEC declared effective on August 19, 2021. The shelf registration statement on Form S-3 includes a prospectus supplement covering the offering up to $9.87 million of shares of common stock over the 12 months ending March 22, 2024 pursuant to General Instruction I.B.6 of Form S-3, which limits the amounts that the Company may sell under the registration statement, and in accordance with the ATM agreement. The Sales Agents will be entitled to compensation under the Sales Agreement at a commission rate equal to 3.0% of the gross sales price per share sold under the ATM Agreement, and the Company has provided each of the Sales Agents with indemnification and contribution rights. During the six months ended June 30, 2023, the Company sold 200,261 shares of its common stock under the ATM Agreement for proceeds of $0.6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received notice of a Product Development Research award totaling approximately $13.1 million from the Cancer Prevention and Research Institute of Texas (“CPRIT”) to support the Company’s Phase 2 clinical trial of its lead multiTAA-specific T cell product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 To date, the Company has received $6.9 million of funds from the CPRIT grant. The Company recorded $0.7 million and $1.8 million of grant income related to the CPRIT grant as revenue for the three and six months ended June 30, 2023,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2022, the Company received notice from the U.S. Food and Drug Administration (the “FDA”) that it had awarded the Company a $2.0 million grant from the FDA’s Orphan Products Grant program to support the Company’s Phase 2 clinical trial of MT-401 for the treatment of post-transplant AML. The Company recorded $0.1 million and $0.2 million of grant income related to the FDA grant as revenue for the three and six months ended June 30, 2023,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2022, the Company entered into a purchase agreement (the “Purchase Agreement”) with Lincoln Park Capital Fund, LLC (“Lincoln Park”), which provides that, upon the terms and subject to the conditions of the agreement, the Company has the right, but not the obligation, to sell to Lincoln Park up to $25,000,000 of shares of its common stock (“the Purchase Shares”) from time to time over a 24-month term, at a variable price with certain market-based terms as defined in the Purchase Agreement. The Purchase Agreement does not exhibit any of the characteristics for liability classification under ASC Topic 480, Distinguishing Liabilities from Equity. Instead, the purchase agreement is indexed to the Company’s own stock under ASC Subtopic 815-40, Contracts in Entity’s Own Equity, and classified as equity. In January 2023, Lincoln Park was issued 180,410 shares of stock as a commitment fee at a value of $0.5 million. During the three months ended March 31, 2023, the Company sold 12,500 shares of its common stock under the Purchase Agreement for proceeds of approximately $33,000.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March 2023, the Company signed an agreement with AlloVir, Inc. (“Allovir”) in which Marker will provide services for AlloVirs’ long range process development and scale optimization. Under the terms of this agreement, Marker would have received total compensation in the amount of $0.4 million, estimated to have been fully earned by September 30, 2023.  As of June 30, 2023, the Company did not receive any funds from the Allovir agreement.  Additionally, the Allovir agreement was included as part of the Purchased Asset under the Cell Ready Agreement (defined below) and future compensation under the AlloVir agreement will be paid to Cell Ready.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described in Note 1, on June 26, 2023, the Company completed the previously announced transaction with Cell Ready pursuant to the Cell Ready Purchase Agreement. Pursuant to the Cell Ready Purchase Agreement, effective as of the Closing Date, the Company (i) assigned to Cell Ready the leases for the Manufacturing Facilities, (ii) sold to Cell Ready all of the equipment and leasehold improvements at the Manufacturing Facilities and (iii) assigned to Cell Ready its rights, title and interest in the Company’s MSA, dated April 7, 2023, by and between the Company, Cell Ready and Indapta Therapeutics, Inc., as well as its rights, title and interest in any contracts related to the equipment and Manufacturing Facilities (collectively, the “Purchased Assets”).  Following the Closing Date, the Company and Cell Ready have agreed to enter into a long-term contract pursuant to which Cell Ready will perform a wide variety of services for the Company, including research and development, manufacturing, and regulatory activity in support of the Company’s clinical trials; however, the parties have not yet executed such agreement.  Cell Ready acquired the Purchased Assets for total consideration of $19.0 million. In connection with the purchase of the Manufacturing Facilities, Cell Ready also extended offers of employment to approximately 50 of the Company’s former employees in its manufacturing, development, quality and regulatory affairs functions.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expects to continue to incur substantial losses over the next several years during its development phase. To fully execute its business plan, the Company will need to complete certain research and development activities and clinical trials. Further, the Company’s product candidates will require regulatory approval prior to commercialization. These activities will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sales of its product candidates, if approved.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Company’s clinical and research and development plans and its timing expectations related to the progress of its programs, the Company expects that its cash and cash equivalents as of June 30, 2023 will enable the Company to fund its operating expenses and capital expenditure requirements into the fourth quarter of 2025. Prior to the Cell Ready transaction, there was substantial doubt regarding the Company’s ability to continue as a going concern, which was alleviated by the proceeds from the transaction.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based this estimate on assumptions that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 </w:t>
      </w:r>
    </w:p>
    <w:tbl>
      <w:tblPr>
        <w:tblW w:w="5342" w:type="dxa"/>
        <w:jc w:val="left"/>
        <w:tblInd w:w="0" w:type="dxa"/>
        <w:tblLayout w:type="fixed"/>
        <w:tblCellMar>
          <w:top w:w="0" w:type="dxa"/>
          <w:left w:w="0" w:type="dxa"/>
          <w:bottom w:w="0" w:type="dxa"/>
          <w:right w:w="0" w:type="dxa"/>
        </w:tblCellMar>
      </w:tblPr>
      <w:tblGrid>
        <w:gridCol w:w="271"/>
        <w:gridCol w:w="5071"/>
      </w:tblGrid>
      <w:tr>
        <w:trPr/>
        <w:tc>
          <w:tcPr>
            <w:tcW w:w="271" w:type="dxa"/>
            <w:tcBorders/>
            <w:vAlign w:val="center"/>
          </w:tcPr>
          <w:p>
            <w:pPr>
              <w:pStyle w:val="TableContents"/>
              <w:bidi w:val="0"/>
              <w:spacing w:before="0" w:after="283"/>
              <w:jc w:val="left"/>
              <w:rPr/>
            </w:pPr>
            <w:r>
              <w:rPr/>
              <w:t>●</w:t>
            </w:r>
          </w:p>
        </w:tc>
        <w:tc>
          <w:tcPr>
            <w:tcW w:w="50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initiates or continues clinical trials of its product candidates;</w:t>
            </w:r>
          </w:p>
        </w:tc>
      </w:tr>
    </w:tbl>
    <w:tbl>
      <w:tblPr>
        <w:tblW w:w="10022" w:type="dxa"/>
        <w:jc w:val="left"/>
        <w:tblInd w:w="0" w:type="dxa"/>
        <w:tblLayout w:type="fixed"/>
        <w:tblCellMar>
          <w:top w:w="0" w:type="dxa"/>
          <w:left w:w="0" w:type="dxa"/>
          <w:bottom w:w="0" w:type="dxa"/>
          <w:right w:w="0" w:type="dxa"/>
        </w:tblCellMar>
      </w:tblPr>
      <w:tblGrid>
        <w:gridCol w:w="271"/>
        <w:gridCol w:w="9751"/>
      </w:tblGrid>
      <w:tr>
        <w:trPr/>
        <w:tc>
          <w:tcPr>
            <w:tcW w:w="271" w:type="dxa"/>
            <w:tcBorders/>
            <w:vAlign w:val="center"/>
          </w:tcPr>
          <w:p>
            <w:pPr>
              <w:pStyle w:val="TableContents"/>
              <w:bidi w:val="0"/>
              <w:spacing w:before="0" w:after="283"/>
              <w:jc w:val="left"/>
              <w:rPr/>
            </w:pPr>
            <w:r>
              <w:rPr/>
              <w:t>●</w:t>
            </w:r>
          </w:p>
        </w:tc>
        <w:tc>
          <w:tcPr>
            <w:tcW w:w="97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continues the research and development of its product candidates and seeks to discover additional product candidates;</w:t>
            </w:r>
          </w:p>
        </w:tc>
      </w:tr>
    </w:tbl>
    <w:tbl>
      <w:tblPr>
        <w:tblW w:w="8147" w:type="dxa"/>
        <w:jc w:val="left"/>
        <w:tblInd w:w="0" w:type="dxa"/>
        <w:tblLayout w:type="fixed"/>
        <w:tblCellMar>
          <w:top w:w="0" w:type="dxa"/>
          <w:left w:w="0" w:type="dxa"/>
          <w:bottom w:w="0" w:type="dxa"/>
          <w:right w:w="0" w:type="dxa"/>
        </w:tblCellMar>
      </w:tblPr>
      <w:tblGrid>
        <w:gridCol w:w="271"/>
        <w:gridCol w:w="7876"/>
      </w:tblGrid>
      <w:tr>
        <w:trPr/>
        <w:tc>
          <w:tcPr>
            <w:tcW w:w="271" w:type="dxa"/>
            <w:tcBorders/>
            <w:vAlign w:val="center"/>
          </w:tcPr>
          <w:p>
            <w:pPr>
              <w:pStyle w:val="TableContents"/>
              <w:bidi w:val="0"/>
              <w:spacing w:before="0" w:after="283"/>
              <w:jc w:val="left"/>
              <w:rPr/>
            </w:pPr>
            <w:r>
              <w:rPr/>
              <w:t>●</w:t>
            </w:r>
          </w:p>
        </w:tc>
        <w:tc>
          <w:tcPr>
            <w:tcW w:w="7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seeks regulatory approvals for any product candidates that successfully complete clinical trials;</w:t>
            </w:r>
          </w:p>
        </w:tc>
      </w:tr>
    </w:tbl>
    <w:tbl>
      <w:tblPr>
        <w:tblW w:w="4562" w:type="dxa"/>
        <w:jc w:val="left"/>
        <w:tblInd w:w="0" w:type="dxa"/>
        <w:tblLayout w:type="fixed"/>
        <w:tblCellMar>
          <w:top w:w="0" w:type="dxa"/>
          <w:left w:w="0" w:type="dxa"/>
          <w:bottom w:w="0" w:type="dxa"/>
          <w:right w:w="0" w:type="dxa"/>
        </w:tblCellMar>
      </w:tblPr>
      <w:tblGrid>
        <w:gridCol w:w="271"/>
        <w:gridCol w:w="4291"/>
      </w:tblGrid>
      <w:tr>
        <w:trPr/>
        <w:tc>
          <w:tcPr>
            <w:tcW w:w="271" w:type="dxa"/>
            <w:tcBorders/>
            <w:vAlign w:val="center"/>
          </w:tcPr>
          <w:p>
            <w:pPr>
              <w:pStyle w:val="TableContents"/>
              <w:bidi w:val="0"/>
              <w:spacing w:before="0" w:after="283"/>
              <w:jc w:val="left"/>
              <w:rPr/>
            </w:pPr>
            <w:r>
              <w:rPr/>
              <w:t>●</w:t>
            </w:r>
          </w:p>
        </w:tc>
        <w:tc>
          <w:tcPr>
            <w:tcW w:w="4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maintains and enforces intellectual property rights;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enters into contract manufacturing arrangements with Cell Ready or other contract manufacturing organizations for clinical manufacturing supply;</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establishes sales, marketing and distribution infrastructure and establishes third-party manufacturing capabilities to commercialize any product candidates that may receive regulatory approval;</w:t>
            </w:r>
          </w:p>
        </w:tc>
      </w:tr>
    </w:tbl>
    <w:tbl>
      <w:tblPr>
        <w:tblW w:w="5732" w:type="dxa"/>
        <w:jc w:val="left"/>
        <w:tblInd w:w="0" w:type="dxa"/>
        <w:tblLayout w:type="fixed"/>
        <w:tblCellMar>
          <w:top w:w="0" w:type="dxa"/>
          <w:left w:w="0" w:type="dxa"/>
          <w:bottom w:w="0" w:type="dxa"/>
          <w:right w:w="0" w:type="dxa"/>
        </w:tblCellMar>
      </w:tblPr>
      <w:tblGrid>
        <w:gridCol w:w="271"/>
        <w:gridCol w:w="5461"/>
      </w:tblGrid>
      <w:tr>
        <w:trPr/>
        <w:tc>
          <w:tcPr>
            <w:tcW w:w="271" w:type="dxa"/>
            <w:tcBorders/>
            <w:vAlign w:val="center"/>
          </w:tcPr>
          <w:p>
            <w:pPr>
              <w:pStyle w:val="TableContents"/>
              <w:bidi w:val="0"/>
              <w:spacing w:before="0" w:after="283"/>
              <w:jc w:val="left"/>
              <w:rPr/>
            </w:pPr>
            <w:r>
              <w:rPr/>
              <w:t>●</w:t>
            </w:r>
          </w:p>
        </w:tc>
        <w:tc>
          <w:tcPr>
            <w:tcW w:w="54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evaluates strategic transactions the Company may undertake; and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enhances operational, financial and information management systems and hires additional personnel, including personnel to support development of product candidates and, if a product candidate is approved, commercialization efforts.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no sources of revenue to provide incoming cash flows to sustain its future operations. As outlined above, its ability to pursue its long-term planned business activities is dependent upon its successful efforts to raise additional capital and grant income.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COVID-19 pandemic, decades-high inflation and concerns about an economic recession in the United States or other major markets has resulted in, among other things, volatility in the capital markets that may have the effect of reducing the Company’s ability to access capital, which could in the future negatively affect the Company’s liquidity. In addition, a recession or market correction due to these factors could materially affect the Company’s business and the value of its common stock.</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4: SIGNIFICANT ACCOUNTING POLICIES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include the accounts of the Company and its wholly-owned subsidiaries, Marker Cell Therapy, Inc. and GeneMax Pharmaceuticals Inc. – a dormant subsidiary that wholly owns GeneMax Pharmaceuticals Canada, Inc. All significant intercompany balances and transactions are eliminated upon consolidation (see Note 6 for information on discontinued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Discontinued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Purchased Assets sold to Cell Ready pursuant to the Cell Ready Purchase Agreement constituted a significant disposition and as such, the Company concluded that the disposition of its Purchased Assets represented a strategic shift that had a major effect on its operations and financial results. Therefore, the Purchased Assets, related party revenue, service revenue and related expenses are classified as discontinued operations for all periods presented herein. See Note 6 for further information.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Modification of Stock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and six months ended June 30, 2023, the Company recorded incremental stock-based compensation expense of $0.2 million pertaining to the modification of stock options in connection with the termination of certain employees, including individuals that were hired by Cell Ready. The modification provided for an acceleration of unvested options, resulting in $0.2 million in compensation expense that was immediately recognized, and is reflected in loss from discontinued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New Accounting Standards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new accounting pronouncements are issued by Financial Accounting Standards Board (“FASB”) or other standard setting bodies that the Company adopts as of the specified effective date. Unless otherwise discussed, the Company does not believe that the impact of recently issued standards that are not yet effective will have a material impact on its consolidated financial position or results of operations upon adoption.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have been no material changes in the Company’s significant accounting policies to those previously disclosed in the Annual Report on Form 10-K for the year ended December 31, 2022 filed on March 22, 2023.</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613" w:name="Tc_GBhxlMDGo0SGWBcioNOnDQ_6_0"/>
      <w:bookmarkStart w:id="614" w:name="Tc_QOdt7LBeUEat4EXsuC0OuA_5_0"/>
      <w:bookmarkStart w:id="615" w:name="Tc_svp09W9-X0GZbnCh4B9xfA_4_0"/>
      <w:bookmarkStart w:id="616" w:name="Tc_caXx4IdVLECIaofGxRbeBQ_3_4"/>
      <w:bookmarkStart w:id="617" w:name="Tc_B4nsBV7KykeWyjEc79SGpw_3_2"/>
      <w:bookmarkStart w:id="618" w:name="Tc_iiDMHbusQEqq9rBTyYc4HQ_2_2"/>
      <w:bookmarkStart w:id="619" w:name="Tc_mjhI8ikQfkWT_eTiDANaYw_1_2"/>
      <w:bookmarkStart w:id="620" w:name="_a5b1bf5a_1a84_47d8_9fe7_666187e4feb9"/>
      <w:bookmarkStart w:id="621" w:name="_6fb8c536_8dea_4e18_a56b_36511d1589b9"/>
      <w:bookmarkStart w:id="622" w:name="Tc_fZ2-RQQlZE-i2XFmB6WbSw_15_11"/>
      <w:bookmarkStart w:id="623" w:name="Tc_SApwyoThgke4oSkeD4fQkQ_15_8"/>
      <w:bookmarkStart w:id="624" w:name="Tc_ytVGbwZELUCKnYdh9XSrAQ_15_5"/>
      <w:bookmarkStart w:id="625" w:name="Tc_a7E4g86lYU2SzxFoqKy8eg_15_2"/>
      <w:bookmarkStart w:id="626" w:name="Tc_Mm97Av9DAEib2wOdIYZzQA_15_0"/>
      <w:bookmarkStart w:id="627" w:name="Tc_Zo0wxTitl0atJBlEZByYGw_14_11"/>
      <w:bookmarkStart w:id="628" w:name="Tc_QvfIYpONtkq_5EzPi1LLGA_14_8"/>
      <w:bookmarkStart w:id="629" w:name="Tc_anLdHGBQ4E2NVlMge9Wisg_14_5"/>
      <w:bookmarkStart w:id="630" w:name="Tc_Dip7A_fcYkuEk1yJ5BbNww_14_2"/>
      <w:bookmarkStart w:id="631" w:name="Tc_e0W78RZqb020yZTnCj-WUA_14_0"/>
      <w:bookmarkStart w:id="632" w:name="Tc_ihEBk6lpLkas3FT-OwR7gg_13_11"/>
      <w:bookmarkStart w:id="633" w:name="Tc_fKJHyf45wUOhpQVZWDSDmQ_13_8"/>
      <w:bookmarkStart w:id="634" w:name="Tc_dIl_8uR8gU6rLzA-GKqohQ_13_5"/>
      <w:bookmarkStart w:id="635" w:name="Tc_JrVAGDH-CU2XXjl5UQ0OsQ_13_2"/>
      <w:bookmarkStart w:id="636" w:name="Tc_iUlOx8qJJk-RLZ1BVOz1JA_13_0"/>
      <w:bookmarkStart w:id="637" w:name="Tc_nLUYk_z8OkmaNVYBp74AOw_12_0"/>
      <w:bookmarkStart w:id="638" w:name="Tc_31FZXmEIOk2IhrAgI-WzUA_10_0"/>
      <w:bookmarkStart w:id="639" w:name="Tc_QC0pN67LIkaKlXfU6AXlGA_9_0"/>
      <w:bookmarkStart w:id="640" w:name="Tc_WZGqGS1e9UeYtm4j2vqJsw_7_11"/>
      <w:bookmarkStart w:id="641" w:name="Tc_U8lw9rE0gEmYzi5K-o_eRg_7_8"/>
      <w:bookmarkStart w:id="642" w:name="Tc_CbdqYITdV0OnP87aKHdBKQ_7_5"/>
      <w:bookmarkStart w:id="643" w:name="Tc_dZZIHkSnxku7X2ypq7ry-A_7_2"/>
      <w:bookmarkStart w:id="644" w:name="Tc_V1O1ux8pgEK0oSC5GrP9tg_7_0"/>
      <w:bookmarkStart w:id="645" w:name="Tc_wIORyF2LrkmH1CNAZ_h3_w_6_11"/>
      <w:bookmarkStart w:id="646" w:name="Tc_CR4CUcLxw0CWsDVUbfovYQ_6_8"/>
      <w:bookmarkStart w:id="647" w:name="Tc_FhloZriL302oWZnsBt2xHA_6_5"/>
      <w:bookmarkStart w:id="648" w:name="Tc_PrGhnpjHqkudDuQxZ64d9Q_6_2"/>
      <w:bookmarkStart w:id="649" w:name="Tc_n9LqmY1iV0Skq1kDSCpi_g_6_0"/>
      <w:bookmarkStart w:id="650" w:name="Tc_FIMI0jK5UkWzdOWAKtb-mg_5_11"/>
      <w:bookmarkStart w:id="651" w:name="Tc_QJVtVyC-AEms11DenxU0gA_5_8"/>
      <w:bookmarkStart w:id="652" w:name="Tc_iTMFfNPsyEyow7HXdoD8VA_5_5"/>
      <w:bookmarkStart w:id="653" w:name="Tc_wgz3QAXt8kivDCEPKLV0BA_5_2"/>
      <w:bookmarkStart w:id="654" w:name="Tc_rmXmuvCFJUCGEt2jWklkFA_5_0"/>
      <w:bookmarkStart w:id="655" w:name="Tc_ouXI4EBoOUaB28Z5Yt_5Mg_4_0"/>
      <w:bookmarkStart w:id="656" w:name="Tc_i7V3yIG2W0KmgQCftngdDQ_3_11"/>
      <w:bookmarkStart w:id="657" w:name="Tc_Mcl59Wh_00u9YS-av9w9pA_3_8"/>
      <w:bookmarkStart w:id="658" w:name="Tc_tG9ETNfWuUO4rZTXA5qXeg_3_5"/>
      <w:bookmarkStart w:id="659" w:name="Tc_f7an165F5Umz1XjuL_6o2w_3_2"/>
      <w:bookmarkStart w:id="660" w:name="Tc_8PlPh7L7E0SJDn_kNSiL1Q_2_8"/>
      <w:bookmarkStart w:id="661" w:name="Tc_jIY_2qXZy02XIYee6Uiqcg_2_2"/>
      <w:bookmarkStart w:id="662" w:name="Tc_tDe1UfKbA0K6cMq_ja84CQ_1_8"/>
      <w:bookmarkStart w:id="663" w:name="Tc_QJgKiUW1YEek0vBZ9gFszQ_1_2"/>
      <w:bookmarkStart w:id="664" w:name="_dcd17db5_eaa8_4484_a536_453fc66b03e3"/>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r>
        <w:rPr>
          <w:rFonts w:ascii="Times New Roman;Times;serif" w:hAnsi="Times New Roman;Times;serif"/>
          <w:b/>
          <w:sz w:val="20"/>
        </w:rPr>
        <w:t>NOTE 5: NET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computation of net loss per share for the three and six months ended June 30, 2023 and 2022, respectively:</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738"/>
        <w:gridCol w:w="326"/>
        <w:gridCol w:w="211"/>
        <w:gridCol w:w="1027"/>
        <w:gridCol w:w="326"/>
        <w:gridCol w:w="211"/>
        <w:gridCol w:w="1027"/>
        <w:gridCol w:w="386"/>
        <w:gridCol w:w="211"/>
        <w:gridCol w:w="1027"/>
        <w:gridCol w:w="326"/>
        <w:gridCol w:w="211"/>
        <w:gridCol w:w="1178"/>
      </w:tblGrid>
      <w:tr>
        <w:trPr/>
        <w:tc>
          <w:tcPr>
            <w:tcW w:w="3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373630" cy="175260"/>
                      <wp:effectExtent l="0" t="0" r="0" b="0"/>
                      <wp:wrapNone/>
                      <wp:docPr id="71" name="Frame70"/>
                      <a:graphic xmlns:a="http://schemas.openxmlformats.org/drawingml/2006/main">
                        <a:graphicData uri="http://schemas.microsoft.com/office/word/2010/wordprocessingShape">
                          <wps:wsp>
                            <wps:cNvSpPr txBox="1"/>
                            <wps:spPr>
                              <a:xfrm>
                                <a:off x="0" y="0"/>
                                <a:ext cx="237363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2"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3"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52145" cy="175260"/>
                      <wp:effectExtent l="0" t="0" r="0" b="0"/>
                      <wp:wrapNone/>
                      <wp:docPr id="74" name="Frame73"/>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5"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6"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52145" cy="175260"/>
                      <wp:effectExtent l="0" t="0" r="0" b="0"/>
                      <wp:wrapNone/>
                      <wp:docPr id="77" name="Frame76"/>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45110" cy="175260"/>
                      <wp:effectExtent l="0" t="0" r="0" b="0"/>
                      <wp:wrapNone/>
                      <wp:docPr id="78" name="Frame7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79"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52145" cy="175260"/>
                      <wp:effectExtent l="0" t="0" r="0" b="0"/>
                      <wp:wrapNone/>
                      <wp:docPr id="80" name="Frame79"/>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1"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2"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748030" cy="175260"/>
                      <wp:effectExtent l="0" t="0" r="0" b="0"/>
                      <wp:wrapNone/>
                      <wp:docPr id="83" name="Frame82"/>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73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280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86" w:type="dxa"/>
            <w:tcBorders/>
            <w:vAlign w:val="center"/>
          </w:tcPr>
          <w:p>
            <w:pPr>
              <w:pStyle w:val="TableContents"/>
              <w:bidi w:val="0"/>
              <w:spacing w:before="0" w:after="1"/>
              <w:ind w:left="0" w:right="0" w:hanging="0"/>
              <w:jc w:val="both"/>
              <w:rPr/>
            </w:pPr>
            <w:r>
              <w:rPr/>
              <w:t> </w:t>
            </w:r>
          </w:p>
        </w:tc>
        <w:tc>
          <w:tcPr>
            <w:tcW w:w="295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73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80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86" w:type="dxa"/>
            <w:tcBorders/>
            <w:vAlign w:val="center"/>
          </w:tcPr>
          <w:p>
            <w:pPr>
              <w:pStyle w:val="TableContents"/>
              <w:bidi w:val="0"/>
              <w:spacing w:before="0" w:after="1"/>
              <w:ind w:left="0" w:right="0" w:hanging="0"/>
              <w:jc w:val="both"/>
              <w:rPr/>
            </w:pPr>
            <w:r>
              <w:rPr/>
              <w:t> </w:t>
            </w:r>
          </w:p>
        </w:tc>
        <w:tc>
          <w:tcPr>
            <w:tcW w:w="295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73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2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    </w:t>
            </w:r>
          </w:p>
        </w:tc>
        <w:tc>
          <w:tcPr>
            <w:tcW w:w="12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86" w:type="dxa"/>
            <w:tcBorders/>
            <w:vAlign w:val="center"/>
          </w:tcPr>
          <w:p>
            <w:pPr>
              <w:pStyle w:val="TableContents"/>
              <w:bidi w:val="0"/>
              <w:spacing w:before="0" w:after="1"/>
              <w:ind w:left="0" w:right="0" w:hanging="0"/>
              <w:jc w:val="both"/>
              <w:rPr/>
            </w:pPr>
            <w:r>
              <w:rPr/>
              <w:t>     </w:t>
            </w:r>
          </w:p>
        </w:tc>
        <w:tc>
          <w:tcPr>
            <w:tcW w:w="12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    </w:t>
            </w:r>
          </w:p>
        </w:tc>
        <w:tc>
          <w:tcPr>
            <w:tcW w:w="13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38"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27"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27" w:type="dxa"/>
            <w:tcBorders/>
            <w:shd w:fill="CCEEFF" w:val="clear"/>
            <w:vAlign w:val="center"/>
          </w:tcPr>
          <w:p>
            <w:pPr>
              <w:pStyle w:val="TableContents"/>
              <w:bidi w:val="0"/>
              <w:spacing w:before="0" w:after="1"/>
              <w:ind w:left="0" w:right="0" w:hanging="0"/>
              <w:jc w:val="both"/>
              <w:rPr/>
            </w:pPr>
            <w:r>
              <w:rPr/>
              <w:t>​</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27"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78" w:type="dxa"/>
            <w:tcBorders/>
            <w:shd w:fill="CCEEFF" w:val="clear"/>
            <w:vAlign w:val="center"/>
          </w:tcPr>
          <w:p>
            <w:pPr>
              <w:pStyle w:val="TableContents"/>
              <w:bidi w:val="0"/>
              <w:spacing w:before="0" w:after="1"/>
              <w:ind w:left="0" w:right="0" w:hanging="0"/>
              <w:jc w:val="both"/>
              <w:rPr/>
            </w:pPr>
            <w:r>
              <w:rPr/>
              <w:t>​</w:t>
            </w:r>
          </w:p>
        </w:tc>
      </w:tr>
      <w:tr>
        <w:trPr/>
        <w:tc>
          <w:tcPr>
            <w:tcW w:w="3738"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continuing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(4,098,980)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(5,232,751)</w:t>
            </w:r>
          </w:p>
        </w:tc>
        <w:tc>
          <w:tcPr>
            <w:tcW w:w="38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(8,323,807)</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(11,005,854)</w:t>
            </w:r>
          </w:p>
        </w:tc>
      </w:tr>
      <w:tr>
        <w:trPr/>
        <w:tc>
          <w:tcPr>
            <w:tcW w:w="3738"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Income (loss) from discontinued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6,614,769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(4,011,437)</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5,872,020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(8,148,842)</w:t>
            </w:r>
          </w:p>
        </w:tc>
      </w:tr>
      <w:tr>
        <w:trPr/>
        <w:tc>
          <w:tcPr>
            <w:tcW w:w="3738"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2,515,789</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(9,244,188)</w:t>
            </w:r>
          </w:p>
        </w:tc>
        <w:tc>
          <w:tcPr>
            <w:tcW w:w="38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(2,451,787)</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(19,154,696)</w:t>
            </w:r>
          </w:p>
        </w:tc>
      </w:tr>
      <w:tr>
        <w:trPr/>
        <w:tc>
          <w:tcPr>
            <w:tcW w:w="3738"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27"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27" w:type="dxa"/>
            <w:tcBorders/>
            <w:shd w:fill="CCEEFF" w:val="clear"/>
            <w:vAlign w:val="center"/>
          </w:tcPr>
          <w:p>
            <w:pPr>
              <w:pStyle w:val="TableContents"/>
              <w:bidi w:val="0"/>
              <w:spacing w:before="0" w:after="1"/>
              <w:ind w:left="0" w:right="0" w:hanging="0"/>
              <w:jc w:val="both"/>
              <w:rPr/>
            </w:pPr>
            <w:r>
              <w:rPr/>
              <w:t>​</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27"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178" w:type="dxa"/>
            <w:tcBorders/>
            <w:shd w:fill="CCEEFF" w:val="clear"/>
            <w:vAlign w:val="center"/>
          </w:tcPr>
          <w:p>
            <w:pPr>
              <w:pStyle w:val="TableContents"/>
              <w:bidi w:val="0"/>
              <w:spacing w:before="0" w:after="1"/>
              <w:ind w:left="0" w:right="0" w:hanging="0"/>
              <w:jc w:val="both"/>
              <w:rPr/>
            </w:pPr>
            <w:r>
              <w:rPr/>
              <w:t>​</w:t>
            </w:r>
          </w:p>
        </w:tc>
      </w:tr>
      <w:tr>
        <w:trPr/>
        <w:tc>
          <w:tcPr>
            <w:tcW w:w="3738"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Denominator:</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27"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178" w:type="dxa"/>
            <w:tcBorders/>
            <w:vAlign w:val="center"/>
          </w:tcPr>
          <w:p>
            <w:pPr>
              <w:pStyle w:val="TableContents"/>
              <w:bidi w:val="0"/>
              <w:spacing w:before="0" w:after="1"/>
              <w:ind w:left="0" w:right="0" w:hanging="0"/>
              <w:jc w:val="right"/>
              <w:rPr/>
            </w:pPr>
            <w:r>
              <w:rPr/>
              <w:t>​</w:t>
            </w:r>
          </w:p>
        </w:tc>
      </w:tr>
      <w:tr>
        <w:trPr/>
        <w:tc>
          <w:tcPr>
            <w:tcW w:w="3738"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Weighted average common shares outstanding, basic and diluted</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8,798,956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8,359,205</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8,760,209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1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8,335,119</w:t>
            </w:r>
          </w:p>
        </w:tc>
      </w:tr>
      <w:tr>
        <w:trPr/>
        <w:tc>
          <w:tcPr>
            <w:tcW w:w="373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27"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27" w:type="dxa"/>
            <w:tcBorders/>
            <w:vAlign w:val="center"/>
          </w:tcPr>
          <w:p>
            <w:pPr>
              <w:pStyle w:val="TableContents"/>
              <w:bidi w:val="0"/>
              <w:spacing w:before="0" w:after="1"/>
              <w:ind w:left="0" w:right="0" w:hanging="0"/>
              <w:jc w:val="both"/>
              <w:rPr/>
            </w:pPr>
            <w:r>
              <w:rPr/>
              <w:t>​</w:t>
            </w:r>
          </w:p>
        </w:tc>
        <w:tc>
          <w:tcPr>
            <w:tcW w:w="38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27"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178" w:type="dxa"/>
            <w:tcBorders/>
            <w:vAlign w:val="center"/>
          </w:tcPr>
          <w:p>
            <w:pPr>
              <w:pStyle w:val="TableContents"/>
              <w:bidi w:val="0"/>
              <w:spacing w:before="0" w:after="1"/>
              <w:ind w:left="0" w:right="0" w:hanging="0"/>
              <w:jc w:val="both"/>
              <w:rPr/>
            </w:pPr>
            <w:r>
              <w:rPr/>
              <w:t>​</w:t>
            </w:r>
          </w:p>
        </w:tc>
      </w:tr>
      <w:tr>
        <w:trPr/>
        <w:tc>
          <w:tcPr>
            <w:tcW w:w="3738"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Net loss per share, basic and diluted:</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2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27"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2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178" w:type="dxa"/>
            <w:tcBorders/>
            <w:shd w:fill="CCEEFF" w:val="clear"/>
            <w:vAlign w:val="center"/>
          </w:tcPr>
          <w:p>
            <w:pPr>
              <w:pStyle w:val="TableContents"/>
              <w:bidi w:val="0"/>
              <w:spacing w:before="0" w:after="1"/>
              <w:ind w:left="0" w:right="0" w:hanging="0"/>
              <w:jc w:val="right"/>
              <w:rPr/>
            </w:pPr>
            <w:r>
              <w:rPr/>
              <w:t>​</w:t>
            </w:r>
          </w:p>
        </w:tc>
      </w:tr>
      <w:tr>
        <w:trPr/>
        <w:tc>
          <w:tcPr>
            <w:tcW w:w="3738"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continuing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(0.47)</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(0.63)</w:t>
            </w:r>
          </w:p>
        </w:tc>
        <w:tc>
          <w:tcPr>
            <w:tcW w:w="38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(0.95)</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3738"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Income (loss) from discontinued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(0.48)</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(0.98)</w:t>
            </w:r>
          </w:p>
        </w:tc>
      </w:tr>
      <w:tr>
        <w:trPr/>
        <w:tc>
          <w:tcPr>
            <w:tcW w:w="3738"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8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(0.28)</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securities, rounded to the nearest thousand, were not included in the diluted net loss per share calculation because their effect was anti-dilutive for the periods presented:</w:t>
      </w:r>
    </w:p>
    <w:p>
      <w:pPr>
        <w:pStyle w:val="TextBody"/>
        <w:bidi w:val="0"/>
        <w:spacing w:before="0" w:after="240"/>
        <w:ind w:left="0" w:right="0" w:hanging="0"/>
        <w:jc w:val="both"/>
        <w:rPr/>
      </w:pPr>
      <w:r>
        <w:rPr/>
        <w:t>​</w:t>
      </w:r>
    </w:p>
    <w:tbl>
      <w:tblPr>
        <w:tblW w:w="5982" w:type="dxa"/>
        <w:jc w:val="left"/>
        <w:tblInd w:w="0" w:type="dxa"/>
        <w:tblLayout w:type="fixed"/>
        <w:tblCellMar>
          <w:top w:w="0" w:type="dxa"/>
          <w:left w:w="0" w:type="dxa"/>
          <w:bottom w:w="0" w:type="dxa"/>
          <w:right w:w="0" w:type="dxa"/>
        </w:tblCellMar>
      </w:tblPr>
      <w:tblGrid>
        <w:gridCol w:w="2836"/>
        <w:gridCol w:w="326"/>
        <w:gridCol w:w="1145"/>
        <w:gridCol w:w="401"/>
        <w:gridCol w:w="1274"/>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800860" cy="175260"/>
                      <wp:effectExtent l="0" t="0" r="0" b="0"/>
                      <wp:wrapNone/>
                      <wp:docPr id="84" name="Frame83"/>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5"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27075" cy="175260"/>
                      <wp:effectExtent l="0" t="0" r="0" b="0"/>
                      <wp:wrapNone/>
                      <wp:docPr id="86" name="Frame85"/>
                      <a:graphic xmlns:a="http://schemas.openxmlformats.org/drawingml/2006/main">
                        <a:graphicData uri="http://schemas.microsoft.com/office/word/2010/wordprocessingShape">
                          <wps:wsp>
                            <wps:cNvSpPr txBox="1"/>
                            <wps:spPr>
                              <a:xfrm>
                                <a:off x="0" y="0"/>
                                <a:ext cx="72707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54635" cy="175260"/>
                      <wp:effectExtent l="0" t="0" r="0" b="0"/>
                      <wp:wrapNone/>
                      <wp:docPr id="87" name="Frame86"/>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808990" cy="175260"/>
                      <wp:effectExtent l="0" t="0" r="0" b="0"/>
                      <wp:wrapNone/>
                      <wp:docPr id="88" name="Frame87"/>
                      <a:graphic xmlns:a="http://schemas.openxmlformats.org/drawingml/2006/main">
                        <a:graphicData uri="http://schemas.microsoft.com/office/word/2010/wordprocessingShape">
                          <wps:wsp>
                            <wps:cNvSpPr txBox="1"/>
                            <wps:spPr>
                              <a:xfrm>
                                <a:off x="0" y="0"/>
                                <a:ext cx="80899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83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820"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and Six Months Ended</w:t>
            </w:r>
          </w:p>
        </w:tc>
      </w:tr>
      <w:tr>
        <w:trPr/>
        <w:tc>
          <w:tcPr>
            <w:tcW w:w="283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82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83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14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1" w:type="dxa"/>
            <w:tcBorders/>
            <w:vAlign w:val="center"/>
          </w:tcPr>
          <w:p>
            <w:pPr>
              <w:pStyle w:val="TableContents"/>
              <w:bidi w:val="0"/>
              <w:spacing w:before="0" w:after="1"/>
              <w:ind w:left="0" w:right="0" w:hanging="0"/>
              <w:jc w:val="both"/>
              <w:rPr/>
            </w:pPr>
            <w:r>
              <w:rPr/>
              <w:t>    </w:t>
            </w:r>
          </w:p>
        </w:tc>
        <w:tc>
          <w:tcPr>
            <w:tcW w:w="127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83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Common stock options</w:t>
            </w:r>
          </w:p>
        </w:tc>
        <w:tc>
          <w:tcPr>
            <w:tcW w:w="326" w:type="dxa"/>
            <w:tcBorders/>
            <w:vAlign w:val="center"/>
          </w:tcPr>
          <w:p>
            <w:pPr>
              <w:pStyle w:val="TableContents"/>
              <w:bidi w:val="0"/>
              <w:spacing w:before="0" w:after="1"/>
              <w:ind w:left="0" w:right="0" w:hanging="0"/>
              <w:jc w:val="both"/>
              <w:rPr/>
            </w:pPr>
            <w:r>
              <w:rPr/>
              <w:t> </w:t>
            </w:r>
          </w:p>
        </w:tc>
        <w:tc>
          <w:tcPr>
            <w:tcW w:w="11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1,143,000</w:t>
            </w:r>
          </w:p>
        </w:tc>
        <w:tc>
          <w:tcPr>
            <w:tcW w:w="401" w:type="dxa"/>
            <w:tcBorders/>
            <w:vAlign w:val="center"/>
          </w:tcPr>
          <w:p>
            <w:pPr>
              <w:pStyle w:val="TableContents"/>
              <w:bidi w:val="0"/>
              <w:spacing w:before="0" w:after="1"/>
              <w:ind w:left="0" w:right="0" w:hanging="0"/>
              <w:jc w:val="both"/>
              <w:rPr/>
            </w:pPr>
            <w:r>
              <w:rPr/>
              <w:t> </w:t>
            </w:r>
          </w:p>
        </w:tc>
        <w:tc>
          <w:tcPr>
            <w:tcW w:w="12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995,900</w:t>
            </w:r>
          </w:p>
        </w:tc>
      </w:tr>
      <w:tr>
        <w:trPr/>
        <w:tc>
          <w:tcPr>
            <w:tcW w:w="283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Common stock purchase warrants</w:t>
            </w:r>
          </w:p>
        </w:tc>
        <w:tc>
          <w:tcPr>
            <w:tcW w:w="326" w:type="dxa"/>
            <w:tcBorders/>
            <w:shd w:fill="CCEEFF" w:val="clear"/>
            <w:vAlign w:val="center"/>
          </w:tcPr>
          <w:p>
            <w:pPr>
              <w:pStyle w:val="TableContents"/>
              <w:bidi w:val="0"/>
              <w:spacing w:before="0" w:after="1"/>
              <w:ind w:left="0" w:right="0" w:hanging="0"/>
              <w:jc w:val="both"/>
              <w:rPr/>
            </w:pPr>
            <w:r>
              <w:rPr/>
              <w:t> </w:t>
            </w:r>
          </w:p>
        </w:tc>
        <w:tc>
          <w:tcPr>
            <w:tcW w:w="11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1,848,000</w:t>
            </w:r>
          </w:p>
        </w:tc>
        <w:tc>
          <w:tcPr>
            <w:tcW w:w="401" w:type="dxa"/>
            <w:tcBorders/>
            <w:shd w:fill="CCEEFF" w:val="clear"/>
            <w:vAlign w:val="center"/>
          </w:tcPr>
          <w:p>
            <w:pPr>
              <w:pStyle w:val="TableContents"/>
              <w:bidi w:val="0"/>
              <w:spacing w:before="0" w:after="1"/>
              <w:ind w:left="0" w:right="0" w:hanging="0"/>
              <w:jc w:val="both"/>
              <w:rPr/>
            </w:pPr>
            <w:r>
              <w:rPr/>
              <w:t> </w:t>
            </w:r>
          </w:p>
        </w:tc>
        <w:tc>
          <w:tcPr>
            <w:tcW w:w="12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1,848,200</w:t>
            </w:r>
          </w:p>
        </w:tc>
      </w:tr>
      <w:tr>
        <w:trPr/>
        <w:tc>
          <w:tcPr>
            <w:tcW w:w="283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Potentially dilutive securities</w:t>
            </w:r>
          </w:p>
        </w:tc>
        <w:tc>
          <w:tcPr>
            <w:tcW w:w="326" w:type="dxa"/>
            <w:tcBorders/>
            <w:vAlign w:val="center"/>
          </w:tcPr>
          <w:p>
            <w:pPr>
              <w:pStyle w:val="TableContents"/>
              <w:bidi w:val="0"/>
              <w:spacing w:before="0" w:after="1"/>
              <w:ind w:left="0" w:right="0" w:hanging="0"/>
              <w:jc w:val="both"/>
              <w:rPr/>
            </w:pPr>
            <w:r>
              <w:rPr/>
              <w:t> </w:t>
            </w:r>
          </w:p>
        </w:tc>
        <w:tc>
          <w:tcPr>
            <w:tcW w:w="114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2,991,000</w:t>
            </w:r>
          </w:p>
        </w:tc>
        <w:tc>
          <w:tcPr>
            <w:tcW w:w="401" w:type="dxa"/>
            <w:tcBorders/>
            <w:vAlign w:val="center"/>
          </w:tcPr>
          <w:p>
            <w:pPr>
              <w:pStyle w:val="TableContents"/>
              <w:bidi w:val="0"/>
              <w:spacing w:before="0" w:after="1"/>
              <w:ind w:left="0" w:right="0" w:hanging="0"/>
              <w:jc w:val="both"/>
              <w:rPr/>
            </w:pPr>
            <w:r>
              <w:rPr/>
              <w:t> </w:t>
            </w:r>
          </w:p>
        </w:tc>
        <w:tc>
          <w:tcPr>
            <w:tcW w:w="127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2,844,100</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common stock options and common stock purchase warrants outstanding as of June 30, 2023 were out of the money and were not included in net loss per share calculation.</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6: DISCONTINUED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discussed in Note 1, on June 26, 2023, the Company completed the previously announced transaction with Cell Ready for cash consideration of $19.0 million, resulting in derecognition of the Purchased Assets and a gain on sale of approximately $8.8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665" w:name="Tc_DCTauNKtz0awf_NhviyZxg_12_11"/>
      <w:bookmarkStart w:id="666" w:name="Tc_LwjyZCtdPkyLeyR1dCSzww_12_8"/>
      <w:bookmarkStart w:id="667" w:name="Tc_Q2Tl05RacUOeWCcVVM82nQ_12_5"/>
      <w:bookmarkStart w:id="668" w:name="Tc__GkxHKE_-U-YwArtx833cQ_12_2"/>
      <w:bookmarkStart w:id="669" w:name="Tc_JX8ipSKZkEish7chVYikTg_12_0"/>
      <w:bookmarkStart w:id="670" w:name="Tc_yIJtnImAhEKjfBDrb1qzIw_11_0"/>
      <w:bookmarkStart w:id="671" w:name="Tc_2HzZq7-4dEGxFHHAgN9XHQ_10_0"/>
      <w:bookmarkStart w:id="672" w:name="Tc_EAvuZk6KhkWtSPXvHMTuvg_9_0"/>
      <w:bookmarkStart w:id="673" w:name="Tc_73_l09GZ3EuUrQZKfE9OeQ_8_0"/>
      <w:bookmarkStart w:id="674" w:name="Tc_MPUYOhQYu0y8LYJPnDNnEA_7_12"/>
      <w:bookmarkStart w:id="675" w:name="Tc_N62PkGco50eZtn0uOEVLTQ_7_6"/>
      <w:bookmarkStart w:id="676" w:name="Tc_-MMKJ8_m9k2jshT3wtKpKw_7_0"/>
      <w:bookmarkStart w:id="677" w:name="Tc_7xCJe8Js3ke0oQTINsn6zw_6_12"/>
      <w:bookmarkStart w:id="678" w:name="Tc_W4s6rGRFLUiblGm80yCt4A_6_6"/>
      <w:bookmarkStart w:id="679" w:name="Tc_1kcW1HgomEKcWCtOiccD3A_6_3"/>
      <w:bookmarkStart w:id="680" w:name="Tc_r2YDEOatSUCruDdWmTImhA_6_0"/>
      <w:bookmarkStart w:id="681" w:name="Tc_K4dW24kCrUKVfD9Beoi8UA_5_12"/>
      <w:bookmarkStart w:id="682" w:name="Tc_IAwLGeHnjUicIiZbEev-5g_5_11"/>
      <w:bookmarkStart w:id="683" w:name="Tc_rEc-59X5R0u4kjAlSYekHg_5_8"/>
      <w:bookmarkStart w:id="684" w:name="Tc_A0pq4IYm30izC74-7pfLJw_5_6"/>
      <w:bookmarkStart w:id="685" w:name="Tc_p87F61DOI0KPwXZYJaMM7Q_5_5"/>
      <w:bookmarkStart w:id="686" w:name="Tc_DUaf6mJKLE6PLNv5DB6Kyg_5_2"/>
      <w:bookmarkStart w:id="687" w:name="Tc_T94lw8vvEEGUE1kCIf5NNw_5_0"/>
      <w:bookmarkStart w:id="688" w:name="Tc_joQ-ftMgt0S4BsLrtO2vBQ_4_0"/>
      <w:bookmarkStart w:id="689" w:name="Tc_k4Vzu2zPikikRsxv_BjqMA_3_11"/>
      <w:bookmarkStart w:id="690" w:name="Tc_UcFkqGfHxEqMYug-WlDupw_3_8"/>
      <w:bookmarkStart w:id="691" w:name="Tc_9eO_OdD070y-aRK2HCA5uA_3_5"/>
      <w:bookmarkStart w:id="692" w:name="Tc_v9npT0ZAOUem9Z6707QpKg_3_2"/>
      <w:bookmarkStart w:id="693" w:name="Tc_rKzho8ooFEuyVcWEBJ8v5A_2_8"/>
      <w:bookmarkStart w:id="694" w:name="Tc_h1gRWQExs0ew2EIkBh8JIg_2_2"/>
      <w:bookmarkStart w:id="695" w:name="Tc_rAvfCa2ae0amX7N30x8LPw_1_8"/>
      <w:bookmarkStart w:id="696" w:name="Tc_Hy7v-oe3O06-VdNSVO-c3Q_1_2"/>
      <w:bookmarkStart w:id="697" w:name="Tc_-BppKjDfYU-60dmMEUmuqA_15_5"/>
      <w:bookmarkStart w:id="698" w:name="Tc_QTI6EWB2h0Cprrrp6WVwJg_15_2"/>
      <w:bookmarkStart w:id="699" w:name="Tc_--kZVmxz-EaP8q0XU24dUA_15_0"/>
      <w:bookmarkStart w:id="700" w:name="Tc_zGwef2_x0USB_9YpWENBuQ_14_3"/>
      <w:bookmarkStart w:id="701" w:name="Tc_BpX-MdU8ek6wCi-UJ6edew_14_0"/>
      <w:bookmarkStart w:id="702" w:name="Tc_j0OzXBdrnk2fqHoIAXKYyw_13_3"/>
      <w:bookmarkStart w:id="703" w:name="Tc_1ET78PimzkiI-5BTLsyy5A_13_0"/>
      <w:bookmarkStart w:id="704" w:name="Tc_qJ3dahWjtkSbI9dkm3UCdw_12_0"/>
      <w:bookmarkStart w:id="705" w:name="Tc_0J16h8jtT0aECHRDoj8Afw_11_3"/>
      <w:bookmarkStart w:id="706" w:name="Tc_fVTlCmKjBku35Js8DKdSYQ_11_0"/>
      <w:bookmarkStart w:id="707" w:name="Tc_tAmJhpUSWEaQKNiXzhHp3w_10_3"/>
      <w:bookmarkStart w:id="708" w:name="Tc_fEAnVpuvV0G5DFEW37K-CA_10_0"/>
      <w:bookmarkStart w:id="709" w:name="Tc_ViRKMdSETECeAAlgqrW0lQ_9_5"/>
      <w:bookmarkStart w:id="710" w:name="Tc_7cUgHXxeYUCllAIKuvWt7Q_9_2"/>
      <w:bookmarkStart w:id="711" w:name="Tc_BB0sJbYw8kajRXrDqgIzMw_9_0"/>
      <w:bookmarkStart w:id="712" w:name="Tc_3nMEwgHvDEuvr1mHTxfFpg_7_5"/>
      <w:bookmarkStart w:id="713" w:name="Tc_JxVa3tnowEGxR97u7CAr2Q_7_3"/>
      <w:bookmarkStart w:id="714" w:name="Tc_RZbzdtw8nESRpspgIqMYfw_7_2"/>
      <w:bookmarkStart w:id="715" w:name="Tc_muu5nbAjl0-TgRVwt7WwLg_7_0"/>
      <w:bookmarkStart w:id="716" w:name="Tc_z7oogO9mAkm25EF__3ul3Q_6_0"/>
      <w:bookmarkStart w:id="717" w:name="Tc_yKOJ-Lg7JkKBA-JZfzzxjw_5_3"/>
      <w:bookmarkStart w:id="718" w:name="Tc_AaM60yW3vEKGN-anQDhn_A_5_0"/>
      <w:bookmarkStart w:id="719" w:name="Tc_bzbOHy-mHE6PqsMJ5uZXuw_4_3"/>
      <w:bookmarkStart w:id="720" w:name="Tc_fVnJfR1AS06CFmjM8ST0jQ_4_0"/>
      <w:bookmarkStart w:id="721" w:name="Tc_q6-35xK330C6dKkqH3HBrA_3_0"/>
      <w:bookmarkStart w:id="722" w:name="Tc_WVom9VzTfkCqsj8_YFRt-g_2_5"/>
      <w:bookmarkStart w:id="723" w:name="Tc_eA6ARfMlDkKKPgBZ0NpOOg_2_3"/>
      <w:bookmarkStart w:id="724" w:name="Tc_3m7aPCYceUCn8a4Ir2985Q_2_2"/>
      <w:bookmarkStart w:id="725" w:name="Tc_uxo4bywDrUeuSRTX-QfyCw_2_0"/>
      <w:bookmarkStart w:id="726" w:name="Tc_Fe85iQENkkWSafyB4_TeOA_1_5"/>
      <w:bookmarkStart w:id="727" w:name="Tc_Tuscvg8UAk-a8PNECpVfvA_1_2"/>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r>
        <w:rPr>
          <w:rFonts w:ascii="Times New Roman;Times;serif" w:hAnsi="Times New Roman;Times;serif"/>
          <w:sz w:val="20"/>
        </w:rPr>
        <w:t>The assets and liabilities classified in discontinued operations as of June 30, 2023 and December 31, 2022 are as follows:</w:t>
      </w:r>
    </w:p>
    <w:p>
      <w:pPr>
        <w:pStyle w:val="TextBody"/>
        <w:bidi w:val="0"/>
        <w:spacing w:before="0" w:after="240"/>
        <w:ind w:left="0" w:right="0" w:hanging="0"/>
        <w:jc w:val="both"/>
        <w:rPr/>
      </w:pPr>
      <w:r>
        <w:rPr/>
        <w:t>​</w:t>
      </w:r>
    </w:p>
    <w:tbl>
      <w:tblPr>
        <w:tblW w:w="7915" w:type="dxa"/>
        <w:jc w:val="left"/>
        <w:tblInd w:w="0" w:type="dxa"/>
        <w:tblLayout w:type="fixed"/>
        <w:tblCellMar>
          <w:top w:w="0" w:type="dxa"/>
          <w:left w:w="0" w:type="dxa"/>
          <w:bottom w:w="0" w:type="dxa"/>
          <w:right w:w="0" w:type="dxa"/>
        </w:tblCellMar>
      </w:tblPr>
      <w:tblGrid>
        <w:gridCol w:w="4591"/>
        <w:gridCol w:w="326"/>
        <w:gridCol w:w="239"/>
        <w:gridCol w:w="887"/>
        <w:gridCol w:w="326"/>
        <w:gridCol w:w="241"/>
        <w:gridCol w:w="1305"/>
      </w:tblGrid>
      <w:tr>
        <w:trPr/>
        <w:tc>
          <w:tcPr>
            <w:tcW w:w="4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915285" cy="175260"/>
                      <wp:effectExtent l="0" t="0" r="0" b="0"/>
                      <wp:wrapNone/>
                      <wp:docPr id="89" name="Frame88"/>
                      <a:graphic xmlns:a="http://schemas.openxmlformats.org/drawingml/2006/main">
                        <a:graphicData uri="http://schemas.microsoft.com/office/word/2010/wordprocessingShape">
                          <wps:wsp>
                            <wps:cNvSpPr txBox="1"/>
                            <wps:spPr>
                              <a:xfrm>
                                <a:off x="0" y="0"/>
                                <a:ext cx="29152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0"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51765" cy="175260"/>
                      <wp:effectExtent l="0" t="0" r="0" b="0"/>
                      <wp:wrapNone/>
                      <wp:docPr id="91" name="Frame9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63245" cy="175260"/>
                      <wp:effectExtent l="0" t="0" r="0" b="0"/>
                      <wp:wrapNone/>
                      <wp:docPr id="92" name="Frame91"/>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3"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53035" cy="175260"/>
                      <wp:effectExtent l="0" t="0" r="0" b="0"/>
                      <wp:wrapNone/>
                      <wp:docPr id="94" name="Frame93"/>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828675" cy="175260"/>
                      <wp:effectExtent l="0" t="0" r="0" b="0"/>
                      <wp:wrapNone/>
                      <wp:docPr id="95" name="Frame94"/>
                      <a:graphic xmlns:a="http://schemas.openxmlformats.org/drawingml/2006/main">
                        <a:graphicData uri="http://schemas.microsoft.com/office/word/2010/wordprocessingShape">
                          <wps:wsp>
                            <wps:cNvSpPr txBox="1"/>
                            <wps:spPr>
                              <a:xfrm>
                                <a:off x="0" y="0"/>
                                <a:ext cx="82867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459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45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1"/>
              <w:ind w:left="0" w:right="0" w:hanging="0"/>
              <w:jc w:val="both"/>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3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585,840</w:t>
            </w:r>
          </w:p>
        </w:tc>
      </w:tr>
      <w:tr>
        <w:trPr/>
        <w:tc>
          <w:tcPr>
            <w:tcW w:w="45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current assets of discontinued operations</w:t>
            </w:r>
          </w:p>
        </w:tc>
        <w:tc>
          <w:tcPr>
            <w:tcW w:w="326" w:type="dxa"/>
            <w:tcBorders/>
            <w:vAlign w:val="center"/>
          </w:tcPr>
          <w:p>
            <w:pPr>
              <w:pStyle w:val="TableContents"/>
              <w:bidi w:val="0"/>
              <w:spacing w:before="0" w:after="1"/>
              <w:ind w:left="0" w:right="0" w:hanging="0"/>
              <w:jc w:val="both"/>
              <w:rPr/>
            </w:pPr>
            <w:r>
              <w:rPr/>
              <w:t>​</w:t>
            </w:r>
          </w:p>
        </w:tc>
        <w:tc>
          <w:tcPr>
            <w:tcW w:w="239" w:type="dxa"/>
            <w:tcBorders/>
            <w:vAlign w:val="center"/>
          </w:tcPr>
          <w:p>
            <w:pPr>
              <w:pStyle w:val="TableContents"/>
              <w:bidi w:val="0"/>
              <w:spacing w:before="0" w:after="1"/>
              <w:ind w:left="0" w:right="0" w:hanging="0"/>
              <w:jc w:val="both"/>
              <w:rPr/>
            </w:pPr>
            <w:r>
              <w:rPr/>
              <w:t> </w:t>
            </w:r>
          </w:p>
        </w:tc>
        <w:tc>
          <w:tcPr>
            <w:tcW w:w="8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41" w:type="dxa"/>
            <w:tcBorders/>
            <w:vAlign w:val="center"/>
          </w:tcPr>
          <w:p>
            <w:pPr>
              <w:pStyle w:val="TableContents"/>
              <w:bidi w:val="0"/>
              <w:spacing w:before="0" w:after="1"/>
              <w:ind w:left="0" w:right="0" w:hanging="0"/>
              <w:jc w:val="both"/>
              <w:rPr/>
            </w:pPr>
            <w:r>
              <w:rPr/>
              <w:t> </w:t>
            </w:r>
          </w:p>
        </w:tc>
        <w:tc>
          <w:tcPr>
            <w:tcW w:w="13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585,840</w:t>
            </w:r>
          </w:p>
        </w:tc>
      </w:tr>
      <w:tr>
        <w:trPr/>
        <w:tc>
          <w:tcPr>
            <w:tcW w:w="45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Fixed Assets</w:t>
            </w:r>
          </w:p>
        </w:tc>
        <w:tc>
          <w:tcPr>
            <w:tcW w:w="326" w:type="dxa"/>
            <w:tcBorders/>
            <w:shd w:fill="CCEEFF" w:val="clear"/>
            <w:vAlign w:val="center"/>
          </w:tcPr>
          <w:p>
            <w:pPr>
              <w:pStyle w:val="TableContents"/>
              <w:bidi w:val="0"/>
              <w:spacing w:before="0" w:after="1"/>
              <w:ind w:left="0" w:right="0" w:hanging="0"/>
              <w:jc w:val="both"/>
              <w:rPr/>
            </w:pPr>
            <w:r>
              <w:rPr/>
              <w:t>​</w:t>
            </w:r>
          </w:p>
        </w:tc>
        <w:tc>
          <w:tcPr>
            <w:tcW w:w="239" w:type="dxa"/>
            <w:tcBorders/>
            <w:shd w:fill="CCEEFF" w:val="clear"/>
            <w:vAlign w:val="center"/>
          </w:tcPr>
          <w:p>
            <w:pPr>
              <w:pStyle w:val="TableContents"/>
              <w:bidi w:val="0"/>
              <w:spacing w:before="0" w:after="1"/>
              <w:ind w:left="0" w:right="0" w:hanging="0"/>
              <w:jc w:val="both"/>
              <w:rPr/>
            </w:pPr>
            <w:r>
              <w:rPr/>
              <w:t> </w:t>
            </w:r>
          </w:p>
        </w:tc>
        <w:tc>
          <w:tcPr>
            <w:tcW w:w="88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41" w:type="dxa"/>
            <w:tcBorders/>
            <w:shd w:fill="CCEEFF" w:val="clear"/>
            <w:vAlign w:val="center"/>
          </w:tcPr>
          <w:p>
            <w:pPr>
              <w:pStyle w:val="TableContents"/>
              <w:bidi w:val="0"/>
              <w:spacing w:before="0" w:after="1"/>
              <w:ind w:left="0" w:right="0" w:hanging="0"/>
              <w:jc w:val="both"/>
              <w:rPr/>
            </w:pPr>
            <w:r>
              <w:rPr/>
              <w:t> </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12,323,143</w:t>
            </w:r>
          </w:p>
        </w:tc>
      </w:tr>
      <w:tr>
        <w:trPr/>
        <w:tc>
          <w:tcPr>
            <w:tcW w:w="45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Right of use assets</w:t>
            </w:r>
          </w:p>
        </w:tc>
        <w:tc>
          <w:tcPr>
            <w:tcW w:w="326" w:type="dxa"/>
            <w:tcBorders/>
            <w:vAlign w:val="center"/>
          </w:tcPr>
          <w:p>
            <w:pPr>
              <w:pStyle w:val="TableContents"/>
              <w:bidi w:val="0"/>
              <w:spacing w:before="0" w:after="1"/>
              <w:ind w:left="0" w:right="0" w:hanging="0"/>
              <w:jc w:val="both"/>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3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5,479,786</w:t>
            </w:r>
          </w:p>
        </w:tc>
      </w:tr>
      <w:tr>
        <w:trPr/>
        <w:tc>
          <w:tcPr>
            <w:tcW w:w="45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non-current assets of discontinued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3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17,802,929</w:t>
            </w:r>
          </w:p>
        </w:tc>
      </w:tr>
      <w:tr>
        <w:trPr/>
        <w:tc>
          <w:tcPr>
            <w:tcW w:w="4591"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Total assets of discontinued operations</w:t>
            </w:r>
          </w:p>
        </w:tc>
        <w:tc>
          <w:tcPr>
            <w:tcW w:w="326" w:type="dxa"/>
            <w:tcBorders/>
            <w:vAlign w:val="center"/>
          </w:tcPr>
          <w:p>
            <w:pPr>
              <w:pStyle w:val="TableContents"/>
              <w:bidi w:val="0"/>
              <w:spacing w:before="0" w:after="1"/>
              <w:ind w:left="0" w:right="0" w:hanging="0"/>
              <w:jc w:val="both"/>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30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18,388,769</w:t>
            </w:r>
          </w:p>
        </w:tc>
      </w:tr>
      <w:tr>
        <w:trPr/>
        <w:tc>
          <w:tcPr>
            <w:tcW w:w="4591"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39" w:type="dxa"/>
            <w:tcBorders/>
            <w:shd w:fill="CCEEFF" w:val="clear"/>
            <w:vAlign w:val="center"/>
          </w:tcPr>
          <w:p>
            <w:pPr>
              <w:pStyle w:val="TableContents"/>
              <w:bidi w:val="0"/>
              <w:spacing w:before="0" w:after="1"/>
              <w:ind w:left="0" w:right="0" w:hanging="0"/>
              <w:jc w:val="both"/>
              <w:rPr/>
            </w:pPr>
            <w:r>
              <w:rPr/>
              <w:t>​</w:t>
            </w:r>
          </w:p>
        </w:tc>
        <w:tc>
          <w:tcPr>
            <w:tcW w:w="887"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41" w:type="dxa"/>
            <w:tcBorders/>
            <w:shd w:fill="CCEEFF" w:val="clear"/>
            <w:vAlign w:val="center"/>
          </w:tcPr>
          <w:p>
            <w:pPr>
              <w:pStyle w:val="TableContents"/>
              <w:bidi w:val="0"/>
              <w:spacing w:before="0" w:after="1"/>
              <w:ind w:left="0" w:right="0" w:hanging="0"/>
              <w:jc w:val="both"/>
              <w:rPr/>
            </w:pPr>
            <w:r>
              <w:rPr/>
              <w:t>​</w:t>
            </w:r>
          </w:p>
        </w:tc>
        <w:tc>
          <w:tcPr>
            <w:tcW w:w="1305" w:type="dxa"/>
            <w:tcBorders/>
            <w:shd w:fill="CCEEFF" w:val="clear"/>
            <w:vAlign w:val="center"/>
          </w:tcPr>
          <w:p>
            <w:pPr>
              <w:pStyle w:val="TableContents"/>
              <w:bidi w:val="0"/>
              <w:spacing w:before="0" w:after="1"/>
              <w:ind w:left="0" w:right="0" w:hanging="0"/>
              <w:jc w:val="both"/>
              <w:rPr/>
            </w:pPr>
            <w:r>
              <w:rPr/>
              <w:t>​</w:t>
            </w:r>
          </w:p>
        </w:tc>
      </w:tr>
      <w:tr>
        <w:trPr/>
        <w:tc>
          <w:tcPr>
            <w:tcW w:w="45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1"/>
              <w:ind w:left="0" w:right="0" w:hanging="0"/>
              <w:jc w:val="both"/>
              <w:rPr/>
            </w:pPr>
            <w:r>
              <w:rPr/>
              <w:t>​</w:t>
            </w:r>
          </w:p>
        </w:tc>
        <w:tc>
          <w:tcPr>
            <w:tcW w:w="23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260,280</w:t>
            </w:r>
          </w:p>
        </w:tc>
        <w:tc>
          <w:tcPr>
            <w:tcW w:w="326" w:type="dxa"/>
            <w:tcBorders/>
            <w:vAlign w:val="center"/>
          </w:tcPr>
          <w:p>
            <w:pPr>
              <w:pStyle w:val="TableContents"/>
              <w:bidi w:val="0"/>
              <w:spacing w:before="0" w:after="1"/>
              <w:ind w:left="0" w:right="0" w:hanging="0"/>
              <w:jc w:val="both"/>
              <w:rPr/>
            </w:pPr>
            <w:r>
              <w:rPr/>
              <w:t>​</w:t>
            </w:r>
          </w:p>
        </w:tc>
        <w:tc>
          <w:tcPr>
            <w:tcW w:w="24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3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2,183,418</w:t>
            </w:r>
          </w:p>
        </w:tc>
      </w:tr>
      <w:tr>
        <w:trPr/>
        <w:tc>
          <w:tcPr>
            <w:tcW w:w="45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Related party deferred revenue</w:t>
            </w:r>
          </w:p>
        </w:tc>
        <w:tc>
          <w:tcPr>
            <w:tcW w:w="326" w:type="dxa"/>
            <w:tcBorders/>
            <w:shd w:fill="CCEEFF" w:val="clear"/>
            <w:vAlign w:val="center"/>
          </w:tcPr>
          <w:p>
            <w:pPr>
              <w:pStyle w:val="TableContents"/>
              <w:bidi w:val="0"/>
              <w:spacing w:before="0" w:after="1"/>
              <w:ind w:left="0" w:right="0" w:hanging="0"/>
              <w:jc w:val="both"/>
              <w:rPr/>
            </w:pPr>
            <w:r>
              <w:rPr/>
              <w:t>​</w:t>
            </w:r>
          </w:p>
        </w:tc>
        <w:tc>
          <w:tcPr>
            <w:tcW w:w="239" w:type="dxa"/>
            <w:tcBorders/>
            <w:shd w:fill="CCEEFF" w:val="clear"/>
            <w:vAlign w:val="center"/>
          </w:tcPr>
          <w:p>
            <w:pPr>
              <w:pStyle w:val="TableContents"/>
              <w:bidi w:val="0"/>
              <w:spacing w:before="0" w:after="1"/>
              <w:ind w:left="0" w:right="0" w:hanging="0"/>
              <w:jc w:val="both"/>
              <w:rPr/>
            </w:pPr>
            <w:r>
              <w:rPr/>
              <w:t> </w:t>
            </w:r>
          </w:p>
        </w:tc>
        <w:tc>
          <w:tcPr>
            <w:tcW w:w="88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41" w:type="dxa"/>
            <w:tcBorders/>
            <w:shd w:fill="CCEEFF" w:val="clear"/>
            <w:vAlign w:val="center"/>
          </w:tcPr>
          <w:p>
            <w:pPr>
              <w:pStyle w:val="TableContents"/>
              <w:bidi w:val="0"/>
              <w:spacing w:before="0" w:after="1"/>
              <w:ind w:left="0" w:right="0" w:hanging="0"/>
              <w:jc w:val="both"/>
              <w:rPr/>
            </w:pPr>
            <w:r>
              <w:rPr/>
              <w:t> </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2,500,000</w:t>
            </w:r>
          </w:p>
        </w:tc>
      </w:tr>
      <w:tr>
        <w:trPr/>
        <w:tc>
          <w:tcPr>
            <w:tcW w:w="45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Short-term lease liabilities</w:t>
            </w:r>
          </w:p>
        </w:tc>
        <w:tc>
          <w:tcPr>
            <w:tcW w:w="326" w:type="dxa"/>
            <w:tcBorders/>
            <w:vAlign w:val="center"/>
          </w:tcPr>
          <w:p>
            <w:pPr>
              <w:pStyle w:val="TableContents"/>
              <w:bidi w:val="0"/>
              <w:spacing w:before="0" w:after="1"/>
              <w:ind w:left="0" w:right="0" w:hanging="0"/>
              <w:jc w:val="both"/>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3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577,198</w:t>
            </w:r>
          </w:p>
        </w:tc>
      </w:tr>
      <w:tr>
        <w:trPr/>
        <w:tc>
          <w:tcPr>
            <w:tcW w:w="45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current liabilities of discontinued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39" w:type="dxa"/>
            <w:tcBorders/>
            <w:shd w:fill="CCEEFF" w:val="clear"/>
            <w:vAlign w:val="center"/>
          </w:tcPr>
          <w:p>
            <w:pPr>
              <w:pStyle w:val="TableContents"/>
              <w:bidi w:val="0"/>
              <w:spacing w:before="0" w:after="1"/>
              <w:ind w:left="0" w:right="0" w:hanging="0"/>
              <w:jc w:val="both"/>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260,280</w:t>
            </w:r>
          </w:p>
        </w:tc>
        <w:tc>
          <w:tcPr>
            <w:tcW w:w="326" w:type="dxa"/>
            <w:tcBorders/>
            <w:shd w:fill="CCEEFF" w:val="clear"/>
            <w:vAlign w:val="center"/>
          </w:tcPr>
          <w:p>
            <w:pPr>
              <w:pStyle w:val="TableContents"/>
              <w:bidi w:val="0"/>
              <w:spacing w:before="0" w:after="1"/>
              <w:ind w:left="0" w:right="0" w:hanging="0"/>
              <w:jc w:val="both"/>
              <w:rPr/>
            </w:pPr>
            <w:r>
              <w:rPr/>
              <w:t>​</w:t>
            </w:r>
          </w:p>
        </w:tc>
        <w:tc>
          <w:tcPr>
            <w:tcW w:w="241" w:type="dxa"/>
            <w:tcBorders/>
            <w:shd w:fill="CCEEFF" w:val="clear"/>
            <w:vAlign w:val="center"/>
          </w:tcPr>
          <w:p>
            <w:pPr>
              <w:pStyle w:val="TableContents"/>
              <w:bidi w:val="0"/>
              <w:spacing w:before="0" w:after="1"/>
              <w:ind w:left="0" w:right="0" w:hanging="0"/>
              <w:jc w:val="both"/>
              <w:rPr/>
            </w:pPr>
            <w:r>
              <w:rPr/>
              <w:t> </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5,260,616</w:t>
            </w:r>
          </w:p>
        </w:tc>
      </w:tr>
      <w:tr>
        <w:trPr/>
        <w:tc>
          <w:tcPr>
            <w:tcW w:w="45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Long-term lease liabilities</w:t>
            </w:r>
          </w:p>
        </w:tc>
        <w:tc>
          <w:tcPr>
            <w:tcW w:w="326" w:type="dxa"/>
            <w:tcBorders/>
            <w:vAlign w:val="center"/>
          </w:tcPr>
          <w:p>
            <w:pPr>
              <w:pStyle w:val="TableContents"/>
              <w:bidi w:val="0"/>
              <w:spacing w:before="0" w:after="1"/>
              <w:ind w:left="0" w:right="0" w:hanging="0"/>
              <w:jc w:val="both"/>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3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7,039,338</w:t>
            </w:r>
          </w:p>
        </w:tc>
      </w:tr>
      <w:tr>
        <w:trPr/>
        <w:tc>
          <w:tcPr>
            <w:tcW w:w="45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non-current liabilities of discontinued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3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7,039,338</w:t>
            </w:r>
          </w:p>
        </w:tc>
      </w:tr>
      <w:tr>
        <w:trPr/>
        <w:tc>
          <w:tcPr>
            <w:tcW w:w="4591"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Total liabilities of discontinued operations</w:t>
            </w:r>
          </w:p>
        </w:tc>
        <w:tc>
          <w:tcPr>
            <w:tcW w:w="326" w:type="dxa"/>
            <w:tcBorders/>
            <w:vAlign w:val="center"/>
          </w:tcPr>
          <w:p>
            <w:pPr>
              <w:pStyle w:val="TableContents"/>
              <w:bidi w:val="0"/>
              <w:spacing w:before="0" w:after="1"/>
              <w:ind w:left="0" w:right="0" w:hanging="0"/>
              <w:jc w:val="both"/>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260,280</w:t>
            </w:r>
          </w:p>
        </w:tc>
        <w:tc>
          <w:tcPr>
            <w:tcW w:w="326" w:type="dxa"/>
            <w:tcBorders/>
            <w:vAlign w:val="center"/>
          </w:tcPr>
          <w:p>
            <w:pPr>
              <w:pStyle w:val="TableContents"/>
              <w:bidi w:val="0"/>
              <w:spacing w:before="0" w:after="1"/>
              <w:ind w:left="0" w:right="0" w:hanging="0"/>
              <w:jc w:val="both"/>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30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12,299,954</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reclassified the following operations to discontinued operations for the three and six months ended June 30, 2023 and 2022, respectively, excluding the gain on disposal:</w:t>
      </w:r>
    </w:p>
    <w:p>
      <w:pPr>
        <w:pStyle w:val="TextBody"/>
        <w:bidi w:val="0"/>
        <w:spacing w:before="0" w:after="240"/>
        <w:ind w:left="0" w:right="0" w:hanging="0"/>
        <w:jc w:val="both"/>
        <w:rPr/>
      </w:pPr>
      <w:r>
        <w:rPr/>
        <w:t>​</w:t>
      </w:r>
    </w:p>
    <w:tbl>
      <w:tblPr>
        <w:tblW w:w="9323" w:type="dxa"/>
        <w:jc w:val="left"/>
        <w:tblInd w:w="0" w:type="dxa"/>
        <w:tblLayout w:type="fixed"/>
        <w:tblCellMar>
          <w:top w:w="0" w:type="dxa"/>
          <w:left w:w="0" w:type="dxa"/>
          <w:bottom w:w="0" w:type="dxa"/>
          <w:right w:w="0" w:type="dxa"/>
        </w:tblCellMar>
      </w:tblPr>
      <w:tblGrid>
        <w:gridCol w:w="2926"/>
        <w:gridCol w:w="326"/>
        <w:gridCol w:w="211"/>
        <w:gridCol w:w="1051"/>
        <w:gridCol w:w="326"/>
        <w:gridCol w:w="211"/>
        <w:gridCol w:w="1051"/>
        <w:gridCol w:w="326"/>
        <w:gridCol w:w="211"/>
        <w:gridCol w:w="1051"/>
        <w:gridCol w:w="326"/>
        <w:gridCol w:w="211"/>
        <w:gridCol w:w="109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858010" cy="175260"/>
                      <wp:effectExtent l="0" t="0" r="0" b="0"/>
                      <wp:wrapNone/>
                      <wp:docPr id="96" name="Frame95"/>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7"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8"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67385" cy="175260"/>
                      <wp:effectExtent l="0" t="0" r="0" b="0"/>
                      <wp:wrapNone/>
                      <wp:docPr id="99" name="Frame9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0"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1"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67385" cy="175260"/>
                      <wp:effectExtent l="0" t="0" r="0" b="0"/>
                      <wp:wrapNone/>
                      <wp:docPr id="102" name="Frame10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3"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4"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67385" cy="175260"/>
                      <wp:effectExtent l="0" t="0" r="0" b="0"/>
                      <wp:wrapNone/>
                      <wp:docPr id="105" name="Frame10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6"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7"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5960" cy="175260"/>
                      <wp:effectExtent l="0" t="0" r="0" b="0"/>
                      <wp:wrapNone/>
                      <wp:docPr id="108" name="Frame10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center"/>
              <w:rPr/>
            </w:pPr>
            <w:r>
              <w:rPr/>
              <w:t>​</w:t>
            </w:r>
          </w:p>
        </w:tc>
        <w:tc>
          <w:tcPr>
            <w:tcW w:w="285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26" w:type="dxa"/>
            <w:tcBorders/>
            <w:vAlign w:val="center"/>
          </w:tcPr>
          <w:p>
            <w:pPr>
              <w:pStyle w:val="TableContents"/>
              <w:bidi w:val="0"/>
              <w:spacing w:before="0" w:after="1"/>
              <w:ind w:left="0" w:right="0" w:hanging="0"/>
              <w:jc w:val="center"/>
              <w:rPr/>
            </w:pPr>
            <w:r>
              <w:rPr/>
              <w:t>​</w:t>
            </w:r>
          </w:p>
        </w:tc>
        <w:tc>
          <w:tcPr>
            <w:tcW w:w="289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2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center"/>
              <w:rPr/>
            </w:pPr>
            <w:r>
              <w:rPr/>
              <w:t>​</w:t>
            </w:r>
          </w:p>
        </w:tc>
        <w:tc>
          <w:tcPr>
            <w:tcW w:w="28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1"/>
              <w:ind w:left="0" w:right="0" w:hanging="0"/>
              <w:jc w:val="center"/>
              <w:rPr/>
            </w:pPr>
            <w:r>
              <w:rPr/>
              <w:t>​</w:t>
            </w:r>
          </w:p>
        </w:tc>
        <w:tc>
          <w:tcPr>
            <w:tcW w:w="28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29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center"/>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92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2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Service revenue</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816,641</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816,641</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pPr>
            <w:r>
              <w:rPr/>
              <w:t>—</w:t>
            </w:r>
          </w:p>
        </w:tc>
      </w:tr>
      <w:tr>
        <w:trPr/>
        <w:tc>
          <w:tcPr>
            <w:tcW w:w="2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Related party service revenue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816,641</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4,316,641</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6" w:type="dxa"/>
            <w:tcBorders/>
            <w:vAlign w:val="center"/>
          </w:tcPr>
          <w:p>
            <w:pPr>
              <w:pStyle w:val="TableContents"/>
              <w:bidi w:val="0"/>
              <w:spacing w:before="0" w:after="1"/>
              <w:ind w:left="0" w:right="0" w:hanging="0"/>
              <w:jc w:val="right"/>
              <w:rPr/>
            </w:pPr>
            <w:r>
              <w:rPr/>
              <w:t>—</w:t>
            </w:r>
          </w:p>
        </w:tc>
      </w:tr>
      <w:tr>
        <w:trPr/>
        <w:tc>
          <w:tcPr>
            <w:tcW w:w="292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6" w:type="dxa"/>
            <w:tcBorders/>
            <w:shd w:fill="CCEEFF" w:val="clear"/>
            <w:vAlign w:val="center"/>
          </w:tcPr>
          <w:p>
            <w:pPr>
              <w:pStyle w:val="TableContents"/>
              <w:bidi w:val="0"/>
              <w:spacing w:before="0" w:after="1"/>
              <w:ind w:left="0" w:right="0" w:hanging="0"/>
              <w:jc w:val="right"/>
              <w:rPr/>
            </w:pPr>
            <w:r>
              <w:rPr/>
              <w:t>  </w:t>
            </w:r>
          </w:p>
        </w:tc>
      </w:tr>
      <w:tr>
        <w:trPr/>
        <w:tc>
          <w:tcPr>
            <w:tcW w:w="2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2,667,712</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3,631,422</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6,561,957</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7,387,124</w:t>
            </w:r>
          </w:p>
        </w:tc>
      </w:tr>
      <w:tr>
        <w:trPr/>
        <w:tc>
          <w:tcPr>
            <w:tcW w:w="2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328,585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380,015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677,090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761,719</w:t>
            </w:r>
          </w:p>
        </w:tc>
      </w:tr>
      <w:tr>
        <w:trPr/>
        <w:tc>
          <w:tcPr>
            <w:tcW w:w="29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2,996,297</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4,011,437</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7,239,048</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8,148,842</w:t>
            </w:r>
          </w:p>
        </w:tc>
      </w:tr>
      <w:tr>
        <w:trPr/>
        <w:tc>
          <w:tcPr>
            <w:tcW w:w="29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discontinued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(2,179,657)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(4,011,437)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(2,922,406)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(8,148,842)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Related Party Service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April 2022, the Company entered into a binding services agreement ("Wilson Wolf Agreement") with Wilson Wolf Manufacturing Corporation (“Wilson Wolf”). Mr. John Wilson is a member of the Company’s board of directors and is serving as the CEO of Wilson Wolf. Wilson Wolf is in the business of creating products and services intended to simplify and expedite the transition of cell therapies and gene-modified cell therapies to mainstream society (the “Wilson Wolf Mission”). Pursuant to the Wilson Wolf Agreement, Wilson Wolf made a cash payment to the Company in the amount of $8.0 million, as consideration for certain training and research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three-month period ending March 31, 2023, the Company recognized the final $2.5 million of revenue pursuant to this $8.0 million agreement and at June 30, 2023, the Company had no related party deferred revenue on its condensed consolidated balance sheet.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pursuant to the Wilson Wolf Agreement, Wilson Wolf agreed to pay the Company an additional $1.0 million because the Work Direction was completed within one year from the onset of the Wilson Wolf Agreement, achieving the agreed milestone. As such, the Company recorded an additional $1.0 million of service fee revenue during the three months ended March 31, 2023, which was received in May 2023 and recorded to discontinued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Service Revenue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April 2023, we signed the Indapta Master Services Agreement, pursuant to which the Company provided services to Indapta. Under an executed work order of that agreement, now complete, we recognized $0.8 million for the services rendered during the three and six months ended June 30, 2023.  Effective as of the closing date of the Purchase Agreement with Cell Ready, the rights and obligations to the Indapta Agreement were transferred to Cell Ready, and as such the revenues were recorded to discontinued operations.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7: PROPERTY AND EQUIPMENT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Substantially all of the previously reported property and equipment was disposed of as a result of the Cell Ready transaction. See Note 6: Discontinued Operations for details.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8: LEASES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Substantially all of the previously reported leases were disposed of as a result of the Cell Ready transaction. See Note 6: Discontinued Operations for details.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728" w:name="Tc_eN2fxtf5iUGZuQQtxvwmQw_9_5"/>
      <w:bookmarkStart w:id="729" w:name="Tc_Hqjex-14QUi_7aUZWBt2GA_9_2"/>
      <w:bookmarkStart w:id="730" w:name="Tc_nHfsPPRU90KSJQfeMlQ6SA_9_0"/>
      <w:bookmarkStart w:id="731" w:name="Tc_l2ABs7m5zkegZcOjy1pgVQ_8_0"/>
      <w:bookmarkStart w:id="732" w:name="Tc_gMrHN-y4Z0yF01DPKSwOmg_7_3"/>
      <w:bookmarkStart w:id="733" w:name="Tc_BjA-HBTC0kWIb7gdjhaw9Q_7_0"/>
      <w:bookmarkStart w:id="734" w:name="Tc_41aow0lhwEu9EgCglGlZnQ_6_0"/>
      <w:bookmarkStart w:id="735" w:name="Tc_2JGZB-pwdEus19ql3A9I_Q_5_6"/>
      <w:bookmarkStart w:id="736" w:name="Tc_7R1a8iIQeEOl7t2pudjcGw_5_3"/>
      <w:bookmarkStart w:id="737" w:name="Tc_4ah9VBm0b0GyW-PZaC54-w_5_0"/>
      <w:bookmarkStart w:id="738" w:name="Tc_T5vIfDMhn0ygss-SG6DRRg_4_0"/>
      <w:bookmarkStart w:id="739" w:name="Tc_YQXWGYvbt0Gzh4lwdRq5ww_3_5"/>
      <w:bookmarkStart w:id="740" w:name="Tc_pldr3dsTxEWeWxmOtRljvQ_3_2"/>
      <w:bookmarkStart w:id="741" w:name="Tc_8FbntP6xFU-3slZimd1p1Q_3_0"/>
      <w:bookmarkStart w:id="742" w:name="Tc_CkUVpAf5_ES5pHorImTzaw_2_5"/>
      <w:bookmarkStart w:id="743" w:name="Tc_oKU5I1a7U0ampbYw0Qe3RA_2_2"/>
      <w:bookmarkStart w:id="744" w:name="Tc_gkrmBcpsGEKw5l0pO-ui2w_1_5"/>
      <w:bookmarkStart w:id="745" w:name="Tc_stSZ2cxxlUeLcQ-qfsvvkA_1_2"/>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r>
        <w:rPr>
          <w:rFonts w:ascii="Times New Roman;Times;serif" w:hAnsi="Times New Roman;Times;serif"/>
          <w:b/>
          <w:sz w:val="20"/>
        </w:rPr>
        <w:t>NOTE 9: ACCOUNTS PAYABLE AND ACCRUED LIABILITIES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payable and accrued liabilities consist of the following as of June 30, 2023 and December 31, 2022, respectively:</w:t>
      </w:r>
    </w:p>
    <w:p>
      <w:pPr>
        <w:pStyle w:val="TextBody"/>
        <w:bidi w:val="0"/>
        <w:spacing w:before="0" w:after="240"/>
        <w:ind w:left="0" w:right="0" w:hanging="0"/>
        <w:jc w:val="both"/>
        <w:rPr/>
      </w:pPr>
      <w:r>
        <w:rPr/>
        <w:t>​</w:t>
      </w:r>
    </w:p>
    <w:tbl>
      <w:tblPr>
        <w:tblW w:w="6897" w:type="dxa"/>
        <w:jc w:val="left"/>
        <w:tblInd w:w="0" w:type="dxa"/>
        <w:tblLayout w:type="fixed"/>
        <w:tblCellMar>
          <w:top w:w="0" w:type="dxa"/>
          <w:left w:w="0" w:type="dxa"/>
          <w:bottom w:w="0" w:type="dxa"/>
          <w:right w:w="0" w:type="dxa"/>
        </w:tblCellMar>
      </w:tblPr>
      <w:tblGrid>
        <w:gridCol w:w="3856"/>
        <w:gridCol w:w="326"/>
        <w:gridCol w:w="211"/>
        <w:gridCol w:w="931"/>
        <w:gridCol w:w="326"/>
        <w:gridCol w:w="211"/>
        <w:gridCol w:w="1036"/>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448560" cy="175260"/>
                      <wp:effectExtent l="0" t="0" r="0" b="0"/>
                      <wp:wrapNone/>
                      <wp:docPr id="109" name="Frame108"/>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0"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1"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91185" cy="175260"/>
                      <wp:effectExtent l="0" t="0" r="0" b="0"/>
                      <wp:wrapNone/>
                      <wp:docPr id="112" name="Frame1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3"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4"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57860" cy="175260"/>
                      <wp:effectExtent l="0" t="0" r="0" b="0"/>
                      <wp:wrapNone/>
                      <wp:docPr id="115" name="Frame1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85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both"/>
              <w:rPr/>
            </w:pPr>
            <w:r>
              <w:rPr/>
              <w:t>    </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85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1,330,000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1,101,000</w:t>
            </w:r>
          </w:p>
        </w:tc>
      </w:tr>
      <w:tr>
        <w:trPr/>
        <w:tc>
          <w:tcPr>
            <w:tcW w:w="385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Compensation and benefits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750,000</w:t>
            </w:r>
          </w:p>
        </w:tc>
      </w:tr>
      <w:tr>
        <w:trPr/>
        <w:tc>
          <w:tcPr>
            <w:tcW w:w="38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Process development expenses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385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Professional fees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518,000</w:t>
            </w:r>
          </w:p>
        </w:tc>
      </w:tr>
      <w:tr>
        <w:trPr/>
        <w:tc>
          <w:tcPr>
            <w:tcW w:w="38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Arbitration settlement fees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114,000</w:t>
            </w:r>
          </w:p>
        </w:tc>
      </w:tr>
      <w:tr>
        <w:trPr/>
        <w:tc>
          <w:tcPr>
            <w:tcW w:w="385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38,000</w:t>
            </w:r>
          </w:p>
        </w:tc>
      </w:tr>
      <w:tr>
        <w:trPr/>
        <w:tc>
          <w:tcPr>
            <w:tcW w:w="38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accounts payable and accrued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2,661,000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2,521,000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10: STOCKHOLDERS’ EQUITY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26, 2023, the Company effected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historical share and per share amounts reflected in this report have been adjusted to reflect the Reverse Stock Split.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Common Stock Transactions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Issuance of Stock Pursuant to ATM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2023, the Company sold 200,261 shares of its common stock under the ATM Agreement for proceeds of $0.6 million.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Stock Purchase Agreement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December 2022, the Company entered into a purchase agreement (the “Purchase Agreement”) with Lincoln Park Capital Fund, LLC (“Lincoln Park”) which provides that, upon the terms and subject to the conditions of the agreement, the Company has the right, but not the obligation, to sell to Lincoln Park up to $25,000,000 of shares of its common stock (the “Purchase Shares”) from time to time over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bookmarkStart w:id="746" w:name="Tc_Yuu9OtTzlkOBNSqKoI_fWQ_6_10"/>
      <w:bookmarkStart w:id="747" w:name="Tc_KGjLUa3d4E-hmeG85fif_g_6_9"/>
      <w:bookmarkStart w:id="748" w:name="Tc_OB_XMZvcq02fPBtucywI5w_6_4"/>
      <w:bookmarkStart w:id="749" w:name="Tc_rIojNngw4km5x4dbDVprNA_6_0"/>
      <w:bookmarkStart w:id="750" w:name="Tc_Ujj_5sABDEep3Si1NMjquw_5_10"/>
      <w:bookmarkStart w:id="751" w:name="Tc_0n4R3WiqH0uWR66mwkgfTg_5_7"/>
      <w:bookmarkStart w:id="752" w:name="Tc_MBqg1g7ZKEKoZmso4YIF3w_5_5"/>
      <w:bookmarkStart w:id="753" w:name="Tc_CC_jiM3fHUy7rigwNe9dkw_5_2"/>
      <w:bookmarkStart w:id="754" w:name="Tc_1NgbM7lk6ka3AXtohgcVIA_5_0"/>
      <w:bookmarkStart w:id="755" w:name="Tc_IHk2YXzhd0qNYyey3GcOoA_4_10"/>
      <w:bookmarkStart w:id="756" w:name="Tc_P-wlvWM4JUSXk_XNC5tFzw_4_9"/>
      <w:bookmarkStart w:id="757" w:name="Tc_wlhRrJRQPE2h4C8yxIQqgg_4_4"/>
      <w:bookmarkStart w:id="758" w:name="Tc_Ig5SH-tf7UeKqeIj7MbVUA_4_0"/>
      <w:bookmarkStart w:id="759" w:name="Tc_faGxfk33U0-Fy-Ditixe8w_3_9"/>
      <w:bookmarkStart w:id="760" w:name="Tc_cXQ78qzG3U6GfU3IVSYPsw_3_7"/>
      <w:bookmarkStart w:id="761" w:name="Tc_29Z1Ir3kPkyMr_5OPZ73NQ_3_4"/>
      <w:bookmarkStart w:id="762" w:name="Tc_6w5qyUVvN0qUNlKT8499FA_3_2"/>
      <w:bookmarkStart w:id="763" w:name="Tc_pSyjWpE_PU2SuGrKXz9M-w_2_9"/>
      <w:bookmarkStart w:id="764" w:name="Tc_BKovNqzBOEeKX-9cMUa3LA_2_7"/>
      <w:bookmarkStart w:id="765" w:name="Tc_Bp1ZUK9vcEm_Tk0uismo-A_2_4"/>
      <w:bookmarkStart w:id="766" w:name="Tc_Rl7JZpZN_kKOsgHv2Wk2jw_2_2"/>
      <w:bookmarkStart w:id="767" w:name="Tc_uPFTBt0Hzk2hxrci-McbFg_1_7"/>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r>
        <w:rPr>
          <w:rFonts w:ascii="Times New Roman;Times;serif" w:hAnsi="Times New Roman;Times;serif"/>
          <w:sz w:val="20"/>
        </w:rPr>
        <w:t>a 24-month term, at a variable price with certain market-based terms as defined in the Purchase Agreement. The Purchase Agreement does not exhibit any of the characteristics for liability classification under ASC Topic 480, Distinguishing Liabilities from Equity. Instead, the purchase agreement is indexed to the Company’s own stock under ASC Subtopic 815-40, Contracts in Entity’s Own Equity, and classified as equity. In January 2023, Lincoln Park was issued 180,410 shares of stock as a commitment fee at a value of $0.5 million. During the six months ended June 30, 2023, the Company sold 12,500 shares of its common stock under the Purchase Agreement for proceeds of approximately $33,000.</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Exercise of Stock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2023, certain outstanding options were exercised for 344 shares of common stock, providing aggregate proceeds to the Company of approximately $700.</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 Purchase Warrants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summary of the Company’s share purchase warrants as of June 30, 2023 and changes during the period is presented below:</w:t>
      </w:r>
    </w:p>
    <w:p>
      <w:pPr>
        <w:pStyle w:val="TextBody"/>
        <w:bidi w:val="0"/>
        <w:spacing w:before="0" w:after="240"/>
        <w:ind w:left="0" w:right="0" w:hanging="0"/>
        <w:jc w:val="both"/>
        <w:rPr/>
      </w:pPr>
      <w:r>
        <w:rPr/>
        <w:t>​</w:t>
      </w:r>
    </w:p>
    <w:tbl>
      <w:tblPr>
        <w:tblW w:w="8913" w:type="dxa"/>
        <w:jc w:val="left"/>
        <w:tblInd w:w="0" w:type="dxa"/>
        <w:tblLayout w:type="fixed"/>
        <w:tblCellMar>
          <w:top w:w="0" w:type="dxa"/>
          <w:left w:w="0" w:type="dxa"/>
          <w:bottom w:w="0" w:type="dxa"/>
          <w:right w:w="0" w:type="dxa"/>
        </w:tblCellMar>
      </w:tblPr>
      <w:tblGrid>
        <w:gridCol w:w="2221"/>
        <w:gridCol w:w="326"/>
        <w:gridCol w:w="931"/>
        <w:gridCol w:w="326"/>
        <w:gridCol w:w="392"/>
        <w:gridCol w:w="1064"/>
        <w:gridCol w:w="326"/>
        <w:gridCol w:w="1816"/>
        <w:gridCol w:w="326"/>
        <w:gridCol w:w="377"/>
        <w:gridCol w:w="808"/>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410335" cy="175260"/>
                      <wp:effectExtent l="0" t="0" r="0" b="0"/>
                      <wp:wrapNone/>
                      <wp:docPr id="116" name="Frame115"/>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7"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91185" cy="175260"/>
                      <wp:effectExtent l="0" t="0" r="0" b="0"/>
                      <wp:wrapNone/>
                      <wp:docPr id="118" name="Frame11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19"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48920" cy="175260"/>
                      <wp:effectExtent l="0" t="0" r="0" b="0"/>
                      <wp:wrapNone/>
                      <wp:docPr id="120" name="Frame119"/>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75640" cy="175260"/>
                      <wp:effectExtent l="0" t="0" r="0" b="0"/>
                      <wp:wrapNone/>
                      <wp:docPr id="121" name="Frame120"/>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2"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153160" cy="175260"/>
                      <wp:effectExtent l="0" t="0" r="0" b="0"/>
                      <wp:wrapNone/>
                      <wp:docPr id="123" name="Frame122"/>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4"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39395" cy="175260"/>
                      <wp:effectExtent l="0" t="0" r="0" b="0"/>
                      <wp:wrapNone/>
                      <wp:docPr id="125" name="Frame124"/>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13080" cy="175260"/>
                      <wp:effectExtent l="0" t="0" r="0" b="0"/>
                      <wp:wrapNone/>
                      <wp:docPr id="126" name="Frame125"/>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22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    </w:t>
            </w:r>
          </w:p>
        </w:tc>
        <w:tc>
          <w:tcPr>
            <w:tcW w:w="392" w:type="dxa"/>
            <w:tcBorders/>
            <w:vAlign w:val="center"/>
          </w:tcPr>
          <w:p>
            <w:pPr>
              <w:pStyle w:val="TableContents"/>
              <w:bidi w:val="0"/>
              <w:spacing w:before="0" w:after="1"/>
              <w:ind w:left="0" w:right="0" w:hanging="0"/>
              <w:jc w:val="both"/>
              <w:rPr/>
            </w:pPr>
            <w:r>
              <w:rPr/>
              <w:t>​</w:t>
            </w:r>
          </w:p>
        </w:tc>
        <w:tc>
          <w:tcPr>
            <w:tcW w:w="106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8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1"/>
              <w:ind w:left="0" w:right="0" w:hanging="0"/>
              <w:jc w:val="both"/>
              <w:rPr/>
            </w:pPr>
            <w:r>
              <w:rPr/>
              <w:t>​</w:t>
            </w:r>
          </w:p>
        </w:tc>
        <w:tc>
          <w:tcPr>
            <w:tcW w:w="377" w:type="dxa"/>
            <w:tcBorders/>
            <w:vAlign w:val="center"/>
          </w:tcPr>
          <w:p>
            <w:pPr>
              <w:pStyle w:val="TableContents"/>
              <w:bidi w:val="0"/>
              <w:spacing w:before="0" w:after="1"/>
              <w:ind w:left="0" w:right="0" w:hanging="0"/>
              <w:jc w:val="both"/>
              <w:rPr/>
            </w:pPr>
            <w:r>
              <w:rPr/>
              <w:t>​</w:t>
            </w:r>
          </w:p>
        </w:tc>
        <w:tc>
          <w:tcPr>
            <w:tcW w:w="808" w:type="dxa"/>
            <w:tcBorders/>
            <w:vAlign w:val="center"/>
          </w:tcPr>
          <w:p>
            <w:pPr>
              <w:pStyle w:val="TableContents"/>
              <w:bidi w:val="0"/>
              <w:spacing w:before="0" w:after="1"/>
              <w:ind w:left="0" w:right="0" w:hanging="0"/>
              <w:jc w:val="center"/>
              <w:rPr/>
            </w:pPr>
            <w:r>
              <w:rPr/>
              <w:t> </w:t>
            </w:r>
          </w:p>
        </w:tc>
      </w:tr>
      <w:tr>
        <w:trPr/>
        <w:tc>
          <w:tcPr>
            <w:tcW w:w="222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both"/>
              <w:rPr/>
            </w:pPr>
            <w:r>
              <w:rPr/>
              <w:t>​</w:t>
            </w:r>
          </w:p>
        </w:tc>
        <w:tc>
          <w:tcPr>
            <w:tcW w:w="14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1"/>
              <w:ind w:left="0" w:right="0" w:hanging="0"/>
              <w:jc w:val="both"/>
              <w:rPr/>
            </w:pPr>
            <w:r>
              <w:rPr/>
              <w:t>​</w:t>
            </w:r>
          </w:p>
        </w:tc>
        <w:tc>
          <w:tcPr>
            <w:tcW w:w="18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 Contractual</w:t>
            </w:r>
          </w:p>
        </w:tc>
        <w:tc>
          <w:tcPr>
            <w:tcW w:w="326" w:type="dxa"/>
            <w:tcBorders/>
            <w:vAlign w:val="center"/>
          </w:tcPr>
          <w:p>
            <w:pPr>
              <w:pStyle w:val="TableContents"/>
              <w:bidi w:val="0"/>
              <w:spacing w:before="0" w:after="1"/>
              <w:ind w:left="0" w:right="0" w:hanging="0"/>
              <w:jc w:val="both"/>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Intrinsic</w:t>
            </w:r>
          </w:p>
        </w:tc>
      </w:tr>
      <w:tr>
        <w:trPr/>
        <w:tc>
          <w:tcPr>
            <w:tcW w:w="222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26" w:type="dxa"/>
            <w:tcBorders/>
            <w:vAlign w:val="center"/>
          </w:tcPr>
          <w:p>
            <w:pPr>
              <w:pStyle w:val="TableContents"/>
              <w:bidi w:val="0"/>
              <w:spacing w:before="0" w:after="1"/>
              <w:ind w:left="0" w:right="0" w:hanging="0"/>
              <w:jc w:val="both"/>
              <w:rPr/>
            </w:pPr>
            <w:r>
              <w:rPr/>
              <w:t>    </w:t>
            </w:r>
          </w:p>
        </w:tc>
        <w:tc>
          <w:tcPr>
            <w:tcW w:w="14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1"/>
              <w:ind w:left="0" w:right="0" w:hanging="0"/>
              <w:jc w:val="both"/>
              <w:rPr/>
            </w:pPr>
            <w:r>
              <w:rPr/>
              <w:t>    </w:t>
            </w:r>
          </w:p>
        </w:tc>
        <w:tc>
          <w:tcPr>
            <w:tcW w:w="18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326" w:type="dxa"/>
            <w:tcBorders/>
            <w:vAlign w:val="center"/>
          </w:tcPr>
          <w:p>
            <w:pPr>
              <w:pStyle w:val="TableContents"/>
              <w:bidi w:val="0"/>
              <w:spacing w:before="0" w:after="1"/>
              <w:ind w:left="0" w:right="0" w:hanging="0"/>
              <w:jc w:val="both"/>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2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 January 1, 2023</w:t>
            </w:r>
          </w:p>
        </w:tc>
        <w:tc>
          <w:tcPr>
            <w:tcW w:w="326" w:type="dxa"/>
            <w:tcBorders/>
            <w:shd w:fill="CCEEFF" w:val="clear"/>
            <w:vAlign w:val="center"/>
          </w:tcPr>
          <w:p>
            <w:pPr>
              <w:pStyle w:val="TableContents"/>
              <w:bidi w:val="0"/>
              <w:spacing w:before="0" w:after="1"/>
              <w:ind w:left="0" w:right="0" w:hanging="0"/>
              <w:jc w:val="both"/>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1,848,000</w:t>
            </w:r>
          </w:p>
        </w:tc>
        <w:tc>
          <w:tcPr>
            <w:tcW w:w="326" w:type="dxa"/>
            <w:tcBorders/>
            <w:shd w:fill="CCEEFF" w:val="clear"/>
            <w:vAlign w:val="center"/>
          </w:tcPr>
          <w:p>
            <w:pPr>
              <w:pStyle w:val="TableContents"/>
              <w:bidi w:val="0"/>
              <w:spacing w:before="0" w:after="1"/>
              <w:ind w:left="0" w:right="0" w:hanging="0"/>
              <w:jc w:val="both"/>
              <w:rPr/>
            </w:pPr>
            <w:r>
              <w:rPr/>
              <w:t>​</w:t>
            </w:r>
          </w:p>
        </w:tc>
        <w:tc>
          <w:tcPr>
            <w:tcW w:w="392"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44.51</w:t>
            </w:r>
          </w:p>
        </w:tc>
        <w:tc>
          <w:tcPr>
            <w:tcW w:w="326" w:type="dxa"/>
            <w:tcBorders/>
            <w:shd w:fill="CCEEFF" w:val="clear"/>
            <w:vAlign w:val="center"/>
          </w:tcPr>
          <w:p>
            <w:pPr>
              <w:pStyle w:val="TableContents"/>
              <w:bidi w:val="0"/>
              <w:spacing w:before="0" w:after="1"/>
              <w:ind w:left="0" w:right="0" w:hanging="0"/>
              <w:jc w:val="both"/>
              <w:rPr/>
            </w:pPr>
            <w:r>
              <w:rPr/>
              <w:t>​</w:t>
            </w:r>
          </w:p>
        </w:tc>
        <w:tc>
          <w:tcPr>
            <w:tcW w:w="18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0.79</w:t>
            </w:r>
          </w:p>
        </w:tc>
        <w:tc>
          <w:tcPr>
            <w:tcW w:w="326" w:type="dxa"/>
            <w:tcBorders/>
            <w:shd w:fill="CCEEFF" w:val="clear"/>
            <w:vAlign w:val="center"/>
          </w:tcPr>
          <w:p>
            <w:pPr>
              <w:pStyle w:val="TableContents"/>
              <w:bidi w:val="0"/>
              <w:spacing w:before="0" w:after="1"/>
              <w:ind w:left="0" w:right="0" w:hanging="0"/>
              <w:jc w:val="both"/>
              <w:rPr/>
            </w:pPr>
            <w:r>
              <w:rPr/>
              <w:t>​</w:t>
            </w:r>
          </w:p>
        </w:tc>
        <w:tc>
          <w:tcPr>
            <w:tcW w:w="377"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1"/>
              <w:ind w:left="0" w:right="0" w:hanging="0"/>
              <w:jc w:val="right"/>
              <w:rPr/>
            </w:pPr>
            <w:r>
              <w:rPr/>
              <w:t>—</w:t>
            </w:r>
          </w:p>
        </w:tc>
      </w:tr>
      <w:tr>
        <w:trPr/>
        <w:tc>
          <w:tcPr>
            <w:tcW w:w="222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Expired or cancelled</w:t>
            </w:r>
          </w:p>
        </w:tc>
        <w:tc>
          <w:tcPr>
            <w:tcW w:w="326" w:type="dxa"/>
            <w:tcBorders/>
            <w:vAlign w:val="center"/>
          </w:tcPr>
          <w:p>
            <w:pPr>
              <w:pStyle w:val="TableContents"/>
              <w:bidi w:val="0"/>
              <w:spacing w:before="0" w:after="1"/>
              <w:ind w:left="0" w:right="0" w:hanging="0"/>
              <w:jc w:val="both"/>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6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18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377"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22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 June 30, 2023</w:t>
            </w:r>
          </w:p>
        </w:tc>
        <w:tc>
          <w:tcPr>
            <w:tcW w:w="326" w:type="dxa"/>
            <w:tcBorders/>
            <w:shd w:fill="CCEEFF" w:val="clear"/>
            <w:vAlign w:val="center"/>
          </w:tcPr>
          <w:p>
            <w:pPr>
              <w:pStyle w:val="TableContents"/>
              <w:bidi w:val="0"/>
              <w:spacing w:before="0" w:after="1"/>
              <w:ind w:left="0" w:right="0" w:hanging="0"/>
              <w:jc w:val="both"/>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1,848,000</w:t>
            </w:r>
          </w:p>
        </w:tc>
        <w:tc>
          <w:tcPr>
            <w:tcW w:w="326" w:type="dxa"/>
            <w:tcBorders/>
            <w:shd w:fill="CCEEFF" w:val="clear"/>
            <w:vAlign w:val="center"/>
          </w:tcPr>
          <w:p>
            <w:pPr>
              <w:pStyle w:val="TableContents"/>
              <w:bidi w:val="0"/>
              <w:spacing w:before="0" w:after="1"/>
              <w:ind w:left="0" w:right="0" w:hanging="0"/>
              <w:jc w:val="both"/>
              <w:rPr/>
            </w:pPr>
            <w:r>
              <w:rPr/>
              <w:t>​</w:t>
            </w:r>
          </w:p>
        </w:tc>
        <w:tc>
          <w:tcPr>
            <w:tcW w:w="392"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44.51</w:t>
            </w:r>
          </w:p>
        </w:tc>
        <w:tc>
          <w:tcPr>
            <w:tcW w:w="326" w:type="dxa"/>
            <w:tcBorders/>
            <w:shd w:fill="CCEEFF" w:val="clear"/>
            <w:vAlign w:val="center"/>
          </w:tcPr>
          <w:p>
            <w:pPr>
              <w:pStyle w:val="TableContents"/>
              <w:bidi w:val="0"/>
              <w:spacing w:before="0" w:after="1"/>
              <w:ind w:left="0" w:right="0" w:hanging="0"/>
              <w:jc w:val="both"/>
              <w:rPr/>
            </w:pPr>
            <w:r>
              <w:rPr/>
              <w:t>​</w:t>
            </w:r>
          </w:p>
        </w:tc>
        <w:tc>
          <w:tcPr>
            <w:tcW w:w="18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0.30</w:t>
            </w:r>
          </w:p>
        </w:tc>
        <w:tc>
          <w:tcPr>
            <w:tcW w:w="326" w:type="dxa"/>
            <w:tcBorders/>
            <w:shd w:fill="CCEEFF" w:val="clear"/>
            <w:vAlign w:val="center"/>
          </w:tcPr>
          <w:p>
            <w:pPr>
              <w:pStyle w:val="TableContents"/>
              <w:bidi w:val="0"/>
              <w:spacing w:before="0" w:after="1"/>
              <w:ind w:left="0" w:right="0" w:hanging="0"/>
              <w:jc w:val="both"/>
              <w:rPr/>
            </w:pPr>
            <w:r>
              <w:rPr/>
              <w:t>​</w:t>
            </w:r>
          </w:p>
        </w:tc>
        <w:tc>
          <w:tcPr>
            <w:tcW w:w="377"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11: STOCK-BASED COMPENSATION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2022 Equity Incentive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27, 2023, pursuant to the Company’s 2020 Equity Incentive Plan, the compensation committee of the Company’s board of directors approved a total of 316,855 options to purchase the Company’s common stock as equity-based incentive awards to the Company’s executive officers and management team. Each option award was granted with an exercise price of $2.14 per share, the closing price of the Company’s common stock on the Nasdaq Global Market on February 27, 2023, with the option award vesting in 48 equal monthly installments over a four-year period, subject to such executive officer’s continued service on the applicable vesting date. Additionally, on February 27, 2023, the compensation committee of the Company’s board of directors approved a total of 87,677 options to purchase the Company’s common stock to non-executive employees and management team of the Company as equity-based incentive awards. Each option award was granted with an exercise price of $2.14 per share, the closing price of the Company’s common stock on the Nasdaq Global Market on February 27, 2023, with the option award vesting in 48 equal monthly installments over a four-year period, subject to such employee’s continued service on the applicable vesting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above awards were in addition to 7,000 stock option awards issued during the three months ended March 31, 2023 to new employees upon their commencement of employment with the Company. Each option award was granted with an exercise price of $2.769 per share, the closing price of the Company’s common stock on the Nasdaq Global Market on January 3, 2023, with 25% of the option award vesting in one year and the remaining 75% vesting in 36 equal monthly installments thereafter over a three-year period, subject to such employee’s continued service on the applicable vesting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1,000 stock option awards issued during the three months ended June 30, 2023 to new employees upon their commencement of employment with the Company.  Each option award was granted with an exercise price of $0.7802 per share, the closing price of the Company’s common stock on the Nasdaq Global Market on April 3, 2023, with 25% of the option award vesting in one year and the remaining 75% vesting in 36 equal monthly installments thereafter over a three-year period, subject to such employee’s continued service on the applicable vesting date.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May 10, 2023, the Company’s board of directors approved a one-time share option grant of 100,000 shares of common stock to Dr. Vera for his appointment as the Company’s Chief Executive Officer. The option has a term of ten years and will vest in equal annual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bookmarkStart w:id="768" w:name="Tc_h4GMW6bYMkC_urRvQdyxuA_9_11"/>
      <w:bookmarkStart w:id="769" w:name="Tc_4xx9ToUdpEaSHoJfVoZSag_9_8"/>
      <w:bookmarkStart w:id="770" w:name="Tc_tizCpeO10k6x5JXyliXF8w_9_5"/>
      <w:bookmarkStart w:id="771" w:name="Tc_Wl-3TbP5t0qVCmiBQo077w_9_2"/>
      <w:bookmarkStart w:id="772" w:name="Tc_16QRJxcKmk6SzREjTzz05A_9_0"/>
      <w:bookmarkStart w:id="773" w:name="Tc_rqOC85g6N0mkqoLORTzGjA_8_0"/>
      <w:bookmarkStart w:id="774" w:name="Tc_DU-FleNyk0a04ZWH5a-MIQ_7_0"/>
      <w:bookmarkStart w:id="775" w:name="Tc_bxGetXiBCk6S3PXzui8Qrw_6_0"/>
      <w:bookmarkStart w:id="776" w:name="Tc_4CYE0hdoEUmggcYBq_05vA_5_11"/>
      <w:bookmarkStart w:id="777" w:name="Tc_3x-8ny0Jqk2qJ3SqDmuQdQ_5_8"/>
      <w:bookmarkStart w:id="778" w:name="Tc_4PILaWRo7keczddHghBu-Q_5_5"/>
      <w:bookmarkStart w:id="779" w:name="Tc_WoJzJIB-5U6zHJdXteeVAg_5_2"/>
      <w:bookmarkStart w:id="780" w:name="Tc_QnPX22GHhkeQBESvq4nkSA_5_0"/>
      <w:bookmarkStart w:id="781" w:name="Tc_fbQ9_gJY-kOViHoHfV3v9A_4_0"/>
      <w:bookmarkStart w:id="782" w:name="Tc_evDGSVrSGk67ZhCWaLQWog_3_11"/>
      <w:bookmarkStart w:id="783" w:name="Tc_tI57YX36W0SQo2NUM7lBAg_3_8"/>
      <w:bookmarkStart w:id="784" w:name="Tc_nwoTPKgFV0Czdpq8O7kl6A_3_5"/>
      <w:bookmarkStart w:id="785" w:name="Tc_SfclQYd3L0WYs9ygXMZ1Fg_3_2"/>
      <w:bookmarkStart w:id="786" w:name="Tc_jFIw9kc49UGZHh-xgeM68Q_2_8"/>
      <w:bookmarkStart w:id="787" w:name="Tc_RjJk5iDK1EKDQ9s_7MAisQ_2_2"/>
      <w:bookmarkStart w:id="788" w:name="Tc_vBhWJEKn4kqCJtk_jVihXA_1_8"/>
      <w:bookmarkStart w:id="789" w:name="Tc_vc9-6tpRgk-sKlZStDyTvQ_1_2"/>
      <w:bookmarkStart w:id="790" w:name="Tc_0qWYYh3xrkeMWqAlojrzMw_7_4"/>
      <w:bookmarkStart w:id="791" w:name="Tc_b4ePy6mSKEWf91o-zA80eA_7_0"/>
      <w:bookmarkStart w:id="792" w:name="Tc_xbULsckjTEGBaY-TwUC9bQ_6_4"/>
      <w:bookmarkStart w:id="793" w:name="Tc_yHf8NPPMU0mCAjUR7soQfw_6_0"/>
      <w:bookmarkStart w:id="794" w:name="Tc_PW_TG-3mOkOkAF8QHQ4gLA_5_4"/>
      <w:bookmarkStart w:id="795" w:name="Tc_iq6Bd9Zp7k64viOHwQZt9g_5_0"/>
      <w:bookmarkStart w:id="796" w:name="Tc_hD-7JCkGQEe57s5VKl5SoQ_4_0"/>
      <w:bookmarkStart w:id="797" w:name="Tc_6fu6V0z0S024ICSAGEEQ_g_3_2"/>
      <w:bookmarkStart w:id="798" w:name="Tc_9g2w9h4o_UO7dtN1NKJjAg_3_0"/>
      <w:bookmarkStart w:id="799" w:name="Tc_n3TV3Of650CRwicMhGv9yg_2_2"/>
      <w:bookmarkStart w:id="800" w:name="Tc_CJ5EBebyjUmq3uJRvXDnHw_1_2"/>
      <w:bookmarkStart w:id="801" w:name="Tc_PiWcJTXrpkOZO3tDmwpptw_10_7"/>
      <w:bookmarkStart w:id="802" w:name="Tc_GIcLwWfBMkyAzFyfpjbX9w_10_4"/>
      <w:bookmarkStart w:id="803" w:name="Tc_XU5urDGfxUaZsW90beh4VA_10_0"/>
      <w:bookmarkStart w:id="804" w:name="Tc_L-Pe3hOGF0i26D6XnKmI6A_9_7"/>
      <w:bookmarkStart w:id="805" w:name="Tc_iBRZSl1wE0WkZwc01ViMtQ_9_4"/>
      <w:bookmarkStart w:id="806" w:name="Tc_nTemwMh-hU2ZMmfG1sXEmA_9_0"/>
      <w:bookmarkStart w:id="807" w:name="Tc_KjOacWwyvkeVWONRUPpw7A_8_10"/>
      <w:bookmarkStart w:id="808" w:name="Tc_v4Ioqw-JMUq_7L5AvvW-BQ_8_8"/>
      <w:bookmarkStart w:id="809" w:name="Tc_cGP3V1ayBEeecoezPZ4pOQ_8_0"/>
      <w:bookmarkStart w:id="810" w:name="Tc_tLFMXbuLL0iiwBTfoZLuCQ_7_10"/>
      <w:bookmarkStart w:id="811" w:name="Tc_93oKBWlxZ0mwzF5JJRdP6g_7_8"/>
      <w:bookmarkStart w:id="812" w:name="Tc_hbGN9uf2bUKfdjdH95aCNQ_7_0"/>
      <w:bookmarkStart w:id="813" w:name="Tc_8UotQPKqQ0ebWF6wSw9gCA_6_8"/>
      <w:bookmarkStart w:id="814" w:name="Tc_w7_TvIIT10yXxDgnVJsn0A_6_0"/>
      <w:bookmarkStart w:id="815" w:name="Tc_NodyJ08edEWdl-NVuByxSQ_5_8"/>
      <w:bookmarkStart w:id="816" w:name="Tc_rzYQI8I-lkunHLTM3ugLog_5_7"/>
      <w:bookmarkStart w:id="817" w:name="Tc_UK5qWZ7bvEyRGqU-Xw0wCg_5_4"/>
      <w:bookmarkStart w:id="818" w:name="Tc_85pr1ZJ_ckO7U-L-vILw9g_5_0"/>
      <w:bookmarkStart w:id="819" w:name="Tc_evDxlZI8lEuc2884Bf6lrA_4_10"/>
      <w:bookmarkStart w:id="820" w:name="Tc_C5r8bGH_ZUu64Bq8xgf5iw_4_7"/>
      <w:bookmarkStart w:id="821" w:name="Tc_EALi9tnfSE24ejmnDcqWMw_4_4"/>
      <w:bookmarkStart w:id="822" w:name="Tc_5gUJ4u40R0yf2V4U2oI0zA_4_2"/>
      <w:bookmarkStart w:id="823" w:name="Tc_qfqiTIaXX0GD8SyQzshKkw_3_10"/>
      <w:bookmarkStart w:id="824" w:name="Tc_WGr15kHxQEOZMgoUVzHQiw_3_4"/>
      <w:bookmarkStart w:id="825" w:name="Tc_bNE_p5tzDUW3tmjs60ypag_2_10"/>
      <w:bookmarkStart w:id="826" w:name="Tc_56JfrpEVQEeFOevoJVd0CQ_1_10"/>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r>
        <w:rPr>
          <w:rFonts w:ascii="Times New Roman;Times;serif" w:hAnsi="Times New Roman;Times;serif"/>
          <w:sz w:val="20"/>
        </w:rPr>
        <w:t>installments on May 10, 2024, May 10, 2025, May 10, 2026 and May 10, 2027, subject to Mr. Vera’s continued service to the Company as of the applicable vesting date.  Each option award was granted with an exercise price of $1.42 per share, the closing price of the Company’s common stock on the Nasdaq Global Market on May 10,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Also, pursuant to the Company’s Non-Employee Director Compensation Policy, which had previously been approved by the Company’s board of directors, a total of 32,000 stock option awards were issued during the three months ended June 30, 2023 to independent members of the board of directors of the Company.  Each option award was granted with an exercise price of $1.72 per share, the closing price of the Company’s common stock on the Nasdaq Global Market on June 6, 2023.  Each option award will vest in one year subject to the director’s continuance of service through June 6,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summary of the Company’s stock option activity for the three months ended June 30, 2023 is as follows:</w:t>
      </w:r>
    </w:p>
    <w:p>
      <w:pPr>
        <w:pStyle w:val="TextBody"/>
        <w:bidi w:val="0"/>
        <w:spacing w:before="0" w:after="0"/>
        <w:ind w:left="0" w:right="0" w:hanging="0"/>
        <w:jc w:val="both"/>
        <w:rPr/>
      </w:pPr>
      <w:r>
        <w:rPr/>
        <w:t>​</w:t>
      </w:r>
    </w:p>
    <w:tbl>
      <w:tblPr>
        <w:tblW w:w="10203" w:type="dxa"/>
        <w:jc w:val="left"/>
        <w:tblInd w:w="0" w:type="dxa"/>
        <w:tblLayout w:type="fixed"/>
        <w:tblCellMar>
          <w:top w:w="0" w:type="dxa"/>
          <w:left w:w="0" w:type="dxa"/>
          <w:bottom w:w="0" w:type="dxa"/>
          <w:right w:w="0" w:type="dxa"/>
        </w:tblCellMar>
      </w:tblPr>
      <w:tblGrid>
        <w:gridCol w:w="2881"/>
        <w:gridCol w:w="326"/>
        <w:gridCol w:w="1411"/>
        <w:gridCol w:w="326"/>
        <w:gridCol w:w="405"/>
        <w:gridCol w:w="1096"/>
        <w:gridCol w:w="326"/>
        <w:gridCol w:w="341"/>
        <w:gridCol w:w="1264"/>
        <w:gridCol w:w="326"/>
        <w:gridCol w:w="1501"/>
      </w:tblGrid>
      <w:tr>
        <w:trPr/>
        <w:tc>
          <w:tcPr>
            <w:tcW w:w="288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41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405"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341" w:type="dxa"/>
            <w:tcBorders/>
            <w:vAlign w:val="center"/>
          </w:tcPr>
          <w:p>
            <w:pPr>
              <w:pStyle w:val="TableContents"/>
              <w:bidi w:val="0"/>
              <w:spacing w:before="0" w:after="1"/>
              <w:ind w:left="0" w:right="0" w:hanging="0"/>
              <w:jc w:val="both"/>
              <w:rPr/>
            </w:pPr>
            <w:r>
              <w:rPr/>
              <w:t>​</w:t>
            </w:r>
          </w:p>
        </w:tc>
        <w:tc>
          <w:tcPr>
            <w:tcW w:w="1264"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501" w:type="dxa"/>
            <w:tcBorders/>
            <w:vAlign w:val="center"/>
          </w:tcPr>
          <w:p>
            <w:pPr>
              <w:pStyle w:val="TableContents"/>
              <w:bidi w:val="0"/>
              <w:spacing w:before="0" w:after="1"/>
              <w:ind w:left="0" w:right="0" w:hanging="0"/>
              <w:jc w:val="both"/>
              <w:rPr/>
            </w:pPr>
            <w:r>
              <w:rPr/>
              <w:t>​</w:t>
            </w:r>
          </w:p>
        </w:tc>
      </w:tr>
      <w:tr>
        <w:trPr/>
        <w:tc>
          <w:tcPr>
            <w:tcW w:w="288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    </w:t>
            </w:r>
          </w:p>
        </w:tc>
        <w:tc>
          <w:tcPr>
            <w:tcW w:w="405"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41" w:type="dxa"/>
            <w:tcBorders/>
            <w:vAlign w:val="center"/>
          </w:tcPr>
          <w:p>
            <w:pPr>
              <w:pStyle w:val="TableContents"/>
              <w:bidi w:val="0"/>
              <w:spacing w:before="0" w:after="1"/>
              <w:ind w:left="0" w:right="0" w:hanging="0"/>
              <w:jc w:val="both"/>
              <w:rPr/>
            </w:pPr>
            <w:r>
              <w:rPr/>
              <w:t>​</w:t>
            </w:r>
          </w:p>
        </w:tc>
        <w:tc>
          <w:tcPr>
            <w:tcW w:w="126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    </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88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405"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41" w:type="dxa"/>
            <w:tcBorders/>
            <w:vAlign w:val="center"/>
          </w:tcPr>
          <w:p>
            <w:pPr>
              <w:pStyle w:val="TableContents"/>
              <w:bidi w:val="0"/>
              <w:spacing w:before="0" w:after="1"/>
              <w:ind w:left="0" w:right="0" w:hanging="0"/>
              <w:jc w:val="both"/>
              <w:rPr/>
            </w:pPr>
            <w:r>
              <w:rPr/>
              <w:t>​</w:t>
            </w:r>
          </w:p>
        </w:tc>
        <w:tc>
          <w:tcPr>
            <w:tcW w:w="126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288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Weighted Average</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w:t>
            </w:r>
          </w:p>
        </w:tc>
        <w:tc>
          <w:tcPr>
            <w:tcW w:w="341" w:type="dxa"/>
            <w:tcBorders/>
            <w:vAlign w:val="center"/>
          </w:tcPr>
          <w:p>
            <w:pPr>
              <w:pStyle w:val="TableContents"/>
              <w:bidi w:val="0"/>
              <w:spacing w:before="0" w:after="1"/>
              <w:ind w:left="0" w:right="0" w:hanging="0"/>
              <w:jc w:val="both"/>
              <w:rPr/>
            </w:pPr>
            <w:r>
              <w:rPr/>
              <w:t>​</w:t>
            </w:r>
          </w:p>
        </w:tc>
        <w:tc>
          <w:tcPr>
            <w:tcW w:w="1264"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288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26" w:type="dxa"/>
            <w:tcBorders/>
            <w:vAlign w:val="center"/>
          </w:tcPr>
          <w:p>
            <w:pPr>
              <w:pStyle w:val="TableContents"/>
              <w:bidi w:val="0"/>
              <w:spacing w:before="0" w:after="1"/>
              <w:ind w:left="0" w:right="0" w:hanging="0"/>
              <w:jc w:val="both"/>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1"/>
              <w:ind w:left="0" w:right="0" w:hanging="0"/>
              <w:jc w:val="both"/>
              <w:rPr/>
            </w:pPr>
            <w:r>
              <w:rPr/>
              <w:t>    </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Intrinsic Value</w:t>
            </w:r>
          </w:p>
        </w:tc>
        <w:tc>
          <w:tcPr>
            <w:tcW w:w="326" w:type="dxa"/>
            <w:tcBorders/>
            <w:vAlign w:val="center"/>
          </w:tcPr>
          <w:p>
            <w:pPr>
              <w:pStyle w:val="TableContents"/>
              <w:bidi w:val="0"/>
              <w:spacing w:before="0" w:after="1"/>
              <w:ind w:left="0" w:right="0" w:hanging="0"/>
              <w:jc w:val="both"/>
              <w:rPr/>
            </w:pPr>
            <w:r>
              <w:rPr/>
              <w:t>    </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r>
      <w:tr>
        <w:trPr/>
        <w:tc>
          <w:tcPr>
            <w:tcW w:w="288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Outstanding as of January 1, 2023</w:t>
            </w:r>
          </w:p>
        </w:tc>
        <w:tc>
          <w:tcPr>
            <w:tcW w:w="326" w:type="dxa"/>
            <w:tcBorders/>
            <w:shd w:fill="CCEEFF" w:val="clear"/>
            <w:vAlign w:val="center"/>
          </w:tcPr>
          <w:p>
            <w:pPr>
              <w:pStyle w:val="TableContents"/>
              <w:bidi w:val="0"/>
              <w:spacing w:before="0" w:after="1"/>
              <w:ind w:left="0" w:right="0" w:hanging="0"/>
              <w:jc w:val="both"/>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886,173</w:t>
            </w:r>
          </w:p>
        </w:tc>
        <w:tc>
          <w:tcPr>
            <w:tcW w:w="326" w:type="dxa"/>
            <w:tcBorders/>
            <w:shd w:fill="CCEEFF" w:val="clear"/>
            <w:vAlign w:val="center"/>
          </w:tcPr>
          <w:p>
            <w:pPr>
              <w:pStyle w:val="TableContents"/>
              <w:bidi w:val="0"/>
              <w:spacing w:before="0" w:after="1"/>
              <w:ind w:left="0" w:right="0" w:hanging="0"/>
              <w:jc w:val="both"/>
              <w:rPr/>
            </w:pPr>
            <w:r>
              <w:rPr/>
              <w:t>​</w:t>
            </w:r>
          </w:p>
        </w:tc>
        <w:tc>
          <w:tcPr>
            <w:tcW w:w="40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42.90</w:t>
            </w:r>
          </w:p>
        </w:tc>
        <w:tc>
          <w:tcPr>
            <w:tcW w:w="326" w:type="dxa"/>
            <w:tcBorders/>
            <w:shd w:fill="CCEEFF" w:val="clear"/>
            <w:vAlign w:val="center"/>
          </w:tcPr>
          <w:p>
            <w:pPr>
              <w:pStyle w:val="TableContents"/>
              <w:bidi w:val="0"/>
              <w:spacing w:before="0" w:after="1"/>
              <w:ind w:left="0" w:right="0" w:hanging="0"/>
              <w:jc w:val="right"/>
              <w:rPr/>
            </w:pPr>
            <w:r>
              <w:rPr/>
              <w:t>​</w:t>
            </w:r>
          </w:p>
        </w:tc>
        <w:tc>
          <w:tcPr>
            <w:tcW w:w="34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288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both"/>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544,532</w:t>
            </w:r>
          </w:p>
        </w:tc>
        <w:tc>
          <w:tcPr>
            <w:tcW w:w="326" w:type="dxa"/>
            <w:tcBorders/>
            <w:vAlign w:val="center"/>
          </w:tcPr>
          <w:p>
            <w:pPr>
              <w:pStyle w:val="TableContents"/>
              <w:bidi w:val="0"/>
              <w:spacing w:before="0" w:after="1"/>
              <w:ind w:left="0" w:right="0" w:hanging="0"/>
              <w:jc w:val="both"/>
              <w:rPr/>
            </w:pPr>
            <w:r>
              <w:rPr/>
              <w:t>​</w:t>
            </w:r>
          </w:p>
        </w:tc>
        <w:tc>
          <w:tcPr>
            <w:tcW w:w="405"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326"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both"/>
              <w:rPr/>
            </w:pPr>
            <w:r>
              <w:rPr/>
              <w:t>​</w:t>
            </w:r>
          </w:p>
        </w:tc>
        <w:tc>
          <w:tcPr>
            <w:tcW w:w="126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288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1"/>
              <w:ind w:left="0" w:right="0" w:hanging="0"/>
              <w:jc w:val="both"/>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shd w:fill="CCEEFF" w:val="clear"/>
            <w:vAlign w:val="center"/>
          </w:tcPr>
          <w:p>
            <w:pPr>
              <w:pStyle w:val="TableContents"/>
              <w:bidi w:val="0"/>
              <w:spacing w:before="0" w:after="1"/>
              <w:ind w:left="0" w:right="0" w:hanging="0"/>
              <w:jc w:val="both"/>
              <w:rPr/>
            </w:pPr>
            <w:r>
              <w:rPr/>
              <w:t>​</w:t>
            </w:r>
          </w:p>
        </w:tc>
        <w:tc>
          <w:tcPr>
            <w:tcW w:w="405"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shd w:fill="CCEEFF" w:val="clear"/>
            <w:vAlign w:val="center"/>
          </w:tcPr>
          <w:p>
            <w:pPr>
              <w:pStyle w:val="TableContents"/>
              <w:bidi w:val="0"/>
              <w:spacing w:before="0" w:after="1"/>
              <w:ind w:left="0" w:right="0" w:hanging="0"/>
              <w:jc w:val="right"/>
              <w:rPr/>
            </w:pPr>
            <w:r>
              <w:rPr/>
              <w:t>​</w:t>
            </w:r>
          </w:p>
        </w:tc>
        <w:tc>
          <w:tcPr>
            <w:tcW w:w="341" w:type="dxa"/>
            <w:tcBorders/>
            <w:shd w:fill="CCEEFF" w:val="clear"/>
            <w:vAlign w:val="center"/>
          </w:tcPr>
          <w:p>
            <w:pPr>
              <w:pStyle w:val="TableContents"/>
              <w:bidi w:val="0"/>
              <w:spacing w:before="0" w:after="1"/>
              <w:ind w:left="0" w:right="0" w:hanging="0"/>
              <w:jc w:val="both"/>
              <w:rPr/>
            </w:pPr>
            <w:r>
              <w:rPr/>
              <w:t>​</w:t>
            </w:r>
          </w:p>
        </w:tc>
        <w:tc>
          <w:tcPr>
            <w:tcW w:w="126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1501" w:type="dxa"/>
            <w:tcBorders/>
            <w:shd w:fill="CCEEFF" w:val="clear"/>
            <w:vAlign w:val="center"/>
          </w:tcPr>
          <w:p>
            <w:pPr>
              <w:pStyle w:val="TableContents"/>
              <w:bidi w:val="0"/>
              <w:spacing w:before="0" w:after="1"/>
              <w:ind w:left="0" w:right="0" w:hanging="0"/>
              <w:jc w:val="right"/>
              <w:rPr/>
            </w:pPr>
            <w:r>
              <w:rPr/>
              <w:t>—</w:t>
            </w:r>
          </w:p>
        </w:tc>
      </w:tr>
      <w:tr>
        <w:trPr/>
        <w:tc>
          <w:tcPr>
            <w:tcW w:w="288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Canceled/Expired</w:t>
            </w:r>
          </w:p>
        </w:tc>
        <w:tc>
          <w:tcPr>
            <w:tcW w:w="326" w:type="dxa"/>
            <w:tcBorders/>
            <w:vAlign w:val="center"/>
          </w:tcPr>
          <w:p>
            <w:pPr>
              <w:pStyle w:val="TableContents"/>
              <w:bidi w:val="0"/>
              <w:spacing w:before="0" w:after="1"/>
              <w:ind w:left="0" w:right="0" w:hanging="0"/>
              <w:jc w:val="both"/>
              <w:rPr/>
            </w:pPr>
            <w:r>
              <w:rPr/>
              <w:t>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(287,803)</w:t>
            </w:r>
          </w:p>
        </w:tc>
        <w:tc>
          <w:tcPr>
            <w:tcW w:w="326" w:type="dxa"/>
            <w:tcBorders/>
            <w:vAlign w:val="center"/>
          </w:tcPr>
          <w:p>
            <w:pPr>
              <w:pStyle w:val="TableContents"/>
              <w:bidi w:val="0"/>
              <w:spacing w:before="0" w:after="1"/>
              <w:ind w:left="0" w:right="0" w:hanging="0"/>
              <w:jc w:val="both"/>
              <w:rPr/>
            </w:pPr>
            <w:r>
              <w:rPr/>
              <w:t>​</w:t>
            </w:r>
          </w:p>
        </w:tc>
        <w:tc>
          <w:tcPr>
            <w:tcW w:w="405"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w:t>
            </w:r>
          </w:p>
        </w:tc>
        <w:tc>
          <w:tcPr>
            <w:tcW w:w="326" w:type="dxa"/>
            <w:tcBorders/>
            <w:vAlign w:val="center"/>
          </w:tcPr>
          <w:p>
            <w:pPr>
              <w:pStyle w:val="TableContents"/>
              <w:bidi w:val="0"/>
              <w:spacing w:before="0" w:after="1"/>
              <w:ind w:left="0" w:right="0" w:hanging="0"/>
              <w:jc w:val="right"/>
              <w:rPr/>
            </w:pPr>
            <w:r>
              <w:rPr/>
              <w:t>​</w:t>
            </w:r>
          </w:p>
        </w:tc>
        <w:tc>
          <w:tcPr>
            <w:tcW w:w="34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6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8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Outstanding as of June 30, 2023</w:t>
            </w:r>
          </w:p>
        </w:tc>
        <w:tc>
          <w:tcPr>
            <w:tcW w:w="326" w:type="dxa"/>
            <w:tcBorders/>
            <w:shd w:fill="CCEEFF" w:val="clear"/>
            <w:vAlign w:val="center"/>
          </w:tcPr>
          <w:p>
            <w:pPr>
              <w:pStyle w:val="TableContents"/>
              <w:bidi w:val="0"/>
              <w:spacing w:before="0" w:after="1"/>
              <w:ind w:left="0" w:right="0" w:hanging="0"/>
              <w:jc w:val="both"/>
              <w:rPr/>
            </w:pPr>
            <w:r>
              <w:rPr/>
              <w:t> </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1,142,558</w:t>
            </w:r>
          </w:p>
        </w:tc>
        <w:tc>
          <w:tcPr>
            <w:tcW w:w="326" w:type="dxa"/>
            <w:tcBorders/>
            <w:shd w:fill="CCEEFF" w:val="clear"/>
            <w:vAlign w:val="center"/>
          </w:tcPr>
          <w:p>
            <w:pPr>
              <w:pStyle w:val="TableContents"/>
              <w:bidi w:val="0"/>
              <w:spacing w:before="0" w:after="1"/>
              <w:ind w:left="0" w:right="0" w:hanging="0"/>
              <w:jc w:val="both"/>
              <w:rPr/>
            </w:pPr>
            <w:r>
              <w:rPr/>
              <w:t>​</w:t>
            </w:r>
          </w:p>
        </w:tc>
        <w:tc>
          <w:tcPr>
            <w:tcW w:w="405"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32.30</w:t>
            </w:r>
          </w:p>
        </w:tc>
        <w:tc>
          <w:tcPr>
            <w:tcW w:w="326" w:type="dxa"/>
            <w:tcBorders/>
            <w:shd w:fill="CCEEFF" w:val="clear"/>
            <w:vAlign w:val="center"/>
          </w:tcPr>
          <w:p>
            <w:pPr>
              <w:pStyle w:val="TableContents"/>
              <w:bidi w:val="0"/>
              <w:spacing w:before="0" w:after="1"/>
              <w:ind w:left="0" w:right="0" w:hanging="0"/>
              <w:jc w:val="righ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455,000</w:t>
            </w:r>
          </w:p>
        </w:tc>
        <w:tc>
          <w:tcPr>
            <w:tcW w:w="326" w:type="dxa"/>
            <w:tcBorders/>
            <w:shd w:fill="CCEEFF" w:val="clear"/>
            <w:vAlign w:val="center"/>
          </w:tcPr>
          <w:p>
            <w:pPr>
              <w:pStyle w:val="TableContents"/>
              <w:bidi w:val="0"/>
              <w:spacing w:before="0" w:after="1"/>
              <w:ind w:left="0" w:right="0" w:hanging="0"/>
              <w:jc w:val="both"/>
              <w:rPr/>
            </w:pPr>
            <w:r>
              <w:rPr/>
              <w:t>​</w:t>
            </w:r>
          </w:p>
        </w:tc>
        <w:tc>
          <w:tcPr>
            <w:tcW w:w="15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288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Options vested and exercisable</w:t>
            </w:r>
          </w:p>
        </w:tc>
        <w:tc>
          <w:tcPr>
            <w:tcW w:w="326" w:type="dxa"/>
            <w:tcBorders/>
            <w:vAlign w:val="center"/>
          </w:tcPr>
          <w:p>
            <w:pPr>
              <w:pStyle w:val="TableContents"/>
              <w:bidi w:val="0"/>
              <w:spacing w:before="0" w:after="1"/>
              <w:ind w:left="0" w:right="0" w:hanging="0"/>
              <w:jc w:val="both"/>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687,689</w:t>
            </w:r>
          </w:p>
        </w:tc>
        <w:tc>
          <w:tcPr>
            <w:tcW w:w="326" w:type="dxa"/>
            <w:tcBorders/>
            <w:vAlign w:val="center"/>
          </w:tcPr>
          <w:p>
            <w:pPr>
              <w:pStyle w:val="TableContents"/>
              <w:bidi w:val="0"/>
              <w:spacing w:before="0" w:after="1"/>
              <w:ind w:left="0" w:right="0" w:hanging="0"/>
              <w:jc w:val="both"/>
              <w:rPr/>
            </w:pPr>
            <w:r>
              <w:rPr/>
              <w:t>​</w:t>
            </w:r>
          </w:p>
        </w:tc>
        <w:tc>
          <w:tcPr>
            <w:tcW w:w="40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50.53</w:t>
            </w:r>
          </w:p>
        </w:tc>
        <w:tc>
          <w:tcPr>
            <w:tcW w:w="326"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26,000</w:t>
            </w:r>
          </w:p>
        </w:tc>
        <w:tc>
          <w:tcPr>
            <w:tcW w:w="326" w:type="dxa"/>
            <w:tcBorders/>
            <w:vAlign w:val="center"/>
          </w:tcPr>
          <w:p>
            <w:pPr>
              <w:pStyle w:val="TableContents"/>
              <w:bidi w:val="0"/>
              <w:spacing w:before="0" w:after="1"/>
              <w:ind w:left="0" w:right="0" w:hanging="0"/>
              <w:jc w:val="both"/>
              <w:rPr/>
            </w:pPr>
            <w:r>
              <w:rPr/>
              <w:t>​</w:t>
            </w:r>
          </w:p>
        </w:tc>
        <w:tc>
          <w:tcPr>
            <w:tcW w:w="150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Black-Scholes option pricing model is used to estimate the fair value of stock options granted under the Company’s share-based compensation plans. The weighted average assumptions used in calculating the fair values of stock options that were granted during the six months ended June 30, 2023 was as follows: </w:t>
      </w:r>
    </w:p>
    <w:p>
      <w:pPr>
        <w:pStyle w:val="TextBody"/>
        <w:bidi w:val="0"/>
        <w:spacing w:before="0" w:after="0"/>
        <w:ind w:left="0" w:right="0" w:hanging="0"/>
        <w:jc w:val="both"/>
        <w:rPr/>
      </w:pPr>
      <w:r>
        <w:rPr/>
        <w:t>​</w:t>
      </w:r>
    </w:p>
    <w:tbl>
      <w:tblPr>
        <w:tblW w:w="5308" w:type="dxa"/>
        <w:jc w:val="left"/>
        <w:tblInd w:w="0" w:type="dxa"/>
        <w:tblLayout w:type="fixed"/>
        <w:tblCellMar>
          <w:top w:w="0" w:type="dxa"/>
          <w:left w:w="0" w:type="dxa"/>
          <w:bottom w:w="0" w:type="dxa"/>
          <w:right w:w="0" w:type="dxa"/>
        </w:tblCellMar>
      </w:tblPr>
      <w:tblGrid>
        <w:gridCol w:w="2626"/>
        <w:gridCol w:w="326"/>
        <w:gridCol w:w="635"/>
        <w:gridCol w:w="1405"/>
        <w:gridCol w:w="31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667510" cy="175260"/>
                      <wp:effectExtent l="0" t="0" r="0" b="0"/>
                      <wp:wrapNone/>
                      <wp:docPr id="127" name="Frame126"/>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8"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03225" cy="175260"/>
                      <wp:effectExtent l="0" t="0" r="0" b="0"/>
                      <wp:wrapNone/>
                      <wp:docPr id="129" name="Frame128"/>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892175" cy="175260"/>
                      <wp:effectExtent l="0" t="0" r="0" b="0"/>
                      <wp:wrapNone/>
                      <wp:docPr id="130" name="Frame129"/>
                      <a:graphic xmlns:a="http://schemas.openxmlformats.org/drawingml/2006/main">
                        <a:graphicData uri="http://schemas.microsoft.com/office/word/2010/wordprocessingShape">
                          <wps:wsp>
                            <wps:cNvSpPr txBox="1"/>
                            <wps:spPr>
                              <a:xfrm>
                                <a:off x="0" y="0"/>
                                <a:ext cx="89217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0660" cy="175260"/>
                      <wp:effectExtent l="0" t="0" r="0" b="0"/>
                      <wp:wrapNone/>
                      <wp:docPr id="131" name="Frame13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0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16" w:type="dxa"/>
            <w:tcBorders/>
            <w:vAlign w:val="center"/>
          </w:tcPr>
          <w:p>
            <w:pPr>
              <w:pStyle w:val="TableContents"/>
              <w:bidi w:val="0"/>
              <w:spacing w:before="0" w:after="1"/>
              <w:ind w:left="0" w:right="0" w:hanging="0"/>
              <w:jc w:val="both"/>
              <w:rPr/>
            </w:pPr>
            <w:r>
              <w:rPr/>
              <w:t>​</w:t>
            </w:r>
          </w:p>
        </w:tc>
      </w:tr>
      <w:tr>
        <w:trPr/>
        <w:tc>
          <w:tcPr>
            <w:tcW w:w="26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20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16" w:type="dxa"/>
            <w:tcBorders/>
            <w:vAlign w:val="center"/>
          </w:tcPr>
          <w:p>
            <w:pPr>
              <w:pStyle w:val="TableContents"/>
              <w:bidi w:val="0"/>
              <w:spacing w:before="0" w:after="1"/>
              <w:ind w:left="0" w:right="0" w:hanging="0"/>
              <w:jc w:val="both"/>
              <w:rPr/>
            </w:pPr>
            <w:r>
              <w:rPr/>
              <w:t>  </w:t>
            </w:r>
          </w:p>
        </w:tc>
      </w:tr>
      <w:tr>
        <w:trPr/>
        <w:tc>
          <w:tcPr>
            <w:tcW w:w="26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1"/>
              <w:ind w:left="0" w:right="0" w:hanging="0"/>
              <w:jc w:val="both"/>
              <w:rPr/>
            </w:pPr>
            <w:r>
              <w:rPr/>
              <w:t>​</w:t>
            </w:r>
          </w:p>
        </w:tc>
        <w:tc>
          <w:tcPr>
            <w:tcW w:w="63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4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316" w:type="dxa"/>
            <w:tcBorders/>
            <w:shd w:fill="CCEEFF" w:val="clear"/>
            <w:vAlign w:val="center"/>
          </w:tcPr>
          <w:p>
            <w:pPr>
              <w:pStyle w:val="TableContents"/>
              <w:bidi w:val="0"/>
              <w:spacing w:before="0" w:after="1"/>
              <w:ind w:left="0" w:right="0" w:hanging="0"/>
              <w:jc w:val="both"/>
              <w:rPr/>
            </w:pPr>
            <w:r>
              <w:rPr/>
              <w:t>​</w:t>
            </w:r>
          </w:p>
        </w:tc>
      </w:tr>
      <w:tr>
        <w:trPr/>
        <w:tc>
          <w:tcPr>
            <w:tcW w:w="26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Expected term (years)</w:t>
            </w:r>
          </w:p>
        </w:tc>
        <w:tc>
          <w:tcPr>
            <w:tcW w:w="326" w:type="dxa"/>
            <w:tcBorders/>
            <w:vAlign w:val="center"/>
          </w:tcPr>
          <w:p>
            <w:pPr>
              <w:pStyle w:val="TableContents"/>
              <w:bidi w:val="0"/>
              <w:spacing w:before="0" w:after="1"/>
              <w:ind w:left="0" w:right="0" w:hanging="0"/>
              <w:jc w:val="both"/>
              <w:rPr/>
            </w:pPr>
            <w:r>
              <w:rPr/>
              <w:t>​</w:t>
            </w:r>
          </w:p>
        </w:tc>
        <w:tc>
          <w:tcPr>
            <w:tcW w:w="635" w:type="dxa"/>
            <w:tcBorders/>
            <w:vAlign w:val="center"/>
          </w:tcPr>
          <w:p>
            <w:pPr>
              <w:pStyle w:val="TableContents"/>
              <w:bidi w:val="0"/>
              <w:spacing w:before="0" w:after="1"/>
              <w:ind w:left="0" w:right="0" w:hanging="0"/>
              <w:jc w:val="both"/>
              <w:rPr/>
            </w:pPr>
            <w:r>
              <w:rPr/>
              <w:t> </w:t>
            </w:r>
          </w:p>
        </w:tc>
        <w:tc>
          <w:tcPr>
            <w:tcW w:w="14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16" w:type="dxa"/>
            <w:tcBorders/>
            <w:vAlign w:val="center"/>
          </w:tcPr>
          <w:p>
            <w:pPr>
              <w:pStyle w:val="TableContents"/>
              <w:bidi w:val="0"/>
              <w:spacing w:before="0" w:after="1"/>
              <w:ind w:left="0" w:right="0" w:hanging="0"/>
              <w:jc w:val="both"/>
              <w:rPr/>
            </w:pPr>
            <w:r>
              <w:rPr/>
              <w:t>​</w:t>
            </w:r>
          </w:p>
        </w:tc>
      </w:tr>
      <w:tr>
        <w:trPr/>
        <w:tc>
          <w:tcPr>
            <w:tcW w:w="26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Expected stock price volatility</w:t>
            </w:r>
          </w:p>
        </w:tc>
        <w:tc>
          <w:tcPr>
            <w:tcW w:w="326" w:type="dxa"/>
            <w:tcBorders/>
            <w:shd w:fill="CCEEFF" w:val="clear"/>
            <w:vAlign w:val="center"/>
          </w:tcPr>
          <w:p>
            <w:pPr>
              <w:pStyle w:val="TableContents"/>
              <w:bidi w:val="0"/>
              <w:spacing w:before="0" w:after="1"/>
              <w:ind w:left="0" w:right="0" w:hanging="0"/>
              <w:jc w:val="both"/>
              <w:rPr/>
            </w:pPr>
            <w:r>
              <w:rPr/>
              <w:t>​</w:t>
            </w:r>
          </w:p>
        </w:tc>
        <w:tc>
          <w:tcPr>
            <w:tcW w:w="635" w:type="dxa"/>
            <w:tcBorders/>
            <w:shd w:fill="CCEEFF" w:val="clear"/>
            <w:vAlign w:val="center"/>
          </w:tcPr>
          <w:p>
            <w:pPr>
              <w:pStyle w:val="TableContents"/>
              <w:bidi w:val="0"/>
              <w:spacing w:before="0" w:after="1"/>
              <w:ind w:left="0" w:right="0" w:hanging="0"/>
              <w:jc w:val="both"/>
              <w:rPr/>
            </w:pPr>
            <w:r>
              <w:rPr/>
              <w:t> </w:t>
            </w:r>
          </w:p>
        </w:tc>
        <w:tc>
          <w:tcPr>
            <w:tcW w:w="14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6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Risk-free rate of interest</w:t>
            </w:r>
          </w:p>
        </w:tc>
        <w:tc>
          <w:tcPr>
            <w:tcW w:w="326" w:type="dxa"/>
            <w:tcBorders/>
            <w:vAlign w:val="center"/>
          </w:tcPr>
          <w:p>
            <w:pPr>
              <w:pStyle w:val="TableContents"/>
              <w:bidi w:val="0"/>
              <w:spacing w:before="0" w:after="1"/>
              <w:ind w:left="0" w:right="0" w:hanging="0"/>
              <w:jc w:val="both"/>
              <w:rPr/>
            </w:pPr>
            <w:r>
              <w:rPr/>
              <w:t>​</w:t>
            </w:r>
          </w:p>
        </w:tc>
        <w:tc>
          <w:tcPr>
            <w:tcW w:w="635" w:type="dxa"/>
            <w:tcBorders/>
            <w:vAlign w:val="center"/>
          </w:tcPr>
          <w:p>
            <w:pPr>
              <w:pStyle w:val="TableContents"/>
              <w:bidi w:val="0"/>
              <w:spacing w:before="0" w:after="1"/>
              <w:ind w:left="0" w:right="0" w:hanging="0"/>
              <w:jc w:val="both"/>
              <w:rPr/>
            </w:pPr>
            <w:r>
              <w:rPr/>
              <w:t> </w:t>
            </w:r>
          </w:p>
        </w:tc>
        <w:tc>
          <w:tcPr>
            <w:tcW w:w="14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6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Expected dividend rate</w:t>
            </w:r>
          </w:p>
        </w:tc>
        <w:tc>
          <w:tcPr>
            <w:tcW w:w="326" w:type="dxa"/>
            <w:tcBorders/>
            <w:shd w:fill="CCEEFF" w:val="clear"/>
            <w:vAlign w:val="center"/>
          </w:tcPr>
          <w:p>
            <w:pPr>
              <w:pStyle w:val="TableContents"/>
              <w:bidi w:val="0"/>
              <w:spacing w:before="0" w:after="1"/>
              <w:ind w:left="0" w:right="0" w:hanging="0"/>
              <w:jc w:val="both"/>
              <w:rPr/>
            </w:pPr>
            <w:r>
              <w:rPr/>
              <w:t>​</w:t>
            </w:r>
          </w:p>
        </w:tc>
        <w:tc>
          <w:tcPr>
            <w:tcW w:w="635" w:type="dxa"/>
            <w:tcBorders/>
            <w:shd w:fill="CCEEFF" w:val="clear"/>
            <w:vAlign w:val="center"/>
          </w:tcPr>
          <w:p>
            <w:pPr>
              <w:pStyle w:val="TableContents"/>
              <w:bidi w:val="0"/>
              <w:spacing w:before="0" w:after="1"/>
              <w:ind w:left="0" w:right="0" w:hanging="0"/>
              <w:jc w:val="both"/>
              <w:rPr/>
            </w:pPr>
            <w:r>
              <w:rPr/>
              <w:t> </w:t>
            </w:r>
          </w:p>
        </w:tc>
        <w:tc>
          <w:tcPr>
            <w:tcW w:w="14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stock-based compensation expenses recorded during the respective periods:</w:t>
      </w:r>
    </w:p>
    <w:p>
      <w:pPr>
        <w:pStyle w:val="TextBody"/>
        <w:bidi w:val="0"/>
        <w:spacing w:before="0" w:after="0"/>
        <w:ind w:left="0" w:right="0" w:hanging="0"/>
        <w:jc w:val="both"/>
        <w:rPr/>
      </w:pPr>
      <w:r>
        <w:rPr/>
        <w:t>​</w:t>
      </w:r>
    </w:p>
    <w:tbl>
      <w:tblPr>
        <w:tblW w:w="9818" w:type="dxa"/>
        <w:jc w:val="left"/>
        <w:tblInd w:w="0" w:type="dxa"/>
        <w:tblLayout w:type="fixed"/>
        <w:tblCellMar>
          <w:top w:w="0" w:type="dxa"/>
          <w:left w:w="0" w:type="dxa"/>
          <w:bottom w:w="0" w:type="dxa"/>
          <w:right w:w="0" w:type="dxa"/>
        </w:tblCellMar>
      </w:tblPr>
      <w:tblGrid>
        <w:gridCol w:w="3991"/>
        <w:gridCol w:w="326"/>
        <w:gridCol w:w="211"/>
        <w:gridCol w:w="781"/>
        <w:gridCol w:w="326"/>
        <w:gridCol w:w="211"/>
        <w:gridCol w:w="931"/>
        <w:gridCol w:w="326"/>
        <w:gridCol w:w="211"/>
        <w:gridCol w:w="931"/>
        <w:gridCol w:w="326"/>
        <w:gridCol w:w="211"/>
        <w:gridCol w:w="1036"/>
      </w:tblGrid>
      <w:tr>
        <w:trPr/>
        <w:tc>
          <w:tcPr>
            <w:tcW w:w="399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78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6" w:type="dxa"/>
            <w:tcBorders/>
            <w:vAlign w:val="center"/>
          </w:tcPr>
          <w:p>
            <w:pPr>
              <w:pStyle w:val="TableContents"/>
              <w:bidi w:val="0"/>
              <w:spacing w:before="0" w:after="1"/>
              <w:ind w:left="0" w:right="0" w:hanging="0"/>
              <w:jc w:val="both"/>
              <w:rPr/>
            </w:pPr>
            <w:r>
              <w:rPr/>
              <w:t>​</w:t>
            </w:r>
          </w:p>
        </w:tc>
      </w:tr>
      <w:tr>
        <w:trPr/>
        <w:tc>
          <w:tcPr>
            <w:tcW w:w="399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246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1"/>
              <w:ind w:left="0" w:right="0" w:hanging="0"/>
              <w:jc w:val="both"/>
              <w:rPr/>
            </w:pPr>
            <w:r>
              <w:rPr/>
              <w:t> </w:t>
            </w:r>
          </w:p>
        </w:tc>
        <w:tc>
          <w:tcPr>
            <w:tcW w:w="27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99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4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both"/>
              <w:rPr/>
            </w:pPr>
            <w:r>
              <w:rPr/>
              <w:t> </w:t>
            </w:r>
          </w:p>
        </w:tc>
        <w:tc>
          <w:tcPr>
            <w:tcW w:w="27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99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both"/>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 Compensation expenses:</w:t>
            </w:r>
          </w:p>
        </w:tc>
        <w:tc>
          <w:tcPr>
            <w:tcW w:w="326" w:type="dxa"/>
            <w:tcBorders/>
            <w:shd w:fill="CCEEFF" w:val="clear"/>
            <w:vAlign w:val="center"/>
          </w:tcPr>
          <w:p>
            <w:pPr>
              <w:pStyle w:val="TableContents"/>
              <w:bidi w:val="0"/>
              <w:spacing w:before="0" w:after="1"/>
              <w:ind w:left="0" w:right="0" w:hanging="0"/>
              <w:jc w:val="both"/>
              <w:rPr/>
            </w:pPr>
            <w:r>
              <w:rPr/>
              <w:t> </w:t>
            </w:r>
          </w:p>
        </w:tc>
        <w:tc>
          <w:tcPr>
            <w:tcW w:w="211" w:type="dxa"/>
            <w:tcBorders/>
            <w:shd w:fill="CCEEFF" w:val="clear"/>
            <w:vAlign w:val="center"/>
          </w:tcPr>
          <w:p>
            <w:pPr>
              <w:pStyle w:val="TableContents"/>
              <w:bidi w:val="0"/>
              <w:spacing w:before="0" w:after="1"/>
              <w:ind w:left="0" w:right="0" w:hanging="0"/>
              <w:jc w:val="both"/>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 </w:t>
            </w:r>
          </w:p>
        </w:tc>
        <w:tc>
          <w:tcPr>
            <w:tcW w:w="211"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 </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r>
      <w:tr>
        <w:trPr/>
        <w:tc>
          <w:tcPr>
            <w:tcW w:w="39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398,000</w:t>
            </w:r>
          </w:p>
        </w:tc>
      </w:tr>
      <w:tr>
        <w:trPr/>
        <w:tc>
          <w:tcPr>
            <w:tcW w:w="39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1,588,000</w:t>
            </w:r>
          </w:p>
        </w:tc>
      </w:tr>
      <w:tr>
        <w:trPr/>
        <w:tc>
          <w:tcPr>
            <w:tcW w:w="39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 compensation in continuing operations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1,986,000</w:t>
            </w:r>
          </w:p>
        </w:tc>
      </w:tr>
      <w:tr>
        <w:trPr/>
        <w:tc>
          <w:tcPr>
            <w:tcW w:w="39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 compensation in discontinued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1,146,000</w:t>
            </w:r>
          </w:p>
        </w:tc>
      </w:tr>
      <w:tr>
        <w:trPr/>
        <w:tc>
          <w:tcPr>
            <w:tcW w:w="39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stock compensation expenses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1,502,000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1,265,000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3,132,000</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and six months ended June 30, 2023, the Company recorded incremental stock-based compensation expense of approximately $0.2 million pertaining to the modification of stock options in connection with the termination of certain employees that were hired by Cell Ready. The modification provided for an acceleration of unvested options, resulting in a change in compensation expense that was immediately recognized. $0.2 million is reflected in loss from discontinued operations.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2023, the total stock-based compensation cost related to unvested awards not yet recognized was $1.0 million. The expected weighted average period compensation costs to be recognized was approximately 1.9 years. Future option grants will impact the compensation expense recognized.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12: GRANT INCOME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CPRIT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2021, the Company received notice of a Product Development Research award totaling approximately $13.1 million from CPRIT to support the Company’s Phase 2 clinical trial of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If restricted cash is received from grants in advance of incurring qualifying costs, it is recorded as deferred revenue and recognized as revenue when qualifying costs are incurred. There was no restricted cash recorded as of June 30, 2023 and as of December 31, 2022. If qualifying grant income is earned in advance of cash received from grants, it is recognized as revenue and recorded as other receivable.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recorded $0.7 million and $1.8 million of grant income related to the CPRIT grant as revenue for the three and six months ended June 30, 2023, respectively. At June 30, 2023, the Company recorded $1.7 million of grant income receivable, which represented grant income earned in advance of the next tranche of funds to be received from CPRIT. In July 2023, the Company received $2.1 million from CPRIT.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FDA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September 2022, the Company received notice from the FDA that it had awarded the Company a $2.0 million grant from the FDA’s Orphan Products Grant program to support the Company’s Phase 2 clinical trial of MT-401 for the treatment of post-transplant AML. The Company recorded $0.1 million and $0.2 million of grant income related to the FDA grant as revenue for the three and six months ended June 30, 2023, respectively.</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13: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the Company may be party to ordinary, routine litigation incidental to their business. The Company knows of no material, active or pending legal proceedings against the Company, nor is the Company involved as a plaintiff in any material proceeding or pending litigation. There are no proceedings in which any of the Company’s directors, officers or affiliates, or any registered or beneficial shareholder, is an adverse party or has a material interest adverse to the Company’s interest. The Company is not currently a party to any material legal proceedings, and the Company is not aware of any pending or threatened legal proceeding against it that it believes could have an adverse effect on its business, operating results or financial condition.</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827" w:name="Tc_9IGDrrhDsk6r2y3HaKwikA_7_11"/>
      <w:bookmarkStart w:id="828" w:name="Tc_twYUjIoOrkuuh_daKv0zMQ_7_8"/>
      <w:bookmarkStart w:id="829" w:name="Tc_RMpyv0FYT0Sp1_c1gT7qGg_7_5"/>
      <w:bookmarkStart w:id="830" w:name="Tc_6htXIlb6CUexzdwtsGK57Q_7_2"/>
      <w:bookmarkStart w:id="831" w:name="Tc_J_ZBsASHvkKmrwjH6tXwXQ_7_0"/>
      <w:bookmarkStart w:id="832" w:name="Tc_QlFEir0KbE-bL-hjThDsXg_6_0"/>
      <w:bookmarkStart w:id="833" w:name="Tc_RARBODJ6I0mmYw_dP9OTYA_5_9"/>
      <w:bookmarkStart w:id="834" w:name="Tc_1peQon2TZk6oVZVv-zOigQ_5_6"/>
      <w:bookmarkStart w:id="835" w:name="Tc_klE0d9fer0mZUTT4AN1EBg_5_3"/>
      <w:bookmarkStart w:id="836" w:name="Tc__Qo0kddVLU-uE5o-2Tortw_5_0"/>
      <w:bookmarkStart w:id="837" w:name="Tc_7jdDvwn3YEud88Z8uG9viA_4_11"/>
      <w:bookmarkStart w:id="838" w:name="Tc_kFpn9VhpeUOrngguclwETA_4_8"/>
      <w:bookmarkStart w:id="839" w:name="Tc_eeCv7BvVsUOtCO3WMamgsw_4_5"/>
      <w:bookmarkStart w:id="840" w:name="Tc_rxDEd_7fZ0CnzGNPuh06Xw_4_2"/>
      <w:bookmarkStart w:id="841" w:name="Tc_UclH4ZrFtkemG_RQhUa_Ig_4_0"/>
      <w:bookmarkStart w:id="842" w:name="Tc_H5H3vr3IuUGwm2Qu-r1zyg_3_11"/>
      <w:bookmarkStart w:id="843" w:name="Tc_h87_wm6IhEqh9uRoTJHsZg_3_8"/>
      <w:bookmarkStart w:id="844" w:name="Tc_tUx6-2KiAkW0TbzIvIS22A_3_5"/>
      <w:bookmarkStart w:id="845" w:name="Tc_wqDItxmCpEau_eoKO_iPPg_3_2"/>
      <w:bookmarkStart w:id="846" w:name="Tc_-iasr-Y6bUSvFXjHzW7Okg_2_8"/>
      <w:bookmarkStart w:id="847" w:name="Tc_kXnQxRXUE0KmPmQ0hddM8w_2_2"/>
      <w:bookmarkStart w:id="848" w:name="Tc_T_3QnQMNIE2fGd5WbyvYXQ_1_8"/>
      <w:bookmarkStart w:id="849" w:name="Tc_ReH20J9Vf02QZ85iAdvWDw_1_2"/>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r>
        <w:rPr>
          <w:rFonts w:ascii="Times New Roman;Times;serif" w:hAnsi="Times New Roman;Times;serif"/>
          <w:b/>
          <w:sz w:val="20"/>
        </w:rPr>
        <w:t>NOTE 14: RELATED PARTY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related party transaction expenses recorded for the three and six months ended June 30, 2023 and 2022, respectively.</w:t>
      </w:r>
    </w:p>
    <w:p>
      <w:pPr>
        <w:pStyle w:val="TextBody"/>
        <w:bidi w:val="0"/>
        <w:spacing w:before="0" w:after="0"/>
        <w:ind w:left="0" w:right="0" w:hanging="0"/>
        <w:jc w:val="both"/>
        <w:rPr/>
      </w:pPr>
      <w:r>
        <w:rPr/>
        <w:t>​</w:t>
      </w:r>
    </w:p>
    <w:tbl>
      <w:tblPr>
        <w:tblW w:w="8900" w:type="dxa"/>
        <w:jc w:val="left"/>
        <w:tblInd w:w="0" w:type="dxa"/>
        <w:tblLayout w:type="fixed"/>
        <w:tblCellMar>
          <w:top w:w="0" w:type="dxa"/>
          <w:left w:w="0" w:type="dxa"/>
          <w:bottom w:w="0" w:type="dxa"/>
          <w:right w:w="0" w:type="dxa"/>
        </w:tblCellMar>
      </w:tblPr>
      <w:tblGrid>
        <w:gridCol w:w="3451"/>
        <w:gridCol w:w="326"/>
        <w:gridCol w:w="213"/>
        <w:gridCol w:w="685"/>
        <w:gridCol w:w="330"/>
        <w:gridCol w:w="213"/>
        <w:gridCol w:w="791"/>
        <w:gridCol w:w="326"/>
        <w:gridCol w:w="211"/>
        <w:gridCol w:w="781"/>
        <w:gridCol w:w="326"/>
        <w:gridCol w:w="211"/>
        <w:gridCol w:w="1036"/>
      </w:tblGrid>
      <w:tr>
        <w:trPr/>
        <w:tc>
          <w:tcPr>
            <w:tcW w:w="34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3" w:type="dxa"/>
            <w:tcBorders/>
            <w:vAlign w:val="center"/>
          </w:tcPr>
          <w:p>
            <w:pPr>
              <w:pStyle w:val="TableContents"/>
              <w:bidi w:val="0"/>
              <w:spacing w:before="0" w:after="1"/>
              <w:ind w:left="0" w:right="0" w:hanging="0"/>
              <w:jc w:val="both"/>
              <w:rPr/>
            </w:pPr>
            <w:r>
              <w:rPr/>
              <w:t>​</w:t>
            </w:r>
          </w:p>
        </w:tc>
        <w:tc>
          <w:tcPr>
            <w:tcW w:w="685" w:type="dxa"/>
            <w:tcBorders/>
            <w:vAlign w:val="center"/>
          </w:tcPr>
          <w:p>
            <w:pPr>
              <w:pStyle w:val="TableContents"/>
              <w:bidi w:val="0"/>
              <w:spacing w:before="0" w:after="1"/>
              <w:ind w:left="0" w:right="0" w:hanging="0"/>
              <w:jc w:val="both"/>
              <w:rPr/>
            </w:pPr>
            <w:r>
              <w:rPr/>
              <w:t>​</w:t>
            </w:r>
          </w:p>
        </w:tc>
        <w:tc>
          <w:tcPr>
            <w:tcW w:w="330" w:type="dxa"/>
            <w:tcBorders/>
            <w:vAlign w:val="center"/>
          </w:tcPr>
          <w:p>
            <w:pPr>
              <w:pStyle w:val="TableContents"/>
              <w:bidi w:val="0"/>
              <w:spacing w:before="0" w:after="1"/>
              <w:ind w:left="0" w:right="0" w:hanging="0"/>
              <w:jc w:val="both"/>
              <w:rPr/>
            </w:pPr>
            <w:r>
              <w:rPr/>
              <w:t>​</w:t>
            </w:r>
          </w:p>
        </w:tc>
        <w:tc>
          <w:tcPr>
            <w:tcW w:w="213" w:type="dxa"/>
            <w:tcBorders/>
            <w:vAlign w:val="center"/>
          </w:tcPr>
          <w:p>
            <w:pPr>
              <w:pStyle w:val="TableContents"/>
              <w:bidi w:val="0"/>
              <w:spacing w:before="0" w:after="1"/>
              <w:ind w:left="0" w:right="0" w:hanging="0"/>
              <w:jc w:val="both"/>
              <w:rPr/>
            </w:pPr>
            <w:r>
              <w:rPr/>
              <w:t>​</w:t>
            </w:r>
          </w:p>
        </w:tc>
        <w:tc>
          <w:tcPr>
            <w:tcW w:w="79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78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6" w:type="dxa"/>
            <w:tcBorders/>
            <w:vAlign w:val="center"/>
          </w:tcPr>
          <w:p>
            <w:pPr>
              <w:pStyle w:val="TableContents"/>
              <w:bidi w:val="0"/>
              <w:spacing w:before="0" w:after="1"/>
              <w:ind w:left="0" w:right="0" w:hanging="0"/>
              <w:jc w:val="both"/>
              <w:rPr/>
            </w:pPr>
            <w:r>
              <w:rPr/>
              <w:t>​</w:t>
            </w:r>
          </w:p>
        </w:tc>
      </w:tr>
      <w:tr>
        <w:trPr/>
        <w:tc>
          <w:tcPr>
            <w:tcW w:w="34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23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1"/>
              <w:ind w:left="0" w:right="0" w:hanging="0"/>
              <w:jc w:val="both"/>
              <w:rPr/>
            </w:pPr>
            <w:r>
              <w:rPr/>
              <w:t> </w:t>
            </w:r>
          </w:p>
        </w:tc>
        <w:tc>
          <w:tcPr>
            <w:tcW w:w="256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4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23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both"/>
              <w:rPr/>
            </w:pPr>
            <w:r>
              <w:rPr/>
              <w:t> </w:t>
            </w:r>
          </w:p>
        </w:tc>
        <w:tc>
          <w:tcPr>
            <w:tcW w:w="25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8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0" w:type="dxa"/>
            <w:tcBorders/>
            <w:vAlign w:val="center"/>
          </w:tcPr>
          <w:p>
            <w:pPr>
              <w:pStyle w:val="TableContents"/>
              <w:bidi w:val="0"/>
              <w:spacing w:before="0" w:after="1"/>
              <w:ind w:left="0" w:right="0" w:hanging="0"/>
              <w:jc w:val="both"/>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both"/>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both"/>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Baylor College of Medicine</w:t>
            </w:r>
          </w:p>
        </w:tc>
        <w:tc>
          <w:tcPr>
            <w:tcW w:w="326" w:type="dxa"/>
            <w:tcBorders/>
            <w:shd w:fill="CCEEFF" w:val="clear"/>
            <w:vAlign w:val="center"/>
          </w:tcPr>
          <w:p>
            <w:pPr>
              <w:pStyle w:val="TableContents"/>
              <w:bidi w:val="0"/>
              <w:spacing w:before="0" w:after="1"/>
              <w:ind w:left="0" w:right="0" w:hanging="0"/>
              <w:jc w:val="both"/>
              <w:rPr/>
            </w:pPr>
            <w:r>
              <w:rPr/>
              <w:t>​</w:t>
            </w:r>
          </w:p>
        </w:tc>
        <w:tc>
          <w:tcPr>
            <w:tcW w:w="213"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c>
          <w:tcPr>
            <w:tcW w:w="330" w:type="dxa"/>
            <w:tcBorders/>
            <w:shd w:fill="CCEEFF" w:val="clear"/>
            <w:vAlign w:val="center"/>
          </w:tcPr>
          <w:p>
            <w:pPr>
              <w:pStyle w:val="TableContents"/>
              <w:bidi w:val="0"/>
              <w:spacing w:before="0" w:after="1"/>
              <w:ind w:left="0" w:right="0" w:hanging="0"/>
              <w:jc w:val="both"/>
              <w:rPr/>
            </w:pPr>
            <w:r>
              <w:rPr/>
              <w:t>​</w:t>
            </w:r>
          </w:p>
        </w:tc>
        <w:tc>
          <w:tcPr>
            <w:tcW w:w="213"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1,142,000</w:t>
            </w:r>
          </w:p>
        </w:tc>
      </w:tr>
      <w:tr>
        <w:trPr/>
        <w:tc>
          <w:tcPr>
            <w:tcW w:w="34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Bio-Techne Corporation</w:t>
            </w:r>
          </w:p>
        </w:tc>
        <w:tc>
          <w:tcPr>
            <w:tcW w:w="326" w:type="dxa"/>
            <w:tcBorders/>
            <w:vAlign w:val="center"/>
          </w:tcPr>
          <w:p>
            <w:pPr>
              <w:pStyle w:val="TableContents"/>
              <w:bidi w:val="0"/>
              <w:spacing w:before="0" w:after="1"/>
              <w:ind w:left="0" w:right="0" w:hanging="0"/>
              <w:jc w:val="both"/>
              <w:rPr/>
            </w:pPr>
            <w:r>
              <w:rPr/>
              <w:t>​</w:t>
            </w:r>
          </w:p>
        </w:tc>
        <w:tc>
          <w:tcPr>
            <w:tcW w:w="213" w:type="dxa"/>
            <w:tcBorders/>
            <w:vAlign w:val="center"/>
          </w:tcPr>
          <w:p>
            <w:pPr>
              <w:pStyle w:val="TableContents"/>
              <w:bidi w:val="0"/>
              <w:spacing w:before="0" w:after="1"/>
              <w:ind w:left="0" w:right="0" w:hanging="0"/>
              <w:jc w:val="both"/>
              <w:rPr/>
            </w:pPr>
            <w:r>
              <w:rPr/>
              <w:t>​</w:t>
            </w:r>
          </w:p>
        </w:tc>
        <w:tc>
          <w:tcPr>
            <w:tcW w:w="685" w:type="dxa"/>
            <w:tcBorders/>
            <w:vAlign w:val="center"/>
          </w:tcPr>
          <w:p>
            <w:pPr>
              <w:pStyle w:val="TableContents"/>
              <w:bidi w:val="0"/>
              <w:spacing w:before="0" w:after="1"/>
              <w:ind w:left="0" w:right="0" w:hanging="0"/>
              <w:jc w:val="right"/>
              <w:rPr/>
            </w:pPr>
            <w:r>
              <w:rPr/>
              <w:t>—</w:t>
            </w:r>
          </w:p>
        </w:tc>
        <w:tc>
          <w:tcPr>
            <w:tcW w:w="330" w:type="dxa"/>
            <w:tcBorders/>
            <w:vAlign w:val="center"/>
          </w:tcPr>
          <w:p>
            <w:pPr>
              <w:pStyle w:val="TableContents"/>
              <w:bidi w:val="0"/>
              <w:spacing w:before="0" w:after="1"/>
              <w:ind w:left="0" w:right="0" w:hanging="0"/>
              <w:jc w:val="both"/>
              <w:rPr/>
            </w:pPr>
            <w:r>
              <w:rPr/>
              <w:t>​</w:t>
            </w:r>
          </w:p>
        </w:tc>
        <w:tc>
          <w:tcPr>
            <w:tcW w:w="213" w:type="dxa"/>
            <w:tcBorders/>
            <w:vAlign w:val="center"/>
          </w:tcPr>
          <w:p>
            <w:pPr>
              <w:pStyle w:val="TableContents"/>
              <w:bidi w:val="0"/>
              <w:spacing w:before="0" w:after="1"/>
              <w:ind w:left="0" w:right="0" w:hanging="0"/>
              <w:jc w:val="both"/>
              <w:rPr/>
            </w:pPr>
            <w:r>
              <w:rPr/>
              <w:t>​</w:t>
            </w:r>
          </w:p>
        </w:tc>
        <w:tc>
          <w:tcPr>
            <w:tcW w:w="7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101,000</w:t>
            </w:r>
          </w:p>
        </w:tc>
      </w:tr>
      <w:tr>
        <w:trPr/>
        <w:tc>
          <w:tcPr>
            <w:tcW w:w="34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Wilson Wolf Manufacturing Corporation</w:t>
            </w:r>
          </w:p>
        </w:tc>
        <w:tc>
          <w:tcPr>
            <w:tcW w:w="326" w:type="dxa"/>
            <w:tcBorders/>
            <w:shd w:fill="CCEEFF" w:val="clear"/>
            <w:vAlign w:val="center"/>
          </w:tcPr>
          <w:p>
            <w:pPr>
              <w:pStyle w:val="TableContents"/>
              <w:bidi w:val="0"/>
              <w:spacing w:before="0" w:after="1"/>
              <w:ind w:left="0" w:right="0" w:hanging="0"/>
              <w:jc w:val="both"/>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6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73,000</w:t>
            </w:r>
          </w:p>
        </w:tc>
        <w:tc>
          <w:tcPr>
            <w:tcW w:w="330" w:type="dxa"/>
            <w:tcBorders/>
            <w:shd w:fill="CCEEFF" w:val="clear"/>
            <w:vAlign w:val="center"/>
          </w:tcPr>
          <w:p>
            <w:pPr>
              <w:pStyle w:val="TableContents"/>
              <w:bidi w:val="0"/>
              <w:spacing w:before="0" w:after="1"/>
              <w:ind w:left="0" w:right="0" w:hanging="0"/>
              <w:jc w:val="both"/>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101,000</w:t>
            </w:r>
          </w:p>
        </w:tc>
      </w:tr>
      <w:tr>
        <w:trPr/>
        <w:tc>
          <w:tcPr>
            <w:tcW w:w="34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Research and development</w:t>
            </w:r>
          </w:p>
        </w:tc>
        <w:tc>
          <w:tcPr>
            <w:tcW w:w="326" w:type="dxa"/>
            <w:tcBorders/>
            <w:vAlign w:val="center"/>
          </w:tcPr>
          <w:p>
            <w:pPr>
              <w:pStyle w:val="TableContents"/>
              <w:bidi w:val="0"/>
              <w:spacing w:before="0" w:after="1"/>
              <w:ind w:left="0" w:right="0" w:hanging="0"/>
              <w:jc w:val="both"/>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75,000</w:t>
            </w:r>
          </w:p>
        </w:tc>
        <w:tc>
          <w:tcPr>
            <w:tcW w:w="330" w:type="dxa"/>
            <w:tcBorders/>
            <w:vAlign w:val="center"/>
          </w:tcPr>
          <w:p>
            <w:pPr>
              <w:pStyle w:val="TableContents"/>
              <w:bidi w:val="0"/>
              <w:spacing w:before="0" w:after="1"/>
              <w:ind w:left="0" w:right="0" w:hanging="0"/>
              <w:jc w:val="both"/>
              <w:rPr/>
            </w:pPr>
            <w:r>
              <w:rPr/>
              <w:t> </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290,000</w:t>
            </w:r>
          </w:p>
        </w:tc>
        <w:tc>
          <w:tcPr>
            <w:tcW w:w="326" w:type="dxa"/>
            <w:tcBorders/>
            <w:vAlign w:val="center"/>
          </w:tcPr>
          <w:p>
            <w:pPr>
              <w:pStyle w:val="TableContents"/>
              <w:bidi w:val="0"/>
              <w:spacing w:before="0" w:after="1"/>
              <w:ind w:left="0" w:right="0" w:hanging="0"/>
              <w:jc w:val="both"/>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1,344,000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related party transactions are included in accounts payable and accrued liabilities as of June 30,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Agreements with The Baylor College of Medicine (“BCM”).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November 2018, January 2020 and February 2020, the Company entered in Sponsored Research Agreements with BCM, which provided for the conduct of research for the Company by credentialed personnel at BCM’s Center for Cell and Gene Therapy.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September 2019, May 2020 and July 2021, the Company entered into Clinical Supply Agreements with BCM, which provided for BCM to provide to the Company multi tumor antigen specific products.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October 2019, the Company entered in a Workforce Grant Agreement with BCM, which provided for BCM to provide to the Company manpower costs of projects for manufacturing, quality control testing and validation run activities.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2020, the Company entered in a Clinical Trial Agreement with BCM, which provided for BCM to provide to the Company investigator-initiated research studies.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also entered into a Clinical Site Agreement with BCM, which provided for BCM to conduct clinical trials for the Company and is a part of continuing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Purchases from Bio-Techne Corporation.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currently utilizing Bio-Techne Corporation and two of its brands for the purchases of reagents, primarily cytokines. Mr. David Eansor is a member of the Company’s board of directors and was serving as the President of the Protein Sciences Segment of Bio-Techne Corporation. Mr. Eansor resigned from Bio-Techne Corporation on March 1, 2022, and as such, two months of transactions in 2022 are included in the table above.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Purchases from Wilson Wolf.</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currently utilizing Wilson Wolf for the purchases of cell culture devices called G-Rexes. Mr. John Wilson is a member of the Company’s board of directors and is serving as the CEO of Wilson Wolf Manufacturing Corporation.</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850" w:name="Item2ManagementsDiscussionandAnalysisofF"/>
      <w:bookmarkStart w:id="851" w:name="_2f5bc3eb_dd4b_4696_8a39_6bcd5d113e0f"/>
      <w:bookmarkEnd w:id="850"/>
      <w:bookmarkEnd w:id="851"/>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 Such risks and uncertainties may be amplified by the COVID-19 pandemic and its potential impact on our business and the global economy.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should be read in conjunction with our unaudited condensed consolidated interim financial statements and related notes included in this Quarterly Report on Form 10-Q.</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are a clinical-stage immuno-oncology company specializing in the development and commercialization of novel T cell-based immunotherapies for the treatment of hematological malignancies and solid tumor indications. We developed our lead product candidates from our multiTAA-specific T cell technology, which is based on the manufacture of non-engineered, tumor-specific T cells that recognize multiple tumor-associated antigens, or TAAs. multiTAA-specific T cells are able to recognize multiple tumor targets to produce broad spectrum anti-tumor activity. When infused into a cancer patient, the multiTAA-specific T cells are designed to kill cancer cells expressing the TAA targets and potentially recruit the patient’s immune system to participate in the cancer killing process.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licensed the underlying technology for multiTAA-specific T cell therapy from Baylor College of Medicine, or BCM, in March 2018. BCM had utilized the therapy in seven exploratory clinical trials. In these studies, BCM treated over 180 patients suffering from a variety of cancers including lymphoma, multiple myeloma, acute myeloid leukemia, acute lymphoblastic leukemia and pancreatic cancer. In those studies, BCM saw evidence of clinical benefit, expansion of infused cells, epitope spreading, and decreased toxicity compared to other cellular therapies.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are advancing three product candidates as part of our multiTAA-specific T cell program for:</w:t>
      </w:r>
    </w:p>
    <w:tbl>
      <w:tblPr>
        <w:tblW w:w="5571" w:type="dxa"/>
        <w:jc w:val="left"/>
        <w:tblInd w:w="0" w:type="dxa"/>
        <w:tblLayout w:type="fixed"/>
        <w:tblCellMar>
          <w:top w:w="28" w:type="dxa"/>
          <w:left w:w="28" w:type="dxa"/>
          <w:bottom w:w="28" w:type="dxa"/>
          <w:right w:w="28" w:type="dxa"/>
        </w:tblCellMar>
      </w:tblPr>
      <w:tblGrid>
        <w:gridCol w:w="124"/>
        <w:gridCol w:w="25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autologous treatment of lymphoma, and selected solid tumors </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allogeneic T cells for the treatment of acute myeloid leukemia, or AML</w:t>
            </w:r>
          </w:p>
        </w:tc>
      </w:tr>
    </w:tbl>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off-the-shelf products in various indications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current clinical development programs are:</w:t>
      </w:r>
    </w:p>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MT-401 for the treatment of post-transplant AML</w:t>
            </w:r>
          </w:p>
        </w:tc>
      </w:tr>
    </w:tbl>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MT-401-OTS for the treatment of AML</w:t>
            </w:r>
          </w:p>
        </w:tc>
      </w:tr>
    </w:tbl>
    <w:tbl>
      <w:tblPr>
        <w:tblW w:w="3711" w:type="dxa"/>
        <w:jc w:val="left"/>
        <w:tblInd w:w="0" w:type="dxa"/>
        <w:tblLayout w:type="fixed"/>
        <w:tblCellMar>
          <w:top w:w="28" w:type="dxa"/>
          <w:left w:w="28" w:type="dxa"/>
          <w:bottom w:w="28" w:type="dxa"/>
          <w:right w:w="28" w:type="dxa"/>
        </w:tblCellMar>
      </w:tblPr>
      <w:tblGrid>
        <w:gridCol w:w="124"/>
        <w:gridCol w:w="25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MT-601 for the treatment of lymphoma</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MT-601 for the treatment of pancreatic cancer</w:t>
            </w:r>
            <w:r>
              <w:rPr>
                <w:rFonts w:ascii="Times New Roman;Times;serif" w:hAnsi="Times New Roman;Times;serif"/>
                <w:b w:val="false"/>
                <w:i w:val="false"/>
                <w:caps w:val="false"/>
                <w:smallCaps w:val="false"/>
                <w:sz w:val="15"/>
              </w:rPr>
              <w:t>1</w:t>
            </w:r>
          </w:p>
        </w:tc>
      </w:tr>
    </w:tbl>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Clinical advancement will be pending additional financial support from non-dilutive grant activities.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currently undertaking a strategic review of our clinical development programs, including with respect to clinical trial initiation and readout guidance, and look forward to providing an update once completed.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the simplicity of our manufacturing process allows additional modifications to expand multiTAA-specific T cell recognition of cancer targets. In May 2023, we entered into a purchase agreement with Cell Ready, LLC with respect to our manufacturing facility and certain related assets. See “—Recent Developments.”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Pipeline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clinical-stage pipeline, including clinical trials being conducted by BCM and other partners, is set forth below:</w:t>
      </w:r>
    </w:p>
    <w:p>
      <w:pPr>
        <w:pStyle w:val="TextBody"/>
        <w:bidi w:val="0"/>
        <w:spacing w:before="0" w:after="0"/>
        <w:ind w:left="0" w:right="0" w:hanging="0"/>
        <w:jc w:val="both"/>
        <w:rPr/>
      </w:pPr>
      <w:r>
        <w:rPr/>
        <w:t>​</w:t>
      </w:r>
    </w:p>
    <w:p>
      <w:pPr>
        <w:pStyle w:val="TextBody"/>
        <w:bidi w:val="0"/>
        <w:spacing w:before="0" w:after="240"/>
        <w:ind w:left="0" w:right="0" w:hanging="0"/>
        <w:jc w:val="center"/>
        <w:rPr/>
      </w:pPr>
      <w:r>
        <w:rPr/>
        <w:drawing>
          <wp:inline distT="0" distB="0" distL="0" distR="0">
            <wp:extent cx="6857365" cy="2607945"/>
            <wp:effectExtent l="0" t="0" r="0" b="0"/>
            <wp:docPr id="13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 descr=""/>
                    <pic:cNvPicPr>
                      <a:picLocks noChangeAspect="1" noChangeArrowheads="1"/>
                    </pic:cNvPicPr>
                  </pic:nvPicPr>
                  <pic:blipFill>
                    <a:blip r:embed="rId3"/>
                    <a:stretch>
                      <a:fillRect/>
                    </a:stretch>
                  </pic:blipFill>
                  <pic:spPr bwMode="auto">
                    <a:xfrm>
                      <a:off x="0" y="0"/>
                      <a:ext cx="6857365" cy="2607945"/>
                    </a:xfrm>
                    <a:prstGeom prst="rect">
                      <a:avLst/>
                    </a:prstGeom>
                  </pic:spPr>
                </pic:pic>
              </a:graphicData>
            </a:graphic>
          </wp:inline>
        </w:drawing>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26, 2023, we completed the previously announced transaction with Cell Ready, LLC, or Cell Ready, pursuant to a Purchase Agreement, or the Cell Ready Purchase Agreement, dated May 1, 2023, by and between us and Cell Ready. Mr. John Wilson is a member of our board of directors and is serving as the CEO of Cell Ready, therefore Cell Ready is a related party. Pursuant to the Cell Ready Purchase Agreement, effective as of the Closing Date, we (i) assigned to Cell Ready the leases for our two manufacturing facilities in Houston, Texas, or the Manufacturing Facilities, (ii) sold to Cell Ready all of the equipment and leasehold improvements at the Manufacturing Facilities and (iii) assigned to Cell Ready our rights, title and interest in our Master Services Agreement for Product Supply, or the MSA, dated April 7, 2023, by and between us, Cell Ready and Indapta Therapeutics, Inc., or Indapta, as well as our rights, title and interest in any contracts related to the equipment and Manufacturing Facilities (collectively referred to as the “Purchased Assets”).  Following the Closing Date, we and Cell Ready have agreed to enter into a long-term contract with pursuant to which Cell Ready will perform a wide variety of services for us, including research and development, manufacturing, and regulatory activity in support of our clinical trials; however, the parties have not yet executed such agreement.  Cell Ready acquired the Purchased Assets for total consideration of $19.0 million. In connection with the purchase of the Manufacturing Facilities, Cell Ready also extended offers of employment to approximately 50 of our former employees in our manufacturing, development, quality and regulatory affairs functions.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we announced that we had received a $2.0 million grant from the National Institutes of Health Small Business Innovation Research program to support the development and investigation of MT-401 for the treatment of AML patients following standard-of-care therapy with hypomethylating agents.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Organizational Restructuring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and June 2023, we implemented changes to our organizational structure as part of an operational cost reduction plan and reorganization plan due to the transaction with Cell Ready.  In connection with these changes, we reduced headcount, including the separation of our former Chief Executive Officer, Peter Hoang, and our former Chief Accounting Officer, Michael Loiacono. During the second quarter of 2023, we recorded $0.9 million of severance and termination-related costs. The payment of these costs were completed in July of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May 1, 2023, our board of directors appointed Dr. Vera as our Chief Executive Officer.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June 30, 2023, our board of directors appointed Eliot M. Lurier as our Interim Chief Financial Officer. Mr. Lurier provides consulting services to us pursuant to a consulting agreement between us and Danforth Advisors, LLC and receives no compensation directly from us.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Reverse Stock Split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26, 2023, we effected the Reverse Stock Split and a corresponding reduction in the total number of authorized shares of its common stock from 300,000,000 to 30,000,000. The Reverse Stock Split, which was approved by stockholders at an annual stockholder meeting on May 24, 2022, was consummated pursuant to a Certificate of Amendment filed with the Secretary of State of Delaware on January 26, 2023. The Reverse Stock Split was effective on January 26, 2023. All historical share and per share amounts reflected in this report have been adjusted to reflect the Reverse Stock Split.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this discussion of our results of operations and financial condition, amounts in financial tables, other than per-share amounts, have been rounded to the nearest thousand.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Comparison of the Three Months Ended June 30, 2023 and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results of our continuing operations for the three months ended June 30, 2023 and 2022:</w:t>
      </w:r>
    </w:p>
    <w:tbl>
      <w:tblPr>
        <w:tblW w:w="8633" w:type="dxa"/>
        <w:jc w:val="left"/>
        <w:tblInd w:w="0" w:type="dxa"/>
        <w:tblLayout w:type="fixed"/>
        <w:tblCellMar>
          <w:top w:w="0" w:type="dxa"/>
          <w:left w:w="0" w:type="dxa"/>
          <w:bottom w:w="0" w:type="dxa"/>
          <w:right w:w="0" w:type="dxa"/>
        </w:tblCellMar>
      </w:tblPr>
      <w:tblGrid>
        <w:gridCol w:w="2761"/>
        <w:gridCol w:w="326"/>
        <w:gridCol w:w="211"/>
        <w:gridCol w:w="1051"/>
        <w:gridCol w:w="326"/>
        <w:gridCol w:w="211"/>
        <w:gridCol w:w="1051"/>
        <w:gridCol w:w="326"/>
        <w:gridCol w:w="211"/>
        <w:gridCol w:w="1051"/>
        <w:gridCol w:w="326"/>
        <w:gridCol w:w="436"/>
        <w:gridCol w:w="34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753235" cy="175260"/>
                      <wp:effectExtent l="0" t="0" r="0" b="0"/>
                      <wp:wrapNone/>
                      <wp:docPr id="133" name="Frame131"/>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67385" cy="175260"/>
                      <wp:effectExtent l="0" t="0" r="0" b="0"/>
                      <wp:wrapNone/>
                      <wp:docPr id="136" name="Frame13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67385" cy="175260"/>
                      <wp:effectExtent l="0" t="0" r="0" b="0"/>
                      <wp:wrapNone/>
                      <wp:docPr id="139" name="Frame13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67385" cy="175260"/>
                      <wp:effectExtent l="0" t="0" r="0" b="0"/>
                      <wp:wrapNone/>
                      <wp:docPr id="142" name="Frame14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76860" cy="175260"/>
                      <wp:effectExtent l="0" t="0" r="0" b="0"/>
                      <wp:wrapNone/>
                      <wp:docPr id="144" name="Frame14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7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8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r>
      <w:tr>
        <w:trPr/>
        <w:tc>
          <w:tcPr>
            <w:tcW w:w="27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8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 </w:t>
            </w:r>
          </w:p>
        </w:tc>
      </w:tr>
      <w:tr>
        <w:trPr/>
        <w:tc>
          <w:tcPr>
            <w:tcW w:w="27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both"/>
              <w:rPr/>
            </w:pPr>
            <w:r>
              <w:rPr/>
              <w:t>    </w:t>
            </w:r>
          </w:p>
        </w:tc>
        <w:tc>
          <w:tcPr>
            <w:tcW w:w="20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both"/>
              <w:rPr/>
            </w:pPr>
            <w:r>
              <w:rPr/>
              <w:t> </w:t>
            </w:r>
          </w:p>
        </w:tc>
      </w:tr>
      <w:tr>
        <w:trPr/>
        <w:tc>
          <w:tcPr>
            <w:tcW w:w="276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both"/>
              <w:rPr/>
            </w:pPr>
            <w:r>
              <w:rPr/>
              <w:t>​</w:t>
            </w:r>
          </w:p>
        </w:tc>
        <w:tc>
          <w:tcPr>
            <w:tcW w:w="4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both"/>
              <w:rPr/>
            </w:pPr>
            <w:r>
              <w:rPr/>
              <w:t>​</w:t>
            </w:r>
          </w:p>
        </w:tc>
      </w:tr>
      <w:tr>
        <w:trPr/>
        <w:tc>
          <w:tcPr>
            <w:tcW w:w="27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(28,000)</w:t>
            </w:r>
          </w:p>
        </w:tc>
        <w:tc>
          <w:tcPr>
            <w:tcW w:w="326" w:type="dxa"/>
            <w:tcBorders/>
            <w:vAlign w:val="center"/>
          </w:tcPr>
          <w:p>
            <w:pPr>
              <w:pStyle w:val="TableContents"/>
              <w:bidi w:val="0"/>
              <w:spacing w:before="0" w:after="0"/>
              <w:ind w:left="0" w:right="0" w:hanging="0"/>
              <w:jc w:val="both"/>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both"/>
              <w:rPr/>
            </w:pPr>
            <w:r>
              <w:rPr/>
              <w:t>​</w:t>
            </w:r>
          </w:p>
        </w:tc>
      </w:tr>
      <w:tr>
        <w:trPr/>
        <w:tc>
          <w:tcPr>
            <w:tcW w:w="27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2,378,000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2,924,000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3,135,000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(616,000)</w:t>
            </w:r>
          </w:p>
        </w:tc>
        <w:tc>
          <w:tcPr>
            <w:tcW w:w="326" w:type="dxa"/>
            <w:tcBorders/>
            <w:vAlign w:val="center"/>
          </w:tcPr>
          <w:p>
            <w:pPr>
              <w:pStyle w:val="TableContents"/>
              <w:bidi w:val="0"/>
              <w:spacing w:before="0" w:after="0"/>
              <w:ind w:left="0" w:right="0" w:hanging="0"/>
              <w:jc w:val="both"/>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4,897,000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6,059,000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(4,134,000)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(5,268,000)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1,134,000</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income (expenses):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r>
      <w:tr>
        <w:trPr/>
        <w:tc>
          <w:tcPr>
            <w:tcW w:w="27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Arbitration settlement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continuing operations</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(4,099,000)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(5,232,000)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1,133,000</w:t>
            </w:r>
          </w:p>
        </w:tc>
        <w:tc>
          <w:tcPr>
            <w:tcW w:w="326" w:type="dxa"/>
            <w:tcBorders/>
            <w:vAlign w:val="center"/>
          </w:tcPr>
          <w:p>
            <w:pPr>
              <w:pStyle w:val="TableContents"/>
              <w:bidi w:val="0"/>
              <w:spacing w:before="0" w:after="0"/>
              <w:ind w:left="0" w:right="0" w:hanging="0"/>
              <w:jc w:val="both"/>
              <w:rPr/>
            </w:pPr>
            <w:r>
              <w:rPr/>
              <w:t> </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w:t>
            </w:r>
          </w:p>
        </w:tc>
        <w:tc>
          <w:tcPr>
            <w:tcW w:w="34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Revenue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did not generate any revenue during the three months ended June 30, 2023 and 2022, respectively, from the sales or licensing of our product candidates.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we received notice of a Product Development Research award totaling approximately $13.1 million from the Cancer Prevention and Research Institute of Texas, or CPRIT, to support our Phase 2 clinical trial of MT-401.  During the three months ended June 30, 2023, we recognized $0.7 million of revenue associated with the CPRIT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September 2022, we received notice from the FDA that it had awarded us a $2.0 million grant from the FDA’s Orphan Products Grant program to support our Phase 2 clinical trial of MT-401 for the treatment of post-transplant AML. During the three months ended June 30, 2023, we recognized $0.1 million of revenue associated with the FDA grant.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Operating expenses incurred during the three months ended June 30, 2023 were $4.9 million compared to $6.1 million during the three months ended June 30, 2022.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Significant changes and expenditures in operating expenses are outlined as follows: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Research and Development Expenses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decreased by 19% to $2.4 million for the three months ended June 30, 2023, compared to $2.9 million for the three months ended June 30,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decrease of $0.5 million in 2023 was primarily attributable to the following: </w:t>
      </w:r>
    </w:p>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$0.3 million in process development expenses,</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$0.1 million in stock-based compensation expenses,</w:t>
            </w:r>
          </w:p>
        </w:tc>
      </w:tr>
    </w:tbl>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$0.2 million in headcount-related expenses</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$0.1 million in other expenses, offset by</w:t>
            </w:r>
          </w:p>
        </w:tc>
      </w:tr>
    </w:tbl>
    <w:tbl>
      <w:tblPr>
        <w:tblW w:w="4521" w:type="dxa"/>
        <w:jc w:val="left"/>
        <w:tblInd w:w="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$0.2 million in clinical trial expenses.</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decreased by 20% to $2.5 million for the three months ended June 30, 2023, compared to $3.1 million for the three months ended June 30,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decrease of $0.6 million in 2023 was primarily attributable to the following: </w:t>
      </w:r>
    </w:p>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$0.6 million in stock-based compensation expenses,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$0.6 million in headcount-related expenses,</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$0.3 million in rent expense, offset by</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$0.9 million in severance expenses.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was $35,000 and $36,000 for the three months ended June 30, 2023 and 2022, respectively, and was attributable to interest income relating to funds that are held in U.S. Treasury notes and U.S. government agency-backed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Six Months Ended June 30, 2023 and 2022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results of our continuing operations for the six months ended June 30, 2023 and 2022:</w:t>
      </w:r>
    </w:p>
    <w:p>
      <w:pPr>
        <w:pStyle w:val="TextBody"/>
        <w:bidi w:val="0"/>
        <w:spacing w:before="0" w:after="0"/>
        <w:ind w:left="0" w:right="0" w:hanging="0"/>
        <w:jc w:val="both"/>
        <w:rPr/>
      </w:pPr>
      <w:r>
        <w:rPr/>
        <w:t>​</w:t>
      </w:r>
    </w:p>
    <w:tbl>
      <w:tblPr>
        <w:tblW w:w="8738" w:type="dxa"/>
        <w:jc w:val="left"/>
        <w:tblInd w:w="0" w:type="dxa"/>
        <w:tblLayout w:type="fixed"/>
        <w:tblCellMar>
          <w:top w:w="0" w:type="dxa"/>
          <w:left w:w="0" w:type="dxa"/>
          <w:bottom w:w="0" w:type="dxa"/>
          <w:right w:w="0" w:type="dxa"/>
        </w:tblCellMar>
      </w:tblPr>
      <w:tblGrid>
        <w:gridCol w:w="2761"/>
        <w:gridCol w:w="326"/>
        <w:gridCol w:w="211"/>
        <w:gridCol w:w="1051"/>
        <w:gridCol w:w="326"/>
        <w:gridCol w:w="211"/>
        <w:gridCol w:w="1156"/>
        <w:gridCol w:w="326"/>
        <w:gridCol w:w="211"/>
        <w:gridCol w:w="1051"/>
        <w:gridCol w:w="326"/>
        <w:gridCol w:w="436"/>
        <w:gridCol w:w="34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753235" cy="175260"/>
                      <wp:effectExtent l="0" t="0" r="0" b="0"/>
                      <wp:wrapNone/>
                      <wp:docPr id="146" name="Frame144"/>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67385" cy="175260"/>
                      <wp:effectExtent l="0" t="0" r="0" b="0"/>
                      <wp:wrapNone/>
                      <wp:docPr id="149" name="Frame14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734060" cy="175260"/>
                      <wp:effectExtent l="0" t="0" r="0" b="0"/>
                      <wp:wrapNone/>
                      <wp:docPr id="151" name="Frame149"/>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67385" cy="175260"/>
                      <wp:effectExtent l="0" t="0" r="0" b="0"/>
                      <wp:wrapNone/>
                      <wp:docPr id="154" name="Frame15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76860" cy="175260"/>
                      <wp:effectExtent l="0" t="0" r="0" b="0"/>
                      <wp:wrapNone/>
                      <wp:docPr id="156" name="Frame15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7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29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both"/>
              <w:rPr/>
            </w:pPr>
            <w:r>
              <w:rPr/>
              <w:t> </w:t>
            </w:r>
          </w:p>
        </w:tc>
      </w:tr>
      <w:tr>
        <w:trPr/>
        <w:tc>
          <w:tcPr>
            <w:tcW w:w="27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9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 </w:t>
            </w:r>
          </w:p>
        </w:tc>
      </w:tr>
      <w:tr>
        <w:trPr/>
        <w:tc>
          <w:tcPr>
            <w:tcW w:w="27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both"/>
              <w:rPr/>
            </w:pPr>
            <w:r>
              <w:rPr/>
              <w:t>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both"/>
              <w:rPr/>
            </w:pPr>
            <w:r>
              <w:rPr/>
              <w:t>    </w:t>
            </w:r>
          </w:p>
        </w:tc>
        <w:tc>
          <w:tcPr>
            <w:tcW w:w="20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both"/>
              <w:rPr/>
            </w:pPr>
            <w:r>
              <w:rPr/>
              <w:t> </w:t>
            </w:r>
          </w:p>
        </w:tc>
      </w:tr>
      <w:tr>
        <w:trPr/>
        <w:tc>
          <w:tcPr>
            <w:tcW w:w="276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r>
      <w:tr>
        <w:trPr/>
        <w:tc>
          <w:tcPr>
            <w:tcW w:w="27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1,997,000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242,000</w:t>
            </w:r>
          </w:p>
        </w:tc>
        <w:tc>
          <w:tcPr>
            <w:tcW w:w="326" w:type="dxa"/>
            <w:tcBorders/>
            <w:vAlign w:val="center"/>
          </w:tcPr>
          <w:p>
            <w:pPr>
              <w:pStyle w:val="TableContents"/>
              <w:bidi w:val="0"/>
              <w:spacing w:before="0" w:after="0"/>
              <w:ind w:left="0" w:right="0" w:hanging="0"/>
              <w:jc w:val="center"/>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1,997,000</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both"/>
              <w:rPr/>
            </w:pPr>
            <w:r>
              <w:rPr/>
              <w:t>​</w:t>
            </w:r>
          </w:p>
        </w:tc>
        <w:tc>
          <w:tcPr>
            <w:tcW w:w="1156"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1,755,000</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both"/>
              <w:rPr/>
            </w:pPr>
            <w:r>
              <w:rPr/>
              <w:t>  </w:t>
            </w:r>
          </w:p>
        </w:tc>
        <w:tc>
          <w:tcPr>
            <w:tcW w:w="346" w:type="dxa"/>
            <w:tcBorders/>
            <w:vAlign w:val="center"/>
          </w:tcPr>
          <w:p>
            <w:pPr>
              <w:pStyle w:val="TableContents"/>
              <w:bidi w:val="0"/>
              <w:spacing w:before="0" w:after="0"/>
              <w:ind w:left="0" w:right="0" w:hanging="0"/>
              <w:jc w:val="both"/>
              <w:rPr/>
            </w:pPr>
            <w:r>
              <w:rPr/>
              <w:t>​</w:t>
            </w:r>
          </w:p>
        </w:tc>
      </w:tr>
      <w:tr>
        <w:trPr/>
        <w:tc>
          <w:tcPr>
            <w:tcW w:w="27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5,754,000</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6,194,000</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both"/>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4,686,000</w:t>
            </w:r>
          </w:p>
        </w:tc>
        <w:tc>
          <w:tcPr>
            <w:tcW w:w="326" w:type="dxa"/>
            <w:tcBorders/>
            <w:vAlign w:val="center"/>
          </w:tcPr>
          <w:p>
            <w:pPr>
              <w:pStyle w:val="TableContents"/>
              <w:bidi w:val="0"/>
              <w:spacing w:before="0" w:after="0"/>
              <w:ind w:left="0" w:right="0" w:hanging="0"/>
              <w:jc w:val="both"/>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6,486,000</w:t>
            </w:r>
          </w:p>
        </w:tc>
        <w:tc>
          <w:tcPr>
            <w:tcW w:w="326" w:type="dxa"/>
            <w:tcBorders/>
            <w:vAlign w:val="center"/>
          </w:tcPr>
          <w:p>
            <w:pPr>
              <w:pStyle w:val="TableContents"/>
              <w:bidi w:val="0"/>
              <w:spacing w:before="0" w:after="0"/>
              <w:ind w:left="0" w:right="0" w:hanging="0"/>
              <w:jc w:val="both"/>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(1,800,000)</w:t>
            </w:r>
          </w:p>
        </w:tc>
        <w:tc>
          <w:tcPr>
            <w:tcW w:w="326" w:type="dxa"/>
            <w:tcBorders/>
            <w:vAlign w:val="center"/>
          </w:tcPr>
          <w:p>
            <w:pPr>
              <w:pStyle w:val="TableContents"/>
              <w:bidi w:val="0"/>
              <w:spacing w:before="0" w:after="0"/>
              <w:ind w:left="0" w:right="0" w:hanging="0"/>
              <w:jc w:val="both"/>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10,440,000</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12,680,000</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(8,443,000)</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(10,925,000)</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2,482,000</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income (expenses):</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r>
      <w:tr>
        <w:trPr/>
        <w:tc>
          <w:tcPr>
            <w:tcW w:w="27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Arbitration settlement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119,000</w:t>
            </w:r>
          </w:p>
        </w:tc>
        <w:tc>
          <w:tcPr>
            <w:tcW w:w="326" w:type="dxa"/>
            <w:tcBorders/>
            <w:vAlign w:val="center"/>
          </w:tcPr>
          <w:p>
            <w:pPr>
              <w:pStyle w:val="TableContents"/>
              <w:bidi w:val="0"/>
              <w:spacing w:before="0" w:after="0"/>
              <w:ind w:left="0" w:right="0" w:hanging="0"/>
              <w:jc w:val="both"/>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120,000</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39,000</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continuing operations</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(8,323,000)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(11,006,000)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2,683,000</w:t>
            </w:r>
          </w:p>
        </w:tc>
        <w:tc>
          <w:tcPr>
            <w:tcW w:w="326" w:type="dxa"/>
            <w:tcBorders/>
            <w:vAlign w:val="center"/>
          </w:tcPr>
          <w:p>
            <w:pPr>
              <w:pStyle w:val="TableContents"/>
              <w:bidi w:val="0"/>
              <w:spacing w:before="0" w:after="0"/>
              <w:ind w:left="0" w:right="0" w:hanging="0"/>
              <w:jc w:val="both"/>
              <w:rPr/>
            </w:pPr>
            <w:r>
              <w:rPr/>
              <w:t> </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w:t>
            </w:r>
          </w:p>
        </w:tc>
        <w:tc>
          <w:tcPr>
            <w:tcW w:w="34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did not generate any revenue during the six months ended June 30, 2023 and 2022, respectively, from the sales or licensing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we received notice of a Product Development Research award totaling approximately $13.1 million from the Cancer Prevention and Research Institute of Texas, or CPRIT, to support our Phase 2 clinical trial of MT-401. During the six months ended June 30, 2023, we recognized $1.8 million of revenue associated with the CPRIT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September 2022, we received notice from the FDA that it had awarded us a $2.0 million grant from the FDA’s Orphan Products Grant program to support our Phase 2 clinical trial of MT-401 for the treatment of post-transplant AML. During the six months ended June 30, 2023, we recognized $0.2 million of revenue associated with the FDA grant.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Operating expenses incurred during the six months ended June 30, 2023 were $10.4 million compared to $12.7 million during the six months ended June 30, 2022.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Significant changes and expenditures in operating expenses are outlined as follows: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decreased by 7% to $5.8 million for the six months ended June 30, 2023, compared to $6.2 million for the six months ended June 30,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of $0.4 million in 2023 was primarily attributable to the following:</w:t>
      </w:r>
    </w:p>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$0.3 million in process development expenses,</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$0.1 million in stock-based compensation expenses,</w:t>
            </w:r>
          </w:p>
        </w:tc>
      </w:tr>
    </w:tbl>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$0.1 million in headcount-related expenses</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$0.5 million in sponsored research expenses from BCM agreements, offset by</w:t>
            </w:r>
          </w:p>
        </w:tc>
      </w:tr>
    </w:tbl>
    <w:tbl>
      <w:tblPr>
        <w:tblW w:w="4521" w:type="dxa"/>
        <w:jc w:val="left"/>
        <w:tblInd w:w="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$0.2 million in clinical trial expenses,</w:t>
            </w:r>
          </w:p>
        </w:tc>
      </w:tr>
    </w:tbl>
    <w:tbl>
      <w:tblPr>
        <w:tblW w:w="4191" w:type="dxa"/>
        <w:jc w:val="left"/>
        <w:tblInd w:w="0" w:type="dxa"/>
        <w:tblLayout w:type="fixed"/>
        <w:tblCellMar>
          <w:top w:w="28" w:type="dxa"/>
          <w:left w:w="28" w:type="dxa"/>
          <w:bottom w:w="28" w:type="dxa"/>
          <w:right w:w="28" w:type="dxa"/>
        </w:tblCellMar>
      </w:tblPr>
      <w:tblGrid>
        <w:gridCol w:w="124"/>
        <w:gridCol w:w="256"/>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$0.1 million in rent expenses,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$0.3 million in other expenses</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decreased by 28% to $4.7 million for the six months ended June 30, 2023, compared to $6.5 million for the six months ended June 30,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of $1.8 million in 2023 was primarily attributable to the following:</w:t>
      </w:r>
    </w:p>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$1.2 million in stock-based compensation expenses,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$0.9 million in headcount-related expenses,</w:t>
            </w:r>
          </w:p>
        </w:tc>
      </w:tr>
    </w:tbl>
    <w:tbl>
      <w:tblPr>
        <w:tblW w:w="4671" w:type="dxa"/>
        <w:jc w:val="left"/>
        <w:tblInd w:w="0" w:type="dxa"/>
        <w:tblLayout w:type="fixed"/>
        <w:tblCellMar>
          <w:top w:w="28" w:type="dxa"/>
          <w:left w:w="28" w:type="dxa"/>
          <w:bottom w:w="28" w:type="dxa"/>
          <w:right w:w="28" w:type="dxa"/>
        </w:tblCellMar>
      </w:tblPr>
      <w:tblGrid>
        <w:gridCol w:w="124"/>
        <w:gridCol w:w="256"/>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$0.6 million in  rent expenses, offset by</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$0.9 million in severance expenses.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Arbitration Settlement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 arbitration proceeding was brought against us before the FINRA by a broker seeking to be paid compensation for two financing transactions that occurred in 2018, a warrant conversion and a private placement brokered by another broker. The FINRA panel found in favor of the broker and awarded the broker $2.4 million for compensation, interest and attorney fees, which we recorded in the year ended December 31, 2021. During the six months ended June 30, 2022, we recorded an additional $0.1 million of expense related to this matter.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was $0.1 million and $39,000 for the six months ended June 30, 2023 and 2022, respectively, and was attributable to interest income relating to funds that are held in U.S. Treasury notes and U.S. government agency-backed securities.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generated any revenues from product sales since inception. We have financed our operations primarily through public and private offerings of our debt and equity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our cash and cash equivalents and working capital as of June 30, 2023 and December 31, 2022:</w:t>
      </w:r>
    </w:p>
    <w:tbl>
      <w:tblPr>
        <w:tblW w:w="5457" w:type="dxa"/>
        <w:jc w:val="left"/>
        <w:tblInd w:w="0" w:type="dxa"/>
        <w:tblLayout w:type="fixed"/>
        <w:tblCellMar>
          <w:top w:w="0" w:type="dxa"/>
          <w:left w:w="0" w:type="dxa"/>
          <w:bottom w:w="0" w:type="dxa"/>
          <w:right w:w="0" w:type="dxa"/>
        </w:tblCellMar>
      </w:tblPr>
      <w:tblGrid>
        <w:gridCol w:w="2266"/>
        <w:gridCol w:w="326"/>
        <w:gridCol w:w="211"/>
        <w:gridCol w:w="1036"/>
        <w:gridCol w:w="326"/>
        <w:gridCol w:w="211"/>
        <w:gridCol w:w="108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438910" cy="175260"/>
                      <wp:effectExtent l="0" t="0" r="0" b="0"/>
                      <wp:wrapNone/>
                      <wp:docPr id="158" name="Frame156"/>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57860" cy="175260"/>
                      <wp:effectExtent l="0" t="0" r="0" b="0"/>
                      <wp:wrapNone/>
                      <wp:docPr id="161" name="Frame15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86435" cy="175260"/>
                      <wp:effectExtent l="0" t="0" r="0" b="0"/>
                      <wp:wrapNone/>
                      <wp:docPr id="164" name="Frame162"/>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both"/>
              <w:rPr/>
            </w:pPr>
            <w:r>
              <w:rPr/>
              <w:t>    </w:t>
            </w:r>
          </w:p>
        </w:tc>
        <w:tc>
          <w:tcPr>
            <w:tcW w:w="12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both"/>
              <w:rPr/>
            </w:pPr>
            <w:r>
              <w:rPr/>
              <w:t>​</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2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18,122,000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11,782,000</w:t>
            </w:r>
          </w:p>
        </w:tc>
      </w:tr>
      <w:tr>
        <w:trPr/>
        <w:tc>
          <w:tcPr>
            <w:tcW w:w="22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Working capital</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19,035,000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8,837,000</w:t>
            </w:r>
          </w:p>
        </w:tc>
      </w:tr>
    </w:tbl>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flows for the three months ended June 30, 2023 and 2022:</w:t>
      </w:r>
    </w:p>
    <w:tbl>
      <w:tblPr>
        <w:tblW w:w="9267" w:type="dxa"/>
        <w:jc w:val="left"/>
        <w:tblInd w:w="0" w:type="dxa"/>
        <w:tblLayout w:type="fixed"/>
        <w:tblCellMar>
          <w:top w:w="0" w:type="dxa"/>
          <w:left w:w="0" w:type="dxa"/>
          <w:bottom w:w="0" w:type="dxa"/>
          <w:right w:w="0" w:type="dxa"/>
        </w:tblCellMar>
      </w:tblPr>
      <w:tblGrid>
        <w:gridCol w:w="5836"/>
        <w:gridCol w:w="326"/>
        <w:gridCol w:w="211"/>
        <w:gridCol w:w="1156"/>
        <w:gridCol w:w="326"/>
        <w:gridCol w:w="211"/>
        <w:gridCol w:w="1201"/>
      </w:tblGrid>
      <w:tr>
        <w:trPr/>
        <w:tc>
          <w:tcPr>
            <w:tcW w:w="5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705860" cy="175260"/>
                      <wp:effectExtent l="0" t="0" r="0" b="0"/>
                      <wp:wrapNone/>
                      <wp:docPr id="165" name="Frame163"/>
                      <a:graphic xmlns:a="http://schemas.openxmlformats.org/drawingml/2006/main">
                        <a:graphicData uri="http://schemas.microsoft.com/office/word/2010/wordprocessingShape">
                          <wps:wsp>
                            <wps:cNvSpPr txBox="1"/>
                            <wps:spPr>
                              <a:xfrm>
                                <a:off x="0" y="0"/>
                                <a:ext cx="37058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7"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734060" cy="175260"/>
                      <wp:effectExtent l="0" t="0" r="0" b="0"/>
                      <wp:wrapNone/>
                      <wp:docPr id="168" name="Frame16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70"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762635" cy="175260"/>
                      <wp:effectExtent l="0" t="0" r="0" b="0"/>
                      <wp:wrapNone/>
                      <wp:docPr id="171" name="Frame169"/>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583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31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583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31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83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both"/>
              <w:rPr/>
            </w:pPr>
            <w:r>
              <w:rPr/>
              <w:t>    </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836"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1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201" w:type="dxa"/>
            <w:tcBorders/>
            <w:shd w:fill="CCEEFF" w:val="clear"/>
            <w:vAlign w:val="center"/>
          </w:tcPr>
          <w:p>
            <w:pPr>
              <w:pStyle w:val="TableContents"/>
              <w:bidi w:val="0"/>
              <w:spacing w:before="0" w:after="0"/>
              <w:ind w:left="0" w:right="0" w:hanging="0"/>
              <w:jc w:val="right"/>
              <w:rPr/>
            </w:pPr>
            <w:r>
              <w:rPr/>
              <w:t>  </w:t>
            </w:r>
          </w:p>
        </w:tc>
      </w:tr>
      <w:tr>
        <w:trPr/>
        <w:tc>
          <w:tcPr>
            <w:tcW w:w="583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(12,945,000)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(13,021,000)</w:t>
            </w:r>
          </w:p>
        </w:tc>
      </w:tr>
      <w:tr>
        <w:trPr/>
        <w:tc>
          <w:tcPr>
            <w:tcW w:w="5836"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18,664,000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(4,719,000)</w:t>
            </w:r>
          </w:p>
        </w:tc>
      </w:tr>
      <w:tr>
        <w:trPr/>
        <w:tc>
          <w:tcPr>
            <w:tcW w:w="583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64,000</w:t>
            </w:r>
          </w:p>
        </w:tc>
      </w:tr>
      <w:tr>
        <w:trPr/>
        <w:tc>
          <w:tcPr>
            <w:tcW w:w="5836" w:type="dxa"/>
            <w:tcBorders/>
            <w:shd w:fill="CCEEFF" w:val="clear"/>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increase (decrease) in cash, cash equivalents and restricted cash (1)</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6,340,000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(17,676,000)</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As of June 30, 2022 and December 31, 2021, the Company had $0 and $1,146,186 of restricted cash,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Net cash used in operating activities during the six months ended June 30, 2023 was $12.9 million compared to $13.0 million for the same period last year.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Net cash used in operating activities during the six months ended June 30, 2023 was $12.9 million. The changes in cash flow from operating activities during the six months ended June 30, 2023 were due to $8.3 million of net losses from continuing operations and a $0.7 million increase from changes in operating assets and liabilities and $5.8 million of cash used in discontinued operations. This was in addition to $0.5 million of stock-based compensation in continuing operations.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during the six months ended June 30, 2022 was $13.0 million. The changes in cash flow from operating activities during the six months ended June 30, 2022 were due to $11.0 million of net losses from continuing operations and a $3.1 million decrease from changes in operating assets and liabilities and $0.9 million of cash used in discontinued operations. This was in addition to $2.0 million of stock-based compensation.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investing activities was $18.7 million primarily from the sale of assets in discounted operations.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investing activities was $4.7 million for the purchase of property and equipment and construction in progress related to our manufacturing facility during the six months ended June 30,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 was $0.6 million during the six months ended June 30, 2023, due to sales of common stock under the ATM Agreement and the Lincoln Park Purchase Agreement (as defined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Future Capital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we received notice of a Product Development Research award totaling approximately $13.1 million from CPRIT to support our Phase 2 clinical trial of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 To date, we have received $6.9 million of funds from the CPRIT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2022, we received notice from the U.S. Food and Drug Administration, or the FDA, that it had awarded us a $2.0 million grant from the FDA’s Orphan Products Grant program to support our Phase 2 clinical trial of MT-401 for the treatment of post-transplant AML.  To date, we have received $0.2 million of funds from the FDA grant.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June 26, 2023, we completed the previously announced transaction with Cell Ready. Pursuant to the Cell Ready Purchase Agreement, effective as of the Closing Date, we assigned and sold, as applicable, the Purchased Assets to Cell Ready.  Following the Closing Date,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and Cell Ready have agreed to enter into a long-term contract with pursuant to which Cell Ready will perform a wide variety of services for us, including research and development, manufacturing, and regulatory activity in support of our clinical trials; however, the parties have not yet executed such agreement.  Cell Ready acquired the Purchased Assets for total consideration of $19.0 million. In connection with the purchase of the Manufacturing Facilities, Cell Ready also extended offers of employment to approximately 50 of our former employees in our manufacturing, development, quality and regulatory affairs functions.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2023, we had working capital of $19.0 million, compared to working capital of $8.8 million as of December 31, 2022. Based on our clinical development plans and the disposition of the Purchased Assets pursuant to the Cell Ready Purchase Agreement and related organizational restructuring, we expect that our cash and cash equivalents as of June 30, 2023 will enable us to fund our operating expenses and capital expenditure requirements into the fourth quarter of 2025.    We have based this estimate on assumptions that may prove to be wrong, and we could utilize our available capital resources sooner than we currently expect. Furthermore, our operating plans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tbl>
      <w:tblPr>
        <w:tblW w:w="5267" w:type="dxa"/>
        <w:jc w:val="left"/>
        <w:tblInd w:w="0" w:type="dxa"/>
        <w:tblLayout w:type="fixed"/>
        <w:tblCellMar>
          <w:top w:w="0" w:type="dxa"/>
          <w:left w:w="0" w:type="dxa"/>
          <w:bottom w:w="0" w:type="dxa"/>
          <w:right w:w="0" w:type="dxa"/>
        </w:tblCellMar>
      </w:tblPr>
      <w:tblGrid>
        <w:gridCol w:w="271"/>
        <w:gridCol w:w="4996"/>
      </w:tblGrid>
      <w:tr>
        <w:trPr/>
        <w:tc>
          <w:tcPr>
            <w:tcW w:w="271" w:type="dxa"/>
            <w:tcBorders/>
            <w:vAlign w:val="center"/>
          </w:tcPr>
          <w:p>
            <w:pPr>
              <w:pStyle w:val="TableContents"/>
              <w:bidi w:val="0"/>
              <w:spacing w:before="0" w:after="283"/>
              <w:jc w:val="left"/>
              <w:rPr/>
            </w:pPr>
            <w:r>
              <w:rPr/>
              <w:t>●</w:t>
            </w:r>
          </w:p>
        </w:tc>
        <w:tc>
          <w:tcPr>
            <w:tcW w:w="49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or continue clinical trials of our product candidates;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the research and development of our product candidates and seek to discover additional product candidates;seek regulatory approvals for our product candidates if they successfully complete clinical trials;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contract manufacturing arrangements with Cell Ready or other contract manufacturing organizations for clinical manufacturing supply;</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sales, marketing and distribution infrastructure and scale-up manufacturing capabilities to commercialize any product candidates that may receive regulatory approval;</w:t>
            </w:r>
          </w:p>
        </w:tc>
      </w:tr>
    </w:tbl>
    <w:tbl>
      <w:tblPr>
        <w:tblW w:w="4787" w:type="dxa"/>
        <w:jc w:val="left"/>
        <w:tblInd w:w="0" w:type="dxa"/>
        <w:tblLayout w:type="fixed"/>
        <w:tblCellMar>
          <w:top w:w="0" w:type="dxa"/>
          <w:left w:w="0" w:type="dxa"/>
          <w:bottom w:w="0" w:type="dxa"/>
          <w:right w:w="0" w:type="dxa"/>
        </w:tblCellMar>
      </w:tblPr>
      <w:tblGrid>
        <w:gridCol w:w="271"/>
        <w:gridCol w:w="4516"/>
      </w:tblGrid>
      <w:tr>
        <w:trPr/>
        <w:tc>
          <w:tcPr>
            <w:tcW w:w="271" w:type="dxa"/>
            <w:tcBorders/>
            <w:vAlign w:val="center"/>
          </w:tcPr>
          <w:p>
            <w:pPr>
              <w:pStyle w:val="TableContents"/>
              <w:bidi w:val="0"/>
              <w:spacing w:before="0" w:after="283"/>
              <w:jc w:val="left"/>
              <w:rPr/>
            </w:pPr>
            <w:r>
              <w:rPr/>
              <w:t>●</w:t>
            </w:r>
          </w:p>
        </w:tc>
        <w:tc>
          <w:tcPr>
            <w:tcW w:w="45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strategic transactions we may undertake; and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 operational, financial and information management systems and hire additional personnel, including personnel to support development of our product candidates and, if a product candidate is approved, our commercialization efforts.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plan to continue to fund our operations and capital funding needs through existing cash and future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COVID-19 pandemic, decades-high inflation and concerns about an economic recession in the United States or other major markets has resulted in, among other things, volatility in the capital markets that may have the effect of reducing the Company’s ability to access capital, which could in the future negatively affect the Company’s liquidity. In addition, a recession or market correction due to these factors could materially affect the Company’s business and the value of its common stock.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ATM Agreement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In August 2021, we entered into a Controlled Equity Offering</w:t>
      </w:r>
      <w:r>
        <w:rPr>
          <w:rFonts w:ascii="Times New Roman;Times;serif" w:hAnsi="Times New Roman;Times;serif"/>
          <w:sz w:val="15"/>
        </w:rPr>
        <w:t>SM</w:t>
      </w:r>
      <w:r>
        <w:rPr>
          <w:rFonts w:ascii="Times New Roman;Times;serif" w:hAnsi="Times New Roman;Times;serif"/>
          <w:sz w:val="20"/>
        </w:rPr>
        <w:t xml:space="preserve"> Sales Agreement (the “ATM Agreement”) with Cantor Fitzgerald &amp; Co. and RBC Capital Markets, LLC (the “Sales Agents”), pursuant to which we can offer and sell, from time to time at our sole discretion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through the Sales Agents, shares of our common stock having an aggregate offering price of up to $75.0 million. Any shares of our common stock sold will be issued pursuant to our shelf registration statement on Form S-3 (File No. 333-258687), which the SEC declared effective on August 19, 2021. The shelf registration statement on Form S-3 includes a prospectus supplement covering the offering up to $9.87 million of shares of common stock over the 12 months ending March 22, 2024 pursuant to General Instruction I.B.6 of Form S-3, which limits the amounts that the Company may sell under the registration statement, and in accordance with the ATM agreement. The Sales Agents will be entitled to compensation under the Sales Agreement at a commission rate equal to 3.0% of the gross sales price per share sold under the ATM Agreement, and we have provided each of the Sales Agents with indemnification and contribution rights. During the three months ended June 30, 2023, we sold 200,261 shares of our common stock under the ATM Agreement for proceeds of $0.6 million.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2022, we entered into a purchase agreement (the “Purchase Agreement”) with Lincoln Park Capital Fund, LLC (“Lincoln Park”) which provides that, upon the terms and subject to the conditions of the Purchase Agreement, we have the right, but not the obligation, to sell to Lincoln Park up to $25,000,000 of shares of our common stock (the “Purchase Shares”) from time to time over a 24-month term, at a variable price with certain market-based terms as defined in the Purchase Agreement. The Purchase Agreement does not exhibit any of the characteristics for liability classification under ASC Topic 480, Distinguishing Liabilities from Equity. Instead, the purchase agreement is indexed to the Company’s own stock under ASC Subtopic 815-40, Contracts in Entity’s Own Equity, and classified as equity. In January 2023, Lincoln Park was issued 180,410 shares of stock as a commitment fee at a value of $0.5 million. During the three months ended June 30, 2023, we sold 12,500 shares of our common stock under the Purchase Agreement for proceeds of approximately $33,000.</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under Part II, Item 7 of our Annual Report on Form 10-K for the year ended December 31, 2022.</w:t>
      </w:r>
    </w:p>
    <w:p>
      <w:pPr>
        <w:pStyle w:val="TextBody"/>
        <w:bidi w:val="0"/>
        <w:spacing w:before="0" w:after="0"/>
        <w:ind w:left="0" w:right="0" w:hanging="0"/>
        <w:jc w:val="both"/>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852" w:name="Item3QuantitativeandQualitativeDisclosur"/>
      <w:bookmarkStart w:id="853" w:name="_20591902_cb77_454d_92cc_1310458dfaea"/>
      <w:bookmarkEnd w:id="852"/>
      <w:bookmarkEnd w:id="853"/>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 smaller reporting company as defined by Rule 12b-2 of the Exchange Act and are not required to provide the information required under this item.</w:t>
      </w:r>
    </w:p>
    <w:p>
      <w:pPr>
        <w:pStyle w:val="TextBody"/>
        <w:bidi w:val="0"/>
        <w:spacing w:before="0" w:after="0"/>
        <w:ind w:left="0" w:right="0" w:hanging="0"/>
        <w:jc w:val="both"/>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854" w:name="Item4ControlsandProcedures_453239"/>
      <w:bookmarkStart w:id="855" w:name="_ccc37afe_76de_4028_a6a5_971aa630ef73"/>
      <w:bookmarkEnd w:id="854"/>
      <w:bookmarkEnd w:id="855"/>
      <w:r>
        <w:rPr>
          <w:rFonts w:ascii="Times New Roman;Times;serif" w:hAnsi="Times New Roman;Times;serif"/>
          <w:b/>
          <w:sz w:val="20"/>
        </w:rPr>
        <w:t>Item 4.         Controls and Procedures</w:t>
      </w:r>
    </w:p>
    <w:p>
      <w:pPr>
        <w:pStyle w:val="TextBody"/>
        <w:bidi w:val="0"/>
        <w:spacing w:before="0" w:after="240"/>
        <w:ind w:left="14"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management, with the participation of our principal executive officer and our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and Chief Accounting Officer, as appropriate, to allow timely decisions regarding required disclosure. Based on such evaluation, our Chief Executive Officer and our Chief Accounting Officer have concluded that, as of the end of the period covered by this report, our disclosure controls and procedures are effective in recording, processing, summarizing and reporting, on a timely basis, information required to be disclosed by us in the reports that we file or submit under the Exchange Act.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pStyle w:val="TextBody"/>
        <w:bidi w:val="0"/>
        <w:spacing w:before="0" w:after="240"/>
        <w:ind w:left="14"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Changes in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have been no changes in our internal controls over financial reporting during the three months ended June 30, 2023 that have materially affected, or are reasonably likely to materially affect, our internal control over financial reporting.</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56" w:name="PARTIIOTHERINFORMATION_786639"/>
      <w:bookmarkStart w:id="857" w:name="_7cee21bf_aa12_4e39_a443_077eeb50c9ab"/>
      <w:bookmarkEnd w:id="856"/>
      <w:bookmarkEnd w:id="857"/>
      <w:r>
        <w:rPr>
          <w:rFonts w:ascii="Times New Roman;Times;serif" w:hAnsi="Times New Roman;Times;serif"/>
          <w:b/>
          <w:sz w:val="20"/>
        </w:rPr>
        <w:t>PART II – OTHER INFORMATION</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858" w:name="Item1LegalProceedings_798737"/>
      <w:bookmarkEnd w:id="858"/>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pStyle w:val="TextBody"/>
        <w:bidi w:val="0"/>
        <w:spacing w:before="0" w:after="0"/>
        <w:ind w:left="0" w:right="0" w:hanging="0"/>
        <w:jc w:val="both"/>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859" w:name="Item1ARiskFactors_449487"/>
      <w:bookmarkStart w:id="860" w:name="_e98999d8_e431_43c5_8edb_18f9c74f76ab"/>
      <w:bookmarkEnd w:id="859"/>
      <w:bookmarkEnd w:id="860"/>
      <w:r>
        <w:rPr>
          <w:rFonts w:ascii="Times New Roman;Times;serif" w:hAnsi="Times New Roman;Times;serif"/>
          <w:b/>
          <w:sz w:val="20"/>
        </w:rPr>
        <w:t>Item 1A.         Risk Factors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2022, filed with the Securities and Exchange Commission on March 12, 2023. There have been no material changes to the risk factors described in that report, other than as described below.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not realize the expected benefits from the transaction with Cell Ready.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may not be able to achieve the full strategic and financial benefits expected to result from the closing of the transaction with Cell Ready, or such benefits may be delayed or not occur at all.  In particular, we have made the strategic decision to dispose of our manufacturing facilities and related assets in order to focus on clinical development of the multiTAA-specific T cell therapy-based product candidates in our pipeline.  Following the closing of the transaction, we no longer operate our own cGMP manufacturing facility and must rely on third parties for the clinical and, if approved, commercial manufacture of our product candidates.  Although we intend to enter into a long-term agreement with Cell Ready for manufacturing, among other services, we have not yet executed such agreement and may not realize the anticipated cost savings associated with contracting out our manufacturing, research and development and regulatory requirements.  The assumptions we made related to the Cell Ready transaction may prove to be inaccurate, including as to the expected benefits of the transaction and anticipated cost savings.  Further, the transition activities following closing may disrupt our operations and divert management’s attention to our business, particularly because our Chief Executive Officer, Dr. Juan Vera, expects to perform consulting work for Cell Ready in addition to his duties for our company.  An inability to realize the anticipated benefits of the Cell Ready transaction could have an adverse impact on our business, financial condition and results of operations.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Following the closing of the transaction with Cell Ready, we no longer operate our own cGMP manufacturing facility and instead will rely on third parties, including Cell Ready, for the clinical and, if approved, commercial manufacture of our product candidates. The third-party manufacturing facilities on which we rely may have limited capacity or fail to meet the applicable stringent regulatory requirements.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do not have any cGMP manufacturing facilities. We currently rely, and expect to continue to rely, on third parties for the cGMP manufacture of our product candidates for clinical development and, if approved, commercial supply.  We intend to enter into a long-term agreement with Cell Ready, pursuant to which Cell Ready will perform a wide variety of services for us, including research and development, manufacturing and regulatory activity in support of our clinical trials; however, we have not yet executed such agreement. There is no guarantee that we will or have properly estimated our required manufacturing capacities or that the third parties we rely on to provide required machinery and materials for the manufacturing process will be able to perform on our proposed timelines or meet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manufacturing demands, if at all. Also, if we must increase production capacity for any reason, we may need to make considerable investments that could lead to significant financing needs or require us to enter into subcontracting agreements in order to outsource part of the production.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Cell Ready or any other third-party contract manufacturing organization on which we rely experiences capacity constraints, other disruptions, or delays in manufacturing our multiTAA-specific T cell therapy-based product candidates, our planned clinical trials and necessary manufacturing capabilities will be disrupted or delayed.  Third-party manufacturers may not be able to meet our needs concerning timing, quantity, or quality. If we are unable to contract for a sufficient supply of needed materials on acceptable terms, or if we should encounter delays or difficulties in our relationships with manufacturers, our clinical trials may be delayed, thereby delaying the submission of product candidates for regulatory approval or the market introduction and subsequent sales of any approved products. Any such delay may lower our revenues and potential profitability. If any third party breaches or terminates its agreement with us or fails to conduct its activities in a timely manner, the commercialization of our product candidates could be slowed down or blocked completely. It is possible that third parties relied upon by us will change their strategic focus, pursue alternative technologies, or develop alternative product candidates,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 We intend to continue to enter into additional third-party agreements in the future. However, we may not be able to negotiate any additional agreements successfully. Even if established, these relationships may not be scientifically or commercially successful.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facilities used by our contract manufacturers to manufacture our product candidates must be inspected by the FDA. We do not have control over a supplier’s or manufacturer’s compliance with laws, regulations and applicable cGMP standards or similar regulatory requirements and other laws and regulations, such as those related to environmental health and safety matters. If our contract manufacturers cannot successfully manufacture material that conforms to our specifications and the strict regulatory requirements of the FDA or other regulatory authorities, we may be unable to obtain regulatory approval of our marketing applications.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supply of our products.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These factors could cause the delay of clinical trials, regulatory submissions, required approvals or commercialization of our product candidates, cause us to incur higher costs and prevent us from commercializing our products successfully, if approved. Furthermore, if our suppliers fail to meet contractual requirements, and we are unable to secure one or more replacement suppliers capable of production at a substantially equivalent cost, our clinical trials may be delayed or we could lose potential revenue.</w:t>
      </w:r>
    </w:p>
    <w:p>
      <w:pPr>
        <w:pStyle w:val="TextBody"/>
        <w:bidi w:val="0"/>
        <w:spacing w:before="0" w:after="0"/>
        <w:ind w:left="0" w:right="0" w:hanging="0"/>
        <w:jc w:val="both"/>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861" w:name="Item2UnregisteredSalesofEquitySecurities"/>
      <w:bookmarkStart w:id="862" w:name="_87352536_bf30_431e_a47d_1e1a31257710"/>
      <w:bookmarkEnd w:id="861"/>
      <w:bookmarkEnd w:id="862"/>
      <w:r>
        <w:rPr>
          <w:rFonts w:ascii="Times New Roman;Times;serif" w:hAnsi="Times New Roman;Times;serif"/>
          <w:b/>
          <w:sz w:val="20"/>
        </w:rPr>
        <w:t>Item 2.         Unregistered Sales of Equity Securities and Use of Proceeds</w:t>
      </w:r>
    </w:p>
    <w:p>
      <w:pPr>
        <w:pStyle w:val="TextBody"/>
        <w:bidi w:val="0"/>
        <w:spacing w:before="0" w:after="0"/>
        <w:ind w:left="14" w:right="0" w:hanging="0"/>
        <w:jc w:val="both"/>
        <w:rPr>
          <w:rFonts w:ascii="Times New Roman;Times;serif" w:hAnsi="Times New Roman;Times;serif"/>
          <w:sz w:val="20"/>
        </w:rPr>
      </w:pPr>
      <w:r>
        <w:rPr>
          <w:rFonts w:ascii="Times New Roman;Times;serif" w:hAnsi="Times New Roman;Times;serif"/>
          <w:sz w:val="20"/>
        </w:rPr>
        <w:t>We did not record any issuances of unregistered securities during the six months ended June 30, 2023.</w:t>
      </w:r>
    </w:p>
    <w:p>
      <w:pPr>
        <w:pStyle w:val="TextBody"/>
        <w:bidi w:val="0"/>
        <w:spacing w:before="0" w:after="0"/>
        <w:ind w:left="0" w:right="0" w:hanging="0"/>
        <w:jc w:val="both"/>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863" w:name="Item3DefaultsUponSeniorSecurities_390946"/>
      <w:bookmarkStart w:id="864" w:name="_e87ff40c_1a78_4309_809a_a9049dc737c5"/>
      <w:bookmarkEnd w:id="863"/>
      <w:bookmarkEnd w:id="864"/>
      <w:r>
        <w:rPr>
          <w:rFonts w:ascii="Times New Roman;Times;serif" w:hAnsi="Times New Roman;Times;serif"/>
          <w:b/>
          <w:sz w:val="20"/>
        </w:rPr>
        <w:t>Item 3.         Defaults Upon Senior Securities</w:t>
      </w:r>
    </w:p>
    <w:p>
      <w:pPr>
        <w:pStyle w:val="TextBody"/>
        <w:bidi w:val="0"/>
        <w:spacing w:before="0" w:after="0"/>
        <w:ind w:left="14"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w:t>
      </w:r>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865" w:name="Item4MineSafetyDisclosure_210061"/>
      <w:bookmarkStart w:id="866" w:name="_7e7fa4d7_6ec8_49ea_b125_b0fef4af4c4b"/>
      <w:bookmarkEnd w:id="865"/>
      <w:bookmarkEnd w:id="866"/>
      <w:r>
        <w:rPr>
          <w:rFonts w:ascii="Times New Roman;Times;serif" w:hAnsi="Times New Roman;Times;serif"/>
          <w:b/>
          <w:sz w:val="20"/>
        </w:rPr>
        <w:t>Item 4.         Mine Safety Disclosure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ottom w:val="single" w:sz="2" w:space="1" w:color="000000"/>
        </w:pBdr>
        <w:bidi w:val="0"/>
        <w:spacing w:before="0" w:after="240"/>
        <w:ind w:left="14" w:right="0" w:hanging="0"/>
        <w:jc w:val="both"/>
        <w:rPr>
          <w:rFonts w:ascii="Times New Roman;Times;serif" w:hAnsi="Times New Roman;Times;serif"/>
          <w:b/>
          <w:sz w:val="20"/>
        </w:rPr>
      </w:pPr>
      <w:bookmarkStart w:id="867" w:name="Item5OtherInformation_200318"/>
      <w:bookmarkStart w:id="868" w:name="_6f554688_23a0_4bec_8de2_d55b0beac8e9"/>
      <w:bookmarkEnd w:id="867"/>
      <w:bookmarkEnd w:id="868"/>
      <w:r>
        <w:rPr>
          <w:rFonts w:ascii="Times New Roman;Times;serif" w:hAnsi="Times New Roman;Times;serif"/>
          <w:b/>
          <w:sz w:val="20"/>
        </w:rPr>
        <w:t>Item 5.         Other Information</w:t>
      </w:r>
    </w:p>
    <w:p>
      <w:pPr>
        <w:pStyle w:val="TextBody"/>
        <w:bidi w:val="0"/>
        <w:spacing w:before="0" w:after="0"/>
        <w:ind w:left="14"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pBdr>
          <w:bottom w:val="single" w:sz="2" w:space="1" w:color="000000"/>
        </w:pBdr>
        <w:bidi w:val="0"/>
        <w:spacing w:before="0" w:after="240"/>
        <w:ind w:left="0" w:right="0" w:hanging="0"/>
        <w:jc w:val="both"/>
        <w:rPr>
          <w:rFonts w:ascii="Times New Roman;Times;serif" w:hAnsi="Times New Roman;Times;serif"/>
          <w:b/>
          <w:sz w:val="20"/>
        </w:rPr>
      </w:pPr>
      <w:bookmarkStart w:id="869" w:name="Item6Exhibits_556633"/>
      <w:bookmarkStart w:id="870" w:name="_4d15a1eb_75e5_49eb_b1b1_92939d06fa51"/>
      <w:bookmarkEnd w:id="869"/>
      <w:bookmarkEnd w:id="870"/>
      <w:r>
        <w:rPr>
          <w:rFonts w:ascii="Times New Roman;Times;serif" w:hAnsi="Times New Roman;Times;serif"/>
          <w:b/>
          <w:sz w:val="20"/>
        </w:rPr>
        <w:t>Item 6.         Exhibits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exhibits are included with this Quarterly Report on Form 10-Q:</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76"/>
        <w:gridCol w:w="206"/>
        <w:gridCol w:w="4968"/>
        <w:gridCol w:w="206"/>
        <w:gridCol w:w="511"/>
        <w:gridCol w:w="206"/>
        <w:gridCol w:w="749"/>
        <w:gridCol w:w="206"/>
        <w:gridCol w:w="631"/>
        <w:gridCol w:w="206"/>
        <w:gridCol w:w="651"/>
        <w:gridCol w:w="206"/>
        <w:gridCol w:w="783"/>
      </w:tblGrid>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both"/>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 </w:t>
            </w:r>
          </w:p>
        </w:tc>
        <w:tc>
          <w:tcPr>
            <w:tcW w:w="206" w:type="dxa"/>
            <w:tcBorders/>
            <w:vAlign w:val="center"/>
          </w:tcPr>
          <w:p>
            <w:pPr>
              <w:pStyle w:val="TableContents"/>
              <w:bidi w:val="0"/>
              <w:spacing w:before="0" w:after="0"/>
              <w:ind w:left="0" w:right="0" w:hanging="0"/>
              <w:jc w:val="both"/>
              <w:rPr/>
            </w:pPr>
            <w:r>
              <w:rPr/>
              <w:t>​</w:t>
            </w:r>
          </w:p>
        </w:tc>
        <w:tc>
          <w:tcPr>
            <w:tcW w:w="230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br/>
            </w:r>
            <w:r>
              <w:rPr>
                <w:rFonts w:ascii="Times New Roman;Times;serif" w:hAnsi="Times New Roman;Times;serif"/>
                <w:b/>
                <w:sz w:val="16"/>
              </w:rPr>
              <w:t>number</w:t>
            </w:r>
          </w:p>
        </w:tc>
        <w:tc>
          <w:tcPr>
            <w:tcW w:w="206" w:type="dxa"/>
            <w:tcBorders/>
            <w:vAlign w:val="center"/>
          </w:tcPr>
          <w:p>
            <w:pPr>
              <w:pStyle w:val="TableContents"/>
              <w:bidi w:val="0"/>
              <w:spacing w:before="0" w:after="0"/>
              <w:ind w:left="0" w:right="0" w:hanging="0"/>
              <w:jc w:val="both"/>
              <w:rPr/>
            </w:pPr>
            <w:r>
              <w:rPr/>
              <w:t>  </w:t>
            </w:r>
          </w:p>
        </w:tc>
        <w:tc>
          <w:tcPr>
            <w:tcW w:w="496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206" w:type="dxa"/>
            <w:tcBorders/>
            <w:vAlign w:val="center"/>
          </w:tcPr>
          <w:p>
            <w:pPr>
              <w:pStyle w:val="TableContents"/>
              <w:bidi w:val="0"/>
              <w:spacing w:before="0" w:after="0"/>
              <w:ind w:left="0" w:right="0" w:hanging="0"/>
              <w:jc w:val="both"/>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206" w:type="dxa"/>
            <w:tcBorders/>
            <w:vAlign w:val="center"/>
          </w:tcPr>
          <w:p>
            <w:pPr>
              <w:pStyle w:val="TableContents"/>
              <w:bidi w:val="0"/>
              <w:spacing w:before="0" w:after="0"/>
              <w:ind w:left="0" w:right="0" w:hanging="0"/>
              <w:jc w:val="both"/>
              <w:rPr/>
            </w:pPr>
            <w:r>
              <w:rPr/>
              <w:t>  </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206" w:type="dxa"/>
            <w:tcBorders/>
            <w:vAlign w:val="center"/>
          </w:tcPr>
          <w:p>
            <w:pPr>
              <w:pStyle w:val="TableContents"/>
              <w:bidi w:val="0"/>
              <w:spacing w:before="0" w:after="0"/>
              <w:ind w:left="0" w:right="0" w:hanging="0"/>
              <w:jc w:val="both"/>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206" w:type="dxa"/>
            <w:tcBorders/>
            <w:vAlign w:val="center"/>
          </w:tcPr>
          <w:p>
            <w:pPr>
              <w:pStyle w:val="TableContents"/>
              <w:bidi w:val="0"/>
              <w:spacing w:before="0" w:after="0"/>
              <w:ind w:left="0" w:right="0" w:hanging="0"/>
              <w:jc w:val="both"/>
              <w:rPr/>
            </w:pPr>
            <w:r>
              <w:rPr/>
              <w:t>  </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206" w:type="dxa"/>
            <w:tcBorders/>
            <w:vAlign w:val="center"/>
          </w:tcPr>
          <w:p>
            <w:pPr>
              <w:pStyle w:val="TableContents"/>
              <w:bidi w:val="0"/>
              <w:spacing w:before="0" w:after="0"/>
              <w:ind w:left="0" w:right="0" w:hanging="0"/>
              <w:jc w:val="both"/>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Certificate of Incorporation (Delaware).</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10/17/18</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Certificate of Amendment to Certificate of Incorporation.</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5/27/2022</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Certificate of Amendment to Amended and Restated Certificate of Incorporation</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1/26/2023</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Bylaws of Marker Therapeutics, Inc.</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10/17/18</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Separation Agreement between Marker Therapeutics, Inc. and Peter Hoang dated as of April 27, 2023.</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5/15/2023</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Purchase Agreement between Cell Ready, LLC and Marker Therapeutics, Inc., dated May 1, 2023</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5/15/2023</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hyperlink w:anchor="mrkr-20230630xex31d1.htm">
              <w:r>
                <w:rPr>
                  <w:rStyle w:val="InternetLink"/>
                  <w:rFonts w:ascii="Times New Roman;Times;serif" w:hAnsi="Times New Roman;Times;serif"/>
                  <w:b w:val="false"/>
                  <w:i w:val="false"/>
                  <w:caps w:val="false"/>
                  <w:smallCaps w:val="false"/>
                  <w:sz w:val="20"/>
                </w:rPr>
                <w:t>Certification of Chief Executive Officer Pursuant to Rule 13a-14(a) or 15d-14(a) of the Securities Exchange Act of 1933, as amended.</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hyperlink w:anchor="mrkr-20230630xex31d2.htm">
              <w:r>
                <w:rPr>
                  <w:rStyle w:val="InternetLink"/>
                  <w:rFonts w:ascii="Times New Roman;Times;serif" w:hAnsi="Times New Roman;Times;serif"/>
                  <w:b w:val="false"/>
                  <w:i w:val="false"/>
                  <w:caps w:val="false"/>
                  <w:smallCaps w:val="false"/>
                  <w:sz w:val="20"/>
                </w:rPr>
                <w:t>Certification of Chief Financial Officer Pursuant to Rule 13a-14(a) or 15d-14(a) of the Securities Exchange Act of 1933, as amended.</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32.1</w:t>
            </w:r>
            <w:r>
              <w:rPr>
                <w:rFonts w:ascii="Times New Roman;Times;serif" w:hAnsi="Times New Roman;Times;serif"/>
                <w:sz w:val="15"/>
              </w:rPr>
              <w:t>*</w:t>
            </w:r>
          </w:p>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hyperlink w:anchor="mrkr-20230630xex32d1.htm">
              <w:r>
                <w:rPr>
                  <w:rStyle w:val="InternetLink"/>
                  <w:rFonts w:ascii="Times New Roman;Times;serif" w:hAnsi="Times New Roman;Times;serif"/>
                  <w:b w:val="false"/>
                  <w:i w:val="false"/>
                  <w:caps w:val="false"/>
                  <w:smallCaps w:val="false"/>
                  <w:sz w:val="20"/>
                </w:rPr>
                <w:t>Certification of Chief Executive Officer Pursuant to 18 U.S.C. 1350 as adopted pursuant to Section 906 of the Sarbanes-Oxley Act of 2002.</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32.2</w:t>
            </w:r>
            <w:r>
              <w:rPr>
                <w:rFonts w:ascii="Times New Roman;Times;serif" w:hAnsi="Times New Roman;Times;serif"/>
                <w:sz w:val="15"/>
              </w:rPr>
              <w:t>*</w:t>
            </w:r>
          </w:p>
        </w:tc>
        <w:tc>
          <w:tcPr>
            <w:tcW w:w="206" w:type="dxa"/>
            <w:tcBorders/>
            <w:vAlign w:val="center"/>
          </w:tcPr>
          <w:p>
            <w:pPr>
              <w:pStyle w:val="TableContents"/>
              <w:bidi w:val="0"/>
              <w:spacing w:before="0" w:after="0"/>
              <w:ind w:left="0" w:right="0" w:hanging="0"/>
              <w:jc w:val="both"/>
              <w:rPr/>
            </w:pPr>
            <w:r>
              <w:rPr/>
              <w:t>​</w:t>
            </w:r>
          </w:p>
        </w:tc>
        <w:tc>
          <w:tcPr>
            <w:tcW w:w="4968" w:type="dxa"/>
            <w:tcBorders/>
            <w:vAlign w:val="center"/>
          </w:tcPr>
          <w:p>
            <w:pPr>
              <w:pStyle w:val="TableContents"/>
              <w:bidi w:val="0"/>
              <w:spacing w:before="0" w:after="0"/>
              <w:ind w:left="0" w:right="0" w:hanging="0"/>
              <w:jc w:val="both"/>
              <w:rPr/>
            </w:pPr>
            <w:hyperlink w:anchor="mrkr-20230630xex32d2.htm">
              <w:r>
                <w:rPr>
                  <w:rStyle w:val="InternetLink"/>
                  <w:rFonts w:ascii="Times New Roman;Times;serif" w:hAnsi="Times New Roman;Times;serif"/>
                  <w:b w:val="false"/>
                  <w:i w:val="false"/>
                  <w:caps w:val="false"/>
                  <w:smallCaps w:val="false"/>
                  <w:sz w:val="20"/>
                </w:rPr>
                <w:t>Certification of Chief Financial Officer and Principal Financial Officer pursuant to 18 U.S.C. 1350 as adopted pursuant to Section 906 of the Sarbanes-Oxley Act of 2002.</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4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5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 101</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101.INS - XBRL Instance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101.SCH - XBRL Taxonomy Extension Schema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101.CAL - XBRL Taxonomy Extension Calculation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101.DEF - XBRL Taxonomy Extension Definition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101.LAB - XBRL Taxonomy Extension Label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101.PRE - XBRL Taxonomy Extension Presentation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        - Cover Page Interactive Data File (formatted as Inline XBRL and contained in Exhibit 101 filed herewith).</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Certain schedules to this agreement have been omitted in accordance with Item 601(b)(2) of Regulation S-K. A copy of any omitted schedules will be furnished supplementally to the SEC upon request.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871" w:name="SIGNATURES_208803"/>
      <w:bookmarkStart w:id="872" w:name="_08cfb308_c4cf_4bb8_9791_fdb167fbf524"/>
      <w:bookmarkEnd w:id="871"/>
      <w:bookmarkEnd w:id="872"/>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the requirements of the Exchange Act, the registrant caused this report to be signed on its behalf by the undersigned, thereunto duly authorized.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August 14, 2023</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MARKER THERAPEUTICS, INC.</w:t>
      </w:r>
    </w:p>
    <w:p>
      <w:pPr>
        <w:pStyle w:val="TextBody"/>
        <w:bidi w:val="0"/>
        <w:spacing w:before="0" w:after="0"/>
        <w:ind w:left="0" w:right="0" w:hanging="0"/>
        <w:jc w:val="center"/>
        <w:rPr/>
      </w:pPr>
      <w:r>
        <w:rPr/>
        <w:t>​</w:t>
      </w:r>
    </w:p>
    <w:tbl>
      <w:tblPr>
        <w:tblW w:w="7389" w:type="dxa"/>
        <w:jc w:val="left"/>
        <w:tblInd w:w="0" w:type="dxa"/>
        <w:tblLayout w:type="fixed"/>
        <w:tblCellMar>
          <w:top w:w="0" w:type="dxa"/>
          <w:left w:w="0" w:type="dxa"/>
          <w:bottom w:w="0" w:type="dxa"/>
          <w:right w:w="0" w:type="dxa"/>
        </w:tblCellMar>
      </w:tblPr>
      <w:tblGrid>
        <w:gridCol w:w="124"/>
        <w:gridCol w:w="7111"/>
        <w:gridCol w:w="154"/>
      </w:tblGrid>
      <w:tr>
        <w:trPr/>
        <w:tc>
          <w:tcPr>
            <w:tcW w:w="124" w:type="dxa"/>
            <w:tcBorders/>
            <w:vAlign w:val="center"/>
          </w:tcPr>
          <w:p>
            <w:pPr>
              <w:pStyle w:val="TableContents"/>
              <w:bidi w:val="0"/>
              <w:spacing w:before="0" w:after="0"/>
              <w:ind w:left="0" w:right="0" w:hanging="0"/>
              <w:jc w:val="both"/>
              <w:rPr/>
            </w:pPr>
            <w:r>
              <w:rPr/>
              <w:t>​</w:t>
            </w:r>
          </w:p>
        </w:tc>
        <w:tc>
          <w:tcPr>
            <w:tcW w:w="71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Juan Vera</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711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71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Chief Executive Officer and Principal Executive Officer</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711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71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Eliot M. Lurier</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711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Eliot M. Lurier</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71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Interim Chief Financial Officer and Interim Principal Financial and Accounting Officer</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0"/>
        <w:ind w:left="0" w:right="0" w:hanging="0"/>
        <w:jc w:val="right"/>
        <w:rPr>
          <w:rFonts w:ascii="Times New Roman;Times;serif" w:hAnsi="Times New Roman;Times;serif"/>
          <w:b/>
          <w:sz w:val="20"/>
        </w:rPr>
      </w:pPr>
      <w:bookmarkStart w:id="873" w:name="mrkr-20230630xex31d1.htm"/>
      <w:bookmarkStart w:id="874" w:name="ksmrkr20230630xex31d1"/>
      <w:bookmarkEnd w:id="873"/>
      <w:bookmarkEnd w:id="874"/>
      <w:r>
        <w:rPr>
          <w:rFonts w:ascii="Times New Roman;Times;serif" w:hAnsi="Times New Roman;Times;serif"/>
          <w:b/>
          <w:sz w:val="20"/>
        </w:rPr>
        <w:t>Exhibit 31.1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Juan Vera, certify that:</w:t>
      </w:r>
    </w:p>
    <w:p>
      <w:pPr>
        <w:pStyle w:val="TextBody"/>
        <w:bidi w:val="0"/>
        <w:spacing w:before="0" w:after="0"/>
        <w:ind w:left="0" w:right="0" w:hanging="0"/>
        <w:jc w:val="both"/>
        <w:rPr/>
      </w:pPr>
      <w:r>
        <w:rPr/>
        <w:t>​</w:t>
      </w:r>
    </w:p>
    <w:tbl>
      <w:tblPr>
        <w:tblW w:w="6850" w:type="dxa"/>
        <w:jc w:val="left"/>
        <w:tblInd w:w="0" w:type="dxa"/>
        <w:tblLayout w:type="fixed"/>
        <w:tblCellMar>
          <w:top w:w="0" w:type="dxa"/>
          <w:left w:w="0" w:type="dxa"/>
          <w:bottom w:w="0" w:type="dxa"/>
          <w:right w:w="0" w:type="dxa"/>
        </w:tblCellMar>
      </w:tblPr>
      <w:tblGrid>
        <w:gridCol w:w="245"/>
        <w:gridCol w:w="6605"/>
      </w:tblGrid>
      <w:tr>
        <w:trPr/>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6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Marker Therapeutics,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999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121" w:type="dxa"/>
        <w:jc w:val="center"/>
        <w:tblInd w:w="0" w:type="dxa"/>
        <w:tblLayout w:type="fixed"/>
        <w:tblCellMar>
          <w:top w:w="0" w:type="dxa"/>
          <w:left w:w="0" w:type="dxa"/>
          <w:bottom w:w="0" w:type="dxa"/>
          <w:right w:w="0" w:type="dxa"/>
        </w:tblCellMar>
      </w:tblPr>
      <w:tblGrid>
        <w:gridCol w:w="571"/>
        <w:gridCol w:w="4396"/>
        <w:gridCol w:w="154"/>
      </w:tblGrid>
      <w:tr>
        <w:trPr/>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14, 2023</w:t>
            </w:r>
          </w:p>
        </w:tc>
        <w:tc>
          <w:tcPr>
            <w:tcW w:w="154" w:type="dxa"/>
            <w:tcBorders/>
            <w:vAlign w:val="center"/>
          </w:tcPr>
          <w:p>
            <w:pPr>
              <w:pStyle w:val="TableContents"/>
              <w:bidi w:val="0"/>
              <w:spacing w:before="0" w:after="0"/>
              <w:ind w:left="0" w:right="0" w:hanging="0"/>
              <w:jc w:val="left"/>
              <w:rPr/>
            </w:pPr>
            <w:r>
              <w:rPr/>
              <w:t>​</w:t>
            </w:r>
          </w:p>
        </w:tc>
      </w:tr>
      <w:tr>
        <w:trPr/>
        <w:tc>
          <w:tcPr>
            <w:tcW w:w="496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96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Juan Vera</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left"/>
              <w:rPr/>
            </w:pPr>
            <w:r>
              <w:rPr/>
              <w:t>​</w:t>
            </w:r>
          </w:p>
        </w:tc>
      </w:tr>
      <w:tr>
        <w:trPr/>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875" w:name="mrkr-20230630xex31d2.htm"/>
      <w:bookmarkStart w:id="876" w:name="ksmrkr20230630xex31d2"/>
      <w:bookmarkEnd w:id="875"/>
      <w:bookmarkEnd w:id="876"/>
      <w:r>
        <w:rPr>
          <w:rFonts w:ascii="Times New Roman;Times;serif" w:hAnsi="Times New Roman;Times;serif"/>
          <w:b/>
          <w:sz w:val="20"/>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Eliot M. Lurier, certify that:</w:t>
      </w:r>
    </w:p>
    <w:p>
      <w:pPr>
        <w:pStyle w:val="TextBody"/>
        <w:bidi w:val="0"/>
        <w:spacing w:before="0" w:after="0"/>
        <w:ind w:left="0" w:right="0" w:hanging="0"/>
        <w:jc w:val="both"/>
        <w:rPr/>
      </w:pPr>
      <w:r>
        <w:rPr/>
        <w:t>​</w:t>
      </w:r>
    </w:p>
    <w:tbl>
      <w:tblPr>
        <w:tblW w:w="6850" w:type="dxa"/>
        <w:jc w:val="left"/>
        <w:tblInd w:w="0" w:type="dxa"/>
        <w:tblLayout w:type="fixed"/>
        <w:tblCellMar>
          <w:top w:w="0" w:type="dxa"/>
          <w:left w:w="0" w:type="dxa"/>
          <w:bottom w:w="0" w:type="dxa"/>
          <w:right w:w="0" w:type="dxa"/>
        </w:tblCellMar>
      </w:tblPr>
      <w:tblGrid>
        <w:gridCol w:w="245"/>
        <w:gridCol w:w="6605"/>
      </w:tblGrid>
      <w:tr>
        <w:trPr/>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6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Marker Therapeutics,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999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8132" w:type="dxa"/>
        <w:jc w:val="center"/>
        <w:tblInd w:w="0" w:type="dxa"/>
        <w:tblLayout w:type="fixed"/>
        <w:tblCellMar>
          <w:top w:w="0" w:type="dxa"/>
          <w:left w:w="0" w:type="dxa"/>
          <w:bottom w:w="0" w:type="dxa"/>
          <w:right w:w="0" w:type="dxa"/>
        </w:tblCellMar>
      </w:tblPr>
      <w:tblGrid>
        <w:gridCol w:w="1093"/>
        <w:gridCol w:w="1969"/>
        <w:gridCol w:w="4916"/>
        <w:gridCol w:w="154"/>
      </w:tblGrid>
      <w:tr>
        <w:trPr/>
        <w:tc>
          <w:tcPr>
            <w:tcW w:w="10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68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14, 2023</w:t>
            </w:r>
          </w:p>
        </w:tc>
        <w:tc>
          <w:tcPr>
            <w:tcW w:w="154" w:type="dxa"/>
            <w:tcBorders/>
            <w:vAlign w:val="center"/>
          </w:tcPr>
          <w:p>
            <w:pPr>
              <w:pStyle w:val="TableContents"/>
              <w:bidi w:val="0"/>
              <w:spacing w:before="0" w:after="0"/>
              <w:ind w:left="0" w:right="0" w:hanging="0"/>
              <w:jc w:val="left"/>
              <w:rPr/>
            </w:pPr>
            <w:r>
              <w:rPr/>
              <w:t>​</w:t>
            </w:r>
          </w:p>
        </w:tc>
      </w:tr>
      <w:tr>
        <w:trPr/>
        <w:tc>
          <w:tcPr>
            <w:tcW w:w="7978" w:type="dxa"/>
            <w:gridSpan w:val="3"/>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06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Eliot M. Lurier</w:t>
            </w:r>
          </w:p>
        </w:tc>
        <w:tc>
          <w:tcPr>
            <w:tcW w:w="49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0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88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Eliot M. Lurier</w:t>
            </w:r>
          </w:p>
        </w:tc>
        <w:tc>
          <w:tcPr>
            <w:tcW w:w="154" w:type="dxa"/>
            <w:tcBorders/>
            <w:vAlign w:val="center"/>
          </w:tcPr>
          <w:p>
            <w:pPr>
              <w:pStyle w:val="TableContents"/>
              <w:bidi w:val="0"/>
              <w:spacing w:before="0" w:after="0"/>
              <w:ind w:left="0" w:right="0" w:hanging="0"/>
              <w:jc w:val="left"/>
              <w:rPr/>
            </w:pPr>
            <w:r>
              <w:rPr/>
              <w:t>​</w:t>
            </w:r>
          </w:p>
        </w:tc>
      </w:tr>
      <w:tr>
        <w:trPr/>
        <w:tc>
          <w:tcPr>
            <w:tcW w:w="10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68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Financial Officer (Interim Principal Financial and Accounting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877" w:name="mrkr-20230630xex32d1.htm"/>
      <w:bookmarkStart w:id="878" w:name="ksmrkr20230630xex32d1"/>
      <w:bookmarkEnd w:id="877"/>
      <w:bookmarkEnd w:id="878"/>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undersigned, Juan Vera, the Chief Executive Officer of Marker Therapeutics, Inc. (the “Company”) hereby certifies, pursuant to 18 U.S.C. Section 1350, as adopted pursuant to Section 906 of the Sarbanes-Oxley Act of 2002, that, to the best of his knowledge, the Quarterly Report on Form 10-Q for the period ended June 30, 2023,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pStyle w:val="TextBody"/>
        <w:bidi w:val="0"/>
        <w:spacing w:before="0" w:after="0"/>
        <w:ind w:left="0" w:right="0" w:hanging="0"/>
        <w:jc w:val="left"/>
        <w:rPr/>
      </w:pPr>
      <w:r>
        <w:rPr/>
        <w:t>​</w:t>
      </w:r>
    </w:p>
    <w:tbl>
      <w:tblPr>
        <w:tblW w:w="5105" w:type="dxa"/>
        <w:jc w:val="center"/>
        <w:tblInd w:w="0" w:type="dxa"/>
        <w:tblLayout w:type="fixed"/>
        <w:tblCellMar>
          <w:top w:w="0" w:type="dxa"/>
          <w:left w:w="0" w:type="dxa"/>
          <w:bottom w:w="0" w:type="dxa"/>
          <w:right w:w="0" w:type="dxa"/>
        </w:tblCellMar>
      </w:tblPr>
      <w:tblGrid>
        <w:gridCol w:w="556"/>
        <w:gridCol w:w="4027"/>
        <w:gridCol w:w="368"/>
        <w:gridCol w:w="154"/>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14, 2023</w:t>
            </w:r>
          </w:p>
        </w:tc>
        <w:tc>
          <w:tcPr>
            <w:tcW w:w="154" w:type="dxa"/>
            <w:tcBorders/>
            <w:vAlign w:val="center"/>
          </w:tcPr>
          <w:p>
            <w:pPr>
              <w:pStyle w:val="TableContents"/>
              <w:bidi w:val="0"/>
              <w:spacing w:before="0" w:after="0"/>
              <w:ind w:left="0" w:right="0" w:hanging="0"/>
              <w:jc w:val="left"/>
              <w:rPr/>
            </w:pPr>
            <w:r>
              <w:rPr/>
              <w:t>​</w:t>
            </w:r>
          </w:p>
        </w:tc>
      </w:tr>
      <w:tr>
        <w:trPr/>
        <w:tc>
          <w:tcPr>
            <w:tcW w:w="4951" w:type="dxa"/>
            <w:gridSpan w:val="3"/>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402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Juan Vera</w:t>
            </w:r>
          </w:p>
        </w:tc>
        <w:tc>
          <w:tcPr>
            <w:tcW w:w="3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879" w:name="mrkr-20230630xex32d2.htm"/>
      <w:bookmarkStart w:id="880" w:name="ksmrkr20230630xex32d2"/>
      <w:bookmarkEnd w:id="879"/>
      <w:bookmarkEnd w:id="880"/>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undersigned, Eliot M. Lurier, the Interim Chief Financial Officer of Marker Therapeutics, Inc. (the “Company”) hereby certifies, pursuant to 18 U.S.C. Section 1350, as adopted pursuant to Section 906 of the Sarbanes-Oxley Act of 2002, that, to the best of his knowledge, the Quarterly Report on Form 10-Q for the period ended June 30, 2023,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pStyle w:val="TextBody"/>
        <w:bidi w:val="0"/>
        <w:spacing w:before="0" w:after="0"/>
        <w:ind w:left="0" w:right="0" w:hanging="0"/>
        <w:jc w:val="left"/>
        <w:rPr/>
      </w:pPr>
      <w:r>
        <w:rPr/>
        <w:t>​</w:t>
      </w:r>
    </w:p>
    <w:tbl>
      <w:tblPr>
        <w:tblW w:w="7595" w:type="dxa"/>
        <w:jc w:val="center"/>
        <w:tblInd w:w="0" w:type="dxa"/>
        <w:tblLayout w:type="fixed"/>
        <w:tblCellMar>
          <w:top w:w="0" w:type="dxa"/>
          <w:left w:w="0" w:type="dxa"/>
          <w:bottom w:w="0" w:type="dxa"/>
          <w:right w:w="0" w:type="dxa"/>
        </w:tblCellMar>
      </w:tblPr>
      <w:tblGrid>
        <w:gridCol w:w="556"/>
        <w:gridCol w:w="6436"/>
        <w:gridCol w:w="449"/>
        <w:gridCol w:w="154"/>
      </w:tblGrid>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68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14, 2023</w:t>
            </w:r>
          </w:p>
        </w:tc>
        <w:tc>
          <w:tcPr>
            <w:tcW w:w="154" w:type="dxa"/>
            <w:tcBorders/>
            <w:vAlign w:val="center"/>
          </w:tcPr>
          <w:p>
            <w:pPr>
              <w:pStyle w:val="TableContents"/>
              <w:bidi w:val="0"/>
              <w:spacing w:before="0" w:after="0"/>
              <w:ind w:left="0" w:right="0" w:hanging="0"/>
              <w:jc w:val="left"/>
              <w:rPr/>
            </w:pPr>
            <w:r>
              <w:rPr/>
              <w:t>​</w:t>
            </w:r>
          </w:p>
        </w:tc>
      </w:tr>
      <w:tr>
        <w:trPr/>
        <w:tc>
          <w:tcPr>
            <w:tcW w:w="7441" w:type="dxa"/>
            <w:gridSpan w:val="3"/>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6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Eliot M. Lurier</w:t>
            </w:r>
          </w:p>
        </w:tc>
        <w:tc>
          <w:tcPr>
            <w:tcW w:w="4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688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Eliot M. Lurier</w:t>
            </w:r>
          </w:p>
        </w:tc>
        <w:tc>
          <w:tcPr>
            <w:tcW w:w="154"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688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Financial Officer (Interim Principal Financial and Accounting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094038/000114420418054209/tv504951_ex3-4.htm" TargetMode="External"/><Relationship Id="rId5" Type="http://schemas.openxmlformats.org/officeDocument/2006/relationships/hyperlink" Target="https://www.sec.gov/Archives/edgar/data/1094038/000119312522162322/d480537dex31.htm" TargetMode="External"/><Relationship Id="rId6" Type="http://schemas.openxmlformats.org/officeDocument/2006/relationships/hyperlink" Target="https://www.sec.gov/Archives/edgar/data/1094038/000110465923007019/tm234466d1_ex3-1.htm" TargetMode="External"/><Relationship Id="rId7" Type="http://schemas.openxmlformats.org/officeDocument/2006/relationships/hyperlink" Target="https://www.sec.gov/Archives/edgar/data/1094038/000114420418054209/tv504951_ex3-6.htm" TargetMode="External"/><Relationship Id="rId8" Type="http://schemas.openxmlformats.org/officeDocument/2006/relationships/hyperlink" Target="https://www.sec.gov/Archives/edgar/data/1094038/000141057823001217/mrkr-20230331xex10d1.htm" TargetMode="External"/><Relationship Id="rId9" Type="http://schemas.openxmlformats.org/officeDocument/2006/relationships/hyperlink" Target="https://www.sec.gov/Archives/edgar/data/1094038/000141057823001217/mrkr-20230331xex10d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15952</Words>
  <Characters>88899</Characters>
  <CharactersWithSpaces>106073</CharactersWithSpaces>
  <Paragraphs>4001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