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56"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256"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transition period from ________________ to ________________</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Commission file number 000-27239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TAPIMMUNE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70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80" w:type="dxa"/>
            <w:vAlign w:val="bottom"/>
            <w:gridSpan w:val="4"/>
          </w:tcPr>
          <w:p>
            <w:pPr>
              <w:jc w:val="center"/>
              <w:ind w:right="3000"/>
              <w:spacing w:after="0"/>
              <w:rPr>
                <w:sz w:val="20"/>
                <w:szCs w:val="20"/>
                <w:color w:val="auto"/>
              </w:rPr>
            </w:pPr>
            <w:r>
              <w:rPr>
                <w:rFonts w:ascii="Arial" w:cs="Arial" w:eastAsia="Arial" w:hAnsi="Arial"/>
                <w:sz w:val="18"/>
                <w:szCs w:val="18"/>
                <w:b w:val="1"/>
                <w:bCs w:val="1"/>
                <w:color w:val="auto"/>
                <w:w w:val="90"/>
              </w:rPr>
              <w:t>Nevada</w:t>
            </w:r>
          </w:p>
        </w:tc>
        <w:tc>
          <w:tcPr>
            <w:tcW w:w="374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88-0277072</w:t>
            </w:r>
          </w:p>
        </w:tc>
      </w:tr>
      <w:tr>
        <w:trPr>
          <w:trHeight w:val="20"/>
        </w:trPr>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5440" w:type="dxa"/>
            <w:vAlign w:val="bottom"/>
            <w:gridSpan w:val="7"/>
          </w:tcPr>
          <w:p>
            <w:pPr>
              <w:jc w:val="center"/>
              <w:ind w:right="1140"/>
              <w:spacing w:after="0"/>
              <w:rPr>
                <w:sz w:val="20"/>
                <w:szCs w:val="20"/>
                <w:color w:val="auto"/>
              </w:rPr>
            </w:pPr>
            <w:r>
              <w:rPr>
                <w:rFonts w:ascii="Arial" w:cs="Arial" w:eastAsia="Arial" w:hAnsi="Arial"/>
                <w:sz w:val="18"/>
                <w:szCs w:val="18"/>
                <w:color w:val="auto"/>
                <w:w w:val="92"/>
              </w:rPr>
              <w:t>(State or other jurisdiction of incorporation of organization)</w:t>
            </w:r>
          </w:p>
        </w:tc>
        <w:tc>
          <w:tcPr>
            <w:tcW w:w="3740" w:type="dxa"/>
            <w:vAlign w:val="bottom"/>
            <w:gridSpan w:val="3"/>
          </w:tcPr>
          <w:p>
            <w:pPr>
              <w:jc w:val="center"/>
              <w:ind w:left="1030"/>
              <w:spacing w:after="0"/>
              <w:rPr>
                <w:sz w:val="20"/>
                <w:szCs w:val="20"/>
                <w:color w:val="auto"/>
              </w:rPr>
            </w:pPr>
            <w:r>
              <w:rPr>
                <w:rFonts w:ascii="Arial" w:cs="Arial" w:eastAsia="Arial" w:hAnsi="Arial"/>
                <w:sz w:val="18"/>
                <w:szCs w:val="18"/>
                <w:color w:val="auto"/>
                <w:w w:val="94"/>
              </w:rPr>
              <w:t>(I.R.S. Employer Identification No.)</w:t>
            </w:r>
          </w:p>
        </w:tc>
      </w:tr>
      <w:tr>
        <w:trPr>
          <w:trHeight w:val="419"/>
        </w:trPr>
        <w:tc>
          <w:tcPr>
            <w:tcW w:w="720" w:type="dxa"/>
            <w:vAlign w:val="bottom"/>
          </w:tcPr>
          <w:p>
            <w:pPr>
              <w:spacing w:after="0"/>
              <w:rPr>
                <w:sz w:val="24"/>
                <w:szCs w:val="24"/>
                <w:color w:val="auto"/>
              </w:rPr>
            </w:pPr>
          </w:p>
        </w:tc>
        <w:tc>
          <w:tcPr>
            <w:tcW w:w="4720" w:type="dxa"/>
            <w:vAlign w:val="bottom"/>
            <w:gridSpan w:val="6"/>
          </w:tcPr>
          <w:p>
            <w:pPr>
              <w:jc w:val="center"/>
              <w:ind w:right="1860"/>
              <w:spacing w:after="0"/>
              <w:rPr>
                <w:sz w:val="20"/>
                <w:szCs w:val="20"/>
                <w:color w:val="auto"/>
              </w:rPr>
            </w:pPr>
            <w:r>
              <w:rPr>
                <w:rFonts w:ascii="Arial" w:cs="Arial" w:eastAsia="Arial" w:hAnsi="Arial"/>
                <w:sz w:val="18"/>
                <w:szCs w:val="18"/>
                <w:b w:val="1"/>
                <w:bCs w:val="1"/>
                <w:color w:val="auto"/>
                <w:w w:val="89"/>
              </w:rPr>
              <w:t>1551 Eastlake Avenue East, Suite 100</w:t>
            </w:r>
          </w:p>
        </w:tc>
        <w:tc>
          <w:tcPr>
            <w:tcW w:w="28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98102</w:t>
            </w:r>
          </w:p>
        </w:tc>
        <w:tc>
          <w:tcPr>
            <w:tcW w:w="88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gridSpan w:val="4"/>
          </w:tcPr>
          <w:p>
            <w:pPr>
              <w:jc w:val="center"/>
              <w:ind w:right="660"/>
              <w:spacing w:after="0" w:line="196" w:lineRule="exact"/>
              <w:rPr>
                <w:sz w:val="20"/>
                <w:szCs w:val="20"/>
                <w:color w:val="auto"/>
              </w:rPr>
            </w:pPr>
            <w:r>
              <w:rPr>
                <w:rFonts w:ascii="Arial" w:cs="Arial" w:eastAsia="Arial" w:hAnsi="Arial"/>
                <w:sz w:val="18"/>
                <w:szCs w:val="18"/>
                <w:b w:val="1"/>
                <w:bCs w:val="1"/>
                <w:color w:val="auto"/>
                <w:w w:val="88"/>
              </w:rPr>
              <w:t>Seattle, Washington</w:t>
            </w:r>
          </w:p>
        </w:tc>
        <w:tc>
          <w:tcPr>
            <w:tcW w:w="18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1400" w:type="dxa"/>
            <w:vAlign w:val="bottom"/>
            <w:gridSpan w:val="2"/>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r>
      <w:tr>
        <w:trPr>
          <w:trHeight w:val="237"/>
        </w:trPr>
        <w:tc>
          <w:tcPr>
            <w:tcW w:w="5440" w:type="dxa"/>
            <w:vAlign w:val="bottom"/>
            <w:gridSpan w:val="7"/>
          </w:tcPr>
          <w:p>
            <w:pPr>
              <w:jc w:val="center"/>
              <w:ind w:right="1140"/>
              <w:spacing w:after="0"/>
              <w:rPr>
                <w:sz w:val="20"/>
                <w:szCs w:val="20"/>
                <w:color w:val="auto"/>
              </w:rPr>
            </w:pPr>
            <w:r>
              <w:rPr>
                <w:rFonts w:ascii="Arial" w:cs="Arial" w:eastAsia="Arial" w:hAnsi="Arial"/>
                <w:sz w:val="18"/>
                <w:szCs w:val="18"/>
                <w:color w:val="auto"/>
                <w:w w:val="92"/>
              </w:rPr>
              <w:t>(Address of Principal Executive Offices)</w:t>
            </w:r>
          </w:p>
        </w:tc>
        <w:tc>
          <w:tcPr>
            <w:tcW w:w="1980" w:type="dxa"/>
            <w:vAlign w:val="bottom"/>
          </w:tcPr>
          <w:p>
            <w:pPr>
              <w:spacing w:after="0"/>
              <w:rPr>
                <w:sz w:val="20"/>
                <w:szCs w:val="20"/>
                <w:color w:val="auto"/>
              </w:rPr>
            </w:pPr>
          </w:p>
        </w:tc>
        <w:tc>
          <w:tcPr>
            <w:tcW w:w="176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(206) 504-7278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12(b) of the Act: </w:t>
      </w:r>
      <w:r>
        <w:rPr>
          <w:rFonts w:ascii="Arial" w:cs="Arial" w:eastAsia="Arial" w:hAnsi="Arial"/>
          <w:sz w:val="18"/>
          <w:szCs w:val="18"/>
          <w:b w:val="1"/>
          <w:bCs w:val="1"/>
          <w:u w:val="single" w:color="auto"/>
          <w:color w:val="auto"/>
        </w:rPr>
        <w:t>None</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 Par Value $0.001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of Section 15(d) of the Act.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checkmark whether the registrant is a large accelerated filer, an accelerated filer, a non-accelerated filer, or a smaller reporting company.</w:t>
      </w:r>
    </w:p>
    <w:p>
      <w:pPr>
        <w:sectPr>
          <w:pgSz w:w="11900" w:h="16838" w:orient="portrait"/>
          <w:cols w:equalWidth="0" w:num="1">
            <w:col w:w="11420"/>
          </w:cols>
          <w:pgMar w:left="240" w:top="229" w:right="239" w:bottom="734" w:gutter="0" w:footer="0" w:header="0"/>
        </w:sectPr>
      </w:pP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6480" w:space="720"/>
            <w:col w:w="4220"/>
          </w:cols>
          <w:pgMar w:left="240" w:top="229" w:right="239" w:bottom="734"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3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computed by reference to the price at which the registrant’s common equity was last sold, as of June 30, 2011 (the last day of the registrant’s most recently completed second fiscal quarter) was approximately $10,370,135.</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92,728,474 shares of common stock outstanding as of May 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467360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73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annual report contains forward-looking statements that involve risks and uncertainties.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you should consider various factors, including the assumptions, risks and uncertainties outlined in this annual report. Any of these items may cause our actual results to differ materially from any forward-looking statement made in this annual report. Forward-looking statements in this annual report include, among others, statements regarding our capital needs, business plans and expectations.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Some of the risks and assumptions include:</w:t>
      </w:r>
    </w:p>
    <w:p>
      <w:pPr>
        <w:spacing w:after="0" w:line="208"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for additional financing;</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history of operating losses;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insurance coverage;</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governmental regulation and administrative practices;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key personnel;</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conflicts of interest of our directors and officers;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fully implement our business plan;</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regulatory, legislative and judicial developments.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advise the reader that these cautionary remarks expressly qualify in their entirety all forward-looking statements attributable to us or persons acting on our behalf. The forward-looking statements in this annual report are made as of the date of this annual report and we do not intend or undertake to update any of the forward-looking statements to conform these statements to actual results, except as required by applicable law, including the securities laws of the United States.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TapImmune Inc. files annual, quarterly and current reports, proxy statements and other information with the Securities and Exchange Commission (the “SEC”). You may read and copy documents referred to in this Annual Report on Form 10-K that have been filed with the SEC at the SEC’s Public Reference Room, 450 Fifth Street, N.W., Washington, D.C. You may obtain information on the operation of the Public Reference Room by calling the SEC at 1-800-SEC-0330. You can also obtain copies of our SEC filings by going to the SEC’s website at http://www.sec.gov.</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REFERENCES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As used in this annual report: (i) the terms “we”, “us”, “our”, “TapImmune” and the “Company” mean TapImmune Inc.; (ii) “SEC” refers to the Securities and Exchange Commission; (iii) “Securities Act” refers to the United States </w:t>
      </w:r>
      <w:r>
        <w:rPr>
          <w:rFonts w:ascii="Arial" w:cs="Arial" w:eastAsia="Arial" w:hAnsi="Arial"/>
          <w:sz w:val="17"/>
          <w:szCs w:val="17"/>
          <w:i w:val="1"/>
          <w:iCs w:val="1"/>
          <w:color w:val="auto"/>
        </w:rPr>
        <w:t>Securities Act of 1933</w:t>
      </w:r>
      <w:r>
        <w:rPr>
          <w:rFonts w:ascii="Arial" w:cs="Arial" w:eastAsia="Arial" w:hAnsi="Arial"/>
          <w:sz w:val="17"/>
          <w:szCs w:val="17"/>
          <w:color w:val="auto"/>
        </w:rPr>
        <w:t xml:space="preserve">, as amended; (iv) “Exchange Act” refers to the United States </w:t>
      </w:r>
      <w:r>
        <w:rPr>
          <w:rFonts w:ascii="Arial" w:cs="Arial" w:eastAsia="Arial" w:hAnsi="Arial"/>
          <w:sz w:val="17"/>
          <w:szCs w:val="17"/>
          <w:i w:val="1"/>
          <w:iCs w:val="1"/>
          <w:color w:val="auto"/>
        </w:rPr>
        <w:t>Securities Exchange Act of 1934</w:t>
      </w:r>
      <w:r>
        <w:rPr>
          <w:rFonts w:ascii="Arial" w:cs="Arial" w:eastAsia="Arial" w:hAnsi="Arial"/>
          <w:sz w:val="17"/>
          <w:szCs w:val="17"/>
          <w:color w:val="auto"/>
        </w:rPr>
        <w:t>, as amended; and (v) all dollar amounts refer to United States dollars unless otherwise indicated.</w:t>
      </w:r>
    </w:p>
    <w:p>
      <w:pPr>
        <w:spacing w:after="0" w:line="19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__________</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8820" w:type="dxa"/>
            <w:vAlign w:val="bottom"/>
            <w:gridSpan w:val="3"/>
          </w:tcPr>
          <w:p>
            <w:pPr>
              <w:ind w:left="3680"/>
              <w:spacing w:after="0"/>
              <w:rPr>
                <w:sz w:val="20"/>
                <w:szCs w:val="20"/>
                <w:color w:val="auto"/>
              </w:rPr>
            </w:pPr>
            <w:r>
              <w:rPr>
                <w:rFonts w:ascii="Arial" w:cs="Arial" w:eastAsia="Arial" w:hAnsi="Arial"/>
                <w:sz w:val="18"/>
                <w:szCs w:val="18"/>
                <w:b w:val="1"/>
                <w:bCs w:val="1"/>
                <w:color w:val="auto"/>
              </w:rPr>
              <w:t>TABLE OF CONTENTS</w:t>
            </w:r>
          </w:p>
        </w:tc>
        <w:tc>
          <w:tcPr>
            <w:tcW w:w="1520" w:type="dxa"/>
            <w:vAlign w:val="bottom"/>
          </w:tcPr>
          <w:p>
            <w:pPr>
              <w:spacing w:after="0"/>
              <w:rPr>
                <w:sz w:val="17"/>
                <w:szCs w:val="17"/>
                <w:color w:val="auto"/>
              </w:rPr>
            </w:pPr>
          </w:p>
        </w:tc>
      </w:tr>
      <w:tr>
        <w:trPr>
          <w:trHeight w:val="480"/>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3680" w:type="dxa"/>
            <w:vAlign w:val="bottom"/>
          </w:tcPr>
          <w:p>
            <w:pPr>
              <w:ind w:left="300"/>
              <w:spacing w:after="0"/>
              <w:rPr>
                <w:sz w:val="20"/>
                <w:szCs w:val="20"/>
                <w:color w:val="auto"/>
              </w:rPr>
            </w:pPr>
            <w:r>
              <w:rPr>
                <w:rFonts w:ascii="Arial" w:cs="Arial" w:eastAsia="Arial" w:hAnsi="Arial"/>
                <w:sz w:val="18"/>
                <w:szCs w:val="18"/>
                <w:color w:val="auto"/>
              </w:rPr>
              <w:t>BUSINESS</w:t>
            </w:r>
          </w:p>
        </w:tc>
        <w:tc>
          <w:tcPr>
            <w:tcW w:w="1920" w:type="dxa"/>
            <w:vAlign w:val="bottom"/>
            <w:tcBorders>
              <w:top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RISK FACTORS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1B.</w:t>
            </w:r>
          </w:p>
        </w:tc>
        <w:tc>
          <w:tcPr>
            <w:tcW w:w="8820" w:type="dxa"/>
            <w:vAlign w:val="bottom"/>
            <w:gridSpan w:val="3"/>
          </w:tcPr>
          <w:p>
            <w:pPr>
              <w:ind w:left="300"/>
              <w:spacing w:after="0"/>
              <w:rPr>
                <w:sz w:val="20"/>
                <w:szCs w:val="20"/>
                <w:color w:val="auto"/>
              </w:rPr>
            </w:pPr>
            <w:r>
              <w:rPr>
                <w:rFonts w:ascii="Arial" w:cs="Arial" w:eastAsia="Arial" w:hAnsi="Arial"/>
                <w:sz w:val="18"/>
                <w:szCs w:val="18"/>
                <w:color w:val="auto"/>
              </w:rPr>
              <w:t>UNRESOLVED STAFF COMMENTS</w:t>
            </w: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PROPERTIES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8820" w:type="dxa"/>
            <w:vAlign w:val="bottom"/>
            <w:gridSpan w:val="3"/>
          </w:tcPr>
          <w:p>
            <w:pPr>
              <w:ind w:left="300"/>
              <w:spacing w:after="0"/>
              <w:rPr>
                <w:sz w:val="20"/>
                <w:szCs w:val="20"/>
                <w:color w:val="auto"/>
              </w:rPr>
            </w:pPr>
            <w:r>
              <w:rPr>
                <w:rFonts w:ascii="Arial" w:cs="Arial" w:eastAsia="Arial" w:hAnsi="Arial"/>
                <w:sz w:val="18"/>
                <w:szCs w:val="18"/>
                <w:color w:val="auto"/>
              </w:rPr>
              <w:t>LEGAL PROCEEDINGS</w:t>
            </w: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MINE SAFETY DISCLOSURE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5.</w:t>
            </w:r>
          </w:p>
        </w:tc>
        <w:tc>
          <w:tcPr>
            <w:tcW w:w="8820" w:type="dxa"/>
            <w:vAlign w:val="bottom"/>
            <w:gridSpan w:val="3"/>
          </w:tcPr>
          <w:p>
            <w:pPr>
              <w:ind w:left="300"/>
              <w:spacing w:after="0"/>
              <w:rPr>
                <w:sz w:val="20"/>
                <w:szCs w:val="20"/>
                <w:color w:val="auto"/>
              </w:rPr>
            </w:pPr>
            <w:r>
              <w:rPr>
                <w:rFonts w:ascii="Arial" w:cs="Arial" w:eastAsia="Arial" w:hAnsi="Arial"/>
                <w:sz w:val="18"/>
                <w:szCs w:val="18"/>
                <w:color w:val="auto"/>
              </w:rPr>
              <w:t>MARKET FOR REGISTRANT’S COMMON EQUITY, RELATED STOCKHOLDER MATTERS</w:t>
            </w:r>
          </w:p>
        </w:tc>
        <w:tc>
          <w:tcPr>
            <w:tcW w:w="152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AND ISSUER PURCHASES OF EQUITY SECURITIES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8820" w:type="dxa"/>
            <w:vAlign w:val="bottom"/>
            <w:gridSpan w:val="3"/>
          </w:tcPr>
          <w:p>
            <w:pPr>
              <w:ind w:left="300"/>
              <w:spacing w:after="0"/>
              <w:rPr>
                <w:sz w:val="20"/>
                <w:szCs w:val="20"/>
                <w:color w:val="auto"/>
              </w:rPr>
            </w:pPr>
            <w:r>
              <w:rPr>
                <w:rFonts w:ascii="Arial" w:cs="Arial" w:eastAsia="Arial" w:hAnsi="Arial"/>
                <w:sz w:val="18"/>
                <w:szCs w:val="18"/>
                <w:color w:val="auto"/>
              </w:rPr>
              <w:t>SELECTED FINANCIAL DATA</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ITEM 7.</w:t>
            </w: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MANAGEMENT’S DISCUSSION AND ANALYSIS OF FINANCIAL CONDITION AND</w:t>
            </w:r>
          </w:p>
        </w:tc>
        <w:tc>
          <w:tcPr>
            <w:tcW w:w="152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8820" w:type="dxa"/>
            <w:vAlign w:val="bottom"/>
            <w:gridSpan w:val="3"/>
          </w:tcPr>
          <w:p>
            <w:pPr>
              <w:ind w:left="300"/>
              <w:spacing w:after="0"/>
              <w:rPr>
                <w:sz w:val="20"/>
                <w:szCs w:val="20"/>
                <w:color w:val="auto"/>
              </w:rPr>
            </w:pPr>
            <w:r>
              <w:rPr>
                <w:rFonts w:ascii="Arial" w:cs="Arial" w:eastAsia="Arial" w:hAnsi="Arial"/>
                <w:sz w:val="18"/>
                <w:szCs w:val="18"/>
                <w:color w:val="auto"/>
              </w:rPr>
              <w:t>RESULTS OF OPERATIONS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ITEM 7A.</w:t>
            </w: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8.</w:t>
            </w:r>
          </w:p>
        </w:tc>
        <w:tc>
          <w:tcPr>
            <w:tcW w:w="8820" w:type="dxa"/>
            <w:vAlign w:val="bottom"/>
            <w:gridSpan w:val="3"/>
          </w:tcPr>
          <w:p>
            <w:pPr>
              <w:ind w:left="300"/>
              <w:spacing w:after="0"/>
              <w:rPr>
                <w:sz w:val="20"/>
                <w:szCs w:val="20"/>
                <w:color w:val="auto"/>
              </w:rPr>
            </w:pPr>
            <w:r>
              <w:rPr>
                <w:rFonts w:ascii="Arial" w:cs="Arial" w:eastAsia="Arial" w:hAnsi="Arial"/>
                <w:sz w:val="18"/>
                <w:szCs w:val="18"/>
                <w:color w:val="auto"/>
              </w:rPr>
              <w:t>FINANCIAL STATEMENTS</w:t>
            </w: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CHANGES IN AND DISAGREEMENTS WITH ACCOUNTANTS ON ACCOUNTING AND</w:t>
            </w:r>
          </w:p>
        </w:tc>
        <w:tc>
          <w:tcPr>
            <w:tcW w:w="152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8820" w:type="dxa"/>
            <w:vAlign w:val="bottom"/>
            <w:gridSpan w:val="3"/>
          </w:tcPr>
          <w:p>
            <w:pPr>
              <w:ind w:left="300"/>
              <w:spacing w:after="0"/>
              <w:rPr>
                <w:sz w:val="20"/>
                <w:szCs w:val="20"/>
                <w:color w:val="auto"/>
              </w:rPr>
            </w:pPr>
            <w:r>
              <w:rPr>
                <w:rFonts w:ascii="Arial" w:cs="Arial" w:eastAsia="Arial" w:hAnsi="Arial"/>
                <w:sz w:val="18"/>
                <w:szCs w:val="18"/>
                <w:color w:val="auto"/>
              </w:rPr>
              <w:t>FINANCIAL DISCLOSURE</w:t>
            </w:r>
          </w:p>
        </w:tc>
        <w:tc>
          <w:tcPr>
            <w:tcW w:w="15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ITEM 9A.</w:t>
            </w: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CONTROLS AND PROCEDURES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9B.</w:t>
            </w:r>
          </w:p>
        </w:tc>
        <w:tc>
          <w:tcPr>
            <w:tcW w:w="8820" w:type="dxa"/>
            <w:vAlign w:val="bottom"/>
            <w:gridSpan w:val="3"/>
          </w:tcPr>
          <w:p>
            <w:pPr>
              <w:ind w:left="300"/>
              <w:spacing w:after="0"/>
              <w:rPr>
                <w:sz w:val="20"/>
                <w:szCs w:val="20"/>
                <w:color w:val="auto"/>
              </w:rPr>
            </w:pPr>
            <w:r>
              <w:rPr>
                <w:rFonts w:ascii="Arial" w:cs="Arial" w:eastAsia="Arial" w:hAnsi="Arial"/>
                <w:sz w:val="18"/>
                <w:szCs w:val="18"/>
                <w:color w:val="auto"/>
              </w:rPr>
              <w:t>OTHER INFORMATION</w:t>
            </w:r>
          </w:p>
        </w:tc>
        <w:tc>
          <w:tcPr>
            <w:tcW w:w="1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ITEM 10.</w:t>
            </w: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DIRECTORS, EXECUTIVE OFFICERS AND CORPORATE GOVERNANCE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11.</w:t>
            </w:r>
          </w:p>
        </w:tc>
        <w:tc>
          <w:tcPr>
            <w:tcW w:w="8820" w:type="dxa"/>
            <w:vAlign w:val="bottom"/>
            <w:gridSpan w:val="3"/>
          </w:tcPr>
          <w:p>
            <w:pPr>
              <w:ind w:left="300"/>
              <w:spacing w:after="0"/>
              <w:rPr>
                <w:sz w:val="20"/>
                <w:szCs w:val="20"/>
                <w:color w:val="auto"/>
              </w:rPr>
            </w:pPr>
            <w:r>
              <w:rPr>
                <w:rFonts w:ascii="Arial" w:cs="Arial" w:eastAsia="Arial" w:hAnsi="Arial"/>
                <w:sz w:val="18"/>
                <w:szCs w:val="18"/>
                <w:color w:val="auto"/>
              </w:rPr>
              <w:t>EXECUTIVE COMPENSATION</w:t>
            </w:r>
          </w:p>
        </w:tc>
        <w:tc>
          <w:tcPr>
            <w:tcW w:w="1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ITEM 12.</w:t>
            </w: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SECURITY OWNERSHIP OF CERTAIN BENEFICIAL OWNERS AND MANAGEMENT AND</w:t>
            </w:r>
          </w:p>
        </w:tc>
        <w:tc>
          <w:tcPr>
            <w:tcW w:w="152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8820" w:type="dxa"/>
            <w:vAlign w:val="bottom"/>
            <w:gridSpan w:val="3"/>
          </w:tcPr>
          <w:p>
            <w:pPr>
              <w:ind w:left="300"/>
              <w:spacing w:after="0"/>
              <w:rPr>
                <w:sz w:val="20"/>
                <w:szCs w:val="20"/>
                <w:color w:val="auto"/>
              </w:rPr>
            </w:pPr>
            <w:r>
              <w:rPr>
                <w:rFonts w:ascii="Arial" w:cs="Arial" w:eastAsia="Arial" w:hAnsi="Arial"/>
                <w:sz w:val="18"/>
                <w:szCs w:val="18"/>
                <w:color w:val="auto"/>
              </w:rPr>
              <w:t>RELATED STOCKHOLDER MATTERS</w:t>
            </w:r>
          </w:p>
        </w:tc>
        <w:tc>
          <w:tcPr>
            <w:tcW w:w="1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CERTAIN RELATIONSHIPS AND RELATED TRANSACTIONS AND DIRECTOR</w:t>
            </w:r>
          </w:p>
        </w:tc>
        <w:tc>
          <w:tcPr>
            <w:tcW w:w="152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8820" w:type="dxa"/>
            <w:vAlign w:val="bottom"/>
            <w:gridSpan w:val="3"/>
          </w:tcPr>
          <w:p>
            <w:pPr>
              <w:ind w:left="300"/>
              <w:spacing w:after="0"/>
              <w:rPr>
                <w:sz w:val="20"/>
                <w:szCs w:val="20"/>
                <w:color w:val="auto"/>
              </w:rPr>
            </w:pPr>
            <w:r>
              <w:rPr>
                <w:rFonts w:ascii="Arial" w:cs="Arial" w:eastAsia="Arial" w:hAnsi="Arial"/>
                <w:sz w:val="18"/>
                <w:szCs w:val="18"/>
                <w:color w:val="auto"/>
              </w:rPr>
              <w:t>INDEPENDENCE</w:t>
            </w:r>
          </w:p>
        </w:tc>
        <w:tc>
          <w:tcPr>
            <w:tcW w:w="1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ITEM 14.</w:t>
            </w: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PRINCIPAL ACCOUNTING FEES AND SERVICES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ITEM 15.</w:t>
            </w:r>
          </w:p>
        </w:tc>
        <w:tc>
          <w:tcPr>
            <w:tcW w:w="8820" w:type="dxa"/>
            <w:vAlign w:val="bottom"/>
            <w:gridSpan w:val="3"/>
          </w:tcPr>
          <w:p>
            <w:pPr>
              <w:ind w:left="300"/>
              <w:spacing w:after="0"/>
              <w:rPr>
                <w:sz w:val="20"/>
                <w:szCs w:val="20"/>
                <w:color w:val="auto"/>
              </w:rPr>
            </w:pPr>
            <w:r>
              <w:rPr>
                <w:rFonts w:ascii="Arial" w:cs="Arial" w:eastAsia="Arial" w:hAnsi="Arial"/>
                <w:sz w:val="18"/>
                <w:szCs w:val="18"/>
                <w:color w:val="auto"/>
              </w:rPr>
              <w:t>EXHIBITS</w:t>
            </w:r>
          </w:p>
        </w:tc>
        <w:tc>
          <w:tcPr>
            <w:tcW w:w="152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52"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TapImmune is a clinical-stage immunotherapy company specializing in the development of innovative peptide and gene-based immunotherapeutics and vaccines for the treatment of oncology and infectious disease. Unlike other vaccine technologies that narrowly address the initiation of an immune response, TapImmune's ("Prime" and "Boost") approach broadly stimulates the cellular immune system by enhancing the function of killer T-cells and T-helper cells and by restoring antigen presentation in tumor cells allowing their recognition and killing by the immune system. Restoration of antigen presentation is achieved through re-expression of a protein pump known as “TAP”, which is located within cells and which is essential to the processing of foreign (microbial) or autologous antigens, and subsequent presentation to the immune system for eradication of the cancer or infected cell. We currently have none of our product candidates on the market and are focusing on the clinical development and testing of our product candidates. A Phase I study at the Mayo Clinic is currently evaluating the safety and immune responses of a set of proprietary HER2/neu antigens for a HER2/neu breast cancer vaccine. TapImmune has the exclusive Option to license this technology. The Company is also developing TAP-based prophylactic vaccines commercially suitable for the prevention of infectious diseases and as Biodefense agents. We will file grants in collaboration with the Mayo Clinic for the biodefense applications of this technology and expect to file additional grants to support preclinical work on “boost” strategies for HER2/neu breast cancer. As a vaccine component, the gene based TAP technology has the potential to significantly improve the efficacy of both prophylactic and immunotherapeutic vaccines as it addresses a fundamental mechanism for T cell recognition and response. Unlike other vaccine technologies that address only the initiation of immune responses, TAP expression also has the unique ability to enhance the effector function of mature killer T cells. This enhancement of effector function is potentially complementary to any/all vaccine approaches that are designed to enhance cellular responses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 Our breast cancer immunotherapeutic vaccine candidate is being developed for use in this setting as an adjuvant treatment to prevent recurrent disease.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strongly believes that the comprehensive scientific underpinnings of our overall approach, to elicit the production of both T-helper cells and T-killer cells, will provide the Company with highly competitive product candidates for the treatment of HER2/neu positive breast cancer with additional applications in ovarian and colorectal cancer.</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2012, we entered into a Material Transfer Agreement with the Fred Hutchinson Cancer Research Center (“FHCRC”), Seattle, WA. The initial aim of this collaboration is to determine levels of TAP1/TAP2 in tissues taken from melanoma patients in a clinical trial at FHCRC using adoptive T-cell therapy and to correlate these levels with clinical outcomes. In an extension of this collaboration, we plan to investigate the expression of TAP1/TAP2 by immunohistochemistry in tumors prior to treatment with cellular adoptive immunotherapy as part of a new IND approved in March 2013 (filed at the Fred Hutchinson Cancer Center) ‘Cellular Adoptive Immunotherapy Using Autologous Tumor-Infiltrating Lymphocytes Following Lymphodepletion with Cyclophosphamide and Fludarabine for patients with Metastatic Melanoma’.</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both"/>
        <w:spacing w:after="0" w:line="276" w:lineRule="auto"/>
        <w:rPr>
          <w:sz w:val="20"/>
          <w:szCs w:val="20"/>
          <w:color w:val="auto"/>
        </w:rPr>
      </w:pPr>
      <w:r>
        <w:rPr>
          <w:rFonts w:ascii="Arial" w:cs="Arial" w:eastAsia="Arial" w:hAnsi="Arial"/>
          <w:sz w:val="17"/>
          <w:szCs w:val="17"/>
          <w:color w:val="auto"/>
        </w:rPr>
        <w:t>Regarding our programs for the development of vaccines aimed at viral pandemics/biodefense, we believe that collaborations with the Mayo Clinic have progressed well and studies on the immunogenicity of novel smallpox antigens in mice treated with both antigens and TAP expression vectors are ongoing. We plan to complete animal efficacy and human safety studies through non-dilutive grant funding in collaboration with Dr. Greg Poland and colleagues at the Mayo Clinic and anticipate that further development will be completed through strategic corporate partnerships. The use of non-dilutive grant funding to progress this area allows the Company to focus the majority of its internal resources on HER2/neu breast cancer.</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facilities at 1551 Eastlake Avenue, Seattle have exceeded our expectations and allowed us to continue to recruit top-class scientific staff while at the same time effectively leverage world class resources made available to us and manage our cash flow. We have added technical staff in the areas of molecular biology and immunology. Our small core team (5 scientists) has allowed us to establish in-house technical expertise in molecular biology (expression vector development) and immunology to underpin our current and future development projects and to optimally work with external collaborators. It has also allowed us to make significant progress in the refinement and focus of clinical programs to take advantage of new antigens, the emerging field of vaccinomics and vaccine development strategies. In addition, it has allowed us to start generating new intellectual property (IP) to add to our core TAP IP and the antigen IP from the Mayo Clinic that we have either licensed or have exclusive options to license.</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the past few months, we have, in a challenging financing climate, raised sufficient working capital to fund and progress our operations. We believe that we continue to make good progress with the resources available to us. With the start of clinical programs and our focus on securing non-dilutive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currently trade on the OTC Bulletin Board under the symbol “TPIV”, currently “TPIVE” due to delinquent 10K for late filing.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were incorporated under the laws of the State of Nevada in 1991 under the name “Ward’s Futura Automotive Ltd”. We changed our name a number of times since 1991 and, in July 2002, we completed the acquisition of GeneMax Pharmaceuticals Inc. (“GeneMax Pharmaceuticals”), a Delaware corporation, in a reverse merger and changed our name to “GeneMax Corp”. As a result of this transaction, the former stockholders of GeneMax Pharmaceuticals then owned 75% of the total issued and outstanding shares of GeneMax Corp. GeneMax Pharmaceuticals is now a wholly owned subsidiary of TapImmune, and GeneMax Pharmaceuticals Canada Inc. (“GPCanada”), a British Columbia corporation, is a wholly owned subsidiary of GeneMax Pharmaceuticals. On June 28, 2007, we approved a name change to TapImmune Inc.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believes that there is a critical need for more effective cancer therapies. Management further believes that the global market for effective cancer treatments is large, and that immunotherapies representing potential treatments for metastatic cancer are an unmet need in the area of oncology.</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human immune system appears to have the potential to clear cancers from the body, based on clinical observations that some tumors spontaneously regress when the immune system is activated. Most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17"/>
          <w:szCs w:val="17"/>
          <w:color w:val="auto"/>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 restoring TAP expression to TAP-deficient cells, the MHC Class I protein peptide complexes could signal the immune system to attack the cancer. The strategic vision of TapImmune is to be a product-driven biotechnology company, focusing primarily on use of its patented TAP technology to restore the TAP function within cancerous cells, thus making them immunogenic, or more “visible” to cancer fighting immune cells. Management believes that this cancer vaccine strategy will provide the most viable therapeutic approach that addresses this problem of “non-immunogenicity” of cancer. Management believes that this therapy may have a strong competitive advantage over other cancer therapies, since restoring the TAP protein will direct the immune system to specifically target the cancerous cells without damaging healthy tissue.</w:t>
      </w:r>
    </w:p>
    <w:p>
      <w:pPr>
        <w:spacing w:after="0" w:line="22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As a key part of its overall strategy, and with adequate funding, the Company is pursuing the development of prophylactic vaccines against infectious microbes and will also do so in partnership with other vaccine developers. The Company intends to develop the TAP technology for use as a vaccine that restores normal immune recognition for the treatment of cancer and supplements immune recognition for the development of prophylactic vaccines.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Target Market and Strategy</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With the required funding in place, we will support and expand on our key infectious disease partnerships, including our collaboration efforts with the Mayo Clinic and others. We will focus our product development in oncology both alone and with corporate partners and collaborators including the Mayo Clinic for HER2/neu positive Breast Cancer, and smallpox, and the Fred Hutchinson Cancer Center for melanoma. Cancer encompasses a large number of diseases that affect many different parts of the human body.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IMS has estimated that the cancer market will mushroom from $48 billion to $75 billion in 2012 with biopharma companies anticipating that cancer vaccines will grab a large slice of the market (Fierch Biotech, March 23, 2010). The goal of TapImmune management is to have the FDA approve our cancer vaccines within the next few years so that we can secure a portion of this market.</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also believes that our expression vector approach will provide a flexible and unique platform for the creation of new vaccines that can rapidly respond to emerging viral tbreats/bioterrorism in addition to enhancing the efficacy of current vaccines in the treatment of infectious disease. It will be a key business development strategy to pursue additional partnerships and joint research and development ventures with vaccine manufacturers and pharmaceutical companies to bring new and improved vaccines to market. This strategy includes the development of vaccines for pandemic diseases and for bioterrorism threats. The market for prophylactic vaccines is around $6 Billion and is expected to reach $11 billion in 2010 (Frost &amp; Sullivan).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strategy in cancer is to take products through Phase II clinical trials and then to partner with pharmaceutical marketing organizations ahead of Phase III trials. In the infectious disease/biodefense area our business strategy is to seek join research and development partnerships on our infectious disease platform with companies seeking to expand their product portfolios.</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also believes that our prophylactic vaccine adjuvant will be a catalyst in the development of new vaccines and will serve to enhance the efficacy of current vaccines in the treatment of infectious disease. It will be a key business development strategy to pursue additional partnerships and joint research and development ventures with vaccine manufacturers and pharmaceutical companies to bring new and improved vaccines to market. This strategy includes the development of vaccines for pandemic diseases and for bioterrorism threats. The global market for vaccines is dominated by five companies—Merck, GlaxoSmithKline, Sanofi Pasteur (the vaccines division of Sanofi SA [SNY-NYSE]), Pfizer Inc. (PFE-NYSE), and Novartis—with Pfizer, GlaxoSmithKline, Sanofi, and Novartis collectively accounting for approximately 74% of the market (Source: Transparency Market Research’s Global Vaccine Market Analysis and Forecast 2011-2016). This market is estimated at roughly $30 billion worldwide, with the U.S. contributing approximately $20 billion. Importantly, there still exist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our TAP Platform technology will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Research and Development Efforts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direct our research and development efforts towards the development of immunotherapeutic and prophylactic vaccine products for the treatment of cancer and protection against pathogenic microbes respectively, using our “prime and boost’ strategy that uses proprietary peptide antigens and TAP, collectively known as our TAPvax technology platform. We will continue to focus our efforts on the development of therapeutic vaccines for applications in cancer treatment while demonstrating the breadth of our technology approach for the development of prophylactic vaccines and its ability to complement currently approved and emerging products in both cancer therapeutics and prophylactic vaccines against microbes. This approach allows us to pursue our own internal product development while positioning us to enter into multiple partnerships and licensing agreements. The first generation of TAP vaccines that was used in animal preclinical studies were based on insertion of TAP genes into a proprietary modified adenovirus vector. Based on our clinical approaches to HER2/neu breast cancer a new generation of vaccine technologies that use a peptide “prime” and an expression vector “boost” that includes peptide antigens and TAP (in viral and plasmid DNA approaches) are being developed. This strategy provides for the most cost effective and rapid progression through the clinic. Our development strategy takes advantage of our potential partners’ capabilities while reducing our overhead costs. Production of clinical grade vaccine product to be used in preclinical and clinical studies will be manufactured in production facilities with Good Manufacturing Practices (“GMP”) certification. We will also plan to rely on our new collaboration agreements with Mayo clinic and the Fred Hutchinson Cancer Research Center to demonstrate the use of TAP in new vaccine candidates.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TAP Cancer Vaccine</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Based on earlier research at UBC Biomedical Research Centre in Vancouver BC, our overall objective is to successfully develop the patented TAP gene vector technology to restore the TAP protein, with the objective being to develop the TAP technology as a therapeutic cancer vaccine that will restore the normal immune recognition of cancer cells. A TAP Cancer Vaccine will be targeted at those cancers that are deficient in the TAP protein, which include breast cancer, prostate cancer, lung cancer, liver cancer, melanoma, renal cancer and colorectal cancer. TAP gene vectors will be used clinically in concert with proprietary antigen technologies in a “Prime and Boost” strategy. In our HER2/neu breast cancer program, which has started at the Mayo Clinic, proprietary HER2/neu antigens licensed from the Mayo Clinic will be used as the “Prime” and a TAP gene vector also containing antigens will be used as the “Boost”.</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part of a vaccine approach a TAP gene vector will deliver the genetic information required for the production of the TAP protein in the target cancer cell. This will trigger the cancer cell’s ability to effectively identify itself to the body’s immune system by transporting the cancer antigen peptides to the cell surface using the individual’s specific MHC Class I proteins. As a result, we believe that the immune response could be targeted to the entire repertoire of cancer antigen peptides produced by the cancer cell, rather than just to a single cancer antigen, as delivered by current cancer vaccines. A TAP Cancer Vaccine could allow the immune response to respond to the cancer even if the TAP protein and genetic information were only delivered to a small portion of the cancer cells. In addition, a TAP Cancer Vaccine would generate an immune response to any TAP-deficient cancer, regardless of the patient’s individual genetic variability either in the MHC Class I proteins or in the cancer-specific proteins and resultant peptides.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In general, a “cancer vaccine” is a therapy whose goal is to stimulate the immune system to attack tumors. Management believes that most current cancer vaccines contain either cancer-specific proteins that directly activate the immune system or contain genetic information, such as DNA, that encodes these cancer-specific proteins. Management believes that there are a number of key conditions that must be met before a cancer vaccine can be effective in generating a therapeutic immune response: (i) the cancer antigen peptide delivered by the vaccine has to be recognized by the immune system as “abnormal” or “foreign” in order to generate a strong and specific T-cell response; (ii) the same cancer antigen peptide has to be displayed on the surface of the cancer cells in association with the MHC Class I proteins; and (iii) these cancer antigen peptides then have to be sufficiently different from normal proteins in order to generate a strong anti-tumor response.</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these conditions are all met, then management believes that such cancer vaccines should generate a sufficiently strong immune response to kill the cancer cells. However, the identification of suitable cancer-specific antigen proteins to use in these therapeutic vaccines has proven extremely complex. In addition, the MHC Class I proteins are highly variable, with over 100 different types in humans and, as a result, any one-cancer antigen peptide will not produce an immune response for all individuals. Cancers are “genetically unstable” and their proteins are highly variable, so that the selected cancer antigen protein may result in the immune system only attacking a small subset of the cancerous cells.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Laboratory Testing of the TAP Cancer Vaccine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that key milestones of efficacy in animal models of cancer have been achieved and that scientific research from other laboratories has validated the efficacy data. The proof of principle for the TAP technology as a cancer vaccine has been established in research conducted at UBC in metastatic models that have multiple defects in the “antigen presentation pathway” resulting in poor detection of cancer cells by the immune system. These studies demonstrating that introduction of the TAP gene can restore an immune response have been published in a number of peer-reviewed leading scientific journals (links to publications can be found at www.tapimmune.com). We plan to conduct additional pre-clinical work on novel expression vectors that can express both TAP proteins and peptide antigens.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Testing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Once the formal pre-clinical testing is completed, we intend to compile and summarize the data and submit it to the United States Federal Drug Administration (or “FDA”) and/or the Canadian Health Canada (or “HC”), and/or other national regulatory agencies, in the form of an investigational new drug application. We anticipate that these applications would include data on vaccine production, animal studies and toxicology studies, as well as proposed protocols for the Phase I human clinical trials, described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Phase I Human Clinical Trials – </w:t>
      </w:r>
      <w:r>
        <w:rPr>
          <w:rFonts w:ascii="Arial" w:cs="Arial" w:eastAsia="Arial" w:hAnsi="Arial"/>
          <w:sz w:val="18"/>
          <w:szCs w:val="18"/>
          <w:b w:val="1"/>
          <w:bCs w:val="1"/>
          <w:color w:val="auto"/>
        </w:rPr>
        <w:t>HER2/neu Vaccine Technology – Mayo Clinic</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1, 2010, we signed an exclusive licensing option agreement with the Mayo Clinic, Rochester MN for clinical development of a novel set of Class IIHER2/neu antigens discovered in breast cancer patients. On April 16, 2012 we announced the signing of an exclusive license agreement with the Mayo Clinic for a newly discovered Class I HER2/neu antigen. Following acceptance of an IND and IRB approval at the Mayo Clinic, for a Phase I trial, the first patients were treated in Q2 2012.The primary endpoints for this trial are vaccine safety and immune responses including generation of antigen-specific T-cells. The time to disease progression in breast cancer patients will be followed as a secondary endpoint In parallel we will complete the manufacturing of the Class I antigen and the filing of an amendment to the IND for a Phase Ib trial that combines the Class I and Class II antigens. In parallel we will complete preclinical work on the DNA plasmid vector expressing peptide antigens and TAP at conduct toxicology studies to enable subsequent Phase I human clinical trials on the “boost” technology for use in combination in later stage clinical trials with the HER2/neu antigens.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Clinical trials to support new drug applications are typically conducted in three sequential phases, although the phases may overlap. For immunotherapeutics/vaccine, Phase I studies are conducted in cancer patients and include assessment of safety and the measurement of cellular immune responses. Phase II usually involves studies in a limited patient population to assess the clinical activity of the drug in specific targeted indications, assess dosage tolerance and optimal dosage and continue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 Management believes that the combination of Class I and Class II HER2/neu antigens plus TAP will give us the leading HER2/neu vaccine platform in the clinic.</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Infectious Disease Application for “TAP” Adjuvant</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TapImmune plans to develop or license out our technology for the creation of enhanced viral vaccines, such as for smallpox and others, based on our findings that TAP can augment immune responses. We have presented data showing that increasing TAP expression in TAP-competent antigen presenting cells (APCs) and/or virus infected cells increases the antigenic peptide associated with MHC class I expression on the cell surface, and leads to increased specific T cell-mediated immune responses. We believe this technology can add great value to the creation of new vaccines and enhance those that already exist. Our collaboration with the Mayo Clinic is evidence of this and we will continue to pursue additional partnerships and collaborations as a key strategy to expand our R&amp;D program to optimize resources and to reduce costs and development times. In our collaboration with the Mayo Clinic efficacy studies in small animals on a novel smallpox vaccine that includes TAP were initiated in 2011 and are progressing well. A set of peptide antigens that are as immunogenic in animals as the intact virus have been identified and are being tested together with TAP expression vectors. We have identified this product as an early potential licensing candidate as it potentially is safer, cheaper to produce and has a longer shelf-life than products currently stockpiled by the US government. The subsequent regulatory pathway for this product is to use the FDA’s “Animal Efficacy Rule” for completion of efficacy studies in primates followed by Phase I clinical studies on vaccine safety.</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of funding preclinical and clinical programs (through Phase II) in cancer and infectious disease is estimated to be approximately $5-10 million. The majority of this funding will be applied to progress our HER2/neu breast cancer product through Phase II clinical. We will continue to seek sources of non-dilutive grant funding for infectious disease programs.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Foundation for Medical Education and Research</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26, 2010 we signed a Technology Option Agreement with the Mayo Foundation for Medical Education and Research, Rochester, MN, for the evaluation of HER2/neu peptide epitopes as antigens for a breast cancer vaccine. The agreement grants TapImmune an exclusive worldwide option to become the exclusive licensee of the technology after completion of Phase I clinical trials.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Following approval of the IND by the FDA in July, 2011, TapImmune and the Mayo Foundation executed a Sponsored Research Agreement for the clinical trial.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4, 2012, Mayo IRB approval was confirmed and patient dosing started in August 2012. Interim safety analysis on the first five patients was completed successfully allowing continuation of the trial.</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24, 2010, we signed a Research and Technology License Option Agreement with the Mayo Foundation for Medical Education and Research, Rochester, MN, to evaluate novel smallpox peptide antigens. The Agreement grants TapImmune an exclusive worldwide option to become the exclusive licensee of the smallpox vaccine technology after research studies have been completed under the terms of the agreement.</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16, 2012, we signed an Exclusive Agreement with the Mayo Foundation for Education &amp; Research, Rochester, MN, to License a proprietary MHC Class I HER2/neu antigen technology. This work, performed in the laboratory of Dr. Keith Knutson at Mayo Clinic, was published in the Journal of Immunology (2013), 190, 479-488, and describes the discovery of a novel HER-2/neu Class I epitope (p373-382). The significance of this work is that this newly discovered antigen is a naturally occurring antigen processed by the proteasome and elicits peptide-specific T-cell responses. This results in stronger binding to HLA-A2 and more efficient killing of HER-2/neu positive breast cancer cells by activated T-cells compared to the Class I epitope, p369-377 (E75) which was not naturally processed by the proteasome.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Intellectual Property, Patents and Trademarks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 of Enhancing Expression of MHC Class I Molecules Bearing Endogenous Peptides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26, 2002, the United States Patent and Trademark Office issued US Patent No. 6,361,770 to UBC for the use of TAP-1 as an immunotherapy against all cancers. The patent is titled “Method of Enhancing Expression of MHC Class I Molecules Bearing Endogenous Peptides” and provides comprehensive protection and coverage to both in vivo and ex vivo applications of TAP-1 as a therapeutic against all cancers with a variety of delivery mechanisms. The inventors were Dr. Jefferies, Dr. Reinhard Gabathuler, Dr. Gerassinmoes Kolaitis and Dr. Gregor S.D. Reid, who collectively assigned the patent to UBC under an assignment agreement. The patent expires March 23, 2014. We have pending applications for patent protection for this patent in Europe and in Japan.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 of Enhancing an Immune Response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U.S. patent No. 7,378,087, issued May 27 2008. The patent claims relate to methods for enhancing the immune response to tumor cells by introducing the TAP molecule into the infected cells. Patent applications are pending on other aspects of the Company’s technology. The inventors were Jefferies, Wilfred A.; Zhang, Qian-Jin; Chen, Susan Shu-Ping; Alimonti, Judie B., who collectively assigned the patent to UBC under an assignment agreement.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 of Identifying MHC Class I Restricted Antigens Endogenously Processed by a Secretory Pathway</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11, 1998, the U.S. Patent and Trademark Office issued US Patent No. 5,792,604 to UBC, being a patent for the use of bioengineered cell lines to measure the output of the MHC Class I restricted antigen presentation pathway as a way to screen for immunomodulating drugs. The patent is titled “Method of Identifying MHC Class I Restricted Antigens Endogenously Processed by a Secretory Pathway.” This patent covers the assay which can identify compounds capable of modulating the immune system. The inventors were Dr. Jefferies, Dr. Gabathuler, Dr. Kolaitis and Dr. Reid, who collectively assigned the patent to UBC under an assignment agreement. The patent expires on March 12, 2016. We have been granted patent protection for this patent in Finland, France, Germany, Italy, Sweden Switzerland and the United Kingdom, and have applied for patent protection in Canada and Japan.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 of Enhancing an Immune Response</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27, 2011 The US Patent Office has issued Patent 7,994,146 entitled “Method of Enhancing an Immune Response”. The invention relates to a method of enhancing an immune response to an antigen by augmenting the level of TAP (Transporters Associated with Antigen Processing) molecule in a target cell bearing the antigen. This patent details application to treating vaccinia, herpes simplex and influenza virus infections and small cell lung cancer. Levels of TAP in humans correlate with susceptibility to certain diseases and the ability to respond to a vaccine.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TAP Vaccines and other filings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continue to work with our collaborators to file additional patent applications with respect to any novel aspects of our technology to further protect our intellectual property portfolio. New IP on novel expression vectors coding for peptide antigen arrays and TAP1/2 and developed in TapImmune laboratories will be filed in Q2-3, 2013.</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both"/>
        <w:spacing w:after="0" w:line="270" w:lineRule="auto"/>
        <w:rPr>
          <w:sz w:val="20"/>
          <w:szCs w:val="20"/>
          <w:color w:val="auto"/>
        </w:rPr>
      </w:pPr>
      <w:r>
        <w:rPr>
          <w:rFonts w:ascii="Arial" w:cs="Arial" w:eastAsia="Arial" w:hAnsi="Arial"/>
          <w:sz w:val="17"/>
          <w:szCs w:val="17"/>
          <w:color w:val="auto"/>
        </w:rPr>
        <w:t>The oncology industry is characterized by rapidly evolving technology and intense competition. Many companies of all sizes, including a number of large pharmaceutical companies as well as several specialized biotechnology companies, are developing various immunotherapies and drugs to treat cancer. There may be products on the market that will compete directly with the products that we are seeking to develop. In addition, colleges, universities, governmental agencies and other public and private research institutions will continue to conduct research and are becoming more active in seeking patent protection and licensing arrangements to collect license fees and royalties in exchange for license rights to technologies that they have developed, some of which may directly compete with our technologies and products. These companies and institutions may also compete with us in recruiting qualified scientific personnel. Many of our potential competitors have substantially greater financial, research and development, human and other resources than us. Furthermore, large pharmaceutical companies may have significantly more experience than we do in pre-clinical testing, human clinical trials and regulatory approval procedures. Such competitors may develop safer and more effective products, obtain patent protection or intellectual property rights that limit our ability to commercialize products, or commercialize products earlier than we do.</w:t>
      </w:r>
    </w:p>
    <w:p>
      <w:pPr>
        <w:spacing w:after="0" w:line="20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expects technology developments in the oncology industry to continue to occur at a rapid pace. Commercial developments by any competitors may render some or all of our potential products obsolete or non-competitive, which could materially harm the Company’s business and financial condition.</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that a number of companies, which are developing various types of similar immunotherapies and therapeutic cancer vaccines to treat cancer, could be our major competitors including: CellGenSys Inc., Dendreon Corp., Genzyme Molecular Oncology, Immune Design, Oncothyreon, Celldex, BN Immunotherapeutics, Immunocellular, Galena, Antigen Express,Transgene S.A., and Bavarian Nordic.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design, research, development, testing, manufacturing, labeling, promotion, marketing, advertising and distribution of drug products are extensively regulated by the FDA in the United States and similar regulatory bodies in other countries. The regulatory process is similar for a new drug application, or NDA. The steps ordinarily required before a new drug may be marketed in the United States, which are similar to steps required in most other countries, include: (i) pre-clinical laboratory tests, pre-clinical studies in animals, formulation studies and the submission to the FDA of an initial NDA; (ii) adequate and well-controlled clinical trials to establish the safety and effectiveness of the drug for each indication; (iii) the submission of the NDA to the FDA; and (iv) review by an FDA advisory committee and approval by the FDA.</w:t>
      </w:r>
    </w:p>
    <w:p>
      <w:pPr>
        <w:spacing w:after="0" w:line="2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Pre-clinical tests include laboratory evaluation of product chemistry, preparation of consistent test batches of product to what is known as GLP, toxicology studies, animal pre-clinical efficacy studies and manufacturing pursuant to what is known as GMP. The results of pre-clinical testing are submitted to the FDA as part of an initial NDA. After the filing of each initial NDA, and assuming all pre-clinical results have been approved, a thirty-day waiting period is required prior to the commencement of clinical testing in humans. At any time during this thirty-day period or at any time thereafter, the FDA may halt proposed or ongoing clinical trials until the FDA authorizes trials under specified terms. The initial NDA process may be extremely costly and substantially delay development of products. Moreover, positive results of pre-clinical tests will not necessarily indicate positive results in subsequent clinical trials.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After successful completion of the required clinical trials, a NDA is generally submitted. The NDA is usually reviewed by an outside committee consisting of physicians, scientists, and at least one consumer representative. The advisory committee reviews, evaluates and recommends whether the application should be approved, but the FDA is not bound by the recommendation of an advisory committee. The FDA may request additional information before accepting a NDA for filing, in which case the application must be resubmitted with the additional information. Once the submission has been accepted for filing, the FDA or the advisory committee reviews the application and responds to the applicant. The review process is often extended by FDA requests for additional information or clarification. The FDA cites 24 months as the median time for NDA review.</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If the FDA evaluations of the NDA and the manufacturing facilities are favorable, the FDA may issue an approval letter. An approval letter will usually contain a number of conditions that must be met in order to secure final approval of the NDA and authorization of commercial marketing of the drug for certain indications. The FDA may also refuse to approve the NDA or issue a not approval letter, outlining the deficiencies in the submission and often requiring either additional testing or information or withdrawal of the submission.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manufacturers of approved products and their manufacturing facilities are subject to continual review and periodic inspections. We intend to enter into a contract with SAFC Pharma for commercial scale manufacturing of the TAP Cancer Vaccine, therefore our ability to control compliance with FDA manufacturing requirements will be limited.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Approved drugs are subject to ongoing compliance requirements and identification of certain side effects after any of the drug products are on the market. This could result in issuance of warning letters, subsequent withdrawal of approval, reformulation of the drug product, and additional pre-clinical studies or clinical trials.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Canada, the Therapeutic Products Directorate and the Biologics and Genetic Therapies Directorate of HC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Sponsors wishing to conduct clinical trials in Phases I to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t>
      </w:r>
      <w:r>
        <w:rPr>
          <w:rFonts w:ascii="Arial" w:cs="Arial" w:eastAsia="Arial" w:hAnsi="Arial"/>
          <w:sz w:val="18"/>
          <w:szCs w:val="18"/>
          <w:u w:val="single" w:color="auto"/>
          <w:color w:val="auto"/>
        </w:rPr>
        <w:t>www.hc-sc.gc.ca</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Jurisdictions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Outside the United States and Canada, the Company’s ability to market drug products is contingent upon receiving marketing authorization from the appropriate regulatory authorities. Management believes that the foreign regulatory approval process includes all of the complexities associated with FDA approval described above. The requirements governing the conduct of clinical trials and marketing authorization vary widely from country to country. At present, foreign marketing authorizations are applied for at a national level, although within the European Union procedures are available to companies wishing to market a product in more than one member country.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Once we are able to commence the sale of our products into the market, we will face the risk of product liability claims. Because we are not yet selling our products, we have not experienced any product liability claims to date and we do not yet maintain product liability insurance. Management intends to maintain product liability insurance consistent with industry standards upon commencement of the marketing and distribution of the TAP Cancer Vaccine. There can be no assurance that product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TapImmune has 6 full-time employees. The management team is comprised of Dr. Glynn Wilson (Chief Executive Officer and Principal Executive Officer and Acting Principal Accounting Officer), Mark Reddish (Vice President, Development), Dr. Robert Florkievicz (Head of Research) and Venissa Izaguirre (Operations Manager). Since May 7, 2012, TapImmune does not have Officers resident in British Columbia.</w:t>
      </w:r>
    </w:p>
    <w:p>
      <w:pPr>
        <w:spacing w:after="0" w:line="204"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are not required to provide the information required by this item because we are a smaller reporting company.</w:t>
      </w:r>
    </w:p>
    <w:p>
      <w:pPr>
        <w:spacing w:after="0" w:line="24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own any real estate or other properties. Our registered office is located at 1551 Eastlake Ave East, Seattle, WA 98102. We rent office space at this address and have a two year lease ending in January 2014.</w:t>
      </w:r>
    </w:p>
    <w:p>
      <w:pPr>
        <w:spacing w:after="0" w:line="193"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2012, we issued 11,200,000 shares of our common stock to two consultants. We have contested the validity of the issuances of this common stock based on our belief that the consultants did not perform the services agreed to under their respective consulting agreements. The two consultants have threatened to sue us on perceived damages suffered as a result of our contesting the issuances under the consulting agreements.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is not aware of any legal proceedings contemplated by any government authority or any other party involving the Company. As of the date of this Annual Report, no director, officer or affiliate is (i) a party adverse to us in any legal proceeding, or (ii) has an adverse interest to us in any legal proceeding. Management is not aware of any other legal proceedings pending or threatened against the Company.</w:t>
      </w:r>
    </w:p>
    <w:p>
      <w:pPr>
        <w:spacing w:after="0" w:line="204"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PART II</w:t>
      </w:r>
    </w:p>
    <w:p>
      <w:pPr>
        <w:spacing w:after="0" w:line="252" w:lineRule="exact"/>
        <w:rPr>
          <w:sz w:val="20"/>
          <w:szCs w:val="20"/>
          <w:color w:val="auto"/>
        </w:rPr>
      </w:pPr>
    </w:p>
    <w:p>
      <w:pPr>
        <w:ind w:left="1120" w:right="1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common stock is traded on the Over the Counter Bulletin Board (“OTCBB”) under the symbol “TPIV.OB” and on the Frankfurt and Berlin Stock Exchanges under the symbol “GX1A.” The listing on the Berlin Stock Exchange was done without the Company’s knowledge and consent.</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 for our common stock is limited, volatile and sporadic. The following table sets forth, for the periods indicated, the high and low bid prices of our common stock as reported on the OTCBB. The following quotations reflect inter-dealer prices, without retail mark-up, markdown, or commissions, and may not reflect actual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High Bid</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Low Bid</w:t>
            </w:r>
          </w:p>
        </w:tc>
        <w:tc>
          <w:tcPr>
            <w:tcW w:w="0" w:type="dxa"/>
            <w:vAlign w:val="bottom"/>
          </w:tcPr>
          <w:p>
            <w:pPr>
              <w:spacing w:after="0"/>
              <w:rPr>
                <w:sz w:val="1"/>
                <w:szCs w:val="1"/>
                <w:color w:val="auto"/>
              </w:rPr>
            </w:pPr>
          </w:p>
        </w:tc>
      </w:tr>
      <w:tr>
        <w:trPr>
          <w:trHeight w:val="432"/>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Fiscal Year 2013</w:t>
            </w:r>
          </w:p>
        </w:tc>
        <w:tc>
          <w:tcPr>
            <w:tcW w:w="3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March 31, 2013</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2012</w:t>
            </w:r>
          </w:p>
        </w:tc>
        <w:tc>
          <w:tcPr>
            <w:tcW w:w="3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December 31, 2012</w:t>
            </w:r>
          </w:p>
        </w:tc>
        <w:tc>
          <w:tcPr>
            <w:tcW w:w="38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September 30, 2012</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June 30, 2012</w:t>
            </w:r>
          </w:p>
        </w:tc>
        <w:tc>
          <w:tcPr>
            <w:tcW w:w="38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0.27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March 31, 2012</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2011</w:t>
            </w:r>
          </w:p>
        </w:tc>
        <w:tc>
          <w:tcPr>
            <w:tcW w:w="3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December 31, 2011</w:t>
            </w:r>
          </w:p>
        </w:tc>
        <w:tc>
          <w:tcPr>
            <w:tcW w:w="38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0.249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September 30, 2011</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0.275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June 30, 2011</w:t>
            </w:r>
          </w:p>
        </w:tc>
        <w:tc>
          <w:tcPr>
            <w:tcW w:w="38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March 31, 2011</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0.165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last reported sales price for our shares on the OTCBB as of May 3, 2013, was $0.042 per share. As of May 3, 2012, we had 497 shareholders of record.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dividends have been declared or paid on our common stock. We have incurred recurring losses and do not currently intend to pay any cash dividends in the foreseeable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of December 31, 2012: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8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Number of securities remaining</w:t>
            </w:r>
          </w:p>
        </w:tc>
      </w:tr>
      <w:tr>
        <w:trPr>
          <w:trHeight w:val="216"/>
        </w:trPr>
        <w:tc>
          <w:tcPr>
            <w:tcW w:w="5780" w:type="dxa"/>
            <w:vAlign w:val="bottom"/>
          </w:tcPr>
          <w:p>
            <w:pPr>
              <w:jc w:val="center"/>
              <w:ind w:left="2690"/>
              <w:spacing w:after="0"/>
              <w:rPr>
                <w:sz w:val="20"/>
                <w:szCs w:val="20"/>
                <w:color w:val="auto"/>
              </w:rPr>
            </w:pPr>
            <w:r>
              <w:rPr>
                <w:rFonts w:ascii="Arial" w:cs="Arial" w:eastAsia="Arial" w:hAnsi="Arial"/>
                <w:sz w:val="18"/>
                <w:szCs w:val="18"/>
                <w:color w:val="auto"/>
                <w:w w:val="89"/>
              </w:rPr>
              <w:t>Number of securities to be issued upon</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Weighted average exercise price of</w:t>
            </w:r>
          </w:p>
        </w:tc>
        <w:tc>
          <w:tcPr>
            <w:tcW w:w="2920" w:type="dxa"/>
            <w:vAlign w:val="bottom"/>
          </w:tcPr>
          <w:p>
            <w:pPr>
              <w:jc w:val="center"/>
              <w:spacing w:after="0"/>
              <w:rPr>
                <w:sz w:val="20"/>
                <w:szCs w:val="20"/>
                <w:color w:val="auto"/>
              </w:rPr>
            </w:pPr>
            <w:r>
              <w:rPr>
                <w:rFonts w:ascii="Arial" w:cs="Arial" w:eastAsia="Arial" w:hAnsi="Arial"/>
                <w:sz w:val="18"/>
                <w:szCs w:val="18"/>
                <w:color w:val="auto"/>
                <w:w w:val="90"/>
              </w:rPr>
              <w:t>available for future issuance under</w:t>
            </w:r>
          </w:p>
        </w:tc>
      </w:tr>
      <w:tr>
        <w:trPr>
          <w:trHeight w:val="216"/>
        </w:trPr>
        <w:tc>
          <w:tcPr>
            <w:tcW w:w="5780" w:type="dxa"/>
            <w:vAlign w:val="bottom"/>
          </w:tcPr>
          <w:p>
            <w:pPr>
              <w:jc w:val="center"/>
              <w:ind w:left="2690"/>
              <w:spacing w:after="0"/>
              <w:rPr>
                <w:sz w:val="20"/>
                <w:szCs w:val="20"/>
                <w:color w:val="auto"/>
              </w:rPr>
            </w:pPr>
            <w:r>
              <w:rPr>
                <w:rFonts w:ascii="Arial" w:cs="Arial" w:eastAsia="Arial" w:hAnsi="Arial"/>
                <w:sz w:val="18"/>
                <w:szCs w:val="18"/>
                <w:color w:val="auto"/>
                <w:w w:val="90"/>
              </w:rPr>
              <w:t>exercise of outstanding options,</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outstanding options, warrants and</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equity compensation plans (excluding</w:t>
            </w:r>
          </w:p>
        </w:tc>
      </w:tr>
      <w:tr>
        <w:trPr>
          <w:trHeight w:val="216"/>
        </w:trPr>
        <w:tc>
          <w:tcPr>
            <w:tcW w:w="5780" w:type="dxa"/>
            <w:vAlign w:val="bottom"/>
          </w:tcPr>
          <w:p>
            <w:pPr>
              <w:jc w:val="center"/>
              <w:ind w:left="2710"/>
              <w:spacing w:after="0"/>
              <w:rPr>
                <w:sz w:val="20"/>
                <w:szCs w:val="20"/>
                <w:color w:val="auto"/>
              </w:rPr>
            </w:pPr>
            <w:r>
              <w:rPr>
                <w:rFonts w:ascii="Arial" w:cs="Arial" w:eastAsia="Arial" w:hAnsi="Arial"/>
                <w:sz w:val="18"/>
                <w:szCs w:val="18"/>
                <w:color w:val="auto"/>
                <w:w w:val="90"/>
              </w:rPr>
              <w:t>warrants and rights</w:t>
            </w:r>
          </w:p>
        </w:tc>
        <w:tc>
          <w:tcPr>
            <w:tcW w:w="2720" w:type="dxa"/>
            <w:vAlign w:val="bottom"/>
          </w:tcPr>
          <w:p>
            <w:pPr>
              <w:jc w:val="center"/>
              <w:spacing w:after="0"/>
              <w:rPr>
                <w:sz w:val="20"/>
                <w:szCs w:val="20"/>
                <w:color w:val="auto"/>
              </w:rPr>
            </w:pPr>
            <w:r>
              <w:rPr>
                <w:rFonts w:ascii="Arial" w:cs="Arial" w:eastAsia="Arial" w:hAnsi="Arial"/>
                <w:sz w:val="18"/>
                <w:szCs w:val="18"/>
                <w:color w:val="auto"/>
                <w:w w:val="95"/>
              </w:rPr>
              <w:t>rights</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securities reflected in column (a))</w:t>
            </w:r>
          </w:p>
        </w:tc>
      </w:tr>
      <w:tr>
        <w:trPr>
          <w:trHeight w:val="230"/>
        </w:trPr>
        <w:tc>
          <w:tcPr>
            <w:tcW w:w="5780" w:type="dxa"/>
            <w:vAlign w:val="bottom"/>
          </w:tcPr>
          <w:p>
            <w:pPr>
              <w:jc w:val="center"/>
              <w:ind w:left="2690"/>
              <w:spacing w:after="0"/>
              <w:rPr>
                <w:sz w:val="20"/>
                <w:szCs w:val="20"/>
                <w:color w:val="auto"/>
              </w:rPr>
            </w:pPr>
            <w:r>
              <w:rPr>
                <w:rFonts w:ascii="Arial" w:cs="Arial" w:eastAsia="Arial" w:hAnsi="Arial"/>
                <w:sz w:val="18"/>
                <w:szCs w:val="18"/>
                <w:color w:val="auto"/>
                <w:w w:val="90"/>
              </w:rPr>
              <w:t>(a)</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920" w:type="dxa"/>
            <w:vAlign w:val="bottom"/>
          </w:tcPr>
          <w:p>
            <w:pPr>
              <w:jc w:val="center"/>
              <w:spacing w:after="0"/>
              <w:rPr>
                <w:sz w:val="20"/>
                <w:szCs w:val="20"/>
                <w:color w:val="auto"/>
              </w:rPr>
            </w:pPr>
            <w:r>
              <w:rPr>
                <w:rFonts w:ascii="Arial" w:cs="Arial" w:eastAsia="Arial" w:hAnsi="Arial"/>
                <w:sz w:val="18"/>
                <w:szCs w:val="18"/>
                <w:color w:val="auto"/>
                <w:w w:val="95"/>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p>
      <w:pPr>
        <w:ind w:left="180"/>
        <w:spacing w:after="0"/>
        <w:tabs>
          <w:tab w:leader="none" w:pos="4140" w:val="left"/>
          <w:tab w:leader="none" w:pos="7000" w:val="left"/>
          <w:tab w:leader="none" w:pos="9860" w:val="left"/>
        </w:tabs>
        <w:rPr>
          <w:sz w:val="20"/>
          <w:szCs w:val="20"/>
          <w:color w:val="auto"/>
        </w:rPr>
      </w:pPr>
      <w:r>
        <w:rPr>
          <w:rFonts w:ascii="Arial" w:cs="Arial" w:eastAsia="Arial" w:hAnsi="Arial"/>
          <w:sz w:val="18"/>
          <w:szCs w:val="18"/>
          <w:color w:val="auto"/>
        </w:rPr>
        <w:t>approved by security holders</w:t>
      </w:r>
      <w:r>
        <w:rPr>
          <w:sz w:val="20"/>
          <w:szCs w:val="20"/>
          <w:color w:val="auto"/>
        </w:rPr>
        <w:tab/>
      </w:r>
      <w:r>
        <w:rPr>
          <w:rFonts w:ascii="Arial" w:cs="Arial" w:eastAsia="Arial" w:hAnsi="Arial"/>
          <w:sz w:val="18"/>
          <w:szCs w:val="18"/>
          <w:color w:val="auto"/>
        </w:rPr>
        <w:t>Nil</w:t>
      </w:r>
      <w:r>
        <w:rPr>
          <w:sz w:val="20"/>
          <w:szCs w:val="20"/>
          <w:color w:val="auto"/>
        </w:rPr>
        <w:tab/>
      </w:r>
      <w:r>
        <w:rPr>
          <w:rFonts w:ascii="Arial" w:cs="Arial" w:eastAsia="Arial" w:hAnsi="Arial"/>
          <w:sz w:val="18"/>
          <w:szCs w:val="18"/>
          <w:color w:val="auto"/>
        </w:rPr>
        <w:t>Nil</w:t>
      </w:r>
      <w:r>
        <w:rPr>
          <w:sz w:val="20"/>
          <w:szCs w:val="20"/>
          <w:color w:val="auto"/>
        </w:rPr>
        <w:tab/>
      </w:r>
      <w:r>
        <w:rPr>
          <w:rFonts w:ascii="Arial" w:cs="Arial" w:eastAsia="Arial" w:hAnsi="Arial"/>
          <w:sz w:val="18"/>
          <w:szCs w:val="18"/>
          <w:color w:val="auto"/>
        </w:rPr>
        <w:t>Nil</w:t>
      </w:r>
    </w:p>
    <w:p>
      <w:pPr>
        <w:spacing w:after="0" w:line="9"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Equity compensation plans not</w:t>
      </w:r>
    </w:p>
    <w:tbl>
      <w:tblPr>
        <w:tblLayout w:type="fixed"/>
        <w:tblInd w:w="0" w:type="dxa"/>
        <w:tblCellMar>
          <w:top w:w="0" w:type="dxa"/>
          <w:left w:w="0" w:type="dxa"/>
          <w:bottom w:w="0" w:type="dxa"/>
          <w:right w:w="0" w:type="dxa"/>
        </w:tblCellMar>
      </w:tblPr>
      <w:tr>
        <w:trPr>
          <w:trHeight w:val="232"/>
        </w:trPr>
        <w:tc>
          <w:tcPr>
            <w:tcW w:w="30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approved by security holders</w:t>
            </w:r>
          </w:p>
        </w:tc>
        <w:tc>
          <w:tcPr>
            <w:tcW w:w="2760" w:type="dxa"/>
            <w:vAlign w:val="bottom"/>
            <w:tcBorders>
              <w:bottom w:val="single" w:sz="8" w:color="auto"/>
            </w:tcBorders>
          </w:tcPr>
          <w:p>
            <w:pPr>
              <w:jc w:val="right"/>
              <w:ind w:right="1010"/>
              <w:spacing w:after="0" w:line="226" w:lineRule="exact"/>
              <w:rPr>
                <w:sz w:val="20"/>
                <w:szCs w:val="20"/>
                <w:color w:val="auto"/>
              </w:rPr>
            </w:pPr>
            <w:r>
              <w:rPr>
                <w:rFonts w:ascii="Arial" w:cs="Arial" w:eastAsia="Arial" w:hAnsi="Arial"/>
                <w:sz w:val="18"/>
                <w:szCs w:val="18"/>
                <w:color w:val="auto"/>
              </w:rPr>
              <w:t>6,778,000</w:t>
            </w:r>
            <w:r>
              <w:rPr>
                <w:rFonts w:ascii="Arial" w:cs="Arial" w:eastAsia="Arial" w:hAnsi="Arial"/>
                <w:sz w:val="25"/>
                <w:szCs w:val="25"/>
                <w:color w:val="auto"/>
                <w:vertAlign w:val="superscript"/>
              </w:rPr>
              <w:t>(1)</w:t>
            </w:r>
          </w:p>
        </w:tc>
        <w:tc>
          <w:tcPr>
            <w:tcW w:w="26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$0.18</w:t>
            </w:r>
          </w:p>
        </w:tc>
        <w:tc>
          <w:tcPr>
            <w:tcW w:w="294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3,222,000</w:t>
            </w:r>
          </w:p>
        </w:tc>
      </w:tr>
      <w:tr>
        <w:trPr>
          <w:trHeight w:val="257"/>
        </w:trPr>
        <w:tc>
          <w:tcPr>
            <w:tcW w:w="3060" w:type="dxa"/>
            <w:vAlign w:val="bottom"/>
            <w:tcBorders>
              <w:bottom w:val="single" w:sz="8" w:color="auto"/>
            </w:tcBorders>
            <w:shd w:val="clear" w:color="auto" w:fill="CCEEFF"/>
          </w:tcPr>
          <w:p>
            <w:pPr>
              <w:spacing w:after="0"/>
              <w:rPr>
                <w:sz w:val="22"/>
                <w:szCs w:val="22"/>
                <w:color w:val="auto"/>
              </w:rPr>
            </w:pPr>
          </w:p>
        </w:tc>
        <w:tc>
          <w:tcPr>
            <w:tcW w:w="2760" w:type="dxa"/>
            <w:vAlign w:val="bottom"/>
            <w:tcBorders>
              <w:bottom w:val="single" w:sz="8" w:color="auto"/>
            </w:tcBorders>
            <w:shd w:val="clear" w:color="auto" w:fill="CCEEFF"/>
          </w:tcPr>
          <w:p>
            <w:pPr>
              <w:jc w:val="right"/>
              <w:ind w:right="1010"/>
              <w:spacing w:after="0" w:line="216" w:lineRule="exact"/>
              <w:rPr>
                <w:sz w:val="20"/>
                <w:szCs w:val="20"/>
                <w:color w:val="auto"/>
              </w:rPr>
            </w:pPr>
            <w:r>
              <w:rPr>
                <w:rFonts w:ascii="Arial" w:cs="Arial" w:eastAsia="Arial" w:hAnsi="Arial"/>
                <w:sz w:val="18"/>
                <w:szCs w:val="18"/>
                <w:color w:val="auto"/>
              </w:rPr>
              <w:t>6,778,000</w:t>
            </w:r>
            <w:r>
              <w:rPr>
                <w:rFonts w:ascii="Arial" w:cs="Arial" w:eastAsia="Arial" w:hAnsi="Arial"/>
                <w:sz w:val="25"/>
                <w:szCs w:val="25"/>
                <w:color w:val="auto"/>
                <w:vertAlign w:val="superscript"/>
              </w:rPr>
              <w:t>(1)</w:t>
            </w:r>
          </w:p>
        </w:tc>
        <w:tc>
          <w:tcPr>
            <w:tcW w:w="26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rPr>
              <w:t>$0.18</w:t>
            </w:r>
          </w:p>
        </w:tc>
        <w:tc>
          <w:tcPr>
            <w:tcW w:w="294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rPr>
              <w:t>3,222,000</w:t>
            </w:r>
          </w:p>
        </w:tc>
      </w:tr>
    </w:tbl>
    <w:p>
      <w:pPr>
        <w:spacing w:after="0" w:line="229" w:lineRule="exact"/>
        <w:rPr>
          <w:sz w:val="20"/>
          <w:szCs w:val="20"/>
          <w:color w:val="auto"/>
        </w:rPr>
      </w:pPr>
    </w:p>
    <w:p>
      <w:pPr>
        <w:ind w:firstLine="8"/>
        <w:spacing w:after="0" w:line="216" w:lineRule="auto"/>
        <w:tabs>
          <w:tab w:leader="none" w:pos="237"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 plan under which these shares were issued was approved by the Board of Directors and the shareholders in 2009 but did not come into effect until February 22, 2010.</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Stock Incentive Plan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14, 2009, the Company adopted the 2009 Stock Incentive Plan (the “2009 Plan”). The 2009 Plan allows for the issuance of up to 10,000,000 common shares. Options granted under the Plan shall be at prices and for terms as determined by our Board of Directors, and may have vesting requirements as determined by our Board of Directors.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summary of the 2009 Stock Incentive Plan is not complete and is qualified in its entirety by reference to the 2009 Stock Incentive Plan, a copy of which has been filed with the SEC.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annual report, there are an aggregate of 7,943,000 stock options granted and outstanding.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annual report, there are an aggregate of 16,908,623 common stock purchase warrants issued and outstanding.</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On March 15 2012, we issued 400,000 shares of restricted common stock for a debt settlement $72,000 and stock 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March 15 2012, we settled $50,000 in deferred management compensation for 333,334 restricted common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March 15 2012, we sold an aggregate of 733,334 restricted common shares for $110,000 in a private placement.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On March 15 2012, we settled an aggregate of $118,466 in annual interest payments on the February 2011 Notes for 789,778 restricted common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In April 2012, we sold an aggregate of 2,300,000 restricted common shares for $345,000 in a private placement.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April 2012, we issued 100,000 shares of restricted common stock for a debt settlement of $37,258.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April 2012, we sold an aggregate of 933,333 restricted common shares for $140,000 in a private placement.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April 2012, we issued 1,000,000 shares of restricted common stock pursuant to a consulting agreement.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April, 2012, we issued 163,334 shares of restricted common stock in settlement of accrued interest in the amount of $24,500 on the outstanding 2011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May 2012, we issued 14,000,000 common shares to consultants pursuant to a consulting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June 2012, we issued 35,179 shares of restricted common stock pursuant to a consulting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August 2012, we issued 500,000 shares of restricted common stock pursuant to a consulting agreement.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September 2012, we issued 500,000 shares of restricted common stock to the holder of a promissory note in exchange for the note holder’s agreement to forebear from pursuing collection action on that note.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In November 2012, we issued 437,063 shares of restricted common stock on election by the holder to convert part of a convertible debt of $25,000.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In November 2012, we issued 597,185 shares of restricted common stock on election by the holder to convert part of a convertible debt of $35,000.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In November 2012, we issued 228,479 shares of restricted common stock on election by the holder to convert part of a convertible debt of $13,737.</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2012, we issued 1,078,477 shares of restricted common stock as payment of installment of $65,032 for a convertible debt.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We issued the equity securities described in this section in reliance on the registration exemption provided by Section 4(2) of the Securities Act of 1933.</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previously reported all issuances of unregistered equity during the year ended December 31, 2011.</w:t>
      </w:r>
    </w:p>
    <w:p>
      <w:pPr>
        <w:spacing w:after="0" w:line="248"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7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discussion of our financial condition, changes in financial condition, plan of operations and results of operations should be read in conjunction with (i) our audited consolidated financial statements as at December 31, 2012 and for the period from inception (July 27, 1999) to December 31, 2012 and</w:t>
      </w:r>
    </w:p>
    <w:p>
      <w:pPr>
        <w:ind w:firstLine="8"/>
        <w:spacing w:after="0" w:line="290" w:lineRule="auto"/>
        <w:tabs>
          <w:tab w:leader="none" w:pos="28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vaccine component, the gene based TAP technology has the potential to significantly improve the efficacy of both prophylactic and immunotherapeutic vaccines as it addresses a fundamental mechanism for T cell recognition and response. We believe that, unlike other vaccine technologies that address only the initiation of immune responses, TAP expression also has the unique ability to enhance the effector function of mature killer T cells. This enhancement of effector function is potentially complementary to any/all vaccine approaches that are designed to enhance cellular responses. Therefore, we envisage establishing multiple collaborative partnerships as we progress gene-based TAP development and research in the clinic. The exploitation of this key mechanism is highlighted by two collaborations with the Mayo Clinic in Rochester, MN and their progress in 2012.</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that as a result of our recent personnel additions, our moving into a state of the art facility, our exclusive Licensing Option agreements with the Mayo Clinic in Rochester, Minnesota, the start of term Phase 1 clinical trials, together with and subject to raising adequate funding, the Company will be well positioned for significant growth in 2013.</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2011, the FDA allowed an IND (Investigational New Drug application) and the Company signed a sponsored research agreement with the Mayo Clinic for a Phase 1 Her2neu Breast Cancer Clinical Trial, which started in the first quarter of 2012. The trial will use a patented technology developed at the Mayo clinic. TapImmune has the exclusive Option to license this technology. Recent clinical trials of Her2neu vaccines have shown considerable promise but have significant room for improvements, and the technology we are evaluating in our phase I clinical trial offers a vaccine with broader coverage, making it applicable to a much larger population of women with breast cancer. We anticipate that this technology will be used therapeutically together with our TAP expression technology as it reaches clinical development in combination with the improved Her2neu targeted vaccine. Currently, Herceptin® (trastuzumab: an intravenously delivered monoclonal antibody) is used in the treatment of HER-2/neu breast cancer. Sales of this product in 2009 were approximately US$5 billion (source: Roche AG’s Pharmaceutical Division). As our vaccine approach has the potential to treat a broader HER-2/neu positive clinical population, the market potential is significant.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both"/>
        <w:spacing w:after="0" w:line="293" w:lineRule="auto"/>
        <w:rPr>
          <w:sz w:val="20"/>
          <w:szCs w:val="20"/>
          <w:color w:val="auto"/>
        </w:rPr>
      </w:pPr>
      <w:r>
        <w:rPr>
          <w:rFonts w:ascii="Arial" w:cs="Arial" w:eastAsia="Arial" w:hAnsi="Arial"/>
          <w:sz w:val="16"/>
          <w:szCs w:val="16"/>
          <w:color w:val="auto"/>
        </w:rPr>
        <w:t>Our Gene-based TAP vaccines also have the potential to significantly improve the efficacy of prophylactic vaccines for viral pandemics and as agents for biodefense. In a novel approach to the development of a smallpox vaccine, in our collaboration with the Mayo Clinic, research studies have progressed well and are now testing unique and patentable smallpox antigens in combination with TAP technology which we expect to be completed by the third quarter of 2012. Once these feasibility studies are complete we would move to larger preclinical animal studies, and Phase I safety trials. This study will also act as a platform for more extensive use of gene-based TAP vectors for biodefense. We will be seeking non-dilutive avenues to finance and advance this program by way of biodefense focused grants and contracts. We have the exclusive option to license the patented Mayo technology that is derived from this collaboration.</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opening of our new laboratories and offices at 1551 Eastlake Avenue, Seattle, on January 23, 2012 represented a significant advance for the Company on several fronts. First, our sub-lease and service agreements with the Puget Sound Blood Center Research Institute enables our scientific team to access a wide array of functioning core labs and shared equipment relevant to all aspects of development of our gene-based product candidates. Second, such an arrangement allows us to speed the development of TAP-based products towards the clinic. Third, we now have the capabilities to produce and test a range of proprietary TAP-based expression vectors for both cancer and infectious disease and to expand our external collaborations. Fourth, the development of new TAP constructs in our laboratories allows us to significantly enhance our intellectual property portfolio. US Patent # 7,994,146 issued in 2011 represents the most recent example of this strategy. The opening of these new facilities is consistent with our strategy of managing costs using a small core internal team that leverages external resources.</w:t>
      </w:r>
    </w:p>
    <w:p>
      <w:pPr>
        <w:spacing w:after="0" w:line="2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will continue to build our technical team in 2013. Under the guidance of Mark Reddish and Dr. Bob Florkiewicz, we seek to recruit world-class Immunologists and molecular biologists. Mark is a recognized leader in vaccine technology development with an impressive track record in taking leading immunotherapy products from early research through development, both in the areas of cancer vaccines and biodefense. He was formerly Vice President of Product Development and Principal Investigator, Biodefense at ID Biomedical, Bothell, WA, prior to the acquisition of the company by Glaxo SmithKline for $1.6 billion. At Biomira Inc, (renamed Oncothyreon) he was responsible for preclinical development of their cancer vaccines program. Bob</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(Dendreon NASD: DNDN) for prostate cancer and Yervoy™ (BMS) for metastatic melanoma, anticipation of the results from Phase III trials on MAGE-3 (GSK) for treatment of lung cancer, and progression of approaches for multiple cancer indications through Phase II and into Phase III.</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that TapImmune is well positioned to be a leading player in this emerging market. It is important to note that the late stage immunotherapies in development do not necessarily represent competition to our programs, but rather offer us opportunities as our TAP expression technology is potentially synergistic with many other vaccine approaches. The addition of a TAP expression vector to patients already receiving a therapeutic vaccine could enhance the efficacy of these vaccines, as TAP is designed to help killer T-cells kill tumor cells. This concept of enhancing the effector stage of an immune response differentiates TAP technology from a wide list of immunotherapies currently in development, and offers a great opportunity for collaborations and partnerships. Accordingly we believe that the use of TAP expression vectors represents the next logical step in the development of more effective immunotherapies.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2012, we continued to made significant progress with very few resources. Progress in developing vectors for expression of antigens and TAP as a boost strategy has led to new intellectual property that we intend to file in the second quarter of 2013. On the technology and product pipeline side, management believes that the company is fundamentally strong and poised to be a leading company in a highly attractive and expanding market, a position reinforced by our recruitment of top-class managers, advisors and investors who all share our vision.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Compared to the Year Ended December 31, 2011</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a development stage company. We recorded a net loss of $5,660,000 during the year ended December 31, 2012 compared to $2,029,000 for the year ended December 31,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Operating expenses incurred during the fiscal year ended December 31, 2012 were $6,025,000 compared to $3,316,000 in the prior year. Significant changes and expenditures are outlined as follows:</w:t>
      </w:r>
    </w:p>
    <w:p>
      <w:pPr>
        <w:spacing w:after="0" w:line="211" w:lineRule="exact"/>
        <w:rPr>
          <w:sz w:val="20"/>
          <w:szCs w:val="20"/>
          <w:color w:val="auto"/>
        </w:rPr>
      </w:pPr>
    </w:p>
    <w:p>
      <w:pPr>
        <w:ind w:left="660" w:hanging="139"/>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Consulting fees were $183,000 during the fiscal year ended December 31, 2012 compared to $179,000 during the prior fiscal year. The increase was due primarily to higher business development services that were entered into during the current period.</w:t>
      </w:r>
    </w:p>
    <w:p>
      <w:pPr>
        <w:spacing w:after="0" w:line="197" w:lineRule="exact"/>
        <w:rPr>
          <w:rFonts w:ascii="Arial" w:cs="Arial" w:eastAsia="Arial" w:hAnsi="Arial"/>
          <w:sz w:val="18"/>
          <w:szCs w:val="18"/>
          <w:color w:val="auto"/>
        </w:rPr>
      </w:pPr>
    </w:p>
    <w:p>
      <w:pPr>
        <w:ind w:left="660" w:hanging="139"/>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Stock-based consulting fees were $2,316,000 in the year ended December 31, 2012 compared to $872,000 in the prior year. The current and prior year charges result from the fair valuation of shares issued to consultants and options granted to or earned by consultants during such periods.</w:t>
      </w:r>
    </w:p>
    <w:p>
      <w:pPr>
        <w:spacing w:after="0" w:line="150" w:lineRule="exact"/>
        <w:rPr>
          <w:rFonts w:ascii="Arial" w:cs="Arial" w:eastAsia="Arial" w:hAnsi="Arial"/>
          <w:sz w:val="16"/>
          <w:szCs w:val="16"/>
          <w:color w:val="auto"/>
        </w:rPr>
      </w:pPr>
    </w:p>
    <w:p>
      <w:pPr>
        <w:ind w:left="660" w:hanging="139"/>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and administrative expenses were $1,012,000 in the year ended December 31, 2012 compared to $306,000 in the prior year, with the increase resulting primarily from increased payroll, higher rent, investor relations and travel expenses.</w:t>
      </w:r>
    </w:p>
    <w:p>
      <w:pPr>
        <w:spacing w:after="0" w:line="197" w:lineRule="exact"/>
        <w:rPr>
          <w:rFonts w:ascii="Arial" w:cs="Arial" w:eastAsia="Arial" w:hAnsi="Arial"/>
          <w:sz w:val="18"/>
          <w:szCs w:val="18"/>
          <w:color w:val="auto"/>
        </w:rPr>
      </w:pPr>
    </w:p>
    <w:p>
      <w:pPr>
        <w:ind w:left="660" w:hanging="139"/>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Interest and finance charges were $745,000 during the fiscal year ended December 31, 2012 compared to $679,000 during the prior fiscal year. Current and prior period interest charges are primarily accretion of interest and the fair value of warrants issued with convertible notes.</w:t>
      </w:r>
    </w:p>
    <w:p>
      <w:pPr>
        <w:spacing w:after="0" w:line="173" w:lineRule="exact"/>
        <w:rPr>
          <w:rFonts w:ascii="Arial" w:cs="Arial" w:eastAsia="Arial" w:hAnsi="Arial"/>
          <w:sz w:val="17"/>
          <w:szCs w:val="17"/>
          <w:color w:val="auto"/>
        </w:rPr>
      </w:pPr>
    </w:p>
    <w:p>
      <w:pPr>
        <w:ind w:left="660" w:hanging="139"/>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fees were $296,000 in the year ended December 31, 2012 compared to $248,000 in the prior year, with the difference resulting primarily due to higher management fees paid to the current management.</w:t>
      </w:r>
    </w:p>
    <w:p>
      <w:pPr>
        <w:spacing w:after="0" w:line="197" w:lineRule="exact"/>
        <w:rPr>
          <w:rFonts w:ascii="Arial" w:cs="Arial" w:eastAsia="Arial" w:hAnsi="Arial"/>
          <w:sz w:val="18"/>
          <w:szCs w:val="18"/>
          <w:color w:val="auto"/>
        </w:rPr>
      </w:pPr>
    </w:p>
    <w:p>
      <w:pPr>
        <w:ind w:left="660" w:hanging="139"/>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Management compensation – stock-based were $124,000 in the year ended December 31, 2012 compared to $390,000 in the prior year. The current and prior year charges result from the fair valuation of options granted to management that were earned during the period.</w:t>
      </w:r>
    </w:p>
    <w:p>
      <w:pPr>
        <w:spacing w:after="0" w:line="173" w:lineRule="exact"/>
        <w:rPr>
          <w:rFonts w:ascii="Arial" w:cs="Arial" w:eastAsia="Arial" w:hAnsi="Arial"/>
          <w:sz w:val="17"/>
          <w:szCs w:val="17"/>
          <w:color w:val="auto"/>
        </w:rPr>
      </w:pPr>
    </w:p>
    <w:p>
      <w:pPr>
        <w:ind w:left="660" w:hanging="139"/>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Professional fees were $350,000 in the year ended December 31, 2012 compared to $438,000 in the prior year. The decrease from the prior year results due to lower legal fees incurred relating to debt issuance in the current period.</w:t>
      </w:r>
    </w:p>
    <w:p>
      <w:pPr>
        <w:spacing w:after="0" w:line="197" w:lineRule="exact"/>
        <w:rPr>
          <w:rFonts w:ascii="Arial" w:cs="Arial" w:eastAsia="Arial" w:hAnsi="Arial"/>
          <w:sz w:val="18"/>
          <w:szCs w:val="18"/>
          <w:color w:val="auto"/>
        </w:rPr>
      </w:pPr>
    </w:p>
    <w:p>
      <w:pPr>
        <w:ind w:left="660" w:hanging="139"/>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Research and development costs during the fiscal year ended December 31, 2012 were $999,000 compared to $204,000 during the prior fiscal year. This was due to higher technology licensing fee accrued for payment due to Mayo clinic and increased research activity in the current period.</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fiscal year ended December 31, 2011, the Company recorded a gain on settlement of debt in the amount of $318,000 relating to early settlement of 2010 convertible notes and settlement of trade payables for shares. The Company also recorded a gain from extinguishment of the derivative share purchase warrants in the amount of $291,000 as determined by the fair value of the warrants at the date of settlement less the consideration attributed to the settlement of the warrants relating to the 2010 Notes.</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net loss for the year ended December 31, 2012 was $5,660,000 or ($0.09) per share, compared to a net loss of $2,029,000 or ($0.04) per share in the prior period. The weighted average number of shares outstanding was 65,526,927 for the year ended December 31, 2012 compared to 45,994,617 for the prior year.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working capital as of December 31, 2012 and 2011: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50"/>
        </w:trPr>
        <w:tc>
          <w:tcPr>
            <w:tcW w:w="3140" w:type="dxa"/>
            <w:vAlign w:val="bottom"/>
            <w:tcBorders>
              <w:top w:val="single" w:sz="8" w:color="auto"/>
              <w:bottom w:val="single" w:sz="8" w:color="auto"/>
            </w:tcBorders>
          </w:tcPr>
          <w:p>
            <w:pPr>
              <w:spacing w:after="0"/>
              <w:rPr>
                <w:sz w:val="21"/>
                <w:szCs w:val="21"/>
                <w:color w:val="auto"/>
              </w:rPr>
            </w:pPr>
          </w:p>
        </w:tc>
        <w:tc>
          <w:tcPr>
            <w:tcW w:w="402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December 31, 2012</w:t>
            </w:r>
          </w:p>
        </w:tc>
        <w:tc>
          <w:tcPr>
            <w:tcW w:w="426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December 31, 2011</w:t>
            </w:r>
          </w:p>
        </w:tc>
      </w:tr>
      <w:tr>
        <w:trPr>
          <w:trHeight w:val="216"/>
        </w:trPr>
        <w:tc>
          <w:tcPr>
            <w:tcW w:w="3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reserves</w:t>
            </w:r>
          </w:p>
        </w:tc>
        <w:tc>
          <w:tcPr>
            <w:tcW w:w="402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rPr>
              <w:t>$  51,000</w:t>
            </w:r>
          </w:p>
        </w:tc>
        <w:tc>
          <w:tcPr>
            <w:tcW w:w="4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250,000</w:t>
            </w:r>
          </w:p>
        </w:tc>
      </w:tr>
      <w:tr>
        <w:trPr>
          <w:trHeight w:val="216"/>
        </w:trPr>
        <w:tc>
          <w:tcPr>
            <w:tcW w:w="3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Working capital (deficit)</w:t>
            </w:r>
          </w:p>
        </w:tc>
        <w:tc>
          <w:tcPr>
            <w:tcW w:w="402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color w:val="auto"/>
              </w:rPr>
              <w:t>$ (5,468,000)</w:t>
            </w: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 (3,493,000)</w:t>
            </w:r>
          </w:p>
        </w:tc>
      </w:tr>
      <w:tr>
        <w:trPr>
          <w:trHeight w:val="21"/>
        </w:trPr>
        <w:tc>
          <w:tcPr>
            <w:tcW w:w="314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the availability of additional financing, we intend to spend approximately $5,000,000 over the next twelve months in carrying out our plan of operations. At December 31, 2012, we had $51,000 of cash on hand and a working capital deficit of $5,468,000. As such, our working capital at December 31, 2012 will not be sufficient to enable us to pay our general and administrative expenses, and to pursue our plan of operations over the next twelve months. We anticipate that we will require significant debt restructuring to reduce the working capital deficit and an additional funding of approximately $5,000,000. Our management is currently making significant efforts to secure the needed financing, but we have not yet secured any commitments with respect to such financing. If we are not able to obtain financing in the amounts required or on terms that are acceptable to us, we may be forced to scale back, or abandon, our plan of operations.</w:t>
      </w:r>
    </w:p>
    <w:p>
      <w:pPr>
        <w:spacing w:after="0" w:line="2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the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no sources of revenue to provide incoming cash flows to sustain our future operations. As outlined above, our ability to pursue our planned business activities is dependent upon our successful efforts to raise additional equity financing. 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As at December 31, 2012, we had accumulated losses of $49,382,000 since inception. Our financial statements do not include any adjustments to the recoverability and classification of recorded asset amounts and classification of liabilities that might be necessary should we be unable to continue as a going concern.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activities in the year ended December 31, 2012 used cash of $1,565,000 compared to $1,310,000 in the year ended December 31, 2011. Operating activities in the period from inception on July 27, 1999 to December 31, 2012 used cash of $16,420,000. Operating activities have primarily used cash as a result of the operating and organizational activities such as consulting fees, management fees, professional fees and research and development.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year ended December 31, 2012, investing activities used cash of $Nil compared to $Nil in the year ended December 31, 2011. In the period from inception on July 27, 1999 to December 31, 2012 investing activities provided cash of $205,000.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As we have had no revenues since inception, we have financed our operations primarily through private placements of our stock and debt. Financing activities in the year ended December 31, 2012 provided cash of $1,366,000 compared to $1,537,000 in the year ended December 31, 2011. In the period from inception on July 27, 1999 to December 31, 2011, financing activities provided net cash of $16,265,000 primarily from the sale of our equity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Note 2 of our consolidated financial statements for our year ended December 31, 2012 for a summary of significant accounting policies.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62"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spacing w:after="0"/>
        <w:tabs>
          <w:tab w:leader="none" w:pos="16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STATEMENTS</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TAPIMMUNE INC.</w:t>
      </w:r>
    </w:p>
    <w:p>
      <w:pPr>
        <w:spacing w:after="0" w:line="256"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 Development Stage Company)</w:t>
      </w:r>
    </w:p>
    <w:p>
      <w:pPr>
        <w:spacing w:after="0" w:line="24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CONSOLIDATED FINANCIAL STATEMENTS</w:t>
      </w:r>
    </w:p>
    <w:p>
      <w:pPr>
        <w:spacing w:after="0" w:line="252"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Stockholders’ Deficit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963930</wp:posOffset>
            </wp:positionH>
            <wp:positionV relativeFrom="page">
              <wp:posOffset>337820</wp:posOffset>
            </wp:positionV>
            <wp:extent cx="5642610" cy="1226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64261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TapImmune Inc.</w:t>
      </w:r>
    </w:p>
    <w:p>
      <w:pPr>
        <w:spacing w:after="0" w:line="25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have audited the accompanying consolidated balance sheets of TapImmune Inc.(a development stage company) as of December 31, 2012 and 2011 and the related consolidated statements of operations, stockholders’ deficit and cash flows for the years ended December 31, 2012 and 2011 and the period from July 27, 1999 (inception) through December 31, 2012. These financial statements are the responsibility of the Company's management. Our responsibility is to express an opinion on these financial statements based on our audits.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an audit to obtain reasonable assurance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these consolidated financial statements present fairly, in all material respects, the financial position of TapImmue Inc. as of December 31, 2012 and 2011 and the results of its operations and its cash flows for the years ended December 31, 2012 and 2011 and the period from July 27, 1999 (inception) through December 31, 2012 in conformity with accounting principles generally accepted in the United States of America.</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financial statements, the Company has not generated revenues since inception, has incurred losses in developing its business, and further losses are anticipated. The Company requires additional funds to meet its obligations and the costs of its operations. These factors raise substantial doubt about the Company’s ability to continue as a going concern. Management’s plans in this regard are described in Note 1. The financial statements do not include any adjustments that might result from the outcome of this uncertainty.</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DALE MATHESON CARR-HILTON LABONTE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CHARTERED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15, 2013</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2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December 31,</w:t>
            </w:r>
          </w:p>
        </w:tc>
        <w:tc>
          <w:tcPr>
            <w:tcW w:w="132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2012</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50,679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0"/>
              <w:spacing w:after="0"/>
              <w:rPr>
                <w:sz w:val="20"/>
                <w:szCs w:val="20"/>
                <w:color w:val="auto"/>
              </w:rPr>
            </w:pPr>
            <w:r>
              <w:rPr>
                <w:rFonts w:ascii="Arial" w:cs="Arial" w:eastAsia="Arial" w:hAnsi="Arial"/>
                <w:sz w:val="18"/>
                <w:szCs w:val="18"/>
                <w:color w:val="auto"/>
              </w:rPr>
              <w:t>Due from government agency</w:t>
            </w:r>
          </w:p>
        </w:tc>
        <w:tc>
          <w:tcPr>
            <w:tcW w:w="7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1,077</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Prepaid expenses and deposits</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15,004</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56,627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Deferred financing costs (Note 5)</w:t>
            </w:r>
          </w:p>
        </w:tc>
        <w:tc>
          <w:tcPr>
            <w:tcW w:w="7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37,452</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104,212</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Deferred financing costs (Note 5)</w:t>
            </w:r>
          </w:p>
        </w:tc>
        <w:tc>
          <w:tcPr>
            <w:tcW w:w="7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32,291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104,212</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340,212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3660"/>
              <w:spacing w:after="0"/>
              <w:rPr>
                <w:sz w:val="20"/>
                <w:szCs w:val="20"/>
                <w:color w:val="auto"/>
              </w:rPr>
            </w:pPr>
            <w:r>
              <w:rPr>
                <w:rFonts w:ascii="Arial" w:cs="Arial" w:eastAsia="Arial" w:hAnsi="Arial"/>
                <w:sz w:val="18"/>
                <w:szCs w:val="18"/>
                <w:b w:val="1"/>
                <w:bCs w:val="1"/>
                <w:color w:val="auto"/>
              </w:rPr>
              <w:t>LIABILITIES AND STOCKHOLDERS’ DEFICIT</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60"/>
              <w:spacing w:after="0"/>
              <w:rPr>
                <w:sz w:val="20"/>
                <w:szCs w:val="20"/>
                <w:color w:val="auto"/>
              </w:rPr>
            </w:pPr>
            <w:r>
              <w:rPr>
                <w:rFonts w:ascii="Arial" w:cs="Arial" w:eastAsia="Arial" w:hAnsi="Arial"/>
                <w:sz w:val="18"/>
                <w:szCs w:val="18"/>
                <w:color w:val="auto"/>
              </w:rPr>
              <w:t>Accounts payable and accrued liabilities (Note 12)</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2,058,556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794,291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agreement obligations (Note 3)</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415,998</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0"/>
              <w:spacing w:after="0"/>
              <w:rPr>
                <w:sz w:val="20"/>
                <w:szCs w:val="20"/>
                <w:color w:val="auto"/>
              </w:rPr>
            </w:pPr>
            <w:r>
              <w:rPr>
                <w:rFonts w:ascii="Arial" w:cs="Arial" w:eastAsia="Arial" w:hAnsi="Arial"/>
                <w:sz w:val="18"/>
                <w:szCs w:val="18"/>
                <w:color w:val="auto"/>
              </w:rPr>
              <w:t>Derivative liability – conversion option (Note 4)</w:t>
            </w:r>
          </w:p>
        </w:tc>
        <w:tc>
          <w:tcPr>
            <w:tcW w:w="7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798,300</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Derivative liability – warrants (Note 4)</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677,086</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1,317,834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0"/>
              <w:spacing w:after="0"/>
              <w:rPr>
                <w:sz w:val="20"/>
                <w:szCs w:val="20"/>
                <w:color w:val="auto"/>
              </w:rPr>
            </w:pPr>
            <w:r>
              <w:rPr>
                <w:rFonts w:ascii="Arial" w:cs="Arial" w:eastAsia="Arial" w:hAnsi="Arial"/>
                <w:sz w:val="18"/>
                <w:szCs w:val="18"/>
                <w:color w:val="auto"/>
              </w:rPr>
              <w:t>Convertible notes payable (Note 5)</w:t>
            </w:r>
          </w:p>
        </w:tc>
        <w:tc>
          <w:tcPr>
            <w:tcW w:w="7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1,376,230</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998,790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Loans payable (Note 6)</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0"/>
              <w:spacing w:after="0"/>
              <w:rPr>
                <w:sz w:val="20"/>
                <w:szCs w:val="20"/>
                <w:color w:val="auto"/>
              </w:rPr>
            </w:pPr>
            <w:r>
              <w:rPr>
                <w:rFonts w:ascii="Arial" w:cs="Arial" w:eastAsia="Arial" w:hAnsi="Arial"/>
                <w:sz w:val="18"/>
                <w:szCs w:val="18"/>
                <w:color w:val="auto"/>
              </w:rPr>
              <w:t>Promissory note (Note 7)</w:t>
            </w:r>
          </w:p>
        </w:tc>
        <w:tc>
          <w:tcPr>
            <w:tcW w:w="7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67,942</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Due to related parties (Note 8)</w:t>
            </w:r>
          </w:p>
        </w:tc>
        <w:tc>
          <w:tcPr>
            <w:tcW w:w="7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366,697</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322,905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5,770,809</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3,800,572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Capital stock (Note 9)</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Common stock, $0.001 par value, 150,000,000 shares authorized</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76,402,958 shares issued and outstanding (2011 – 52,073,460)</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76,404</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60"/>
              <w:spacing w:after="0"/>
              <w:rPr>
                <w:sz w:val="20"/>
                <w:szCs w:val="20"/>
                <w:color w:val="auto"/>
              </w:rPr>
            </w:pPr>
            <w:r>
              <w:rPr>
                <w:rFonts w:ascii="Arial" w:cs="Arial" w:eastAsia="Arial" w:hAnsi="Arial"/>
                <w:sz w:val="18"/>
                <w:szCs w:val="18"/>
                <w:color w:val="auto"/>
              </w:rPr>
              <w:t>Additional paid-in capital</w:t>
            </w:r>
          </w:p>
        </w:tc>
        <w:tc>
          <w:tcPr>
            <w:tcW w:w="7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43,545,947</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39,943,374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Shares and warrants to be issued (Note 9)</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352,859</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0"/>
              <w:spacing w:after="0"/>
              <w:rPr>
                <w:sz w:val="20"/>
                <w:szCs w:val="20"/>
                <w:color w:val="auto"/>
              </w:rPr>
            </w:pPr>
            <w:r>
              <w:rPr>
                <w:rFonts w:ascii="Arial" w:cs="Arial" w:eastAsia="Arial" w:hAnsi="Arial"/>
                <w:sz w:val="18"/>
                <w:szCs w:val="18"/>
                <w:color w:val="auto"/>
              </w:rPr>
              <w:t>Deferred compensation (Note 9)</w:t>
            </w:r>
          </w:p>
        </w:tc>
        <w:tc>
          <w:tcPr>
            <w:tcW w:w="7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Deficit accumulated during the development stage</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(49,580,159)</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(43,722,216)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Accumulated other comprehensive loss</w:t>
            </w:r>
          </w:p>
        </w:tc>
        <w:tc>
          <w:tcPr>
            <w:tcW w:w="7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(61,648)</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(60,528)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(5,666,597)</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(3,460,360)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104,212</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340,212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(Notes 1, 3, 5 and 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i w:val="1"/>
          <w:iCs w:val="1"/>
          <w:color w:val="auto"/>
        </w:rPr>
        <w:t>TAPIMMUNE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3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2"/>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July 27, 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88"/>
              </w:rPr>
              <w:t>Year Ended</w:t>
            </w:r>
          </w:p>
        </w:tc>
        <w:tc>
          <w:tcPr>
            <w:tcW w:w="2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Year Ended</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4"/>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13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December 31,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2012</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2011</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Consulting</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182,813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179,250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2,221,500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Consulting - stock-based (Note 9)</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2,316,019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872,159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8,038,372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213,227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1,012,116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305,714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3,929,352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Interest and financing charges (Note 4)</w:t>
            </w:r>
          </w:p>
        </w:tc>
        <w:tc>
          <w:tcPr>
            <w:tcW w:w="2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745,074</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679,332</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6,576,087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(Note 8)</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295,600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248,400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3,067,654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Management fees - stock-based (Notes 8 and 9)</w:t>
            </w:r>
          </w:p>
        </w:tc>
        <w:tc>
          <w:tcPr>
            <w:tcW w:w="2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124,209</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389,824</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4,448,998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489,537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437,785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5,416,109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Research and development (Note 8)</w:t>
            </w:r>
          </w:p>
        </w:tc>
        <w:tc>
          <w:tcPr>
            <w:tcW w:w="2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1,057,430</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203,725</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6,968,595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 - stock-based</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612,000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6,222,798</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3,316,189</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41,491,894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BEFORE OTHER ITEMS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(6,222,798)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(3,316,189)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10,237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Changes in fair value of derivative liabilities (Note 4)</w:t>
            </w:r>
          </w:p>
        </w:tc>
        <w:tc>
          <w:tcPr>
            <w:tcW w:w="2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536,527</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668,710</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4,611,667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Loss on debt financing (Note 5)</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Gain (loss) on settlement of debt (Note 8)</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(59,219)</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317,801</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(11,690,801)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derivative liabilities - warrants (Note 5)</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290,500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33,344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0" w:type="dxa"/>
            <w:vAlign w:val="bottom"/>
          </w:tcPr>
          <w:p>
            <w:pPr>
              <w:spacing w:after="0"/>
              <w:rPr>
                <w:sz w:val="1"/>
                <w:szCs w:val="1"/>
                <w:color w:val="auto"/>
              </w:rPr>
            </w:pP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69" w:lineRule="exact"/>
              <w:rPr>
                <w:sz w:val="20"/>
                <w:szCs w:val="20"/>
                <w:color w:val="auto"/>
              </w:rPr>
            </w:pPr>
            <w:r>
              <w:rPr>
                <w:rFonts w:ascii="Arial" w:cs="Arial" w:eastAsia="Arial" w:hAnsi="Arial"/>
                <w:sz w:val="16"/>
                <w:szCs w:val="16"/>
                <w:color w:val="auto"/>
              </w:rPr>
              <w:t>(5,857,943</w:t>
            </w:r>
            <w:r>
              <w:rPr>
                <w:rFonts w:ascii="Arial" w:cs="Arial" w:eastAsia="Arial" w:hAnsi="Arial"/>
                <w:sz w:val="31"/>
                <w:szCs w:val="31"/>
                <w:color w:val="auto"/>
                <w:vertAlign w:val="superscript"/>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line="269" w:lineRule="exact"/>
              <w:rPr>
                <w:sz w:val="20"/>
                <w:szCs w:val="20"/>
                <w:color w:val="auto"/>
              </w:rPr>
            </w:pPr>
            <w:r>
              <w:rPr>
                <w:rFonts w:ascii="Arial" w:cs="Arial" w:eastAsia="Arial" w:hAnsi="Arial"/>
                <w:sz w:val="16"/>
                <w:szCs w:val="16"/>
                <w:color w:val="auto"/>
              </w:rPr>
              <w:t>(2,028,941</w:t>
            </w:r>
            <w:r>
              <w:rPr>
                <w:rFonts w:ascii="Arial" w:cs="Arial" w:eastAsia="Arial" w:hAnsi="Arial"/>
                <w:sz w:val="31"/>
                <w:szCs w:val="31"/>
                <w:color w:val="auto"/>
                <w:vertAlign w:val="superscript"/>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69" w:lineRule="exact"/>
              <w:rPr>
                <w:sz w:val="20"/>
                <w:szCs w:val="20"/>
                <w:color w:val="auto"/>
              </w:rPr>
            </w:pPr>
            <w:r>
              <w:rPr>
                <w:rFonts w:ascii="Arial" w:cs="Arial" w:eastAsia="Arial" w:hAnsi="Arial"/>
                <w:sz w:val="16"/>
                <w:szCs w:val="16"/>
                <w:color w:val="auto"/>
              </w:rPr>
              <w:t>(49,580,159</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NUMBER OF COMMON SHARES OUTSTANDING, BASIC AND</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65,526,927</w:t>
            </w: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45,994,617</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JULY 27, 1999 (INCEPTION) TO DECEMBER 31, 2012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7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9"/>
              </w:rPr>
              <w:t>Deficit</w:t>
            </w: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6"/>
              </w:rPr>
              <w:t>Obligation</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1620" w:type="dxa"/>
            <w:vAlign w:val="bottom"/>
            <w:gridSpan w:val="2"/>
          </w:tcPr>
          <w:p>
            <w:pPr>
              <w:jc w:val="center"/>
              <w:ind w:right="250"/>
              <w:spacing w:after="0"/>
              <w:rPr>
                <w:sz w:val="20"/>
                <w:szCs w:val="20"/>
                <w:color w:val="auto"/>
              </w:rPr>
            </w:pPr>
            <w:r>
              <w:rPr>
                <w:rFonts w:ascii="Arial" w:cs="Arial" w:eastAsia="Arial" w:hAnsi="Arial"/>
                <w:sz w:val="18"/>
                <w:szCs w:val="18"/>
                <w:color w:val="auto"/>
                <w:w w:val="92"/>
              </w:rPr>
              <w:t>Accumulated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40" w:type="dxa"/>
            <w:vAlign w:val="bottom"/>
            <w:gridSpan w:val="3"/>
          </w:tcPr>
          <w:p>
            <w:pPr>
              <w:jc w:val="right"/>
              <w:ind w:right="63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85"/>
              </w:rPr>
              <w:t>to Issue</w:t>
            </w:r>
          </w:p>
        </w:tc>
        <w:tc>
          <w:tcPr>
            <w:tcW w:w="18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1"/>
              </w:rPr>
              <w:t>During the</w:t>
            </w:r>
          </w:p>
        </w:tc>
        <w:tc>
          <w:tcPr>
            <w:tcW w:w="300" w:type="dxa"/>
            <w:vAlign w:val="bottom"/>
          </w:tcPr>
          <w:p>
            <w:pPr>
              <w:spacing w:after="0"/>
              <w:rPr>
                <w:sz w:val="18"/>
                <w:szCs w:val="18"/>
                <w:color w:val="auto"/>
              </w:rPr>
            </w:pPr>
          </w:p>
        </w:tc>
        <w:tc>
          <w:tcPr>
            <w:tcW w:w="1320" w:type="dxa"/>
            <w:vAlign w:val="bottom"/>
          </w:tcPr>
          <w:p>
            <w:pPr>
              <w:jc w:val="center"/>
              <w:ind w:right="550"/>
              <w:spacing w:after="0"/>
              <w:rPr>
                <w:sz w:val="20"/>
                <w:szCs w:val="20"/>
                <w:color w:val="auto"/>
              </w:rPr>
            </w:pPr>
            <w:r>
              <w:rPr>
                <w:rFonts w:ascii="Arial" w:cs="Arial" w:eastAsia="Arial" w:hAnsi="Arial"/>
                <w:sz w:val="18"/>
                <w:szCs w:val="18"/>
                <w:color w:val="auto"/>
                <w:w w:val="88"/>
              </w:rPr>
              <w:t>Other</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Number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4"/>
              </w:rPr>
              <w:t>Paid in</w:t>
            </w:r>
          </w:p>
        </w:tc>
        <w:tc>
          <w:tcPr>
            <w:tcW w:w="18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84"/>
              </w:rPr>
              <w:t>Shares and</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0"/>
              </w:rPr>
              <w:t>Development</w:t>
            </w:r>
          </w:p>
        </w:tc>
        <w:tc>
          <w:tcPr>
            <w:tcW w:w="1620" w:type="dxa"/>
            <w:vAlign w:val="bottom"/>
            <w:gridSpan w:val="2"/>
          </w:tcPr>
          <w:p>
            <w:pPr>
              <w:jc w:val="center"/>
              <w:ind w:right="230"/>
              <w:spacing w:after="0"/>
              <w:rPr>
                <w:sz w:val="20"/>
                <w:szCs w:val="20"/>
                <w:color w:val="auto"/>
              </w:rPr>
            </w:pPr>
            <w:r>
              <w:rPr>
                <w:rFonts w:ascii="Arial" w:cs="Arial" w:eastAsia="Arial" w:hAnsi="Arial"/>
                <w:sz w:val="18"/>
                <w:szCs w:val="18"/>
                <w:color w:val="auto"/>
                <w:w w:val="90"/>
              </w:rPr>
              <w:t>Comprehensive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Amount</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2"/>
              </w:rPr>
              <w:t>Capital</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Warrants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4"/>
              </w:rPr>
              <w:t>Stage</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30"/>
              <w:spacing w:after="0"/>
              <w:rPr>
                <w:sz w:val="20"/>
                <w:szCs w:val="20"/>
                <w:color w:val="auto"/>
              </w:rPr>
            </w:pPr>
            <w:r>
              <w:rPr>
                <w:rFonts w:ascii="Arial" w:cs="Arial" w:eastAsia="Arial" w:hAnsi="Arial"/>
                <w:sz w:val="18"/>
                <w:szCs w:val="18"/>
                <w:color w:val="auto"/>
                <w:w w:val="89"/>
              </w:rPr>
              <w:t>Loss</w:t>
            </w: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Issued on incorporation - July 27,</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1999</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   $</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Issued to the founders for:</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0"/>
              <w:spacing w:after="0"/>
              <w:rPr>
                <w:sz w:val="20"/>
                <w:szCs w:val="20"/>
                <w:color w:val="auto"/>
              </w:rPr>
            </w:pPr>
            <w:r>
              <w:rPr>
                <w:rFonts w:ascii="Arial" w:cs="Arial" w:eastAsia="Arial" w:hAnsi="Arial"/>
                <w:sz w:val="18"/>
                <w:szCs w:val="18"/>
                <w:color w:val="auto"/>
              </w:rPr>
              <w:t>- cash</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74,000</w:t>
            </w:r>
          </w:p>
        </w:tc>
        <w:tc>
          <w:tcPr>
            <w:tcW w:w="2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1,110</w:t>
            </w:r>
          </w:p>
        </w:tc>
        <w:tc>
          <w:tcPr>
            <w:tcW w:w="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consulting services</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86,000</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860</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Common stock subscriptions</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177,100</w:t>
            </w:r>
          </w:p>
        </w:tc>
        <w:tc>
          <w:tcPr>
            <w:tcW w:w="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177,100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(80,733)</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Balance, December 31, 1999</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160,001</w:t>
            </w:r>
          </w:p>
        </w:tc>
        <w:tc>
          <w:tcPr>
            <w:tcW w:w="2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1,600</w:t>
            </w:r>
          </w:p>
        </w:tc>
        <w:tc>
          <w:tcPr>
            <w:tcW w:w="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2,400</w:t>
            </w:r>
          </w:p>
        </w:tc>
        <w:tc>
          <w:tcPr>
            <w:tcW w:w="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177,100</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(80,733)</w:t>
            </w:r>
          </w:p>
        </w:tc>
        <w:tc>
          <w:tcPr>
            <w:tcW w:w="30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Issued for:</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0"/>
              <w:spacing w:after="0"/>
              <w:rPr>
                <w:sz w:val="20"/>
                <w:szCs w:val="20"/>
                <w:color w:val="auto"/>
              </w:rPr>
            </w:pPr>
            <w:r>
              <w:rPr>
                <w:rFonts w:ascii="Arial" w:cs="Arial" w:eastAsia="Arial" w:hAnsi="Arial"/>
                <w:sz w:val="18"/>
                <w:szCs w:val="18"/>
                <w:color w:val="auto"/>
              </w:rPr>
              <w:t>- consulting services</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144,000</w:t>
            </w:r>
          </w:p>
        </w:tc>
        <w:tc>
          <w:tcPr>
            <w:tcW w:w="2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1,440</w:t>
            </w:r>
          </w:p>
        </w:tc>
        <w:tc>
          <w:tcPr>
            <w:tcW w:w="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2,160</w:t>
            </w:r>
          </w:p>
        </w:tc>
        <w:tc>
          <w:tcPr>
            <w:tcW w:w="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for license fees</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Issued for cash:</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3"/>
              </w:rPr>
              <w:t>- at $15.00 per share, net of finders’</w:t>
            </w: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fees of $95,570</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56,353</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564</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749,166</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(177,100)</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0"/>
              <w:spacing w:after="0"/>
              <w:rPr>
                <w:sz w:val="20"/>
                <w:szCs w:val="20"/>
                <w:color w:val="auto"/>
              </w:rPr>
            </w:pPr>
            <w:r>
              <w:rPr>
                <w:rFonts w:ascii="Arial" w:cs="Arial" w:eastAsia="Arial" w:hAnsi="Arial"/>
                <w:sz w:val="18"/>
                <w:szCs w:val="18"/>
                <w:color w:val="auto"/>
              </w:rPr>
              <w:t>- at $15.00 per share</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34,160</w:t>
            </w:r>
          </w:p>
        </w:tc>
        <w:tc>
          <w:tcPr>
            <w:tcW w:w="2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512,058</w:t>
            </w:r>
          </w:p>
        </w:tc>
        <w:tc>
          <w:tcPr>
            <w:tcW w:w="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Issued for finders’ fees</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4,986</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Net loss</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(935,332)</w:t>
            </w:r>
          </w:p>
        </w:tc>
        <w:tc>
          <w:tcPr>
            <w:tcW w:w="30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(935,332)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(1,937)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Balance, December 31, 2000</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419,499</w:t>
            </w:r>
          </w:p>
        </w:tc>
        <w:tc>
          <w:tcPr>
            <w:tcW w:w="2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4,195</w:t>
            </w:r>
          </w:p>
        </w:tc>
        <w:tc>
          <w:tcPr>
            <w:tcW w:w="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1,266,034</w:t>
            </w:r>
          </w:p>
        </w:tc>
        <w:tc>
          <w:tcPr>
            <w:tcW w:w="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(1,016,065)</w:t>
            </w:r>
          </w:p>
        </w:tc>
        <w:tc>
          <w:tcPr>
            <w:tcW w:w="30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(1,937)</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252,228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Issued for cash:</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0"/>
              <w:spacing w:after="0"/>
              <w:rPr>
                <w:sz w:val="20"/>
                <w:szCs w:val="20"/>
                <w:color w:val="auto"/>
              </w:rPr>
            </w:pPr>
            <w:r>
              <w:rPr>
                <w:rFonts w:ascii="Arial" w:cs="Arial" w:eastAsia="Arial" w:hAnsi="Arial"/>
                <w:sz w:val="18"/>
                <w:szCs w:val="18"/>
                <w:color w:val="auto"/>
              </w:rPr>
              <w:t>- at $18.80 per share</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4,413</w:t>
            </w:r>
          </w:p>
        </w:tc>
        <w:tc>
          <w:tcPr>
            <w:tcW w:w="2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82,706</w:t>
            </w:r>
          </w:p>
        </w:tc>
        <w:tc>
          <w:tcPr>
            <w:tcW w:w="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at $25.00 per share</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10,600</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264,894</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Net loss</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(671,986)</w:t>
            </w:r>
          </w:p>
        </w:tc>
        <w:tc>
          <w:tcPr>
            <w:tcW w:w="30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(671,986)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(2,041)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Balance, December 31, 2001</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434,512</w:t>
            </w:r>
          </w:p>
        </w:tc>
        <w:tc>
          <w:tcPr>
            <w:tcW w:w="2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4,345</w:t>
            </w:r>
          </w:p>
        </w:tc>
        <w:tc>
          <w:tcPr>
            <w:tcW w:w="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1,613,635</w:t>
            </w:r>
          </w:p>
        </w:tc>
        <w:tc>
          <w:tcPr>
            <w:tcW w:w="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(1,688,051)</w:t>
            </w:r>
          </w:p>
        </w:tc>
        <w:tc>
          <w:tcPr>
            <w:tcW w:w="30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(3,978)</w:t>
            </w:r>
          </w:p>
        </w:tc>
        <w:tc>
          <w:tcPr>
            <w:tcW w:w="920" w:type="dxa"/>
            <w:vAlign w:val="bottom"/>
          </w:tcPr>
          <w:p>
            <w:pPr>
              <w:jc w:val="right"/>
              <w:spacing w:after="0"/>
              <w:rPr>
                <w:sz w:val="20"/>
                <w:szCs w:val="20"/>
                <w:color w:val="auto"/>
              </w:rPr>
            </w:pPr>
            <w:r>
              <w:rPr>
                <w:rFonts w:ascii="Arial" w:cs="Arial" w:eastAsia="Arial" w:hAnsi="Arial"/>
                <w:sz w:val="18"/>
                <w:szCs w:val="18"/>
                <w:color w:val="auto"/>
              </w:rPr>
              <w:t>(74,049)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Issued for cash:</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ind w:left="40"/>
              <w:spacing w:after="0" w:line="201" w:lineRule="exact"/>
              <w:rPr>
                <w:sz w:val="20"/>
                <w:szCs w:val="20"/>
                <w:color w:val="auto"/>
              </w:rPr>
            </w:pPr>
            <w:r>
              <w:rPr>
                <w:rFonts w:ascii="Arial" w:cs="Arial" w:eastAsia="Arial" w:hAnsi="Arial"/>
                <w:sz w:val="18"/>
                <w:szCs w:val="18"/>
                <w:color w:val="auto"/>
                <w:w w:val="93"/>
              </w:rPr>
              <w:t>- at $25.00 per share, net of finders’</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fees of $17,000</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170,425</w:t>
            </w:r>
          </w:p>
        </w:tc>
        <w:tc>
          <w:tcPr>
            <w:tcW w:w="18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170,500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Issued on settlement of debt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7,266</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136,172</w:t>
            </w: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GPI balance, July 15, 2002</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449,279</w:t>
            </w:r>
          </w:p>
        </w:tc>
        <w:tc>
          <w:tcPr>
            <w:tcW w:w="2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4,493</w:t>
            </w:r>
          </w:p>
        </w:tc>
        <w:tc>
          <w:tcPr>
            <w:tcW w:w="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1,920,232</w:t>
            </w:r>
          </w:p>
        </w:tc>
        <w:tc>
          <w:tcPr>
            <w:tcW w:w="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(1,688,051)</w:t>
            </w:r>
          </w:p>
        </w:tc>
        <w:tc>
          <w:tcPr>
            <w:tcW w:w="30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(3,978)</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232,696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GMC balance, July 15, 2002</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612,805</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6,128</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7,180,164</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(6,607,580)</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493,712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w w:val="96"/>
              </w:rPr>
              <w:t>Reverse acquisition recapitalization</w:t>
            </w: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(449,279)</w:t>
            </w:r>
          </w:p>
        </w:tc>
        <w:tc>
          <w:tcPr>
            <w:tcW w:w="2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(4,493)</w:t>
            </w:r>
          </w:p>
        </w:tc>
        <w:tc>
          <w:tcPr>
            <w:tcW w:w="1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(6,603,087)</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adjustment</w:t>
            </w:r>
          </w:p>
        </w:tc>
        <w:tc>
          <w:tcPr>
            <w:tcW w:w="12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6,607,580</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JULY 27, 1999 (INCEPTION) TO DECEMBER 31, 2012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7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Deficit</w:t>
            </w:r>
          </w:p>
        </w:tc>
        <w:tc>
          <w:tcPr>
            <w:tcW w:w="14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3"/>
              </w:rPr>
              <w:t>Obligation</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1460" w:type="dxa"/>
            <w:vAlign w:val="bottom"/>
          </w:tcPr>
          <w:p>
            <w:pPr>
              <w:jc w:val="center"/>
              <w:ind w:right="90"/>
              <w:spacing w:after="0"/>
              <w:rPr>
                <w:sz w:val="20"/>
                <w:szCs w:val="20"/>
                <w:color w:val="auto"/>
              </w:rPr>
            </w:pPr>
            <w:r>
              <w:rPr>
                <w:rFonts w:ascii="Arial" w:cs="Arial" w:eastAsia="Arial" w:hAnsi="Arial"/>
                <w:sz w:val="18"/>
                <w:szCs w:val="18"/>
                <w:color w:val="auto"/>
                <w:w w:val="92"/>
              </w:rPr>
              <w:t>Accumulated</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20" w:type="dxa"/>
            <w:vAlign w:val="bottom"/>
            <w:gridSpan w:val="2"/>
          </w:tcPr>
          <w:p>
            <w:pPr>
              <w:jc w:val="right"/>
              <w:ind w:right="650"/>
              <w:spacing w:after="0"/>
              <w:rPr>
                <w:sz w:val="20"/>
                <w:szCs w:val="20"/>
                <w:color w:val="auto"/>
              </w:rPr>
            </w:pPr>
            <w:r>
              <w:rPr>
                <w:rFonts w:ascii="Arial" w:cs="Arial" w:eastAsia="Arial" w:hAnsi="Arial"/>
                <w:sz w:val="18"/>
                <w:szCs w:val="18"/>
                <w:color w:val="auto"/>
              </w:rPr>
              <w:t>Common Stock</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Additional</w:t>
            </w: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8"/>
              </w:rPr>
              <w:t>to Issue</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During the</w:t>
            </w:r>
          </w:p>
        </w:tc>
        <w:tc>
          <w:tcPr>
            <w:tcW w:w="1460" w:type="dxa"/>
            <w:vAlign w:val="bottom"/>
          </w:tcPr>
          <w:p>
            <w:pPr>
              <w:jc w:val="center"/>
              <w:ind w:right="90"/>
              <w:spacing w:after="0"/>
              <w:rPr>
                <w:sz w:val="20"/>
                <w:szCs w:val="20"/>
                <w:color w:val="auto"/>
              </w:rPr>
            </w:pPr>
            <w:r>
              <w:rPr>
                <w:rFonts w:ascii="Arial" w:cs="Arial" w:eastAsia="Arial" w:hAnsi="Arial"/>
                <w:sz w:val="18"/>
                <w:szCs w:val="18"/>
                <w:color w:val="auto"/>
                <w:w w:val="88"/>
              </w:rPr>
              <w:t>Other</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Number of</w:t>
            </w:r>
          </w:p>
        </w:tc>
        <w:tc>
          <w:tcPr>
            <w:tcW w:w="120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Paid In</w:t>
            </w: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84"/>
              </w:rPr>
              <w:t>Shares and</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Development</w:t>
            </w:r>
          </w:p>
        </w:tc>
        <w:tc>
          <w:tcPr>
            <w:tcW w:w="1460" w:type="dxa"/>
            <w:vAlign w:val="bottom"/>
          </w:tcPr>
          <w:p>
            <w:pPr>
              <w:jc w:val="center"/>
              <w:ind w:right="70"/>
              <w:spacing w:after="0"/>
              <w:rPr>
                <w:sz w:val="20"/>
                <w:szCs w:val="20"/>
                <w:color w:val="auto"/>
              </w:rPr>
            </w:pPr>
            <w:r>
              <w:rPr>
                <w:rFonts w:ascii="Arial" w:cs="Arial" w:eastAsia="Arial" w:hAnsi="Arial"/>
                <w:sz w:val="18"/>
                <w:szCs w:val="18"/>
                <w:color w:val="auto"/>
                <w:w w:val="90"/>
              </w:rPr>
              <w:t>Comprehensive</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shares</w:t>
            </w: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Amount</w:t>
            </w: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Capital</w:t>
            </w: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Warrants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Stage</w:t>
            </w:r>
          </w:p>
        </w:tc>
        <w:tc>
          <w:tcPr>
            <w:tcW w:w="14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Loss</w:t>
            </w: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post reverse acquisition</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612,805</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6,128</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2,497,309</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(1,688,051)</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(3,978)</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726,408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GMC subscription proceeds</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received</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285,000</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Issued for cash:</w:t>
            </w: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0"/>
              <w:spacing w:after="0"/>
              <w:rPr>
                <w:sz w:val="20"/>
                <w:szCs w:val="20"/>
                <w:color w:val="auto"/>
              </w:rPr>
            </w:pPr>
            <w:r>
              <w:rPr>
                <w:rFonts w:ascii="Arial" w:cs="Arial" w:eastAsia="Arial" w:hAnsi="Arial"/>
                <w:sz w:val="18"/>
                <w:szCs w:val="18"/>
                <w:color w:val="auto"/>
              </w:rPr>
              <w:t>- at $62.50 per share</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17,016</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170</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1,063,330</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1,063,500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4,080</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50,959</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630,275</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630,275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(2,284,709)</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(2,284,709)</w:t>
            </w:r>
          </w:p>
        </w:tc>
        <w:tc>
          <w:tcPr>
            <w:tcW w:w="0" w:type="dxa"/>
            <w:vAlign w:val="bottom"/>
          </w:tcPr>
          <w:p>
            <w:pPr>
              <w:spacing w:after="0"/>
              <w:rPr>
                <w:sz w:val="1"/>
                <w:szCs w:val="1"/>
                <w:color w:val="auto"/>
              </w:rPr>
            </w:pPr>
          </w:p>
        </w:tc>
      </w:tr>
      <w:tr>
        <w:trPr>
          <w:trHeight w:val="250"/>
        </w:trPr>
        <w:tc>
          <w:tcPr>
            <w:tcW w:w="2760" w:type="dxa"/>
            <w:vAlign w:val="bottom"/>
            <w:gridSpan w:val="2"/>
          </w:tcPr>
          <w:p>
            <w:pPr>
              <w:spacing w:after="0"/>
              <w:rPr>
                <w:sz w:val="20"/>
                <w:szCs w:val="20"/>
                <w:color w:val="auto"/>
              </w:rPr>
            </w:pPr>
            <w:r>
              <w:rPr>
                <w:rFonts w:ascii="Arial" w:cs="Arial" w:eastAsia="Arial" w:hAnsi="Arial"/>
                <w:sz w:val="18"/>
                <w:szCs w:val="18"/>
                <w:color w:val="auto"/>
              </w:rPr>
              <w:t>Currency translation adjustment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(5,645)</w:t>
            </w:r>
          </w:p>
        </w:tc>
        <w:tc>
          <w:tcPr>
            <w:tcW w:w="1080" w:type="dxa"/>
            <w:vAlign w:val="bottom"/>
          </w:tcPr>
          <w:p>
            <w:pPr>
              <w:jc w:val="right"/>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1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633,901</w:t>
            </w:r>
          </w:p>
        </w:tc>
        <w:tc>
          <w:tcPr>
            <w:tcW w:w="1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6,339</w:t>
            </w:r>
          </w:p>
        </w:tc>
        <w:tc>
          <w:tcPr>
            <w:tcW w:w="1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4,241,873</w:t>
            </w:r>
          </w:p>
        </w:tc>
        <w:tc>
          <w:tcPr>
            <w:tcW w:w="12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200,000</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(3,972,760)</w:t>
            </w:r>
          </w:p>
        </w:tc>
        <w:tc>
          <w:tcPr>
            <w:tcW w:w="14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(9,623)</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465,829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92,745</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927</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1,420,888</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1,421,815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Issued for cash:</w:t>
            </w: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0"/>
              <w:spacing w:after="0"/>
              <w:rPr>
                <w:sz w:val="20"/>
                <w:szCs w:val="20"/>
                <w:color w:val="auto"/>
              </w:rPr>
            </w:pPr>
            <w:r>
              <w:rPr>
                <w:rFonts w:ascii="Arial" w:cs="Arial" w:eastAsia="Arial" w:hAnsi="Arial"/>
                <w:sz w:val="18"/>
                <w:szCs w:val="18"/>
                <w:color w:val="auto"/>
              </w:rPr>
              <w:t>- at $125.00 per share</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1,720</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214,983</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(185,000)</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3"/>
              </w:rPr>
              <w:t>- at $25.00 per share, net of finders’</w:t>
            </w:r>
          </w:p>
        </w:tc>
        <w:tc>
          <w:tcPr>
            <w:tcW w:w="1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fees</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22,214</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222</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521,593</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Issued as finders’ fees</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1,341</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Issued for license agreement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400</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9,996</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Subscriptions repaid</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5,000</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(15,000)</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2,733,000</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(5,778,905)</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(5,778,905)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(37,299)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Balance, December 31, 2003</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752,321</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7,523</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9,147,319</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(9,751,665)</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(46,922)</w:t>
            </w:r>
          </w:p>
        </w:tc>
        <w:tc>
          <w:tcPr>
            <w:tcW w:w="1080" w:type="dxa"/>
            <w:vAlign w:val="bottom"/>
          </w:tcPr>
          <w:p>
            <w:pPr>
              <w:jc w:val="right"/>
              <w:spacing w:after="0"/>
              <w:rPr>
                <w:sz w:val="20"/>
                <w:szCs w:val="20"/>
                <w:color w:val="auto"/>
              </w:rPr>
            </w:pPr>
            <w:r>
              <w:rPr>
                <w:rFonts w:ascii="Arial" w:cs="Arial" w:eastAsia="Arial" w:hAnsi="Arial"/>
                <w:sz w:val="18"/>
                <w:szCs w:val="18"/>
                <w:color w:val="auto"/>
              </w:rPr>
              <w:t>(643,745)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Issued for cash:</w:t>
            </w: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ind w:left="40"/>
              <w:spacing w:after="0" w:line="201" w:lineRule="exact"/>
              <w:rPr>
                <w:sz w:val="20"/>
                <w:szCs w:val="20"/>
                <w:color w:val="auto"/>
              </w:rPr>
            </w:pPr>
            <w:r>
              <w:rPr>
                <w:rFonts w:ascii="Arial" w:cs="Arial" w:eastAsia="Arial" w:hAnsi="Arial"/>
                <w:sz w:val="18"/>
                <w:szCs w:val="18"/>
                <w:color w:val="auto"/>
                <w:w w:val="93"/>
              </w:rPr>
              <w:t>- at $17.50 per share, net of finders’</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fees of $50,000</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34,286</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343</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549,657</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Issued as finders’ fees</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2,857</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Fair value of warrants issued in</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w w:val="96"/>
              </w:rPr>
              <w:t>connection with convertible notes</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65,000</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14,291</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143</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204,942</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Settlement of debt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400</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9,996</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73,500</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(2,683,105)</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(2,683,105)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JULY 27, 1999 (INCEPTION) TO DECEMBER 31, 2012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7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Deficit</w:t>
            </w:r>
          </w:p>
        </w:tc>
        <w:tc>
          <w:tcPr>
            <w:tcW w:w="14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6"/>
              </w:rPr>
              <w:t>Obligation</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1460" w:type="dxa"/>
            <w:vAlign w:val="bottom"/>
          </w:tcPr>
          <w:p>
            <w:pPr>
              <w:jc w:val="center"/>
              <w:ind w:right="90"/>
              <w:spacing w:after="0"/>
              <w:rPr>
                <w:sz w:val="20"/>
                <w:szCs w:val="20"/>
                <w:color w:val="auto"/>
              </w:rPr>
            </w:pPr>
            <w:r>
              <w:rPr>
                <w:rFonts w:ascii="Arial" w:cs="Arial" w:eastAsia="Arial" w:hAnsi="Arial"/>
                <w:sz w:val="18"/>
                <w:szCs w:val="18"/>
                <w:color w:val="auto"/>
                <w:w w:val="92"/>
              </w:rPr>
              <w:t>Accumulated</w:t>
            </w: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500" w:type="dxa"/>
            <w:vAlign w:val="bottom"/>
            <w:gridSpan w:val="2"/>
          </w:tcPr>
          <w:p>
            <w:pPr>
              <w:jc w:val="right"/>
              <w:ind w:right="650"/>
              <w:spacing w:after="0"/>
              <w:rPr>
                <w:sz w:val="20"/>
                <w:szCs w:val="20"/>
                <w:color w:val="auto"/>
              </w:rPr>
            </w:pPr>
            <w:r>
              <w:rPr>
                <w:rFonts w:ascii="Arial" w:cs="Arial" w:eastAsia="Arial" w:hAnsi="Arial"/>
                <w:sz w:val="18"/>
                <w:szCs w:val="18"/>
                <w:color w:val="auto"/>
              </w:rPr>
              <w:t>Common Stock</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Additional</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to Issue</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During the</w:t>
            </w:r>
          </w:p>
        </w:tc>
        <w:tc>
          <w:tcPr>
            <w:tcW w:w="1460" w:type="dxa"/>
            <w:vAlign w:val="bottom"/>
          </w:tcPr>
          <w:p>
            <w:pPr>
              <w:jc w:val="center"/>
              <w:ind w:right="90"/>
              <w:spacing w:after="0"/>
              <w:rPr>
                <w:sz w:val="20"/>
                <w:szCs w:val="20"/>
                <w:color w:val="auto"/>
              </w:rPr>
            </w:pPr>
            <w:r>
              <w:rPr>
                <w:rFonts w:ascii="Arial" w:cs="Arial" w:eastAsia="Arial" w:hAnsi="Arial"/>
                <w:sz w:val="18"/>
                <w:szCs w:val="18"/>
                <w:color w:val="auto"/>
                <w:w w:val="88"/>
              </w:rPr>
              <w:t>Other</w:t>
            </w: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Number of</w:t>
            </w:r>
          </w:p>
        </w:tc>
        <w:tc>
          <w:tcPr>
            <w:tcW w:w="1180" w:type="dxa"/>
            <w:vAlign w:val="bottom"/>
          </w:tcPr>
          <w:p>
            <w:pPr>
              <w:spacing w:after="0"/>
              <w:rPr>
                <w:sz w:val="18"/>
                <w:szCs w:val="18"/>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Paid In</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84"/>
              </w:rPr>
              <w:t>Shares and</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Development</w:t>
            </w:r>
          </w:p>
        </w:tc>
        <w:tc>
          <w:tcPr>
            <w:tcW w:w="1460" w:type="dxa"/>
            <w:vAlign w:val="bottom"/>
          </w:tcPr>
          <w:p>
            <w:pPr>
              <w:jc w:val="center"/>
              <w:ind w:right="70"/>
              <w:spacing w:after="0"/>
              <w:rPr>
                <w:sz w:val="20"/>
                <w:szCs w:val="20"/>
                <w:color w:val="auto"/>
              </w:rPr>
            </w:pPr>
            <w:r>
              <w:rPr>
                <w:rFonts w:ascii="Arial" w:cs="Arial" w:eastAsia="Arial" w:hAnsi="Arial"/>
                <w:sz w:val="18"/>
                <w:szCs w:val="18"/>
                <w:color w:val="auto"/>
                <w:w w:val="90"/>
              </w:rPr>
              <w:t>Comprehensive</w:t>
            </w:r>
          </w:p>
        </w:tc>
        <w:tc>
          <w:tcPr>
            <w:tcW w:w="10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shares</w:t>
            </w: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Amount</w:t>
            </w: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Capital</w:t>
            </w:r>
          </w:p>
        </w:tc>
        <w:tc>
          <w:tcPr>
            <w:tcW w:w="9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Warrants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Stage</w:t>
            </w:r>
          </w:p>
        </w:tc>
        <w:tc>
          <w:tcPr>
            <w:tcW w:w="14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Loss</w:t>
            </w: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50"/>
        </w:trPr>
        <w:tc>
          <w:tcPr>
            <w:tcW w:w="2720" w:type="dxa"/>
            <w:vAlign w:val="bottom"/>
            <w:gridSpan w:val="2"/>
          </w:tcPr>
          <w:p>
            <w:pPr>
              <w:spacing w:after="0"/>
              <w:rPr>
                <w:sz w:val="20"/>
                <w:szCs w:val="20"/>
                <w:color w:val="auto"/>
              </w:rPr>
            </w:pPr>
            <w:r>
              <w:rPr>
                <w:rFonts w:ascii="Arial" w:cs="Arial" w:eastAsia="Arial" w:hAnsi="Arial"/>
                <w:sz w:val="18"/>
                <w:szCs w:val="18"/>
                <w:color w:val="auto"/>
              </w:rPr>
              <w:t>Currency translation adjustment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(16,865)</w:t>
            </w:r>
          </w:p>
        </w:tc>
        <w:tc>
          <w:tcPr>
            <w:tcW w:w="1080" w:type="dxa"/>
            <w:vAlign w:val="bottom"/>
          </w:tcPr>
          <w:p>
            <w:pPr>
              <w:jc w:val="right"/>
              <w:spacing w:after="0"/>
              <w:rPr>
                <w:sz w:val="20"/>
                <w:szCs w:val="20"/>
                <w:color w:val="auto"/>
              </w:rPr>
            </w:pPr>
            <w:r>
              <w:rPr>
                <w:rFonts w:ascii="Arial" w:cs="Arial" w:eastAsia="Arial" w:hAnsi="Arial"/>
                <w:sz w:val="18"/>
                <w:szCs w:val="18"/>
                <w:color w:val="auto"/>
              </w:rPr>
              <w:t>(16,865)</w:t>
            </w:r>
          </w:p>
        </w:tc>
      </w:tr>
      <w:tr>
        <w:trPr>
          <w:trHeight w:val="216"/>
        </w:trPr>
        <w:tc>
          <w:tcPr>
            <w:tcW w:w="20" w:type="dxa"/>
            <w:vAlign w:val="bottom"/>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13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804,155</w:t>
            </w:r>
          </w:p>
        </w:tc>
        <w:tc>
          <w:tcPr>
            <w:tcW w:w="1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8,042</w:t>
            </w:r>
          </w:p>
        </w:tc>
        <w:tc>
          <w:tcPr>
            <w:tcW w:w="12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10,050,385</w:t>
            </w: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(12,434,770)</w:t>
            </w:r>
          </w:p>
        </w:tc>
        <w:tc>
          <w:tcPr>
            <w:tcW w:w="14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(63,787)</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(2,440,130)</w:t>
            </w: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w w:val="99"/>
              </w:rPr>
              <w:t>Warrant component of convertible</w:t>
            </w: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note</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46,250</w:t>
            </w:r>
          </w:p>
        </w:tc>
        <w:tc>
          <w:tcPr>
            <w:tcW w:w="960" w:type="dxa"/>
            <w:vAlign w:val="bottom"/>
          </w:tcPr>
          <w:p>
            <w:pPr>
              <w:spacing w:after="0"/>
              <w:rPr>
                <w:sz w:val="20"/>
                <w:szCs w:val="20"/>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46,250</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Issued for cash:</w:t>
            </w:r>
          </w:p>
        </w:tc>
        <w:tc>
          <w:tcPr>
            <w:tcW w:w="1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tcPr>
          <w:p>
            <w:pPr>
              <w:ind w:left="40"/>
              <w:spacing w:after="0" w:line="201" w:lineRule="exact"/>
              <w:rPr>
                <w:sz w:val="20"/>
                <w:szCs w:val="20"/>
                <w:color w:val="auto"/>
              </w:rPr>
            </w:pPr>
            <w:r>
              <w:rPr>
                <w:rFonts w:ascii="Arial" w:cs="Arial" w:eastAsia="Arial" w:hAnsi="Arial"/>
                <w:sz w:val="18"/>
                <w:szCs w:val="18"/>
                <w:color w:val="auto"/>
                <w:w w:val="95"/>
              </w:rPr>
              <w:t>- at $3.80 per share, net of finders’</w:t>
            </w: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w w:val="96"/>
              </w:rPr>
              <w:t>fees of $97,620 and legal fees of</w:t>
            </w: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$100,561</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362,732</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3,627</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1,158,437</w:t>
            </w:r>
          </w:p>
        </w:tc>
        <w:tc>
          <w:tcPr>
            <w:tcW w:w="960" w:type="dxa"/>
            <w:vAlign w:val="bottom"/>
          </w:tcPr>
          <w:p>
            <w:pPr>
              <w:spacing w:after="0"/>
              <w:rPr>
                <w:sz w:val="20"/>
                <w:szCs w:val="20"/>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1,162,064</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(985,599)</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(985,599)</w:t>
            </w:r>
          </w:p>
        </w:tc>
      </w:tr>
      <w:tr>
        <w:trPr>
          <w:trHeight w:val="250"/>
        </w:trPr>
        <w:tc>
          <w:tcPr>
            <w:tcW w:w="2720" w:type="dxa"/>
            <w:vAlign w:val="bottom"/>
            <w:gridSpan w:val="2"/>
          </w:tcPr>
          <w:p>
            <w:pPr>
              <w:spacing w:after="0"/>
              <w:rPr>
                <w:sz w:val="20"/>
                <w:szCs w:val="20"/>
                <w:color w:val="auto"/>
              </w:rPr>
            </w:pPr>
            <w:r>
              <w:rPr>
                <w:rFonts w:ascii="Arial" w:cs="Arial" w:eastAsia="Arial" w:hAnsi="Arial"/>
                <w:sz w:val="18"/>
                <w:szCs w:val="18"/>
                <w:color w:val="auto"/>
              </w:rPr>
              <w:t>Currency translation adjustment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(2,333)</w:t>
            </w:r>
          </w:p>
        </w:tc>
        <w:tc>
          <w:tcPr>
            <w:tcW w:w="1080" w:type="dxa"/>
            <w:vAlign w:val="bottom"/>
          </w:tcPr>
          <w:p>
            <w:pPr>
              <w:jc w:val="right"/>
              <w:spacing w:after="0"/>
              <w:rPr>
                <w:sz w:val="20"/>
                <w:szCs w:val="20"/>
                <w:color w:val="auto"/>
              </w:rPr>
            </w:pPr>
            <w:r>
              <w:rPr>
                <w:rFonts w:ascii="Arial" w:cs="Arial" w:eastAsia="Arial" w:hAnsi="Arial"/>
                <w:sz w:val="18"/>
                <w:szCs w:val="18"/>
                <w:color w:val="auto"/>
              </w:rPr>
              <w:t>(2,333)</w:t>
            </w:r>
          </w:p>
        </w:tc>
      </w:tr>
      <w:tr>
        <w:trPr>
          <w:trHeight w:val="216"/>
        </w:trPr>
        <w:tc>
          <w:tcPr>
            <w:tcW w:w="20" w:type="dxa"/>
            <w:vAlign w:val="bottom"/>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13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1,166,887</w:t>
            </w:r>
          </w:p>
        </w:tc>
        <w:tc>
          <w:tcPr>
            <w:tcW w:w="1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11,669</w:t>
            </w:r>
          </w:p>
        </w:tc>
        <w:tc>
          <w:tcPr>
            <w:tcW w:w="12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11,255,072</w:t>
            </w: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(13,420,369)</w:t>
            </w:r>
          </w:p>
        </w:tc>
        <w:tc>
          <w:tcPr>
            <w:tcW w:w="14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(66,120)</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(2,219,748)</w:t>
            </w: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Fair value of beneficial feature on</w:t>
            </w: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convertible notes</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205,579</w:t>
            </w:r>
          </w:p>
        </w:tc>
        <w:tc>
          <w:tcPr>
            <w:tcW w:w="960" w:type="dxa"/>
            <w:vAlign w:val="bottom"/>
          </w:tcPr>
          <w:p>
            <w:pPr>
              <w:spacing w:after="0"/>
              <w:rPr>
                <w:sz w:val="20"/>
                <w:szCs w:val="20"/>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205,579</w:t>
            </w: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warrants issued with</w:t>
            </w: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 notes</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288,921</w:t>
            </w: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288,921</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Net loss</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(1,304,387)</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(1,304,387)</w:t>
            </w:r>
          </w:p>
        </w:tc>
      </w:tr>
      <w:tr>
        <w:trPr>
          <w:trHeight w:val="250"/>
        </w:trPr>
        <w:tc>
          <w:tcPr>
            <w:tcW w:w="20" w:type="dxa"/>
            <w:vAlign w:val="bottom"/>
          </w:tcPr>
          <w:p>
            <w:pPr>
              <w:spacing w:after="0"/>
              <w:rPr>
                <w:sz w:val="21"/>
                <w:szCs w:val="21"/>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29,555</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29,555</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Balance, December 31, 2006</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1,166,887</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11,669</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11,749,572</w:t>
            </w:r>
          </w:p>
        </w:tc>
        <w:tc>
          <w:tcPr>
            <w:tcW w:w="960" w:type="dxa"/>
            <w:vAlign w:val="bottom"/>
          </w:tcPr>
          <w:p>
            <w:pPr>
              <w:spacing w:after="0"/>
              <w:rPr>
                <w:sz w:val="18"/>
                <w:szCs w:val="18"/>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(14,724,756)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(36,565)</w:t>
            </w:r>
          </w:p>
        </w:tc>
        <w:tc>
          <w:tcPr>
            <w:tcW w:w="1080" w:type="dxa"/>
            <w:vAlign w:val="bottom"/>
          </w:tcPr>
          <w:p>
            <w:pPr>
              <w:jc w:val="right"/>
              <w:spacing w:after="0"/>
              <w:rPr>
                <w:sz w:val="20"/>
                <w:szCs w:val="20"/>
                <w:color w:val="auto"/>
              </w:rPr>
            </w:pPr>
            <w:r>
              <w:rPr>
                <w:rFonts w:ascii="Arial" w:cs="Arial" w:eastAsia="Arial" w:hAnsi="Arial"/>
                <w:sz w:val="18"/>
                <w:szCs w:val="18"/>
                <w:color w:val="auto"/>
              </w:rPr>
              <w:t>(3,000,080)</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Issued for cash:</w:t>
            </w:r>
          </w:p>
        </w:tc>
        <w:tc>
          <w:tcPr>
            <w:tcW w:w="1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40"/>
              <w:spacing w:after="0"/>
              <w:rPr>
                <w:sz w:val="20"/>
                <w:szCs w:val="20"/>
                <w:color w:val="auto"/>
              </w:rPr>
            </w:pPr>
            <w:r>
              <w:rPr>
                <w:rFonts w:ascii="Arial" w:cs="Arial" w:eastAsia="Arial" w:hAnsi="Arial"/>
                <w:sz w:val="18"/>
                <w:szCs w:val="18"/>
                <w:color w:val="auto"/>
              </w:rPr>
              <w:t>- at $2.50 per share</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218,000</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2,180</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542,820</w:t>
            </w:r>
          </w:p>
        </w:tc>
        <w:tc>
          <w:tcPr>
            <w:tcW w:w="960" w:type="dxa"/>
            <w:vAlign w:val="bottom"/>
          </w:tcPr>
          <w:p>
            <w:pPr>
              <w:spacing w:after="0"/>
              <w:rPr>
                <w:sz w:val="18"/>
                <w:szCs w:val="18"/>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545,000</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7"/>
              </w:rPr>
              <w:t>Issued on the conversion of notes:</w:t>
            </w:r>
          </w:p>
        </w:tc>
        <w:tc>
          <w:tcPr>
            <w:tcW w:w="1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tcPr>
          <w:p>
            <w:pPr>
              <w:ind w:left="40"/>
              <w:spacing w:after="0" w:line="201" w:lineRule="exact"/>
              <w:rPr>
                <w:sz w:val="20"/>
                <w:szCs w:val="20"/>
                <w:color w:val="auto"/>
              </w:rPr>
            </w:pPr>
            <w:r>
              <w:rPr>
                <w:rFonts w:ascii="Arial" w:cs="Arial" w:eastAsia="Arial" w:hAnsi="Arial"/>
                <w:sz w:val="18"/>
                <w:szCs w:val="18"/>
                <w:color w:val="auto"/>
              </w:rPr>
              <w:t>- 2006 convertible notes at $2.50</w:t>
            </w: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per share</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197,800</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1,978</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492,522</w:t>
            </w:r>
          </w:p>
        </w:tc>
        <w:tc>
          <w:tcPr>
            <w:tcW w:w="960" w:type="dxa"/>
            <w:vAlign w:val="bottom"/>
          </w:tcPr>
          <w:p>
            <w:pPr>
              <w:spacing w:after="0"/>
              <w:rPr>
                <w:sz w:val="20"/>
                <w:szCs w:val="20"/>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494,500</w:t>
            </w: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- 2007 convertible notes at $2.50</w:t>
            </w: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406,400</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4,064</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1,011,936</w:t>
            </w: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1,016,000</w:t>
            </w: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Issued on the conversion of</w:t>
            </w: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accounts payable and related</w:t>
            </w: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party debt at $2.50 per share</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291,181</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2,912</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725,040</w:t>
            </w:r>
          </w:p>
        </w:tc>
        <w:tc>
          <w:tcPr>
            <w:tcW w:w="960" w:type="dxa"/>
            <w:vAlign w:val="bottom"/>
          </w:tcPr>
          <w:p>
            <w:pPr>
              <w:spacing w:after="0"/>
              <w:rPr>
                <w:sz w:val="20"/>
                <w:szCs w:val="20"/>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727,952</w:t>
            </w: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Issued for finance charges on the</w:t>
            </w: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2007 convertible notes $2.50 per</w:t>
            </w:r>
          </w:p>
        </w:tc>
        <w:tc>
          <w:tcPr>
            <w:tcW w:w="1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60,000</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600</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149,400</w:t>
            </w: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Issued pursuant to service</w:t>
            </w: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agreements at a fair value of</w:t>
            </w: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$3.60 per share</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10,000</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35,900</w:t>
            </w:r>
          </w:p>
        </w:tc>
        <w:tc>
          <w:tcPr>
            <w:tcW w:w="960" w:type="dxa"/>
            <w:vAlign w:val="bottom"/>
          </w:tcPr>
          <w:p>
            <w:pPr>
              <w:spacing w:after="0"/>
              <w:rPr>
                <w:sz w:val="20"/>
                <w:szCs w:val="20"/>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36,000</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Financing charges</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(167,500)</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JULY 27, 1999 (INCEPTION) TO DECEMBER 31, 2012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7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Deficit</w:t>
            </w:r>
          </w:p>
        </w:tc>
        <w:tc>
          <w:tcPr>
            <w:tcW w:w="14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6"/>
              </w:rPr>
              <w:t>Obligation</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1460" w:type="dxa"/>
            <w:vAlign w:val="bottom"/>
          </w:tcPr>
          <w:p>
            <w:pPr>
              <w:jc w:val="center"/>
              <w:ind w:right="90"/>
              <w:spacing w:after="0"/>
              <w:rPr>
                <w:sz w:val="20"/>
                <w:szCs w:val="20"/>
                <w:color w:val="auto"/>
              </w:rPr>
            </w:pPr>
            <w:r>
              <w:rPr>
                <w:rFonts w:ascii="Arial" w:cs="Arial" w:eastAsia="Arial" w:hAnsi="Arial"/>
                <w:sz w:val="18"/>
                <w:szCs w:val="18"/>
                <w:color w:val="auto"/>
                <w:w w:val="92"/>
              </w:rPr>
              <w:t>Accumulated</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60" w:type="dxa"/>
            <w:vAlign w:val="bottom"/>
            <w:gridSpan w:val="2"/>
          </w:tcPr>
          <w:p>
            <w:pPr>
              <w:jc w:val="right"/>
              <w:ind w:right="650"/>
              <w:spacing w:after="0"/>
              <w:rPr>
                <w:sz w:val="20"/>
                <w:szCs w:val="20"/>
                <w:color w:val="auto"/>
              </w:rPr>
            </w:pPr>
            <w:r>
              <w:rPr>
                <w:rFonts w:ascii="Arial" w:cs="Arial" w:eastAsia="Arial" w:hAnsi="Arial"/>
                <w:sz w:val="18"/>
                <w:szCs w:val="18"/>
                <w:color w:val="auto"/>
              </w:rPr>
              <w:t>Common Stock</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Additional</w:t>
            </w: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to Issue</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During the</w:t>
            </w:r>
          </w:p>
        </w:tc>
        <w:tc>
          <w:tcPr>
            <w:tcW w:w="1460" w:type="dxa"/>
            <w:vAlign w:val="bottom"/>
          </w:tcPr>
          <w:p>
            <w:pPr>
              <w:jc w:val="center"/>
              <w:ind w:right="90"/>
              <w:spacing w:after="0"/>
              <w:rPr>
                <w:sz w:val="20"/>
                <w:szCs w:val="20"/>
                <w:color w:val="auto"/>
              </w:rPr>
            </w:pPr>
            <w:r>
              <w:rPr>
                <w:rFonts w:ascii="Arial" w:cs="Arial" w:eastAsia="Arial" w:hAnsi="Arial"/>
                <w:sz w:val="18"/>
                <w:szCs w:val="18"/>
                <w:color w:val="auto"/>
                <w:w w:val="88"/>
              </w:rPr>
              <w:t>Other</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Number of</w:t>
            </w:r>
          </w:p>
        </w:tc>
        <w:tc>
          <w:tcPr>
            <w:tcW w:w="118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Paid In</w:t>
            </w:r>
          </w:p>
        </w:tc>
        <w:tc>
          <w:tcPr>
            <w:tcW w:w="1180" w:type="dxa"/>
            <w:vAlign w:val="bottom"/>
          </w:tcPr>
          <w:p>
            <w:pPr>
              <w:jc w:val="center"/>
              <w:spacing w:after="0"/>
              <w:rPr>
                <w:sz w:val="20"/>
                <w:szCs w:val="20"/>
                <w:color w:val="auto"/>
              </w:rPr>
            </w:pPr>
            <w:r>
              <w:rPr>
                <w:rFonts w:ascii="Arial" w:cs="Arial" w:eastAsia="Arial" w:hAnsi="Arial"/>
                <w:sz w:val="18"/>
                <w:szCs w:val="18"/>
                <w:color w:val="auto"/>
                <w:w w:val="84"/>
              </w:rPr>
              <w:t>Shares and</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Development</w:t>
            </w:r>
          </w:p>
        </w:tc>
        <w:tc>
          <w:tcPr>
            <w:tcW w:w="1460" w:type="dxa"/>
            <w:vAlign w:val="bottom"/>
          </w:tcPr>
          <w:p>
            <w:pPr>
              <w:jc w:val="center"/>
              <w:ind w:right="70"/>
              <w:spacing w:after="0"/>
              <w:rPr>
                <w:sz w:val="20"/>
                <w:szCs w:val="20"/>
                <w:color w:val="auto"/>
              </w:rPr>
            </w:pPr>
            <w:r>
              <w:rPr>
                <w:rFonts w:ascii="Arial" w:cs="Arial" w:eastAsia="Arial" w:hAnsi="Arial"/>
                <w:sz w:val="18"/>
                <w:szCs w:val="18"/>
                <w:color w:val="auto"/>
                <w:w w:val="90"/>
              </w:rPr>
              <w:t>Comprehensive</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shares</w:t>
            </w: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Amount</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Capital</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Warrants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Stage</w:t>
            </w:r>
          </w:p>
        </w:tc>
        <w:tc>
          <w:tcPr>
            <w:tcW w:w="14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Loss</w:t>
            </w: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w w:val="99"/>
              </w:rPr>
              <w:t>Fair value of beneficial conversion</w:t>
            </w: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feature on the 2007 convertible</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notes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358,906</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358,906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warrants issued in</w:t>
            </w:r>
          </w:p>
        </w:tc>
        <w:tc>
          <w:tcPr>
            <w:tcW w:w="1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connection with the 2007</w:t>
            </w:r>
          </w:p>
        </w:tc>
        <w:tc>
          <w:tcPr>
            <w:tcW w:w="1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 notes</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657,095</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657,095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Fair value of warrants issued in</w:t>
            </w: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connection with the 2007</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promissory notes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374,104</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374,104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warrants issued as</w:t>
            </w:r>
          </w:p>
        </w:tc>
        <w:tc>
          <w:tcPr>
            <w:tcW w:w="1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finders’ fees for the 2007</w:t>
            </w:r>
          </w:p>
        </w:tc>
        <w:tc>
          <w:tcPr>
            <w:tcW w:w="1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promissory notes</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35,600</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Re-pricing and extension of</w:t>
            </w: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40,000</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904,822</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904,822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w w:val="99"/>
              </w:rPr>
              <w:t>Obligation to issue warrants at fair</w:t>
            </w: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w w:val="94"/>
              </w:rPr>
              <w:t>value pursuant to promissory note</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extension</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44,000</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 to issue shares at fair</w:t>
            </w:r>
          </w:p>
        </w:tc>
        <w:tc>
          <w:tcPr>
            <w:tcW w:w="1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pursuant to service</w:t>
            </w:r>
          </w:p>
        </w:tc>
        <w:tc>
          <w:tcPr>
            <w:tcW w:w="1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23,400</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(3,891,411)</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(3,891,411)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(23,161)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Balance, December 31, 2007</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2,350,268</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23,503</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16,910,218</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67,400</w:t>
            </w:r>
          </w:p>
        </w:tc>
        <w:tc>
          <w:tcPr>
            <w:tcW w:w="1240" w:type="dxa"/>
            <w:vAlign w:val="bottom"/>
          </w:tcPr>
          <w:p>
            <w:pPr>
              <w:jc w:val="right"/>
              <w:spacing w:after="0"/>
              <w:rPr>
                <w:sz w:val="20"/>
                <w:szCs w:val="20"/>
                <w:color w:val="auto"/>
              </w:rPr>
            </w:pPr>
            <w:r>
              <w:rPr>
                <w:rFonts w:ascii="Arial" w:cs="Arial" w:eastAsia="Arial" w:hAnsi="Arial"/>
                <w:sz w:val="18"/>
                <w:szCs w:val="18"/>
                <w:color w:val="auto"/>
              </w:rPr>
              <w:t>(18,616,167)</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(59,726)</w:t>
            </w:r>
          </w:p>
        </w:tc>
        <w:tc>
          <w:tcPr>
            <w:tcW w:w="1080" w:type="dxa"/>
            <w:vAlign w:val="bottom"/>
          </w:tcPr>
          <w:p>
            <w:pPr>
              <w:jc w:val="right"/>
              <w:spacing w:after="0"/>
              <w:rPr>
                <w:sz w:val="20"/>
                <w:szCs w:val="20"/>
                <w:color w:val="auto"/>
              </w:rPr>
            </w:pPr>
            <w:r>
              <w:rPr>
                <w:rFonts w:ascii="Arial" w:cs="Arial" w:eastAsia="Arial" w:hAnsi="Arial"/>
                <w:sz w:val="18"/>
                <w:szCs w:val="18"/>
                <w:color w:val="auto"/>
              </w:rPr>
              <w:t>(1,674,772)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Issued for cash</w:t>
            </w:r>
          </w:p>
        </w:tc>
        <w:tc>
          <w:tcPr>
            <w:tcW w:w="1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0"/>
              <w:spacing w:after="0"/>
              <w:rPr>
                <w:sz w:val="20"/>
                <w:szCs w:val="20"/>
                <w:color w:val="auto"/>
              </w:rPr>
            </w:pPr>
            <w:r>
              <w:rPr>
                <w:rFonts w:ascii="Arial" w:cs="Arial" w:eastAsia="Arial" w:hAnsi="Arial"/>
                <w:sz w:val="18"/>
                <w:szCs w:val="18"/>
                <w:color w:val="auto"/>
              </w:rPr>
              <w:t>- at $2.50 per share in July 2008</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14,000</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140</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34,860</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Issued on the exercise of warrants in</w:t>
            </w:r>
          </w:p>
        </w:tc>
        <w:tc>
          <w:tcPr>
            <w:tcW w:w="1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June 2008</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20,715</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207</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24,793</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Issued pursuant to service</w:t>
            </w: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agreements at a fair value of</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$3.00 per share in April 2008</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30,000</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300</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89,700</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warrants issued in</w:t>
            </w:r>
          </w:p>
        </w:tc>
        <w:tc>
          <w:tcPr>
            <w:tcW w:w="1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connection with the 2008</w:t>
            </w:r>
          </w:p>
        </w:tc>
        <w:tc>
          <w:tcPr>
            <w:tcW w:w="1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promissory notes in May 2008</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206,820</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206,820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w w:val="98"/>
              </w:rPr>
              <w:t>Fair value of warrants to be issued</w:t>
            </w: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w w:val="98"/>
              </w:rPr>
              <w:t>in connection with notes payable</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in October 2008</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256,350</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256,350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based compensation in</w:t>
            </w:r>
          </w:p>
        </w:tc>
        <w:tc>
          <w:tcPr>
            <w:tcW w:w="1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January to December 2008</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234,168</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234,168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JULY 27, 1999 (INCEPTION) TO DECEMBER 31, 2012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Deficit</w:t>
            </w:r>
          </w:p>
        </w:tc>
        <w:tc>
          <w:tcPr>
            <w:tcW w:w="14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6"/>
              </w:rPr>
              <w:t>Obligation</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92"/>
              </w:rPr>
              <w:t>Accumulated</w:t>
            </w: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00" w:type="dxa"/>
            <w:vAlign w:val="bottom"/>
            <w:gridSpan w:val="2"/>
          </w:tcPr>
          <w:p>
            <w:pPr>
              <w:jc w:val="right"/>
              <w:ind w:right="690"/>
              <w:spacing w:after="0"/>
              <w:rPr>
                <w:sz w:val="20"/>
                <w:szCs w:val="20"/>
                <w:color w:val="auto"/>
              </w:rPr>
            </w:pPr>
            <w:r>
              <w:rPr>
                <w:rFonts w:ascii="Arial" w:cs="Arial" w:eastAsia="Arial" w:hAnsi="Arial"/>
                <w:sz w:val="18"/>
                <w:szCs w:val="18"/>
                <w:color w:val="auto"/>
              </w:rPr>
              <w:t>Common Stock</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Additional</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85"/>
              </w:rPr>
              <w:t>to Issue</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During the</w:t>
            </w: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88"/>
              </w:rPr>
              <w:t>Other</w:t>
            </w: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Number of</w:t>
            </w:r>
          </w:p>
        </w:tc>
        <w:tc>
          <w:tcPr>
            <w:tcW w:w="122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Paid In</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84"/>
              </w:rPr>
              <w:t>Shares and</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Development</w:t>
            </w:r>
          </w:p>
        </w:tc>
        <w:tc>
          <w:tcPr>
            <w:tcW w:w="1420" w:type="dxa"/>
            <w:vAlign w:val="bottom"/>
          </w:tcPr>
          <w:p>
            <w:pPr>
              <w:jc w:val="center"/>
              <w:ind w:right="30"/>
              <w:spacing w:after="0"/>
              <w:rPr>
                <w:sz w:val="20"/>
                <w:szCs w:val="20"/>
                <w:color w:val="auto"/>
              </w:rPr>
            </w:pPr>
            <w:r>
              <w:rPr>
                <w:rFonts w:ascii="Arial" w:cs="Arial" w:eastAsia="Arial" w:hAnsi="Arial"/>
                <w:sz w:val="18"/>
                <w:szCs w:val="18"/>
                <w:color w:val="auto"/>
                <w:w w:val="90"/>
              </w:rPr>
              <w:t>Comprehensive</w:t>
            </w:r>
          </w:p>
        </w:tc>
        <w:tc>
          <w:tcPr>
            <w:tcW w:w="11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shares</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Amount</w:t>
            </w: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Capital</w:t>
            </w:r>
          </w:p>
        </w:tc>
        <w:tc>
          <w:tcPr>
            <w:tcW w:w="1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Warrants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Stage</w:t>
            </w:r>
          </w:p>
        </w:tc>
        <w:tc>
          <w:tcPr>
            <w:tcW w:w="14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Loss</w:t>
            </w: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0"/>
        </w:trPr>
        <w:tc>
          <w:tcPr>
            <w:tcW w:w="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92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(2,195,939)</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(2,195,939)</w:t>
            </w:r>
          </w:p>
        </w:tc>
      </w:tr>
      <w:tr>
        <w:trPr>
          <w:trHeight w:val="216"/>
        </w:trPr>
        <w:tc>
          <w:tcPr>
            <w:tcW w:w="20" w:type="dxa"/>
            <w:vAlign w:val="bottom"/>
          </w:tcPr>
          <w:p>
            <w:pPr>
              <w:spacing w:after="0"/>
              <w:rPr>
                <w:sz w:val="18"/>
                <w:szCs w:val="18"/>
                <w:color w:val="auto"/>
              </w:rPr>
            </w:pPr>
          </w:p>
        </w:tc>
        <w:tc>
          <w:tcPr>
            <w:tcW w:w="2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2008</w:t>
            </w:r>
          </w:p>
        </w:tc>
        <w:tc>
          <w:tcPr>
            <w:tcW w:w="12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2,414,983</w:t>
            </w:r>
          </w:p>
        </w:tc>
        <w:tc>
          <w:tcPr>
            <w:tcW w:w="1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24,150</w:t>
            </w:r>
          </w:p>
        </w:tc>
        <w:tc>
          <w:tcPr>
            <w:tcW w:w="1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17,500,559</w:t>
            </w: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323,750</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(20,812,106)</w:t>
            </w:r>
          </w:p>
        </w:tc>
        <w:tc>
          <w:tcPr>
            <w:tcW w:w="14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(59,726)</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(3,023,373)</w:t>
            </w:r>
          </w:p>
        </w:tc>
      </w:tr>
      <w:tr>
        <w:trPr>
          <w:trHeight w:val="202"/>
        </w:trPr>
        <w:tc>
          <w:tcPr>
            <w:tcW w:w="20" w:type="dxa"/>
            <w:vAlign w:val="bottom"/>
          </w:tcPr>
          <w:p>
            <w:pPr>
              <w:spacing w:after="0"/>
              <w:rPr>
                <w:sz w:val="17"/>
                <w:szCs w:val="17"/>
                <w:color w:val="auto"/>
              </w:rPr>
            </w:pPr>
          </w:p>
        </w:tc>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rPr>
              <w:t>Reverse split recapitalization</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adjustment (rounding) in July</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40" w:type="dxa"/>
            <w:vAlign w:val="bottom"/>
            <w:gridSpan w:val="2"/>
          </w:tcPr>
          <w:p>
            <w:pPr>
              <w:ind w:left="180"/>
              <w:spacing w:after="0"/>
              <w:rPr>
                <w:sz w:val="20"/>
                <w:szCs w:val="20"/>
                <w:color w:val="auto"/>
              </w:rPr>
            </w:pPr>
            <w:r>
              <w:rPr>
                <w:rFonts w:ascii="Arial" w:cs="Arial" w:eastAsia="Arial" w:hAnsi="Arial"/>
                <w:sz w:val="18"/>
                <w:szCs w:val="18"/>
                <w:color w:val="auto"/>
              </w:rPr>
              <w:t>2009</w:t>
            </w:r>
          </w:p>
        </w:tc>
        <w:tc>
          <w:tcPr>
            <w:tcW w:w="192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118</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(21,735)</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21,735</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Issued for cash</w:t>
            </w: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rPr>
              <w:t>- at $0.80 per share in November</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840" w:type="dxa"/>
            <w:vAlign w:val="bottom"/>
            <w:gridSpan w:val="2"/>
          </w:tcPr>
          <w:p>
            <w:pPr>
              <w:ind w:left="180"/>
              <w:spacing w:after="0"/>
              <w:rPr>
                <w:sz w:val="20"/>
                <w:szCs w:val="20"/>
                <w:color w:val="auto"/>
              </w:rPr>
            </w:pPr>
            <w:r>
              <w:rPr>
                <w:rFonts w:ascii="Arial" w:cs="Arial" w:eastAsia="Arial" w:hAnsi="Arial"/>
                <w:sz w:val="18"/>
                <w:szCs w:val="18"/>
                <w:color w:val="auto"/>
              </w:rPr>
              <w:t>2009</w:t>
            </w:r>
          </w:p>
        </w:tc>
        <w:tc>
          <w:tcPr>
            <w:tcW w:w="192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875,000</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875</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875</w:t>
            </w: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Issued at fair value pursuant to</w:t>
            </w:r>
          </w:p>
        </w:tc>
        <w:tc>
          <w:tcPr>
            <w:tcW w:w="1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 agreements in August</w:t>
            </w: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2009</w:t>
            </w:r>
          </w:p>
        </w:tc>
        <w:tc>
          <w:tcPr>
            <w:tcW w:w="19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25,000</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27,475</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27,500</w:t>
            </w:r>
          </w:p>
        </w:tc>
      </w:tr>
      <w:tr>
        <w:trPr>
          <w:trHeight w:val="202"/>
        </w:trPr>
        <w:tc>
          <w:tcPr>
            <w:tcW w:w="20" w:type="dxa"/>
            <w:vAlign w:val="bottom"/>
          </w:tcPr>
          <w:p>
            <w:pPr>
              <w:spacing w:after="0"/>
              <w:rPr>
                <w:sz w:val="17"/>
                <w:szCs w:val="17"/>
                <w:color w:val="auto"/>
              </w:rPr>
            </w:pPr>
          </w:p>
        </w:tc>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w w:val="95"/>
              </w:rPr>
              <w:t>Issued at fair value pursuant to debt</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settlement agreements in July</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2009 (Note 3)</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33,812,065</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33,812</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15,181,618</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15,215,430</w:t>
            </w: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Issued on the exercise of warrants in</w:t>
            </w:r>
          </w:p>
        </w:tc>
        <w:tc>
          <w:tcPr>
            <w:tcW w:w="1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August and November 2009</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1,234,508</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1,235</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241,515</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242,750</w:t>
            </w:r>
          </w:p>
        </w:tc>
      </w:tr>
      <w:tr>
        <w:trPr>
          <w:trHeight w:val="202"/>
        </w:trPr>
        <w:tc>
          <w:tcPr>
            <w:tcW w:w="20" w:type="dxa"/>
            <w:vAlign w:val="bottom"/>
          </w:tcPr>
          <w:p>
            <w:pPr>
              <w:spacing w:after="0"/>
              <w:rPr>
                <w:sz w:val="17"/>
                <w:szCs w:val="17"/>
                <w:color w:val="auto"/>
              </w:rPr>
            </w:pPr>
          </w:p>
        </w:tc>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rPr>
              <w:t>Stock based compensation in</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October 2009</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2,091,900</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2,091,900</w:t>
            </w: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Fair value of warrants issued in</w:t>
            </w:r>
          </w:p>
        </w:tc>
        <w:tc>
          <w:tcPr>
            <w:tcW w:w="1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February , May and June 2009 in</w:t>
            </w: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connection with promissory notes</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725,669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(300,350)</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425,319</w:t>
            </w:r>
          </w:p>
        </w:tc>
      </w:tr>
      <w:tr>
        <w:trPr>
          <w:trHeight w:val="202"/>
        </w:trPr>
        <w:tc>
          <w:tcPr>
            <w:tcW w:w="20" w:type="dxa"/>
            <w:vAlign w:val="bottom"/>
          </w:tcPr>
          <w:p>
            <w:pPr>
              <w:spacing w:after="0"/>
              <w:rPr>
                <w:sz w:val="17"/>
                <w:szCs w:val="17"/>
                <w:color w:val="auto"/>
              </w:rPr>
            </w:pPr>
          </w:p>
        </w:tc>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rPr>
              <w:t>Beneficial conversion feature on</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August and October 2009</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convertible notes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75,491</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75,491</w:t>
            </w: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Obligation to issue warrants</w:t>
            </w:r>
          </w:p>
        </w:tc>
        <w:tc>
          <w:tcPr>
            <w:tcW w:w="1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pursuant</w:t>
            </w:r>
          </w:p>
        </w:tc>
        <w:tc>
          <w:tcPr>
            <w:tcW w:w="1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9"/>
              </w:rPr>
              <w:t>to service agreements in</w:t>
            </w: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December 2009</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19,270</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19,270</w:t>
            </w:r>
          </w:p>
        </w:tc>
      </w:tr>
      <w:tr>
        <w:trPr>
          <w:trHeight w:val="202"/>
        </w:trPr>
        <w:tc>
          <w:tcPr>
            <w:tcW w:w="20" w:type="dxa"/>
            <w:vAlign w:val="bottom"/>
          </w:tcPr>
          <w:p>
            <w:pPr>
              <w:spacing w:after="0"/>
              <w:rPr>
                <w:sz w:val="17"/>
                <w:szCs w:val="17"/>
                <w:color w:val="auto"/>
              </w:rPr>
            </w:pPr>
          </w:p>
        </w:tc>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rPr>
              <w:t>Obligation to issue shares at fair</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value</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pursuant  to  service</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agreements in December 2009</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246,533</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246,533</w:t>
            </w: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Obligation to issue shares at fair</w:t>
            </w:r>
          </w:p>
        </w:tc>
        <w:tc>
          <w:tcPr>
            <w:tcW w:w="1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value pursuant to debt settlement</w:t>
            </w: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agreements in September 2009</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243,800</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243,800</w:t>
            </w:r>
          </w:p>
        </w:tc>
      </w:tr>
      <w:tr>
        <w:trPr>
          <w:trHeight w:val="250"/>
        </w:trPr>
        <w:tc>
          <w:tcPr>
            <w:tcW w:w="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92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(17,348,546)</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(17,348,546)</w:t>
            </w:r>
          </w:p>
        </w:tc>
      </w:tr>
      <w:tr>
        <w:trPr>
          <w:trHeight w:val="216"/>
        </w:trPr>
        <w:tc>
          <w:tcPr>
            <w:tcW w:w="20" w:type="dxa"/>
            <w:vAlign w:val="bottom"/>
          </w:tcPr>
          <w:p>
            <w:pPr>
              <w:spacing w:after="0"/>
              <w:rPr>
                <w:sz w:val="18"/>
                <w:szCs w:val="18"/>
                <w:color w:val="auto"/>
              </w:rPr>
            </w:pPr>
          </w:p>
        </w:tc>
        <w:tc>
          <w:tcPr>
            <w:tcW w:w="2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12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38,361,674</w:t>
            </w:r>
          </w:p>
        </w:tc>
        <w:tc>
          <w:tcPr>
            <w:tcW w:w="1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38,362</w:t>
            </w:r>
          </w:p>
        </w:tc>
        <w:tc>
          <w:tcPr>
            <w:tcW w:w="1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35,885,232</w:t>
            </w: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513,733</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(38,160,652)</w:t>
            </w:r>
          </w:p>
        </w:tc>
        <w:tc>
          <w:tcPr>
            <w:tcW w:w="14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(59,726)</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(1,783,051)</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JULY 27, 1999 (INCEPTION) TO DECEMBER 31, 2012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9"/>
              </w:rPr>
              <w:t>Deficit</w:t>
            </w: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6"/>
              </w:rPr>
              <w:t>Obligation</w:t>
            </w:r>
          </w:p>
        </w:tc>
        <w:tc>
          <w:tcPr>
            <w:tcW w:w="260" w:type="dxa"/>
            <w:vAlign w:val="bottom"/>
          </w:tcPr>
          <w:p>
            <w:pPr>
              <w:spacing w:after="0"/>
              <w:rPr>
                <w:sz w:val="18"/>
                <w:szCs w:val="18"/>
                <w:color w:val="auto"/>
              </w:rPr>
            </w:pPr>
          </w:p>
        </w:tc>
        <w:tc>
          <w:tcPr>
            <w:tcW w:w="2160" w:type="dxa"/>
            <w:vAlign w:val="bottom"/>
            <w:gridSpan w:val="2"/>
          </w:tcPr>
          <w:p>
            <w:pPr>
              <w:jc w:val="center"/>
              <w:ind w:left="870"/>
              <w:spacing w:after="0"/>
              <w:rPr>
                <w:sz w:val="20"/>
                <w:szCs w:val="20"/>
                <w:color w:val="auto"/>
              </w:rPr>
            </w:pPr>
            <w:r>
              <w:rPr>
                <w:rFonts w:ascii="Arial" w:cs="Arial" w:eastAsia="Arial" w:hAnsi="Arial"/>
                <w:sz w:val="18"/>
                <w:szCs w:val="18"/>
                <w:color w:val="auto"/>
                <w:w w:val="92"/>
              </w:rPr>
              <w:t>Accumulated</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980" w:type="dxa"/>
            <w:vAlign w:val="bottom"/>
            <w:gridSpan w:val="3"/>
          </w:tcPr>
          <w:p>
            <w:pPr>
              <w:jc w:val="right"/>
              <w:ind w:right="430"/>
              <w:spacing w:after="0"/>
              <w:rPr>
                <w:sz w:val="20"/>
                <w:szCs w:val="20"/>
                <w:color w:val="auto"/>
              </w:rPr>
            </w:pPr>
            <w:r>
              <w:rPr>
                <w:rFonts w:ascii="Arial" w:cs="Arial" w:eastAsia="Arial" w:hAnsi="Arial"/>
                <w:sz w:val="18"/>
                <w:szCs w:val="18"/>
                <w:color w:val="auto"/>
              </w:rPr>
              <w:t>Common Stock</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Additional</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5"/>
              </w:rPr>
              <w:t>to Issue</w:t>
            </w:r>
          </w:p>
        </w:tc>
        <w:tc>
          <w:tcPr>
            <w:tcW w:w="260" w:type="dxa"/>
            <w:vAlign w:val="bottom"/>
          </w:tcPr>
          <w:p>
            <w:pPr>
              <w:spacing w:after="0"/>
              <w:rPr>
                <w:sz w:val="18"/>
                <w:szCs w:val="18"/>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color w:val="auto"/>
                <w:w w:val="91"/>
              </w:rPr>
              <w:t>Deferred</w:t>
            </w: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1"/>
              </w:rPr>
              <w:t>During the</w:t>
            </w:r>
          </w:p>
        </w:tc>
        <w:tc>
          <w:tcPr>
            <w:tcW w:w="340" w:type="dxa"/>
            <w:vAlign w:val="bottom"/>
          </w:tcPr>
          <w:p>
            <w:pPr>
              <w:spacing w:after="0"/>
              <w:rPr>
                <w:sz w:val="18"/>
                <w:szCs w:val="18"/>
                <w:color w:val="auto"/>
              </w:rPr>
            </w:pPr>
          </w:p>
        </w:tc>
        <w:tc>
          <w:tcPr>
            <w:tcW w:w="1020" w:type="dxa"/>
            <w:vAlign w:val="bottom"/>
          </w:tcPr>
          <w:p>
            <w:pPr>
              <w:jc w:val="center"/>
              <w:ind w:right="270"/>
              <w:spacing w:after="0"/>
              <w:rPr>
                <w:sz w:val="20"/>
                <w:szCs w:val="20"/>
                <w:color w:val="auto"/>
              </w:rPr>
            </w:pPr>
            <w:r>
              <w:rPr>
                <w:rFonts w:ascii="Arial" w:cs="Arial" w:eastAsia="Arial" w:hAnsi="Arial"/>
                <w:sz w:val="18"/>
                <w:szCs w:val="18"/>
                <w:color w:val="auto"/>
                <w:w w:val="93"/>
              </w:rPr>
              <w:t>Other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2200"/>
              <w:spacing w:after="0"/>
              <w:rPr>
                <w:sz w:val="20"/>
                <w:szCs w:val="20"/>
                <w:color w:val="auto"/>
              </w:rPr>
            </w:pPr>
            <w:r>
              <w:rPr>
                <w:rFonts w:ascii="Arial" w:cs="Arial" w:eastAsia="Arial" w:hAnsi="Arial"/>
                <w:sz w:val="18"/>
                <w:szCs w:val="18"/>
                <w:color w:val="auto"/>
              </w:rPr>
              <w:t>Number of</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2"/>
              </w:rPr>
              <w:t>Paid In</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4"/>
              </w:rPr>
              <w:t>Shares and</w:t>
            </w:r>
          </w:p>
        </w:tc>
        <w:tc>
          <w:tcPr>
            <w:tcW w:w="260" w:type="dxa"/>
            <w:vAlign w:val="bottom"/>
          </w:tcPr>
          <w:p>
            <w:pPr>
              <w:spacing w:after="0"/>
              <w:rPr>
                <w:sz w:val="18"/>
                <w:szCs w:val="18"/>
                <w:color w:val="auto"/>
              </w:rPr>
            </w:pPr>
          </w:p>
        </w:tc>
        <w:tc>
          <w:tcPr>
            <w:tcW w:w="2160" w:type="dxa"/>
            <w:vAlign w:val="bottom"/>
            <w:gridSpan w:val="2"/>
          </w:tcPr>
          <w:p>
            <w:pPr>
              <w:jc w:val="center"/>
              <w:ind w:left="870"/>
              <w:spacing w:after="0"/>
              <w:rPr>
                <w:sz w:val="20"/>
                <w:szCs w:val="20"/>
                <w:color w:val="auto"/>
              </w:rPr>
            </w:pPr>
            <w:r>
              <w:rPr>
                <w:rFonts w:ascii="Arial" w:cs="Arial" w:eastAsia="Arial" w:hAnsi="Arial"/>
                <w:sz w:val="18"/>
                <w:szCs w:val="18"/>
                <w:color w:val="auto"/>
                <w:w w:val="90"/>
              </w:rPr>
              <w:t>Development</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8"/>
              </w:rPr>
              <w:t>Comprehensive</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6"/>
              </w:rPr>
              <w:t>Amount</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2"/>
              </w:rPr>
              <w:t>Capital</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Warrants</w:t>
            </w:r>
          </w:p>
        </w:tc>
        <w:tc>
          <w:tcPr>
            <w:tcW w:w="14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4"/>
              </w:rPr>
              <w:t>Compensation</w:t>
            </w: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Stage</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Loss</w:t>
            </w: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9"/>
              </w:rPr>
              <w:t>Notes converted into shares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952,305</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952</w:t>
            </w:r>
          </w:p>
        </w:tc>
        <w:tc>
          <w:tcPr>
            <w:tcW w:w="3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427,003</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3"/>
              </w:rPr>
              <w:t>(243,800)</w:t>
            </w:r>
          </w:p>
        </w:tc>
        <w:tc>
          <w:tcPr>
            <w:tcW w:w="26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184,155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based compensation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in 2010</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1,134,477</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1,134,477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w w:val="97"/>
              </w:rPr>
              <w:t>Obligation to issue shares at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fair value pursuant to</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service agreements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28,220</w:t>
            </w:r>
          </w:p>
        </w:tc>
        <w:tc>
          <w:tcPr>
            <w:tcW w:w="26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28,220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Issued at fair value pursuant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debt settlement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361,648</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90,040</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90,412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w w:val="98"/>
              </w:rPr>
              <w:t>Issued at fair value pursuant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to service agreements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570,000</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570</w:t>
            </w:r>
          </w:p>
        </w:tc>
        <w:tc>
          <w:tcPr>
            <w:tcW w:w="3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275,306</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3"/>
              </w:rPr>
              <w:t>(263,173)</w:t>
            </w:r>
          </w:p>
        </w:tc>
        <w:tc>
          <w:tcPr>
            <w:tcW w:w="26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6"/>
              </w:rPr>
              <w:t>Untraceable shares reissued</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10,400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Foreign exchange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translation adjustment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(1,169)</w:t>
            </w:r>
          </w:p>
        </w:tc>
        <w:tc>
          <w:tcPr>
            <w:tcW w:w="1100" w:type="dxa"/>
            <w:vAlign w:val="bottom"/>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(3,532,623)</w:t>
            </w: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(3,532,623)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Balance, December 31,</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2010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40,256,027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40,256</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$37,812,058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34,980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   $ (41,693,275)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(60,895)</w:t>
            </w:r>
          </w:p>
        </w:tc>
        <w:tc>
          <w:tcPr>
            <w:tcW w:w="1100" w:type="dxa"/>
            <w:vAlign w:val="bottom"/>
          </w:tcPr>
          <w:p>
            <w:pPr>
              <w:jc w:val="right"/>
              <w:spacing w:after="0"/>
              <w:rPr>
                <w:sz w:val="20"/>
                <w:szCs w:val="20"/>
                <w:color w:val="auto"/>
              </w:rPr>
            </w:pPr>
            <w:r>
              <w:rPr>
                <w:rFonts w:ascii="Arial" w:cs="Arial" w:eastAsia="Arial" w:hAnsi="Arial"/>
                <w:sz w:val="18"/>
                <w:szCs w:val="18"/>
                <w:color w:val="auto"/>
                <w:w w:val="97"/>
              </w:rPr>
              <w:t>$ (3,866,876)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9"/>
              </w:rPr>
              <w:t>Notes converted into shares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2,102,742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428,992</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431,094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w w:val="94"/>
              </w:rPr>
              <w:t>Stock based compensation in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2011</w:t>
            </w:r>
          </w:p>
        </w:tc>
        <w:tc>
          <w:tcPr>
            <w:tcW w:w="9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456,081</w:t>
            </w:r>
          </w:p>
        </w:tc>
        <w:tc>
          <w:tcPr>
            <w:tcW w:w="8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456,081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warrants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recognized as derivative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(500,170)</w:t>
            </w: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w w:val="97"/>
              </w:rPr>
              <w:t>Obligation to issue shares at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w w:val="89"/>
              </w:rPr>
              <w:t>fair value pursuant to service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agreements</w:t>
            </w:r>
          </w:p>
        </w:tc>
        <w:tc>
          <w:tcPr>
            <w:tcW w:w="9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198,971</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198,971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88"/>
              </w:rPr>
              <w:t>Shares issued for subscriptions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12,852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(12,932)</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w w:val="98"/>
              </w:rPr>
              <w:t>Issued at fair value pursuant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to debt settlement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agreements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2,590,284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2,590</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483,789</w:t>
            </w:r>
          </w:p>
        </w:tc>
        <w:tc>
          <w:tcPr>
            <w:tcW w:w="8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486,379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Issued at fair value pursuant to</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agreements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2,594,405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570,773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(35,968)</w:t>
            </w: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6"/>
              </w:rPr>
              <w:t>Shares due for interest costs</w:t>
            </w: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28,887</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Private placement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4,450,002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690,550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Finders’ fee on private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placement</w:t>
            </w:r>
          </w:p>
        </w:tc>
        <w:tc>
          <w:tcPr>
            <w:tcW w:w="9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(11,551)</w:t>
            </w:r>
          </w:p>
        </w:tc>
        <w:tc>
          <w:tcPr>
            <w:tcW w:w="8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Foreign exchange translation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50"/>
        </w:trPr>
        <w:tc>
          <w:tcPr>
            <w:tcW w:w="22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(2,028,941)</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(2,028,941)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Balance, December 31, 2011</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52,073,460</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52,072</w:t>
            </w:r>
          </w:p>
        </w:tc>
        <w:tc>
          <w:tcPr>
            <w:tcW w:w="118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39,943,374</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362,906</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(35,968)</w:t>
            </w:r>
          </w:p>
        </w:tc>
        <w:tc>
          <w:tcPr>
            <w:tcW w:w="134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(43,722,216)</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(60,528)</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(3,460,360)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JULY 27, 1999 (INCEPTION) TO DECEMBER 31, 2012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Deficit</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Obligation</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20" w:type="dxa"/>
            <w:vAlign w:val="bottom"/>
            <w:gridSpan w:val="3"/>
          </w:tcPr>
          <w:p>
            <w:pPr>
              <w:jc w:val="right"/>
              <w:ind w:right="450"/>
              <w:spacing w:after="0"/>
              <w:rPr>
                <w:sz w:val="20"/>
                <w:szCs w:val="20"/>
                <w:color w:val="auto"/>
              </w:rPr>
            </w:pPr>
            <w:r>
              <w:rPr>
                <w:rFonts w:ascii="Arial" w:cs="Arial" w:eastAsia="Arial" w:hAnsi="Arial"/>
                <w:sz w:val="18"/>
                <w:szCs w:val="18"/>
                <w:color w:val="auto"/>
              </w:rPr>
              <w:t>Common Stock</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Additional</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to Issue</w:t>
            </w:r>
          </w:p>
        </w:tc>
        <w:tc>
          <w:tcPr>
            <w:tcW w:w="220" w:type="dxa"/>
            <w:vAlign w:val="bottom"/>
          </w:tcPr>
          <w:p>
            <w:pPr>
              <w:spacing w:after="0"/>
              <w:rPr>
                <w:sz w:val="18"/>
                <w:szCs w:val="18"/>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w w:val="97"/>
              </w:rPr>
              <w:t>Deferred</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During the</w:t>
            </w:r>
          </w:p>
        </w:tc>
        <w:tc>
          <w:tcPr>
            <w:tcW w:w="300" w:type="dxa"/>
            <w:vAlign w:val="bottom"/>
          </w:tcPr>
          <w:p>
            <w:pPr>
              <w:spacing w:after="0"/>
              <w:rPr>
                <w:sz w:val="18"/>
                <w:szCs w:val="18"/>
                <w:color w:val="auto"/>
              </w:rPr>
            </w:pPr>
          </w:p>
        </w:tc>
        <w:tc>
          <w:tcPr>
            <w:tcW w:w="1020" w:type="dxa"/>
            <w:vAlign w:val="bottom"/>
          </w:tcPr>
          <w:p>
            <w:pPr>
              <w:jc w:val="center"/>
              <w:ind w:right="270"/>
              <w:spacing w:after="0"/>
              <w:rPr>
                <w:sz w:val="20"/>
                <w:szCs w:val="20"/>
                <w:color w:val="auto"/>
              </w:rPr>
            </w:pPr>
            <w:r>
              <w:rPr>
                <w:rFonts w:ascii="Arial" w:cs="Arial" w:eastAsia="Arial" w:hAnsi="Arial"/>
                <w:sz w:val="18"/>
                <w:szCs w:val="18"/>
                <w:color w:val="auto"/>
                <w:w w:val="93"/>
              </w:rPr>
              <w:t>Other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w w:val="99"/>
              </w:rPr>
              <w:t>Number of</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Paid In</w:t>
            </w: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Shares and</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Development</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8"/>
              </w:rPr>
              <w:t>Comprehensive</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Amount</w:t>
            </w: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Capital</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Warrants</w:t>
            </w: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6"/>
              </w:rPr>
              <w:t>Compensation</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Stage</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Loss</w:t>
            </w: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w w:val="93"/>
              </w:rPr>
              <w:t>Notes converted into shares</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2,341,204</w:t>
            </w:r>
          </w:p>
        </w:tc>
        <w:tc>
          <w:tcPr>
            <w:tcW w:w="2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2,341</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234,721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237,062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Stock based compensation</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in 2012</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204,427</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204,427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spacing w:after="0" w:line="201" w:lineRule="exact"/>
              <w:rPr>
                <w:sz w:val="20"/>
                <w:szCs w:val="20"/>
                <w:color w:val="auto"/>
              </w:rPr>
            </w:pPr>
            <w:r>
              <w:rPr>
                <w:rFonts w:ascii="Arial" w:cs="Arial" w:eastAsia="Arial" w:hAnsi="Arial"/>
                <w:sz w:val="18"/>
                <w:szCs w:val="18"/>
                <w:color w:val="auto"/>
              </w:rPr>
              <w:t>Fair value of warrants</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gridSpan w:val="2"/>
          </w:tcPr>
          <w:p>
            <w:pPr>
              <w:spacing w:after="0"/>
              <w:rPr>
                <w:sz w:val="20"/>
                <w:szCs w:val="20"/>
                <w:color w:val="auto"/>
              </w:rPr>
            </w:pPr>
            <w:r>
              <w:rPr>
                <w:rFonts w:ascii="Arial" w:cs="Arial" w:eastAsia="Arial" w:hAnsi="Arial"/>
                <w:sz w:val="18"/>
                <w:szCs w:val="18"/>
                <w:color w:val="auto"/>
              </w:rPr>
              <w:t>issued</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62,000</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Obligation to issue shares at</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pursuant to</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agreements</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214,083</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214,083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spacing w:after="0" w:line="201" w:lineRule="exact"/>
              <w:rPr>
                <w:sz w:val="20"/>
                <w:szCs w:val="20"/>
                <w:color w:val="auto"/>
              </w:rPr>
            </w:pPr>
            <w:r>
              <w:rPr>
                <w:rFonts w:ascii="Arial" w:cs="Arial" w:eastAsia="Arial" w:hAnsi="Arial"/>
                <w:sz w:val="18"/>
                <w:szCs w:val="18"/>
                <w:color w:val="auto"/>
                <w:w w:val="92"/>
              </w:rPr>
              <w:t>Issued at fair value pursuant</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to debt settlement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agreements</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833,334</w:t>
            </w:r>
          </w:p>
        </w:tc>
        <w:tc>
          <w:tcPr>
            <w:tcW w:w="2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833</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138,866</w:t>
            </w:r>
          </w:p>
        </w:tc>
        <w:tc>
          <w:tcPr>
            <w:tcW w:w="1140" w:type="dxa"/>
            <w:vAlign w:val="bottom"/>
          </w:tcPr>
          <w:p>
            <w:pPr>
              <w:jc w:val="right"/>
              <w:spacing w:after="0"/>
              <w:rPr>
                <w:sz w:val="20"/>
                <w:szCs w:val="20"/>
                <w:color w:val="auto"/>
              </w:rPr>
            </w:pPr>
            <w:r>
              <w:rPr>
                <w:rFonts w:ascii="Arial" w:cs="Arial" w:eastAsia="Arial" w:hAnsi="Arial"/>
                <w:sz w:val="18"/>
                <w:szCs w:val="18"/>
                <w:color w:val="auto"/>
              </w:rPr>
              <w:t>(33,130)</w:t>
            </w: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106,569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Issued at fair value pursuant</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service agreements</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14,535,179</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14,536</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1,983,434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1,992,000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spacing w:after="0" w:line="201" w:lineRule="exact"/>
              <w:rPr>
                <w:sz w:val="20"/>
                <w:szCs w:val="20"/>
                <w:color w:val="auto"/>
              </w:rPr>
            </w:pPr>
            <w:r>
              <w:rPr>
                <w:rFonts w:ascii="Arial" w:cs="Arial" w:eastAsia="Arial" w:hAnsi="Arial"/>
                <w:sz w:val="18"/>
                <w:szCs w:val="18"/>
                <w:color w:val="auto"/>
              </w:rPr>
              <w:t>Shares issued for interest</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gridSpan w:val="2"/>
          </w:tcPr>
          <w:p>
            <w:pPr>
              <w:spacing w:after="0"/>
              <w:rPr>
                <w:sz w:val="20"/>
                <w:szCs w:val="20"/>
                <w:color w:val="auto"/>
              </w:rPr>
            </w:pPr>
            <w:r>
              <w:rPr>
                <w:rFonts w:ascii="Arial" w:cs="Arial" w:eastAsia="Arial" w:hAnsi="Arial"/>
                <w:sz w:val="18"/>
                <w:szCs w:val="18"/>
                <w:color w:val="auto"/>
              </w:rPr>
              <w:t>costs</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1,653,113</w:t>
            </w:r>
          </w:p>
        </w:tc>
        <w:tc>
          <w:tcPr>
            <w:tcW w:w="2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1,655</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244,062</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245,717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Private placement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4,966,668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4,967</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735,033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spacing w:after="0" w:line="201" w:lineRule="exact"/>
              <w:rPr>
                <w:sz w:val="20"/>
                <w:szCs w:val="20"/>
                <w:color w:val="auto"/>
              </w:rPr>
            </w:pPr>
            <w:r>
              <w:rPr>
                <w:rFonts w:ascii="Arial" w:cs="Arial" w:eastAsia="Arial" w:hAnsi="Arial"/>
                <w:sz w:val="18"/>
                <w:szCs w:val="18"/>
                <w:color w:val="auto"/>
              </w:rPr>
              <w:t>Deferred compensation</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gridSpan w:val="2"/>
          </w:tcPr>
          <w:p>
            <w:pPr>
              <w:spacing w:after="0"/>
              <w:rPr>
                <w:sz w:val="20"/>
                <w:szCs w:val="20"/>
                <w:color w:val="auto"/>
              </w:rPr>
            </w:pPr>
            <w:r>
              <w:rPr>
                <w:rFonts w:ascii="Arial" w:cs="Arial" w:eastAsia="Arial" w:hAnsi="Arial"/>
                <w:sz w:val="18"/>
                <w:szCs w:val="18"/>
                <w:color w:val="auto"/>
              </w:rPr>
              <w:t>expensed</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35,968</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35,968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 adjustment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50"/>
        </w:trPr>
        <w:tc>
          <w:tcPr>
            <w:tcW w:w="21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(5,857,943)</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(5,857,943)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Balance, December 31,</w:t>
            </w: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 (49,580,159</w:t>
            </w:r>
            <w:r>
              <w:rPr>
                <w:rFonts w:ascii="Arial" w:cs="Arial" w:eastAsia="Arial" w:hAnsi="Arial"/>
                <w:sz w:val="36"/>
                <w:szCs w:val="36"/>
                <w:color w:val="auto"/>
                <w:w w:val="95"/>
                <w:vertAlign w:val="superscript"/>
              </w:rPr>
              <w:t>)</w:t>
            </w: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(61,648</w:t>
            </w:r>
            <w:r>
              <w:rPr>
                <w:rFonts w:ascii="Arial" w:cs="Arial" w:eastAsia="Arial" w:hAnsi="Arial"/>
                <w:sz w:val="36"/>
                <w:szCs w:val="36"/>
                <w:color w:val="auto"/>
                <w:vertAlign w:val="superscript"/>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 (5,666,597</w:t>
            </w:r>
            <w:r>
              <w:rPr>
                <w:rFonts w:ascii="Arial" w:cs="Arial" w:eastAsia="Arial" w:hAnsi="Arial"/>
                <w:sz w:val="36"/>
                <w:szCs w:val="36"/>
                <w:color w:val="auto"/>
                <w:w w:val="95"/>
                <w:vertAlign w:val="superscript"/>
              </w:rPr>
              <w:t>)</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76,402,958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76,404</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$43,545,947</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   352,859</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vMerge w:val="continue"/>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vMerge w:val="continue"/>
            <w:shd w:val="clear" w:color="auto" w:fill="CCEEFF"/>
          </w:tcPr>
          <w:p>
            <w:pPr>
              <w:spacing w:after="0"/>
              <w:rPr>
                <w:sz w:val="23"/>
                <w:szCs w:val="23"/>
                <w:color w:val="auto"/>
              </w:rPr>
            </w:pPr>
          </w:p>
        </w:tc>
        <w:tc>
          <w:tcPr>
            <w:tcW w:w="1100" w:type="dxa"/>
            <w:vAlign w:val="bottom"/>
            <w:tcBorders>
              <w:bottom w:val="single" w:sz="8" w:color="auto"/>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i w:val="1"/>
          <w:iCs w:val="1"/>
          <w:color w:val="auto"/>
        </w:rPr>
        <w:t>TAPIMMUNE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STATEMENTS OF CASH FLOWS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9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2"/>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July 27, 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88"/>
              </w:rPr>
              <w:t>Year Ended</w:t>
            </w:r>
          </w:p>
        </w:tc>
        <w:tc>
          <w:tcPr>
            <w:tcW w:w="20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color w:val="auto"/>
                <w:w w:val="88"/>
              </w:rPr>
              <w:t>Year Ended</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4"/>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760" w:type="dxa"/>
            <w:vAlign w:val="bottom"/>
            <w:gridSpan w:val="2"/>
          </w:tcPr>
          <w:p>
            <w:pPr>
              <w:jc w:val="center"/>
              <w:ind w:left="1230"/>
              <w:spacing w:after="0"/>
              <w:rPr>
                <w:sz w:val="20"/>
                <w:szCs w:val="20"/>
                <w:color w:val="auto"/>
              </w:rPr>
            </w:pPr>
            <w:r>
              <w:rPr>
                <w:rFonts w:ascii="Arial" w:cs="Arial" w:eastAsia="Arial" w:hAnsi="Arial"/>
                <w:sz w:val="18"/>
                <w:szCs w:val="18"/>
                <w:color w:val="auto"/>
                <w:w w:val="88"/>
              </w:rPr>
              <w:t>December 31,</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December 31,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2012</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2011</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(5,857,943)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(2,028,941)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(49,580,159)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loss to</w:t>
            </w:r>
          </w:p>
        </w:tc>
        <w:tc>
          <w:tcPr>
            <w:tcW w:w="1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net cash from operating activities:</w:t>
            </w:r>
          </w:p>
        </w:tc>
        <w:tc>
          <w:tcPr>
            <w:tcW w:w="1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Non-cash loss on debt financing</w:t>
            </w:r>
          </w:p>
        </w:tc>
        <w:tc>
          <w:tcPr>
            <w:tcW w:w="15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104,550</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1,373,263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Changes in fair value of derivative liabilities</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(536,527)</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(668,710)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Loss (gain) on settlement of debt</w:t>
            </w:r>
          </w:p>
        </w:tc>
        <w:tc>
          <w:tcPr>
            <w:tcW w:w="15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59,219</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(317,801)</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11,690,801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Gain on extinguishment of derivative liabilities   - warrants</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(290,500)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Loss on disposal of assets</w:t>
            </w:r>
          </w:p>
        </w:tc>
        <w:tc>
          <w:tcPr>
            <w:tcW w:w="15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Non-cash interest and financing charges</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679,332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5,468,499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Stock based compensation</w:t>
            </w:r>
          </w:p>
        </w:tc>
        <w:tc>
          <w:tcPr>
            <w:tcW w:w="15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2,440,228</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1,261,983</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13,115,620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Changes in operating assets and liabilities:</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Due from government agency</w:t>
            </w:r>
          </w:p>
        </w:tc>
        <w:tc>
          <w:tcPr>
            <w:tcW w:w="15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Prepaid expenses and deposits</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41,623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Deferred financing costs</w:t>
            </w:r>
          </w:p>
        </w:tc>
        <w:tc>
          <w:tcPr>
            <w:tcW w:w="15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(5,161)</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58,843</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2,032,645</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5,614,121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Research agreement obligations</w:t>
            </w:r>
          </w:p>
        </w:tc>
        <w:tc>
          <w:tcPr>
            <w:tcW w:w="15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156,246</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117,991</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634,129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5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(1,565,098)</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(1,309,867)</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(16,419,528)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Issuance of shares, net</w:t>
            </w:r>
          </w:p>
        </w:tc>
        <w:tc>
          <w:tcPr>
            <w:tcW w:w="15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555,000</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683,450</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10,860,575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net</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602,000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724,535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2,123,906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Proceeds from loans payable</w:t>
            </w:r>
          </w:p>
        </w:tc>
        <w:tc>
          <w:tcPr>
            <w:tcW w:w="15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Notes and loans payable</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919,845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Advances from related parties</w:t>
            </w:r>
          </w:p>
        </w:tc>
        <w:tc>
          <w:tcPr>
            <w:tcW w:w="15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205,543</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(11,400)</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1,793,134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Stock subscriptions</w:t>
            </w:r>
          </w:p>
        </w:tc>
        <w:tc>
          <w:tcPr>
            <w:tcW w:w="15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140,000</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5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1,365,543</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1,536,585</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16,265,460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Purchase of furniture and equipment</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acquired on reverse acquisition</w:t>
            </w:r>
          </w:p>
        </w:tc>
        <w:tc>
          <w:tcPr>
            <w:tcW w:w="15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423,373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15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204,747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(199,555)</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226,718</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50,679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BEGINNING OF YEAR</w:t>
            </w:r>
          </w:p>
        </w:tc>
        <w:tc>
          <w:tcPr>
            <w:tcW w:w="15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250,234</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23,516</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END OF YEAR</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50,679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250,234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50,679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and non-cash investing and financing activities: (Note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i w:val="1"/>
          <w:iCs w:val="1"/>
          <w:color w:val="auto"/>
        </w:rPr>
        <w:t>TAPIMMUNE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TapImmune Inc. (the “Company”), a Nevada corporation incorporated in 1992, is a development stage company which was formed for the purpose of building a biotechnology business specializing in the discovery and development of immunotherapeutics aimed at the treatment of cancer, and therapies for infectious diseases, autoimmune disorders and transplant tissue rejection.</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inception, the Company has been party to various Collaborative Research Agreements (“CRA”) working with universities to carry out development of the licensed technology and providing TapImmune the option to acquire the rights to commercialize any additional technologies developed within the CRA. The lead product candidate, now wholly owned and with no ongoing license or royalty, resulting from these license agreements is an immunotherapy vaccine, on which the Company has been completing pre-clinical work in anticipation of clinical trials. Specifically, the Company has obtained and expanded on three U.S. and international patents, tested various viral vectors, licensed a viral vector and is working towards production of a clinical grade vaccine. The Company plans to continue development of the lead product vaccine through to clinical trials in both oncology and infectious diseases alone or in partnership with other vaccine developers.</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consolidated financial statements have been prepared on the basis of a going concern which contemplates the realization of assets and the satisfaction of liabilities in the normal course of business. As at December 31, 2012, the Company had a working capital deficiency of $4,191,211 (excluding derivative liabilities recorded as current liabilities) and has incurred significant losses since inception. Further losses are anticipated in the development stage raising substantial doubt as to the Company’s ability to continue as a going concern. The ability of the Company to continue as a going concern is dependent on raising additional capital to fund ongoing research and development, maintenance and protection of patents, accommodation from certain debt obligations and ultimately on generating future profitable operations. Planned expenditures relating to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 funding was raised through equity and debt placements in 2011 and 2012, and management intends to continue restructuring outstanding debt and equity instruments. Additional capital is required currently to expand programs including pre-clinical work and to establish future manufacturing contracts necessary for clinical trials for the lead TAP (Transporters of Antigen Processing) vaccine and infectious disease adjuvant technology. Strategic partnerships will be needed to continue the product development portfolio and fund development costs. These measures, if successful, may contribute to reduce the risk of going concern uncertainties for the Company over the next twelve months.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certainty that the Company will be able to arrange sufficient funding to satisfy current debt obligations or to continue development of products to marketability.</w:t>
      </w:r>
    </w:p>
    <w:p>
      <w:pPr>
        <w:spacing w:after="0" w:line="200" w:lineRule="exact"/>
        <w:rPr>
          <w:sz w:val="20"/>
          <w:szCs w:val="20"/>
          <w:color w:val="auto"/>
        </w:rPr>
      </w:pPr>
    </w:p>
    <w:p>
      <w:pPr>
        <w:spacing w:after="0" w:line="23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financial statements are presented in United States dollars and have been prepared in accordance with accounting principles generally accepted in the United States of America.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financial statements include the accounts of the Company and its wholly-owned subsidiaries GeneMax Pharmaceuticals Inc. (“GPI”) and GeneMax Pharmaceuticals Canada Inc. (“GPC”). All significant intercompany balances and transactions are eliminated upon consolidation.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Preparation of the Company’s financial statements in conformity with accounting principles generally accepted in the United States of America requires management to make estimates and assumptions that affect certain reported amounts and disclosures. Accordingly, actual results could differ materially from those estimates.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foreign exchange gains and losses, allocation of costs to research and development and accrued liabilities. Matters impacting the company’s ability to continue as a going concern and contingencies also involve the use of estimates and assumptions.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objective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is to increase consistency and comparability in fair value measurements and to expand disclosures about fair value measurements. ASC 820 defines fair value, establishes a framework for measuring fair value in generally accepted accounting principles, and expands disclosures about fair value measurements. ASC 820 applies under other accounting pronouncements that require or permit fair value measurements and does not require any new fair value measurements.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functional currency of the Company, including its subsidiary, is United States dollars. GPC maintains its accounting records in its local currency (Canadian dollar). In accordance with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the financial statements of the Company's subsidiary is translated into United States dollars using period end exchange rates for monetary assets and liabilities and average exchange rates over the period for revenues and expenses. Non-monetary assets are translated at their historical exchange rates. Net gains and losses resulting from foreign exchange translations and foreign currency exchange gains and losses on transactions occurring in a currency other than the Company's functional currency are included in the determination of net income in the period.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Concentration of Credit Risk</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values of cash, accounts payable, and other current monetary liabilities approximate their carrying values due to the immediate or short-term maturity of these financial instruments. The Company's operations and financing activities are conducted primarily in United States dollars, and as a result the Company is not subject to significant exposure to market risks from changes in foreign currency rates. Unless otherwise noted, it is management's opinion that the Company is not exposed to significant interest or credit risks arising from assets classified as financial instruments.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Long-lived assets are reviewed for impairment whenever events or changes in circumstances indicate the carrying amount of an asset may not be recoverable. Circumstances which could trigger a review include, but are not limited to: significant decreases in the market price of the asset; significant adverse changes in the business climate or legal factors; accumulation of costs significantly in excess of the amount originally expected for the acquisition or construction of the asset; current period cash flow or operating losses combined with a history of losses or a forecast of continuing losses associated with the use of the asset; and current expectation that the asset will more likely than not be sold or disposed significantly before the end of its estimated useful life. Recoverability of these assets is measured by comparison of carrying amounts to future undiscounted cash flows the assets are expected to generate. An impairment loss is recognized when the carrying amount exceeds fair value.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Company uses the Black-Scholes option-pricing model to determine the grant date fair-value of stock-based awards under ASC 718, </w:t>
      </w:r>
      <w:r>
        <w:rPr>
          <w:rFonts w:ascii="Arial" w:cs="Arial" w:eastAsia="Arial" w:hAnsi="Arial"/>
          <w:sz w:val="17"/>
          <w:szCs w:val="17"/>
          <w:i w:val="1"/>
          <w:iCs w:val="1"/>
          <w:color w:val="auto"/>
        </w:rPr>
        <w:t>Compensation –</w:t>
      </w:r>
      <w:r>
        <w:rPr>
          <w:rFonts w:ascii="Arial" w:cs="Arial" w:eastAsia="Arial" w:hAnsi="Arial"/>
          <w:sz w:val="17"/>
          <w:szCs w:val="17"/>
          <w:color w:val="auto"/>
        </w:rPr>
        <w:t xml:space="preserve"> </w:t>
      </w:r>
      <w:r>
        <w:rPr>
          <w:rFonts w:ascii="Arial" w:cs="Arial" w:eastAsia="Arial" w:hAnsi="Arial"/>
          <w:sz w:val="17"/>
          <w:szCs w:val="17"/>
          <w:i w:val="1"/>
          <w:iCs w:val="1"/>
          <w:color w:val="auto"/>
        </w:rPr>
        <w:t>Stock Compensation</w:t>
      </w:r>
      <w:r>
        <w:rPr>
          <w:rFonts w:ascii="Arial" w:cs="Arial" w:eastAsia="Arial" w:hAnsi="Arial"/>
          <w:sz w:val="17"/>
          <w:szCs w:val="17"/>
          <w:color w:val="auto"/>
        </w:rPr>
        <w:t>. The fair value is recorded in income depending on the terms and conditions of the award, and the nature of the relationship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recipient of the award to the Company. The Company records the grant date fair value in income in line with the period over which it was earned. For employees and management this is typically considered to be the vesting period of the award. For consultants the fair value of the award is recorded in income over the term of the service period, and unvested amounts are revalued at each reporting period over the service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defers direct costs incurred in connection with the sale of common shares which are offset against the proceeds of the financing upon completion. Costs incurred in connection with convertible loans payable are deferred and amortized as a financing cost over the term of the convertible loans. Upon conversion of the loan, any unamortized amount of deferred financing costs will be charged to stockholders’ equity as a cost of financing.</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has acquired development and marketing rights to certain technologies. The rights and licenses acquired are considered rights to unproven technology which may not have alternate future uses and therefore, have been expensed as incurred as research and development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follows the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income in the period that includes the date of enactment. The Company recognizes deferred taxes on unrealized gains directly within other comprehensive income, and concurrently releases part of the related valuation allowance resulting in nil impact within OCI or on the balance sheet. As at December 31, 2012, the Company had net operating loss carry forwards; however, due to the uncertainty of realization, the Company has provided a full valuation allowance for the potential deferred tax assets resulting from these loss carry forwards.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Warrant Liability</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evaluates its convertible debt, options, warrants or other contracts to determine if those contracts or embedded components of those contracts qualify as derivatives to be separately accounted for in accordance with ASC 810-10-05-4 and 815-40.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classification of derivative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evaluating the application of ASC 815-40, management must determine whether an instrument (or an embedded feature) is indexed to the Company’s own stock. ASC 815-40-15 provides that an entity should use a two-step approach to evaluate whether an equity-linked financial instrument (or embedded feature) is indexed to its own stock, including evaluating the instrument’s contingent exercise and settlement provisions. The application of ASC 815-40-15 has affected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follows ASC paragraph 825-10-50-10 for disclosures about fair value of its financial instruments and ASC paragraph 820-10-35-37 to measure the fair value of its financial instruments. 820-10-35-37 establishes a framework for measuring fair value pursuant to GAAP and expands disclosures about fair value measurements. To increase consistency and comparability in fair value measurements and related disclosures, paragraph 820-10-35-37 further establishes a fair value hierarchy which prioritizes the inputs to valuation techniques used to measure fair value into three (3) broad levels. The fair value hierarchy gives the highest priority to quoted prices (unadjusted) in active markets for identical assets or liabilities and the lowest priority to unobservable inputs. The three (3) levels of fair value hierarchy are described below:</w:t>
      </w:r>
    </w:p>
    <w:p>
      <w:pPr>
        <w:spacing w:after="0" w:line="2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market prices available in active markets for identical assets or liabilities as of the reporting date.</w:t>
      </w:r>
    </w:p>
    <w:p>
      <w:pPr>
        <w:spacing w:after="0" w:line="252" w:lineRule="exact"/>
        <w:rPr>
          <w:sz w:val="20"/>
          <w:szCs w:val="20"/>
          <w:color w:val="auto"/>
        </w:rPr>
      </w:pPr>
    </w:p>
    <w:p>
      <w:pPr>
        <w:jc w:val="both"/>
        <w:ind w:left="1020" w:right="20" w:hanging="1012"/>
        <w:spacing w:after="0" w:line="277" w:lineRule="auto"/>
        <w:tabs>
          <w:tab w:leader="none" w:pos="10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Pricing inputs other than quoted prices in active markets included in Level 1, which are either directly or indirectly observable as of the reporting date.</w:t>
      </w:r>
    </w:p>
    <w:p>
      <w:pPr>
        <w:spacing w:after="0" w:line="19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Pricing inputs that are generally observable inputs and not corroborated by market data.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The carrying amounts of the Company’s financial assets and liabilities, such as; cash, receivables, prepaid expenses and deposits, accounts payable and accrued liabilities, research agreement obligations, and due to related parties, approximate their fair values because of their short term maturity. The Company’s convertible notes payable approximate fair value based upon management’s estimate of comparable interest rates that would be available to the Company for similar financial arrangements.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revalues its derivative warrant and derivative conversion option liabilities at each reporting period and recognizes gains or losses in the consolidated statements of operations that are attributable to the change in the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computed by dividing loss attributable to common stockholders by the weighted average number of common shares outstanding for the period. If applicable, diluted earnings per share reflect the potential dilution of securities that could share in the earnings (loss) of the Company. The common shares potentially issuable on conversion of outstanding convertible debentures, warrants and stock options are anti-dilutive and have not been included in the calculation.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1, 2012, the Company adopted new guidance related to the presentation of comprehensive income. The main provisions of the new guidance provide that an entity that reports items of other comprehensive income has the option to present comprehensive income as (i) a single statement that presents the components of net income and total net income, the components of other comprehensive income and total other comprehensive income and a total for comprehensive income or (ii) in two separate but consecutive statements, whereby an entity must present the components of net income and total net income in the first statement and that statement is immediately followed by a financial statement that presents the components of other comprehensive income, a total for other comprehensive income and a total for comprehensive income. The new rules eliminate the option to present the components of other comprehensive income as part of the statement of stockholders' equity. These new rules have been applied retrospectively and became effective for fiscal years, and interim periods within those fiscal years, beginning on or after December 15, 2011 (January 1, 2012 for the Company), with early adoption permitted. The adoption of this new guidance did not have a material impact on our Consolidated Financial Statements.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reviewed recently issued accounting pronouncements and plans to adopt those that are applicable to it. It does not expect the adoption of these pronouncements to have a material impact on its financial position, results of operations or cash flows.</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RESEARCH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Crucell Holland B.V. (“Crucell”) – Research License and Option Agreement</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Effective August 7, 2003, Crucell and the Company’s subsidiary GPI entered into a five-year research license and option agreement whereby Crucell granted to GPI a non-exclusive worldwide license for the research use of its adenovirus technology. The Company was required to make certain payments over the five-year term totaling Euro €450,000 (approximately $510,100).</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December 31, 2008, $243,598 (€172,801) was owing to Crucell under this agreement. During the year ended December 31, 2009, management negotiated a settlement of the outstanding balance requiring a €17,000 cash payment (paid) and the issuance of 265,000 shares of the Company’s common stock.</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retroactively effective August 7, 2008, the Company negotiated an amended license agreement for the use of Crucell’s adenovirus technology. The Company is required to make annual license payments on the anniversary of the effective date for the three year term equal to €75,000 per annum. As at December 31, 2012, the Company had accrued $415,998 (€314,703) under the amended agreement, inclusive of interest on outstanding amounts. The Company is currently delinquent on making its first annual license payment under the amended license agreement. Crucell has the right to cancel the agreement however, to date, the Company has not received any notice terminating the license agreement. Management plans to negotiate an amended payment structure with Crucell that, if successful, would allow the Company to maintain the license agreement in good standing. However, there is no certainty that the license agreement will be maintained or that Management will successfully negotiate new terms.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Mayo Clinic –License Option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details regarding the license option agreement with Mayo Clinic, please refer to Note 12.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spacing w:after="0"/>
        <w:tabs>
          <w:tab w:leader="none" w:pos="14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DERIVATIVE WARRANT LIABILITY AND FAIR VALUE</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 has evaluated the application ASC 480-10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ASC 815-40 </w:t>
      </w:r>
      <w:r>
        <w:rPr>
          <w:rFonts w:ascii="Arial" w:cs="Arial" w:eastAsia="Arial" w:hAnsi="Arial"/>
          <w:sz w:val="17"/>
          <w:szCs w:val="17"/>
          <w:i w:val="1"/>
          <w:iCs w:val="1"/>
          <w:color w:val="auto"/>
        </w:rPr>
        <w:t>Contracts in an Entity’s Own Equity</w:t>
      </w:r>
      <w:r>
        <w:rPr>
          <w:rFonts w:ascii="Arial" w:cs="Arial" w:eastAsia="Arial" w:hAnsi="Arial"/>
          <w:sz w:val="17"/>
          <w:szCs w:val="17"/>
          <w:color w:val="auto"/>
        </w:rPr>
        <w:t xml:space="preserve"> and ASC 718-10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(Note 5)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and minimize the use of unobservable inputs when measuring fair value. ASC 820-10 describes three levels of inputs that may be used to measure fair value: Level 1 – Quoted prices in active markets for identical assets or liabilities; Level 2 – Observable inputs other than Level 1 prices, such as quoted prices for similar assets or liabilities; or other inputs that are observable or can be corroborated by observable market data for substantially the full term of the assets or liabilities; and Level 3 –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 The Company’s Level 3 liabilities consist of the derivative liabilities associated with the warrants issued with the convertible notes during the year ended December 31, 2011. At December 31, 2012, all of the Company’s derivative liabilities were categorized as Level 3 fair value liabilities. If the inputs used to measure the financial assets and liabilities fall within more than one level described above, the categorization is based on the lowest level input that is significant to the fair value measurement of the instrument.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Valuation Techniques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liabilities are considered Level 3 when their fair values are determined using pricing models, discounted cash flow methodologies or similar techniques and at least one significant model assumption or input is unobservable. Level 3 financial liabilities consist of the notes and warrants for which there is no current market for these securities such that the determination of fair value requires significant judgment or estimation.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Determining fair value of share purchase warrants and conversion options, given the Company’s stage of development and financial position, is highly subjective and identifying appropriate measurement criteria and models is subject to uncertainty. There are several generally accepted pricing models for warrants and options and derivative provisions. The Company has chosen to value the warrants and conversion option on the notes that contain ratchet down provisions using the Binomial model under the following assumptions: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rPr>
              <w:t>December 31, 2011</w:t>
            </w:r>
          </w:p>
        </w:tc>
        <w:tc>
          <w:tcPr>
            <w:tcW w:w="10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December 31, 2012</w:t>
            </w:r>
          </w:p>
        </w:tc>
        <w:tc>
          <w:tcPr>
            <w:tcW w:w="118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60" w:type="dxa"/>
            <w:vAlign w:val="bottom"/>
            <w:gridSpan w:val="2"/>
          </w:tcPr>
          <w:p>
            <w:pPr>
              <w:jc w:val="center"/>
              <w:ind w:left="510"/>
              <w:spacing w:after="0" w:line="201" w:lineRule="exact"/>
              <w:rPr>
                <w:sz w:val="20"/>
                <w:szCs w:val="20"/>
                <w:color w:val="auto"/>
              </w:rPr>
            </w:pPr>
            <w:r>
              <w:rPr>
                <w:rFonts w:ascii="Arial" w:cs="Arial" w:eastAsia="Arial" w:hAnsi="Arial"/>
                <w:sz w:val="18"/>
                <w:szCs w:val="18"/>
                <w:color w:val="auto"/>
                <w:w w:val="93"/>
              </w:rPr>
              <w:t>Expected Life</w:t>
            </w:r>
          </w:p>
        </w:tc>
        <w:tc>
          <w:tcPr>
            <w:tcW w:w="880" w:type="dxa"/>
            <w:vAlign w:val="bottom"/>
          </w:tcPr>
          <w:p>
            <w:pPr>
              <w:spacing w:after="0"/>
              <w:rPr>
                <w:sz w:val="17"/>
                <w:szCs w:val="17"/>
                <w:color w:val="auto"/>
              </w:rPr>
            </w:pPr>
          </w:p>
        </w:tc>
        <w:tc>
          <w:tcPr>
            <w:tcW w:w="1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Dividend</w:t>
            </w:r>
          </w:p>
        </w:tc>
        <w:tc>
          <w:tcPr>
            <w:tcW w:w="1060" w:type="dxa"/>
            <w:vAlign w:val="bottom"/>
          </w:tcPr>
          <w:p>
            <w:pPr>
              <w:spacing w:after="0"/>
              <w:rPr>
                <w:sz w:val="17"/>
                <w:szCs w:val="17"/>
                <w:color w:val="auto"/>
              </w:rPr>
            </w:pPr>
          </w:p>
        </w:tc>
        <w:tc>
          <w:tcPr>
            <w:tcW w:w="1220" w:type="dxa"/>
            <w:vAlign w:val="bottom"/>
          </w:tcPr>
          <w:p>
            <w:pPr>
              <w:jc w:val="center"/>
              <w:ind w:left="110"/>
              <w:spacing w:after="0" w:line="201" w:lineRule="exact"/>
              <w:rPr>
                <w:sz w:val="20"/>
                <w:szCs w:val="20"/>
                <w:color w:val="auto"/>
              </w:rPr>
            </w:pPr>
            <w:r>
              <w:rPr>
                <w:rFonts w:ascii="Arial" w:cs="Arial" w:eastAsia="Arial" w:hAnsi="Arial"/>
                <w:sz w:val="18"/>
                <w:szCs w:val="18"/>
                <w:color w:val="auto"/>
                <w:w w:val="93"/>
              </w:rPr>
              <w:t>Expected Life</w:t>
            </w:r>
          </w:p>
        </w:tc>
        <w:tc>
          <w:tcPr>
            <w:tcW w:w="1100" w:type="dxa"/>
            <w:vAlign w:val="bottom"/>
          </w:tcPr>
          <w:p>
            <w:pPr>
              <w:spacing w:after="0"/>
              <w:rPr>
                <w:sz w:val="17"/>
                <w:szCs w:val="17"/>
                <w:color w:val="auto"/>
              </w:rPr>
            </w:pPr>
          </w:p>
        </w:tc>
        <w:tc>
          <w:tcPr>
            <w:tcW w:w="940" w:type="dxa"/>
            <w:vAlign w:val="bottom"/>
          </w:tcPr>
          <w:p>
            <w:pPr>
              <w:jc w:val="center"/>
              <w:ind w:left="10"/>
              <w:spacing w:after="0" w:line="201" w:lineRule="exact"/>
              <w:rPr>
                <w:sz w:val="20"/>
                <w:szCs w:val="20"/>
                <w:color w:val="auto"/>
              </w:rPr>
            </w:pPr>
            <w:r>
              <w:rPr>
                <w:rFonts w:ascii="Arial" w:cs="Arial" w:eastAsia="Arial" w:hAnsi="Arial"/>
                <w:sz w:val="18"/>
                <w:szCs w:val="18"/>
                <w:color w:val="auto"/>
                <w:w w:val="97"/>
              </w:rPr>
              <w:t>Dividend</w:t>
            </w:r>
          </w:p>
        </w:tc>
        <w:tc>
          <w:tcPr>
            <w:tcW w:w="11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8"/>
              </w:rPr>
              <w:t>(Years)</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Risk free Rate</w:t>
            </w: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yield</w:t>
            </w:r>
          </w:p>
        </w:tc>
        <w:tc>
          <w:tcPr>
            <w:tcW w:w="10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8"/>
              </w:rPr>
              <w:t>Volatility</w:t>
            </w:r>
          </w:p>
        </w:tc>
        <w:tc>
          <w:tcPr>
            <w:tcW w:w="12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8"/>
              </w:rPr>
              <w:t>(Years)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Risk free Rate</w:t>
            </w:r>
          </w:p>
        </w:tc>
        <w:tc>
          <w:tcPr>
            <w:tcW w:w="9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7"/>
              </w:rPr>
              <w:t>yield</w:t>
            </w:r>
          </w:p>
        </w:tc>
        <w:tc>
          <w:tcPr>
            <w:tcW w:w="11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8"/>
              </w:rPr>
              <w:t>Volatility</w:t>
            </w:r>
          </w:p>
        </w:tc>
      </w:tr>
      <w:tr>
        <w:trPr>
          <w:trHeight w:val="21"/>
        </w:trPr>
        <w:tc>
          <w:tcPr>
            <w:tcW w:w="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1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Share purchase warrants</w:t>
            </w:r>
          </w:p>
        </w:tc>
        <w:tc>
          <w:tcPr>
            <w:tcW w:w="1660" w:type="dxa"/>
            <w:vAlign w:val="bottom"/>
            <w:gridSpan w:val="2"/>
            <w:shd w:val="clear" w:color="auto" w:fill="CCEEFF"/>
          </w:tcPr>
          <w:p>
            <w:pPr>
              <w:jc w:val="center"/>
              <w:ind w:left="510"/>
              <w:spacing w:after="0" w:line="195" w:lineRule="exact"/>
              <w:rPr>
                <w:sz w:val="20"/>
                <w:szCs w:val="20"/>
                <w:color w:val="auto"/>
              </w:rPr>
            </w:pPr>
            <w:r>
              <w:rPr>
                <w:rFonts w:ascii="Arial" w:cs="Arial" w:eastAsia="Arial" w:hAnsi="Arial"/>
                <w:sz w:val="18"/>
                <w:szCs w:val="18"/>
                <w:color w:val="auto"/>
                <w:w w:val="90"/>
              </w:rPr>
              <w:t>1.09 to 4.80</w:t>
            </w:r>
          </w:p>
        </w:tc>
        <w:tc>
          <w:tcPr>
            <w:tcW w:w="1540" w:type="dxa"/>
            <w:vAlign w:val="bottom"/>
            <w:gridSpan w:val="2"/>
            <w:shd w:val="clear" w:color="auto" w:fill="CCEEFF"/>
          </w:tcPr>
          <w:p>
            <w:pPr>
              <w:ind w:left="80"/>
              <w:spacing w:after="0" w:line="195" w:lineRule="exact"/>
              <w:rPr>
                <w:sz w:val="20"/>
                <w:szCs w:val="20"/>
                <w:color w:val="auto"/>
              </w:rPr>
            </w:pPr>
            <w:r>
              <w:rPr>
                <w:rFonts w:ascii="Arial" w:cs="Arial" w:eastAsia="Arial" w:hAnsi="Arial"/>
                <w:sz w:val="18"/>
                <w:szCs w:val="18"/>
                <w:color w:val="auto"/>
              </w:rPr>
              <w:t>0.12% to 0.83%</w:t>
            </w:r>
          </w:p>
        </w:tc>
        <w:tc>
          <w:tcPr>
            <w:tcW w:w="580" w:type="dxa"/>
            <w:vAlign w:val="bottom"/>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w w:val="86"/>
              </w:rPr>
              <w:t>0.00%</w:t>
            </w:r>
          </w:p>
        </w:tc>
        <w:tc>
          <w:tcPr>
            <w:tcW w:w="1060" w:type="dxa"/>
            <w:vAlign w:val="bottom"/>
            <w:shd w:val="clear" w:color="auto" w:fill="CCEEFF"/>
          </w:tcPr>
          <w:p>
            <w:pPr>
              <w:jc w:val="right"/>
              <w:ind w:right="50"/>
              <w:spacing w:after="0" w:line="195" w:lineRule="exact"/>
              <w:rPr>
                <w:sz w:val="20"/>
                <w:szCs w:val="20"/>
                <w:color w:val="auto"/>
              </w:rPr>
            </w:pPr>
            <w:r>
              <w:rPr>
                <w:rFonts w:ascii="Arial" w:cs="Arial" w:eastAsia="Arial" w:hAnsi="Arial"/>
                <w:sz w:val="18"/>
                <w:szCs w:val="18"/>
                <w:color w:val="auto"/>
              </w:rPr>
              <w:t>199%</w:t>
            </w:r>
          </w:p>
        </w:tc>
        <w:tc>
          <w:tcPr>
            <w:tcW w:w="1220" w:type="dxa"/>
            <w:vAlign w:val="bottom"/>
            <w:shd w:val="clear" w:color="auto" w:fill="CCEEFF"/>
          </w:tcPr>
          <w:p>
            <w:pPr>
              <w:jc w:val="center"/>
              <w:ind w:left="110"/>
              <w:spacing w:after="0" w:line="195" w:lineRule="exact"/>
              <w:rPr>
                <w:sz w:val="20"/>
                <w:szCs w:val="20"/>
                <w:color w:val="auto"/>
              </w:rPr>
            </w:pPr>
            <w:r>
              <w:rPr>
                <w:rFonts w:ascii="Arial" w:cs="Arial" w:eastAsia="Arial" w:hAnsi="Arial"/>
                <w:sz w:val="18"/>
                <w:szCs w:val="18"/>
                <w:color w:val="auto"/>
                <w:w w:val="90"/>
              </w:rPr>
              <w:t>0.08 to 3.21</w:t>
            </w:r>
          </w:p>
        </w:tc>
        <w:tc>
          <w:tcPr>
            <w:tcW w:w="11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0.02% to</w:t>
            </w:r>
          </w:p>
        </w:tc>
        <w:tc>
          <w:tcPr>
            <w:tcW w:w="940" w:type="dxa"/>
            <w:vAlign w:val="bottom"/>
            <w:shd w:val="clear" w:color="auto" w:fill="CCEEFF"/>
          </w:tcPr>
          <w:p>
            <w:pPr>
              <w:jc w:val="center"/>
              <w:ind w:left="10"/>
              <w:spacing w:after="0" w:line="195" w:lineRule="exact"/>
              <w:rPr>
                <w:sz w:val="20"/>
                <w:szCs w:val="20"/>
                <w:color w:val="auto"/>
              </w:rPr>
            </w:pPr>
            <w:r>
              <w:rPr>
                <w:rFonts w:ascii="Arial" w:cs="Arial" w:eastAsia="Arial" w:hAnsi="Arial"/>
                <w:sz w:val="18"/>
                <w:szCs w:val="18"/>
                <w:color w:val="auto"/>
                <w:w w:val="93"/>
              </w:rPr>
              <w:t>0.00%</w:t>
            </w:r>
          </w:p>
        </w:tc>
        <w:tc>
          <w:tcPr>
            <w:tcW w:w="1180" w:type="dxa"/>
            <w:vAlign w:val="bottom"/>
            <w:shd w:val="clear" w:color="auto" w:fill="CCEEFF"/>
          </w:tcPr>
          <w:p>
            <w:pPr>
              <w:jc w:val="right"/>
              <w:ind w:right="230"/>
              <w:spacing w:after="0" w:line="195" w:lineRule="exact"/>
              <w:rPr>
                <w:sz w:val="20"/>
                <w:szCs w:val="20"/>
                <w:color w:val="auto"/>
              </w:rPr>
            </w:pPr>
            <w:r>
              <w:rPr>
                <w:rFonts w:ascii="Arial" w:cs="Arial" w:eastAsia="Arial" w:hAnsi="Arial"/>
                <w:sz w:val="18"/>
                <w:szCs w:val="18"/>
                <w:color w:val="auto"/>
              </w:rPr>
              <w:t>199%</w:t>
            </w:r>
          </w:p>
        </w:tc>
      </w:tr>
      <w:tr>
        <w:trPr>
          <w:trHeight w:val="271"/>
        </w:trPr>
        <w:tc>
          <w:tcPr>
            <w:tcW w:w="20" w:type="dxa"/>
            <w:vAlign w:val="bottom"/>
          </w:tcPr>
          <w:p>
            <w:pPr>
              <w:spacing w:after="0"/>
              <w:rPr>
                <w:sz w:val="23"/>
                <w:szCs w:val="23"/>
                <w:color w:val="auto"/>
              </w:rPr>
            </w:pPr>
          </w:p>
        </w:tc>
        <w:tc>
          <w:tcPr>
            <w:tcW w:w="21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0.36%</w:t>
            </w:r>
          </w:p>
        </w:tc>
        <w:tc>
          <w:tcPr>
            <w:tcW w:w="9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r>
      <w:tr>
        <w:trPr>
          <w:trHeight w:val="460"/>
        </w:trPr>
        <w:tc>
          <w:tcPr>
            <w:tcW w:w="20" w:type="dxa"/>
            <w:vAlign w:val="bottom"/>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At Initial Recognition</w:t>
            </w:r>
          </w:p>
        </w:tc>
        <w:tc>
          <w:tcPr>
            <w:tcW w:w="10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December 31, 2012</w:t>
            </w:r>
          </w:p>
        </w:tc>
        <w:tc>
          <w:tcPr>
            <w:tcW w:w="1180" w:type="dxa"/>
            <w:vAlign w:val="bottom"/>
            <w:tcBorders>
              <w:bottom w:val="single" w:sz="8" w:color="auto"/>
            </w:tcBorders>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0" w:type="dxa"/>
            <w:vAlign w:val="bottom"/>
          </w:tcPr>
          <w:p>
            <w:pPr>
              <w:jc w:val="center"/>
              <w:ind w:left="290"/>
              <w:spacing w:after="0" w:line="201" w:lineRule="exact"/>
              <w:rPr>
                <w:sz w:val="20"/>
                <w:szCs w:val="20"/>
                <w:color w:val="auto"/>
              </w:rPr>
            </w:pPr>
            <w:r>
              <w:rPr>
                <w:rFonts w:ascii="Arial" w:cs="Arial" w:eastAsia="Arial" w:hAnsi="Arial"/>
                <w:sz w:val="18"/>
                <w:szCs w:val="18"/>
                <w:color w:val="auto"/>
                <w:w w:val="93"/>
              </w:rPr>
              <w:t>Expected Life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gridSpan w:val="2"/>
          </w:tcPr>
          <w:p>
            <w:pPr>
              <w:jc w:val="center"/>
              <w:ind w:right="290"/>
              <w:spacing w:after="0" w:line="201" w:lineRule="exact"/>
              <w:rPr>
                <w:sz w:val="20"/>
                <w:szCs w:val="20"/>
                <w:color w:val="auto"/>
              </w:rPr>
            </w:pPr>
            <w:r>
              <w:rPr>
                <w:rFonts w:ascii="Arial" w:cs="Arial" w:eastAsia="Arial" w:hAnsi="Arial"/>
                <w:sz w:val="18"/>
                <w:szCs w:val="18"/>
                <w:color w:val="auto"/>
                <w:w w:val="94"/>
              </w:rPr>
              <w:t>Dividend</w:t>
            </w:r>
          </w:p>
        </w:tc>
        <w:tc>
          <w:tcPr>
            <w:tcW w:w="2280" w:type="dxa"/>
            <w:vAlign w:val="bottom"/>
            <w:gridSpan w:val="2"/>
          </w:tcPr>
          <w:p>
            <w:pPr>
              <w:jc w:val="center"/>
              <w:ind w:left="730"/>
              <w:spacing w:after="0" w:line="201" w:lineRule="exact"/>
              <w:rPr>
                <w:sz w:val="20"/>
                <w:szCs w:val="20"/>
                <w:color w:val="auto"/>
              </w:rPr>
            </w:pPr>
            <w:r>
              <w:rPr>
                <w:rFonts w:ascii="Arial" w:cs="Arial" w:eastAsia="Arial" w:hAnsi="Arial"/>
                <w:sz w:val="18"/>
                <w:szCs w:val="18"/>
                <w:color w:val="auto"/>
                <w:w w:val="93"/>
              </w:rPr>
              <w:t>Expected Life</w:t>
            </w:r>
          </w:p>
        </w:tc>
        <w:tc>
          <w:tcPr>
            <w:tcW w:w="2040" w:type="dxa"/>
            <w:vAlign w:val="bottom"/>
            <w:gridSpan w:val="2"/>
          </w:tcPr>
          <w:p>
            <w:pPr>
              <w:jc w:val="center"/>
              <w:ind w:left="610"/>
              <w:spacing w:after="0" w:line="201" w:lineRule="exact"/>
              <w:rPr>
                <w:sz w:val="20"/>
                <w:szCs w:val="20"/>
                <w:color w:val="auto"/>
              </w:rPr>
            </w:pPr>
            <w:r>
              <w:rPr>
                <w:rFonts w:ascii="Arial" w:cs="Arial" w:eastAsia="Arial" w:hAnsi="Arial"/>
                <w:sz w:val="18"/>
                <w:szCs w:val="18"/>
                <w:color w:val="auto"/>
                <w:w w:val="94"/>
              </w:rPr>
              <w:t>Dividend</w:t>
            </w:r>
          </w:p>
        </w:tc>
        <w:tc>
          <w:tcPr>
            <w:tcW w:w="11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8"/>
              </w:rPr>
              <w:t>(Years)</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Risk free Rate</w:t>
            </w:r>
          </w:p>
        </w:tc>
        <w:tc>
          <w:tcPr>
            <w:tcW w:w="6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7"/>
              </w:rPr>
              <w:t>yield</w:t>
            </w:r>
          </w:p>
        </w:tc>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rPr>
              <w:t>Volatility</w:t>
            </w:r>
          </w:p>
        </w:tc>
        <w:tc>
          <w:tcPr>
            <w:tcW w:w="23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(Years)   Risk free Rate</w:t>
            </w:r>
          </w:p>
        </w:tc>
        <w:tc>
          <w:tcPr>
            <w:tcW w:w="9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97"/>
              </w:rPr>
              <w:t>yield</w:t>
            </w: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rPr>
              <w:t>Volatility</w:t>
            </w:r>
          </w:p>
        </w:tc>
      </w:tr>
      <w:tr>
        <w:trPr>
          <w:trHeight w:val="21"/>
        </w:trPr>
        <w:tc>
          <w:tcPr>
            <w:tcW w:w="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1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Conversion Option</w:t>
            </w:r>
          </w:p>
        </w:tc>
        <w:tc>
          <w:tcPr>
            <w:tcW w:w="1400" w:type="dxa"/>
            <w:vAlign w:val="bottom"/>
            <w:shd w:val="clear" w:color="auto" w:fill="CCEEFF"/>
          </w:tcPr>
          <w:p>
            <w:pPr>
              <w:jc w:val="center"/>
              <w:ind w:left="290"/>
              <w:spacing w:after="0" w:line="195" w:lineRule="exact"/>
              <w:rPr>
                <w:sz w:val="20"/>
                <w:szCs w:val="20"/>
                <w:color w:val="auto"/>
              </w:rPr>
            </w:pPr>
            <w:r>
              <w:rPr>
                <w:rFonts w:ascii="Arial" w:cs="Arial" w:eastAsia="Arial" w:hAnsi="Arial"/>
                <w:sz w:val="18"/>
                <w:szCs w:val="18"/>
                <w:color w:val="auto"/>
                <w:w w:val="90"/>
              </w:rPr>
              <w:t>0.25 to 1.04</w:t>
            </w:r>
          </w:p>
        </w:tc>
        <w:tc>
          <w:tcPr>
            <w:tcW w:w="1140" w:type="dxa"/>
            <w:vAlign w:val="bottom"/>
            <w:gridSpan w:val="2"/>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0.06% to</w:t>
            </w:r>
          </w:p>
        </w:tc>
        <w:tc>
          <w:tcPr>
            <w:tcW w:w="660" w:type="dxa"/>
            <w:vAlign w:val="bottom"/>
            <w:shd w:val="clear" w:color="auto" w:fill="CCEEFF"/>
          </w:tcPr>
          <w:p>
            <w:pPr>
              <w:jc w:val="center"/>
              <w:ind w:left="110"/>
              <w:spacing w:after="0" w:line="195" w:lineRule="exact"/>
              <w:rPr>
                <w:sz w:val="20"/>
                <w:szCs w:val="20"/>
                <w:color w:val="auto"/>
              </w:rPr>
            </w:pPr>
            <w:r>
              <w:rPr>
                <w:rFonts w:ascii="Arial" w:cs="Arial" w:eastAsia="Arial" w:hAnsi="Arial"/>
                <w:sz w:val="18"/>
                <w:szCs w:val="18"/>
                <w:color w:val="auto"/>
                <w:w w:val="90"/>
              </w:rPr>
              <w:t>0.00%</w:t>
            </w:r>
          </w:p>
        </w:tc>
        <w:tc>
          <w:tcPr>
            <w:tcW w:w="1640" w:type="dxa"/>
            <w:vAlign w:val="bottom"/>
            <w:gridSpan w:val="2"/>
            <w:shd w:val="clear" w:color="auto" w:fill="CCEEFF"/>
          </w:tcPr>
          <w:p>
            <w:pPr>
              <w:jc w:val="center"/>
              <w:ind w:left="150"/>
              <w:spacing w:after="0" w:line="195" w:lineRule="exact"/>
              <w:rPr>
                <w:sz w:val="20"/>
                <w:szCs w:val="20"/>
                <w:color w:val="auto"/>
              </w:rPr>
            </w:pPr>
            <w:r>
              <w:rPr>
                <w:rFonts w:ascii="Arial" w:cs="Arial" w:eastAsia="Arial" w:hAnsi="Arial"/>
                <w:sz w:val="18"/>
                <w:szCs w:val="18"/>
                <w:color w:val="auto"/>
                <w:w w:val="92"/>
              </w:rPr>
              <w:t>100.88% to</w:t>
            </w:r>
          </w:p>
        </w:tc>
        <w:tc>
          <w:tcPr>
            <w:tcW w:w="1220" w:type="dxa"/>
            <w:vAlign w:val="bottom"/>
            <w:shd w:val="clear" w:color="auto" w:fill="CCEEFF"/>
          </w:tcPr>
          <w:p>
            <w:pPr>
              <w:jc w:val="center"/>
              <w:ind w:right="170"/>
              <w:spacing w:after="0" w:line="195" w:lineRule="exact"/>
              <w:rPr>
                <w:sz w:val="20"/>
                <w:szCs w:val="20"/>
                <w:color w:val="auto"/>
              </w:rPr>
            </w:pPr>
            <w:r>
              <w:rPr>
                <w:rFonts w:ascii="Arial" w:cs="Arial" w:eastAsia="Arial" w:hAnsi="Arial"/>
                <w:sz w:val="18"/>
                <w:szCs w:val="18"/>
                <w:color w:val="auto"/>
                <w:w w:val="91"/>
              </w:rPr>
              <w:t>0.003 to 0.89</w:t>
            </w:r>
          </w:p>
        </w:tc>
        <w:tc>
          <w:tcPr>
            <w:tcW w:w="1100" w:type="dxa"/>
            <w:vAlign w:val="bottom"/>
            <w:shd w:val="clear" w:color="auto" w:fill="CCEEFF"/>
          </w:tcPr>
          <w:p>
            <w:pPr>
              <w:jc w:val="center"/>
              <w:ind w:right="370"/>
              <w:spacing w:after="0" w:line="195" w:lineRule="exact"/>
              <w:rPr>
                <w:sz w:val="20"/>
                <w:szCs w:val="20"/>
                <w:color w:val="auto"/>
              </w:rPr>
            </w:pPr>
            <w:r>
              <w:rPr>
                <w:rFonts w:ascii="Arial" w:cs="Arial" w:eastAsia="Arial" w:hAnsi="Arial"/>
                <w:sz w:val="18"/>
                <w:szCs w:val="18"/>
                <w:color w:val="auto"/>
                <w:w w:val="90"/>
              </w:rPr>
              <w:t>0.05% to</w:t>
            </w:r>
          </w:p>
        </w:tc>
        <w:tc>
          <w:tcPr>
            <w:tcW w:w="940" w:type="dxa"/>
            <w:vAlign w:val="bottom"/>
            <w:shd w:val="clear" w:color="auto" w:fill="CCEEFF"/>
          </w:tcPr>
          <w:p>
            <w:pPr>
              <w:jc w:val="center"/>
              <w:ind w:right="310"/>
              <w:spacing w:after="0" w:line="195" w:lineRule="exact"/>
              <w:rPr>
                <w:sz w:val="20"/>
                <w:szCs w:val="20"/>
                <w:color w:val="auto"/>
              </w:rPr>
            </w:pPr>
            <w:r>
              <w:rPr>
                <w:rFonts w:ascii="Arial" w:cs="Arial" w:eastAsia="Arial" w:hAnsi="Arial"/>
                <w:sz w:val="18"/>
                <w:szCs w:val="18"/>
                <w:color w:val="auto"/>
                <w:w w:val="90"/>
              </w:rPr>
              <w:t>0.00%</w:t>
            </w:r>
          </w:p>
        </w:tc>
        <w:tc>
          <w:tcPr>
            <w:tcW w:w="1180" w:type="dxa"/>
            <w:vAlign w:val="bottom"/>
            <w:shd w:val="clear" w:color="auto" w:fill="CCEEFF"/>
          </w:tcPr>
          <w:p>
            <w:pPr>
              <w:jc w:val="center"/>
              <w:ind w:right="50"/>
              <w:spacing w:after="0" w:line="195" w:lineRule="exact"/>
              <w:rPr>
                <w:sz w:val="20"/>
                <w:szCs w:val="20"/>
                <w:color w:val="auto"/>
              </w:rPr>
            </w:pPr>
            <w:r>
              <w:rPr>
                <w:rFonts w:ascii="Arial" w:cs="Arial" w:eastAsia="Arial" w:hAnsi="Arial"/>
                <w:sz w:val="18"/>
                <w:szCs w:val="18"/>
                <w:color w:val="auto"/>
                <w:w w:val="92"/>
              </w:rPr>
              <w:t>100.88% to</w:t>
            </w:r>
          </w:p>
        </w:tc>
      </w:tr>
      <w:tr>
        <w:trPr>
          <w:trHeight w:val="271"/>
        </w:trPr>
        <w:tc>
          <w:tcPr>
            <w:tcW w:w="20" w:type="dxa"/>
            <w:vAlign w:val="bottom"/>
          </w:tcPr>
          <w:p>
            <w:pPr>
              <w:spacing w:after="0"/>
              <w:rPr>
                <w:sz w:val="23"/>
                <w:szCs w:val="23"/>
                <w:color w:val="auto"/>
              </w:rPr>
            </w:pPr>
          </w:p>
        </w:tc>
        <w:tc>
          <w:tcPr>
            <w:tcW w:w="21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center"/>
              <w:ind w:right="250"/>
              <w:spacing w:after="0"/>
              <w:rPr>
                <w:sz w:val="20"/>
                <w:szCs w:val="20"/>
                <w:color w:val="auto"/>
              </w:rPr>
            </w:pPr>
            <w:r>
              <w:rPr>
                <w:rFonts w:ascii="Arial" w:cs="Arial" w:eastAsia="Arial" w:hAnsi="Arial"/>
                <w:sz w:val="18"/>
                <w:szCs w:val="18"/>
                <w:color w:val="auto"/>
                <w:w w:val="90"/>
              </w:rPr>
              <w:t>0.20%</w:t>
            </w:r>
          </w:p>
        </w:tc>
        <w:tc>
          <w:tcPr>
            <w:tcW w:w="6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center"/>
              <w:ind w:right="250"/>
              <w:spacing w:after="0"/>
              <w:rPr>
                <w:sz w:val="20"/>
                <w:szCs w:val="20"/>
                <w:color w:val="auto"/>
              </w:rPr>
            </w:pPr>
            <w:r>
              <w:rPr>
                <w:rFonts w:ascii="Arial" w:cs="Arial" w:eastAsia="Arial" w:hAnsi="Arial"/>
                <w:sz w:val="18"/>
                <w:szCs w:val="18"/>
                <w:color w:val="auto"/>
                <w:w w:val="90"/>
              </w:rPr>
              <w:t>141.43%</w:t>
            </w:r>
          </w:p>
        </w:tc>
        <w:tc>
          <w:tcPr>
            <w:tcW w:w="1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0.19%</w:t>
            </w:r>
          </w:p>
        </w:tc>
        <w:tc>
          <w:tcPr>
            <w:tcW w:w="9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141.21%</w:t>
            </w:r>
          </w:p>
        </w:tc>
      </w:tr>
      <w:tr>
        <w:trPr>
          <w:trHeight w:val="574"/>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are summarized below and disclosed on the balance sheet under Derivative liability – warrants and Derivative liability – conversion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As of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17145</wp:posOffset>
            </wp:positionV>
            <wp:extent cx="42621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62120" cy="1714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Fair Value Measurements</w:t>
            </w: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98"/>
        </w:trPr>
        <w:tc>
          <w:tcPr>
            <w:tcW w:w="3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ind w:right="330"/>
              <w:spacing w:after="0" w:line="198" w:lineRule="exact"/>
              <w:rPr>
                <w:sz w:val="20"/>
                <w:szCs w:val="20"/>
                <w:color w:val="auto"/>
              </w:rPr>
            </w:pPr>
            <w:r>
              <w:rPr>
                <w:rFonts w:ascii="Arial" w:cs="Arial" w:eastAsia="Arial" w:hAnsi="Arial"/>
                <w:sz w:val="18"/>
                <w:szCs w:val="18"/>
                <w:b w:val="1"/>
                <w:bCs w:val="1"/>
                <w:color w:val="auto"/>
                <w:w w:val="94"/>
              </w:rPr>
              <w:t>Carrying</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330"/>
              <w:spacing w:after="0"/>
              <w:rPr>
                <w:sz w:val="20"/>
                <w:szCs w:val="20"/>
                <w:color w:val="auto"/>
              </w:rPr>
            </w:pPr>
            <w:r>
              <w:rPr>
                <w:rFonts w:ascii="Arial" w:cs="Arial" w:eastAsia="Arial" w:hAnsi="Arial"/>
                <w:sz w:val="18"/>
                <w:szCs w:val="18"/>
                <w:b w:val="1"/>
                <w:bCs w:val="1"/>
                <w:color w:val="auto"/>
                <w:w w:val="87"/>
              </w:rPr>
              <w:t>Value</w:t>
            </w: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1</w:t>
            </w: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Level 3</w:t>
            </w:r>
          </w:p>
        </w:tc>
        <w:tc>
          <w:tcPr>
            <w:tcW w:w="34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677,086</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677,086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677,086</w:t>
            </w:r>
          </w:p>
        </w:tc>
      </w:tr>
      <w:tr>
        <w:trPr>
          <w:trHeight w:val="250"/>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Derivative liability – conversion option</w:t>
            </w:r>
          </w:p>
        </w:tc>
        <w:tc>
          <w:tcPr>
            <w:tcW w:w="9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798,300</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798,300</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798,300</w:t>
            </w:r>
          </w:p>
        </w:tc>
      </w:tr>
      <w:tr>
        <w:trPr>
          <w:trHeight w:val="311"/>
        </w:trPr>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1,475,386</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1,475,386</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1,475,386</w:t>
            </w:r>
          </w:p>
        </w:tc>
      </w:tr>
      <w:tr>
        <w:trPr>
          <w:trHeight w:val="244"/>
        </w:trPr>
        <w:tc>
          <w:tcPr>
            <w:tcW w:w="37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2"/>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23"/>
        </w:trPr>
        <w:tc>
          <w:tcPr>
            <w:tcW w:w="3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w w:val="96"/>
              </w:rPr>
              <w:t>As of December 31, 2011</w:t>
            </w:r>
          </w:p>
        </w:tc>
        <w:tc>
          <w:tcPr>
            <w:tcW w:w="1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50"/>
        </w:trPr>
        <w:tc>
          <w:tcPr>
            <w:tcW w:w="37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Fair Value Measurements Using</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198"/>
        </w:trPr>
        <w:tc>
          <w:tcPr>
            <w:tcW w:w="3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ind w:right="330"/>
              <w:spacing w:after="0" w:line="198" w:lineRule="exact"/>
              <w:rPr>
                <w:sz w:val="20"/>
                <w:szCs w:val="20"/>
                <w:color w:val="auto"/>
              </w:rPr>
            </w:pPr>
            <w:r>
              <w:rPr>
                <w:rFonts w:ascii="Arial" w:cs="Arial" w:eastAsia="Arial" w:hAnsi="Arial"/>
                <w:sz w:val="18"/>
                <w:szCs w:val="18"/>
                <w:b w:val="1"/>
                <w:bCs w:val="1"/>
                <w:color w:val="auto"/>
                <w:w w:val="94"/>
              </w:rPr>
              <w:t>Carrying</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330"/>
              <w:spacing w:after="0"/>
              <w:rPr>
                <w:sz w:val="20"/>
                <w:szCs w:val="20"/>
                <w:color w:val="auto"/>
              </w:rPr>
            </w:pPr>
            <w:r>
              <w:rPr>
                <w:rFonts w:ascii="Arial" w:cs="Arial" w:eastAsia="Arial" w:hAnsi="Arial"/>
                <w:sz w:val="18"/>
                <w:szCs w:val="18"/>
                <w:b w:val="1"/>
                <w:bCs w:val="1"/>
                <w:color w:val="auto"/>
                <w:w w:val="87"/>
              </w:rPr>
              <w:t>Value</w:t>
            </w: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1</w:t>
            </w: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Level 3</w:t>
            </w:r>
          </w:p>
        </w:tc>
        <w:tc>
          <w:tcPr>
            <w:tcW w:w="34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1,317,834</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1,317,834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1,317,834</w:t>
            </w:r>
          </w:p>
        </w:tc>
      </w:tr>
      <w:tr>
        <w:trPr>
          <w:trHeight w:val="250"/>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Derivative liability – conversion option</w:t>
            </w:r>
          </w:p>
        </w:tc>
        <w:tc>
          <w:tcPr>
            <w:tcW w:w="9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311"/>
        </w:trPr>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1,317,834</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1,317,834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1,317,834</w:t>
            </w: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table below provides a summary of the changes in fair value, including net transfers, in and/or out, of financial assets and liabilities measured at fair value on a recurring basis using significant unobservable inputs (Level 3) during the years ended December 31, 2012 and 2011: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1"/>
              </w:rPr>
              <w:t>Fair Value Measurements Using Level 3 Inputs</w:t>
            </w: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50"/>
              <w:spacing w:after="0" w:line="198" w:lineRule="exact"/>
              <w:rPr>
                <w:sz w:val="20"/>
                <w:szCs w:val="20"/>
                <w:color w:val="auto"/>
              </w:rPr>
            </w:pPr>
            <w:r>
              <w:rPr>
                <w:rFonts w:ascii="Arial" w:cs="Arial" w:eastAsia="Arial" w:hAnsi="Arial"/>
                <w:sz w:val="18"/>
                <w:szCs w:val="18"/>
                <w:b w:val="1"/>
                <w:bCs w:val="1"/>
                <w:color w:val="auto"/>
                <w:w w:val="92"/>
              </w:rPr>
              <w:t>Derivative</w:t>
            </w: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Derivative</w:t>
            </w:r>
          </w:p>
        </w:tc>
        <w:tc>
          <w:tcPr>
            <w:tcW w:w="20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liability –</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liability -</w:t>
            </w:r>
          </w:p>
        </w:tc>
        <w:tc>
          <w:tcPr>
            <w:tcW w:w="20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85"/>
              </w:rPr>
              <w:t>conversion</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warrants</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option</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1,819,512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175,389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1,994,901</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Additions during the year</w:t>
            </w:r>
          </w:p>
        </w:tc>
        <w:tc>
          <w:tcPr>
            <w:tcW w:w="1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1,587,275</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1,587,275</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unrealized (gains) or losses included in net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(631,631)</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(668,710)</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Debt settlement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(1,457,322)</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(138,310)</w:t>
            </w: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(1,595,632)</w:t>
            </w:r>
          </w:p>
        </w:tc>
      </w:tr>
      <w:tr>
        <w:trPr>
          <w:trHeight w:val="250"/>
        </w:trPr>
        <w:tc>
          <w:tcPr>
            <w:tcW w:w="20" w:type="dxa"/>
            <w:vAlign w:val="bottom"/>
          </w:tcPr>
          <w:p>
            <w:pPr>
              <w:spacing w:after="0"/>
              <w:rPr>
                <w:sz w:val="21"/>
                <w:szCs w:val="21"/>
                <w:color w:val="auto"/>
              </w:rPr>
            </w:pPr>
          </w:p>
        </w:tc>
        <w:tc>
          <w:tcPr>
            <w:tcW w:w="7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Balance, December 31, 2011</w:t>
            </w:r>
          </w:p>
        </w:tc>
        <w:tc>
          <w:tcPr>
            <w:tcW w:w="1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1,317,834</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1,317,834</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Additions during the year</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737,700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737,700</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unrealized (gains) or losses included in net loss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(597,127)</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60,600</w:t>
            </w: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(536,527)</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Debt settlement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(43,621)</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(43,621)</w:t>
            </w: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7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677,086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798,300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1,475,386</w:t>
            </w: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the warrants is determined using a Binomial option pricing model. 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 of operations.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jc w:val="both"/>
        <w:spacing w:after="0" w:line="276" w:lineRule="auto"/>
        <w:rPr>
          <w:sz w:val="20"/>
          <w:szCs w:val="20"/>
          <w:color w:val="auto"/>
        </w:rPr>
      </w:pPr>
      <w:r>
        <w:rPr>
          <w:rFonts w:ascii="Arial" w:cs="Arial" w:eastAsia="Arial" w:hAnsi="Arial"/>
          <w:sz w:val="17"/>
          <w:szCs w:val="17"/>
          <w:color w:val="auto"/>
        </w:rPr>
        <w:t>The net cash settlement value at the time of any future Fundamental Transaction will depend upon the value of the following inputs at that time: the consideration value per share of the Company’s common stock, the volatility of the Company’s common stock, the remaining term of the warrant from announcement date, the risk-free interest rate based on U.S. Treasury security yields, and the Company’s dividend yield. The warrant requires use of a volatility assumption equal to the greater of 100% and the 100-day volatility function determined as of the trading day immediately following announcement of a Fundamental Transaction. The fair value of the warrants is determined using the Black Scholes Option Pricing Model.</w:t>
      </w:r>
    </w:p>
    <w:p>
      <w:pPr>
        <w:spacing w:after="0" w:line="19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CONVERTIBLE NOTES PAYABLE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debt instrument transactions that are relevant to the current year: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Principal</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Unamortized</w:t>
            </w:r>
          </w:p>
        </w:tc>
        <w:tc>
          <w:tcPr>
            <w:tcW w:w="2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Repayment/</w:t>
            </w:r>
          </w:p>
        </w:tc>
        <w:tc>
          <w:tcPr>
            <w:tcW w:w="26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Note</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Face Value</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Settlement</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Discount</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February 2011 Secured Convertible Notes</w:t>
            </w: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Senior Secured Notes, due February 24, 2014</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1,184,694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203,836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153,358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April 2011 Secured Convertible Notes</w:t>
            </w: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 due April 4, 2014</w:t>
            </w: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215,000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43,140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171,860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2011 Secured Convertible Note</w:t>
            </w: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Senior Secured Notes, due June 6, 2014</w:t>
            </w:r>
          </w:p>
        </w:tc>
        <w:tc>
          <w:tcPr>
            <w:tcW w:w="17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3,953</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August 8, 2012 Convertible Note</w:t>
            </w: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Note due August 8, 2013</w:t>
            </w: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111,430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67,163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August 12, 2012 Convertible Note</w:t>
            </w: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Note became due November 12, 2012</w:t>
            </w:r>
          </w:p>
        </w:tc>
        <w:tc>
          <w:tcPr>
            <w:tcW w:w="17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27,500</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August 20, 2012 Convertible Note</w:t>
            </w: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Note due August 20, 2013</w:t>
            </w: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12,712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18, 2012 Convertible Note</w:t>
            </w: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Note due October 1, 2013</w:t>
            </w:r>
          </w:p>
        </w:tc>
        <w:tc>
          <w:tcPr>
            <w:tcW w:w="17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82,500</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59,741</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22,759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October 2012 Convertible Note</w:t>
            </w: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Note due October 15, 2013</w:t>
            </w: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340,000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268,275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November 1, 2012 Convertible Note</w:t>
            </w: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Note due April 30, 2013</w:t>
            </w:r>
          </w:p>
        </w:tc>
        <w:tc>
          <w:tcPr>
            <w:tcW w:w="17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31,471</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18,200</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November 20, 2012 Convertible Note</w:t>
            </w: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Note due November 20, 2013</w:t>
            </w: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55,710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49,605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14, 2012 Convertible Note</w:t>
            </w: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Note due April 18, 2013</w:t>
            </w:r>
          </w:p>
        </w:tc>
        <w:tc>
          <w:tcPr>
            <w:tcW w:w="17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189,210</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81,302</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107,908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December 18, 2012 Convertible Note</w:t>
            </w: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Note due December 14, 2013</w:t>
            </w:r>
          </w:p>
        </w:tc>
        <w:tc>
          <w:tcPr>
            <w:tcW w:w="17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2,337,515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203,836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757,449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1,376,230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36</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February 2011 Secured Convertible Notes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24, 2011, the Company entered into a securities purchase agreement with accredited investors to place Senior Secured Convertible Notes (the “February 2011 Notes”) with a maturity date of three years after the issuance thereof in the aggregate principal amount of $1,184,694. Consideration under the notes consisted of $944,694 in cash proceeds, including accrued interest, and $240,000 was subscribed for by two of the holders of outstanding and demandable 2010 secured convertible notes (the “2010 Notes”). The holders of the 2010 Notes returned their Series A, Series B and Series C warrants to the Company for cancellation. In connection with the issuance of the February 2011 Notes, the Company entered into a 2011 Security Agreement with the note holders securing the February 2011 Notes with all of the Company’s assets. One year after the issuance of the February 2011 Notes, the note holders have the option to convert a portion or all of the outstanding balance of the February 2011 Notes including any accrued interest into shares of the Company’s common stock at a conversion rate of $0.15 per share.</w:t>
      </w:r>
    </w:p>
    <w:p>
      <w:pPr>
        <w:spacing w:after="0" w:line="20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February 2011 Notes bear interest at the rate of 10% per annum except in case of default, in which case they bear interest at the rate of 20% per annum. The interest is due on the February 2011 Notes at the end of each three month period, starting three months from their issuance. One year after the issuance of the February 2011 Notes, the Company may elect to prepay a portion of the principal. If the Company makes such an election, the holders may elect to receive such prepayment in cash or in shares of the Company’s common stock, at a conversion rate of $0.15 per share, or in a combination thereof.</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paid a finders’ fee of $41,500. The finder’s fee was accounted for as deferred financing costs, and is being amortized over the term of the notes. At December 31, 2012, $15,008 of the $37,452 in deferred financing costs relates to the February 2011 Notes which remains unamortized, and is presented in the current assets on the Company’s Balance Sheet.</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issuance of the February 2011 Notes, the Company issued 2,369,388 warrants, exercisable into common stock at $0.25 with five year terms. The Company may force the exercise of the warrants at any time that the average volume weighted average price of the Company’s common stock over the prior ten trading days is greater than $0.50, the average daily dollar volume of the Company’s common stock sold over those ten trading days is greater than $25,000 and there is an effective registration statement covering the resale of the shares underlying the warrants.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allocated the net proceeds to the warrants based on the calculated fair value at the date of issuance. The fair value of the warrants was recorded at $483,355 and recognized as derivative liabilities and the debt was recorded at $701,339. The fair value of the warrants was calculated using the Binomial option pricing model under the following assumptions: estimated life of five years, risk free rate of 2.06%, dividend yield of 0% and volatility of 199%. The debt discount is being accreted over the three year term of the February 2011 Notes using the effective interest rate method.</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one of the investors settled the principal amount of $203,836 and accrued interest of $16,419 of the February 2011 Notes in exchange for December 14, 2012 Convertible Note (the “December 14, 2012 Note”).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2012, accretion of the debt discount of $160,046 was recorded for the February 2011 Notes.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2011 Secured Convertible Notes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4, 2011, the Company entered into a securities purchase agreement with accredited investors to place Senior Secured Convertible Notes (the “April 2011 Notes”) with a maturity date of three years after the issuance thereof in the aggregate principal amount of $215,000. Consideration under the notes consisted of $190,000 in cash proceeds, and $25,000 was subscribed for by a holder of 2010 Notes in exchange for the extinguishment of the Series A, Series B and Series C warrants related to the 2010 Notes. In connection with the issuance of the April 2011 Notes, the Company entered into a 2011 Security Agreement with the note holders securing the April 2011 Notes with a secondary security interest in all of the Company’s assets. One year after the issuance of the April 2011 Notes, the note holders have the option to convert a portion or all of the outstanding balance of the April 2011 Notes including any accrued interest into shares of the Company’s common stock at a conversion rate of $0.15 per share.</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April 2011 Notes bear interest at the rate of 10% per annum except in case of default, in which case they bear interest at the rate of 20% per annum. The interest is due on the April 2011 Notes at the end of each three month period, starting three months from their issuance. One year after the issuance of the April 2011 Notes, the Company may elect to prepay a portion of the principal. If the Company makes such an election, the holders may elect to receive such prepayment in cash or in shares of the Company’s common stock, at a conversion rate of $0.15 per share, or in a combination thereof.</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paid a finders’ fee of $4,550. The finder’s fee was accounted for as deferred financing costs, and is being amortized over the term of the notes. At December 31, 2012, $1,891 of the $37,452 in deferred financing costs relates to the April 2011 Notes which remains unamortized, and is presented in the current assets on the Company’s Balance Sheet.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jc w:val="both"/>
        <w:spacing w:after="0" w:line="279" w:lineRule="auto"/>
        <w:rPr>
          <w:sz w:val="20"/>
          <w:szCs w:val="20"/>
          <w:color w:val="auto"/>
        </w:rPr>
      </w:pPr>
      <w:r>
        <w:rPr>
          <w:rFonts w:ascii="Arial" w:cs="Arial" w:eastAsia="Arial" w:hAnsi="Arial"/>
          <w:sz w:val="17"/>
          <w:szCs w:val="17"/>
          <w:color w:val="auto"/>
        </w:rPr>
        <w:t>In connection with the issuance of the April 2011 Notes, the Company issued 430,000 warrants, exercisable into common stock at $0.25 with 2 year terms. The Company may force the exercise of the warrants at any time that the average volume weighted average price of the Company’s common stock over the prior ten trading days is greater than $0.50, the average daily dollar volume of the Company’s common stock sold over those ten trading days is greater than $25,000 and there is an effective registration statement covering the resale of the shares underlying the warrants.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allocated the net proceeds to the warrants based on the calculated fair value. The fair value of the warrants was recorded at $130,720 and recognized as derivative liabilities and the debt was recorded at $84,280. The fair value of the warrants was calculated using the Binomial option pricing model under the following assumptions: estimated life of two years, risk free rate of 0.77%, dividend yield of 0% and volatility of 199%. The debt discount is being accreted over the three year term of the April 2011 Notes using the effective interest rate method.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2012, accretion of the debt discount of $34,399 was recorded for the April 2011 Notes.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2011 Secured Convertible Note</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6, 2011, the Company entered into a securities purchase agreement with accredited investors to place Senior Secured Convertible Note (the “June 2011 Note”) with a maturity date of three years after the issuance thereof in the aggregate principal amount of $30,000. In connection with the issuance of the June 2011 Note, the Company entered into a 2011 Security Agreement with the note holder securing the June 2011 Note with a secondary security interest in all of the Company’s assets. One year after the issuance of the June 2011 Note, the note holder has the option to convert a portion or all of the outstanding balance of the June 2011 Note including any accrued interest into shares of the Company’s common stock at a conversion rate of $0.15 per share.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June 2011 Note bears interest at the rate of 10% per annum except in case of default, in which case it bears interest at the rate of 20% per annum. The interest is due on the June 2011 Note at the end of each three month period, starting three months from its issuance. One year after the issuance of the June 2011 Note, the Company may elect to prepay a portion of the principal. If the Company makes such an election, the holders may elect to receive such prepayment in cash or in shares of the Company’s common stock, at a conversion rate of $0.15 per share, or in a combination thereof.</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issuance of the June 2011 Note, the Company issued 60,000 warrants, exercisable into common stock at $0.25 with two year terms. The Company may force the exercise of the warrants at any time that the average volume weighted average price of the Company’s common stock over the prior ten trading days is greater than $0.50, the average daily dollar volume of the Company’s common stock sold over those ten trading days is greater than $25,000 and there is an effective registration statement covering the resale of the shares underlying the warrants.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allocated the net proceeds to the warrants based on the calculated fair value. The fair value of the warrants was recorded at $8,280 and recognized as derivative liabilities and the debt was recorded at $21,720. The fair value of the warrants was calculated using the Binomial option pricing model under the following assumptions: estimated life of two years, risk free rate of 0.43%, dividend yield of 0% and volatility of 199%. The debt discount is being accreted over the three year term of the June 2011 Note using the effective interest rate method.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2012, accretion of the debt discount of $2,772 was recorded for the June 2011 Note.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8, 2012 Convertible Note</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8, 2012, the Company entered into a securities purchase agreement with accredited investors to place a Convertible Note (the “August 8, 2012 Note”) with a maturity date of one year after the issuance thereof in the aggregate principal amount of $111,430. Consideration under the notes consisted of $92,000 in cash proceeds after $8,000 payment of finders’ fee and an original issue discount of $11,430. The note holder has the option to convert a portion or all of the outstanding balance of the August 8, 2012 Note including any accrued interest into shares of the Company’s common stock at a conversion rate of $0.09 per share or 70% of the lowest traded price in the 25 trading days prior to conversion.</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August 8, 2012 Note carries no interest if the Company repays the note within 90 days from issuance. If the Company does not repay the note within 90 days, a one-time interest of 5% shall apply to the principal sum.</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finder’s fee of $8,000 was accounted for as deferred financing costs, and is being amortized over the term of the note. At December 31, 2012, $4,822 of the $37,452 in deferred financing costs relates to the August 8, 2012 Note which remains unamortized, and is presented in current assets on the Company’s Balance Sheet.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p>
      <w:pPr>
        <w:jc w:val="both"/>
        <w:spacing w:after="0" w:line="257" w:lineRule="auto"/>
        <w:rPr>
          <w:sz w:val="20"/>
          <w:szCs w:val="20"/>
          <w:color w:val="auto"/>
        </w:rPr>
      </w:pPr>
      <w:r>
        <w:rPr>
          <w:rFonts w:ascii="Arial" w:cs="Arial" w:eastAsia="Arial" w:hAnsi="Arial"/>
          <w:sz w:val="18"/>
          <w:szCs w:val="18"/>
          <w:color w:val="auto"/>
        </w:rPr>
        <w:t>The Company has allocated the net proceeds to the conversion option based on the calculated fair value. The fair value of the conversion option was recorded at $155,700 and recognized as a derivative liability and the debt was recorded at $nil. The transaction resulted in an accounting loss on debt financing of $55,700. The fair value of the conversion option was calculated using the Binomial option pricing model under the following assumptions: estimated life of one year, risk free rate of 0.19%, dividend yield of 0% and volatility of 139.77%. The debt discount is being accreted over the one year term of the August 8, 2012 Note using the effective interest rate method.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2012, accretion of the debt discount of $44,267 was recorded for the August 8, 2012 Note.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12, 2012 Convertible Note</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August 12, 2012, the Company entered into a securities purchase agreement with accredited investors to place a Convertible Note (the “August 12, 2012 Note”) with a maturity date of three months after the issuance thereof in the aggregate principal amount of $27,500. Consideration under the notes consisted of $25,000 in cash proceeds after an original issue discount of $2,500. The note holder has the option to convert a portion or all of the outstanding balance of the August 8, 2012 Note including any accrued interest into shares of the Company’s common stock at a conversion rate of $0.09 per share or on similar terms as of any future financings with more favorable terms. The agreement provides for the Company to issue 50,000 shares to the note holder as risk premium. The 50,000 shares were valued at $6,250 and recorded as loss on debt financing and obligation to issue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August 12, 2012 Note bears interest at the rate of 10% per annum.</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allocated the net proceeds to the conversion option based on the calculated fair value. The fair value of the conversion option was recorded at $31,100 and recognized as a derivative liability and the debt was recorded at $nil. The transaction resulted in an accounting loss on debt financing of $6,100. The fair value of the conversion option was calculated using the Binomial option pricing model under the following assumptions: estimated life of three months, risk free rate of 0.11%, dividend yield of 0% and volatility of 138.31%. The debt discount is being accreted over the three month term of the August 12, 2012 Note using the effective interest rate method.</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2012, accretion of the debt discount of $27,500 was recorded for the August 12, 2012 Note. The Company has not repaid the August 12, 2012 Note which is in default.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20, 2012 Convertible Note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20, 2012, the Company entered into a securities purchase agreement with accredited investors to place a Convertible Note (the “August 20, 2012 Note”) with a maturity date of one year after the issuance thereof in the aggregate principal amount of $20,000. The note holder has the option to convert a portion or all of the outstanding balance of the August 8, 2012 Note including any accrued interest into shares of the Company’s common stock at a conversion rate of $0.09 per share or 70% of the lowest traded price in the 25 trading days prior to conversion.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August 20, 2012 Note bears interest at the rate of 8% per annum.</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allocated the net proceeds to the conversion option based on the calculated fair value. The fair value of the conversion option was recorded at $36,100 and recognized as a derivative liability and the debt was recorded at $nil. The transaction resulted in an accounting loss on debt financing of $16,100. The fair value of the conversion option was calculated using the Binomial option pricing model under the following assumptions: estimated life of one year, risk free rate of 0.19%, dividend yield of 0% and volatility of 140.11%. The debt discount is being accreted over the one year term of the August 20, 2012 Note using the effective interest rate method.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2012, accretion of the debt discount of $7,288 was recorded for the August 20, 2012 Note.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18, 2012 Convertible Note</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18, 2012, the Company entered into a securities purchase agreement with accredited investors to place a Convertible Note (the “September 18, 2012 Note”) with a maturity date of one year after the issuance thereof in the aggregate principal amount of $82,500. Consideration under the notes consisted of $69,000 in cash proceeds after $6,000 payment of finders’ fee and an original issue discount of $7,500. The note holder has the option to convert a portion or all of the outstanding balance of the September 18, 2012 Note including any accrued interest into shares of the Company’s common stock at a conversion rate of $0.09 per share or 70% of the lowest traded price in the 20 trading days prior to conversion.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September 18, 2012 Note carries no interest other than the amortization of the original issue discount.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finder’s fee of $6,000 was accounted for as deferred financing costs, and is being amortized over the term of the note. At December 31, 2012, $4,290 of the $37,452 in deferred financing costs relates to the September, 2012 Note which remains unamortized, and is presented in current assets on the Company’s Balance Sheet.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jc w:val="both"/>
        <w:spacing w:after="0" w:line="257" w:lineRule="auto"/>
        <w:rPr>
          <w:sz w:val="20"/>
          <w:szCs w:val="20"/>
          <w:color w:val="auto"/>
        </w:rPr>
      </w:pPr>
      <w:r>
        <w:rPr>
          <w:rFonts w:ascii="Arial" w:cs="Arial" w:eastAsia="Arial" w:hAnsi="Arial"/>
          <w:sz w:val="18"/>
          <w:szCs w:val="18"/>
          <w:color w:val="auto"/>
        </w:rPr>
        <w:t>The Company has allocated the net proceeds to the conversion option based on the calculated fair value. The fair value of the conversion option was recorded at $76,400 and recognized as a derivative liability and the debt was recorded at $nil. The transaction resulted in an accounting loss on debt financing of $1,400. The fair value of the conversion option was calculated using the Binomial option pricing model under the following assumptions: estimated life of one year, risk free rate of 0.20%, dividend yield of 0% and volatility of 141.43%. The debt discount is being accreted over the one year term of the September, 2012 Note using the effective interest rate method.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2012, accretion of the debt discount of $2,626 was recorded for the September, 2012 Note.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2012 Convertible Note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15, 2012, the Company entered into a securities purchase agreement with an accredited investor to place a Convertible Note (the “October 2012 Note”) with a maturity date of one year after the issuance thereof in the aggregate principal amount of $340,000. Consideration under the notes consisted of $310,000 in cash proceeds after $10,000 payment of legal fee and an original issue discount of $30,000. The note holder has the option to convert a portion or all of the outstanding balance of the October 2012 Note including any accrued interest into shares of the Company’s common stock at a conversion rate of $0.12 per share or to a new lower issuance price if the Company issues shares (or reduces the conversion or exercise price for outstanding debt or warrants) for less than $0.12.</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October 2012 Note carries an interest rate of 8%. There are seven installment payments due on the note beginning on the seventh month after its issuance and each month thereafter until maturity.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legal fee of $10,000 was accounted for as deferred financing costs, and is being amortized over the term of the note. At December 31, 2012, $5,425 of the $37,452 in deferred financing costs relates to the October 2012 Note which remains unamortized, and is presented in current assets on the Company’s Balance Sheet.</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Provided that there is sufficient volume in the trading of the Company’s common stock and other criteria are met, the Company may elect to make any payment due on an installment date in shares of common stock. If the Company elects to make a payment in shares of common stock, the number of shares that the Company issues will be equal to the amount to be converted divided by the lesser of the conversion price or 70% of the average of the three lowest closing bid prices of the shares of common stock during the prior twenty consecutive trading days. If the Company elects to pay the full amount of the note in common shares (excluding any interest that becomes due thereon), the holder shall receive at a minimum 2,833,333 shares of the Company’s common stock, but this amount could be substantially higher. Unless otherwise agreed in writing by both parties, at no time will the holder convert any amount of the debenture into common stock that would result in the holder owning more than 4.99% of the common stock outstanding.</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agreement, the Company also issued 3,000,000 warrants to the note holder exercisable at $0.25/share expiring on October 31, 2016.</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warrants include price adjustment provisions whereby the exercise price will be adjusted downwards based on future grants, which results in a share issuance at a per share amount less than $0.25 per share, or repricing of any existing warrants to a lower price.</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allocated the net proceeds to the conversion option and equity based on the calculated fair value. The fair value of the conversion option was recorded at $248,000 and recognized as a derivative liability and the equity was recorded at $62,000. The fair value of the conversion option was calculated using the Binomial option pricing model under the following assumptions: estimated life of one year, risk free rate of 0.19%, dividend yield of 0% and volatility of 139.16%. The debt discount is being accreted over the one year term of the October 2012 Note using the effective interest rate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2012, accretion of the debt discount of $71,726 was recorded for the October 2012 Note.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1, 2012 Convertible Note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the Company converted a promissory note of $100,000 (Note 7) with an accredited investor into three convertible notes of $105,000 cumulatively. The three convertible notes were assigned to a third party, of which, two notes were converted into equity. In November and December 2012, the Note holder converted $73,737 of principal and interest into 1,262,727 shares. The fair value of the shares was determined to be $140,538 based on the quoted market prices. The Company recorded $66,801 as loss on settlement of debt (Note 9).</w:t>
      </w:r>
    </w:p>
    <w:p>
      <w:pPr>
        <w:spacing w:after="0" w:line="21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third Convertible Note (the “November 1, 2012 Note”) was issued with a maturity date of six months in the aggregate principal amount of $31,471. The note holder has the option to convert a portion or all of the outstanding balance of the November 1, 2012 Note including any accrued interest into shares of the Company’s common stock at a conversion rate of $0.09 per share or 65% of the lowest bid price in the 20 trading days prior to conversion.</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November 1, 2012 Note bears interest at the rate of 10% per annum starting on November 15, 2012. If the Company is in default under certain events, the November 1, 2012 Note shall incur interest at the rate of 20% per annum retroactively.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8"/>
          <w:szCs w:val="18"/>
          <w:color w:val="auto"/>
        </w:rPr>
        <w:t>The Company has allocated $31,471 of the balance of the November 1, 2012 Note to the conversion option and debt based on the calculated fair value. The fair value of the conversion option was recorded at $27,300 and recognized as a derivative liability and the debt was recorded at $4,171. The fair value of the conversion option was calculated using the Binomial option pricing model under the following assumptions: estimated life of 0.49 year, risk free rate of 0.09%, dividend yield of 0% and volatility of 127.26%. The debt discount is being accreted over the 0.49 year term of the November 1, 2012 Note using the effective interest rate method.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2012, accretion of the debt discount of $9,100 was recorded for the November 1, 2012 Note.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20, 2012 Convertible Note</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20, 2012, the Company entered into a securities purchase agreement with an accredited investor to place a Convertible Note (the “November 20, 2012 Note”) with a maturity date of one year after the issuance thereof in the aggregate principal amount of $55,710. Consideration under the notes consisted of $50,000 in cash proceeds after $4,000 payment of finder’s fee and an original issue discount of $5,710. The note holder has the option to convert a portion or all of the outstanding balance of the November 20, 2012 Note including any accrued interest into shares of the Company’s common stock at a conversion rate of $0.09 per share or 70% of the lowest traded price in the 25 trading days prior to conversion.</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August 8, 2012 Note carries no interest if the Company repays the note within 90 days from issuance. If the Company does not repay the note within 90 days, a one-time interest of 5% shall apply to the principal sum.</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finder’s fee of $4,000 was accounted for as deferred financing costs, and is being amortized over the term of the note. At December 31, 2012, 3,551 of the $37,452 in deferred financing costs relates to the November 20, 2012 Note which remains unamortized, and is presented in current assets on the Company’s Balance Sheet.</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allocated the net proceeds to the conversion option based on the calculated fair value. The fair value of the conversion option was recorded at $69,000 and recognized as a derivative liability and the debt was recorded at $nil. The transaction resulted in an accounting loss on debt financing of $19,000. The fair value of the conversion option was calculated using the Binomial option pricing model under the following assumptions: estimated life of one year, risk free rate of 0.16%, dividend yield of 0% and volatility of 134.71%. The debt discount is being accreted over the one year term of the November 20, 2012 Note using the effective interest rate method.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2012, accretion of the debt discount of $6,105 was recorded for the November 20, 2012 Note.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14, 2012 Convertible Note</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14, 2012, the Company converted part of the February 2011 Notes in the amount of $220,255 into a Convertible Note (the “December 14, 2012 Note”) with a maturity date of four months after the issuance thereof in the aggregate principal amount of $252,280. Consideration under the notes consisted of $220,255 from February 2011 Notes, $10,000 payment of legal fee and an original issue discount of $22,025. The December 14, 2012 Note is repayable in four equal installments with accrued interest, starting on January 18, 2013 and subsequently, the same day on each of the following calendar months. The Company can elect to pay the installments in cash or shares of Company’s common stock.</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December 14, 2012 Note bears interest at the rate of 8% per annum. In the event of default under certain conditions, the interest will accrue at the rate of 18% per annum.</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note holder has the option to convert a portion or all of the outstanding balance of the December 14, 2012 Note including any accrued interest into shares of the Company’s common stock at a conversion rate of 70% of the three lowest closing bid prices in the 20 trading days prior to conversion.</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2012, the December 14, 2012 Note was assigned to a third party and the Company paid the first installment of $65,032 consisting of principal and interest in 1,078,477 shares. The fair value of the shares was determined to be $96,523 based on the quoted market price of $0.09 per share. The Company recorded $31,491 as loss on settlement of debt (Note 9).</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allocated $189,210 of the balance of the December 14, 2012 Note to the conversion option and debt based on the calculated fair value. The fair value of the conversion option was recorded at $94,100 and recognized as a derivative liability and the debt was recorded at $95,110. The fair value of the conversion option was calculated using the Binomial option pricing model under the following assumptions: estimated life of 0.35 year, risk free rate of 0.06%, dividend yield of 0% and volatility of 100.88%. The debt discount is being accreted over the 0.45 year term of the December 14, 2012 Note using the effective interest rate method.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2012, accretion of the debt discount of $12,798 was recorded for the November 1, 2012 Note.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December 18, 2012 Convertible Note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18, 2012, the Company entered into a securities purchase agreement with accredited investors to place convertible notes (the “December 18, 2012 Notes”) with a maturity date of one year after the issuance thereof in the aggregate principal amount of $50,000. The note holders have the option to convert a portion or all of the outstanding balance of the November 20, 2012 Note including any accrued interest into shares of the Company’s common stock at a conversion rate of $0.10 per share.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December 18, 2012 Notes carry an interest rate of 9%, due and payable on the maturity date.</w:t>
      </w:r>
    </w:p>
    <w:p>
      <w:pPr>
        <w:spacing w:after="0" w:line="248"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LOANS PAYABLE</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at December 31, 2012, there was an unsecured loan advance from a third party in the amount of $10,000 (December 31, 2011 - $7,000), which is due on demand. The loan is accruing interest of 10% per annum.</w:t>
      </w:r>
    </w:p>
    <w:p>
      <w:pPr>
        <w:spacing w:after="0" w:line="197"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6"/>
          <w:szCs w:val="16"/>
          <w:color w:val="auto"/>
        </w:rPr>
        <w:t>PROMISSORY NOTE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2011, the Company issued a note in the amount of $100,000 towards future legal services, which matured July 24, 2011. As of December 31, 2012, the Company had received legal services in the amount of $100,000 against the note. The note bears interest at 10% per annum and may be converted into shares at equal to lower of $0.09 or 65% of the arithmetic average of the lowest closing bid prices of the Company’s shares during the consecutive twenty day trading period prior to notice of conversion.</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year ended December 31, 2012, the Company issued 500,000 shares to the holder of the note in exchange for the note holder’s agreement to forbear from pursuing collections actions on the outstanding note (Note 9) and converted the promissory note into three convertible notes (Note 5).</w:t>
      </w:r>
    </w:p>
    <w:p>
      <w:pPr>
        <w:spacing w:after="0" w:line="1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year ended December 31, 2012, the Company issued additional promissory notes in the amount of $67,942, of which $38,000 of promissory notes were issued to an officer and a director of the Company (Note 8). The promissory notes had no interest charges and no fixed repayment terms.</w:t>
      </w:r>
    </w:p>
    <w:p>
      <w:pPr>
        <w:spacing w:after="0" w:line="17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2012, the Company entered into transactions with certain officers and directors of the Company as follows:</w:t>
      </w:r>
    </w:p>
    <w:p>
      <w:pPr>
        <w:spacing w:after="0" w:line="264" w:lineRule="exact"/>
        <w:rPr>
          <w:sz w:val="20"/>
          <w:szCs w:val="20"/>
          <w:color w:val="auto"/>
        </w:rPr>
      </w:pPr>
    </w:p>
    <w:p>
      <w:pPr>
        <w:ind w:left="960" w:hanging="617"/>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incurred $295,600 (2011 - $248,400) in management, consulting and directors’ fees and $90,000 (2011 - $90,000) in research and development services paid to officers and directors during the period;</w:t>
      </w:r>
    </w:p>
    <w:p>
      <w:pPr>
        <w:spacing w:after="0" w:line="197" w:lineRule="exact"/>
        <w:rPr>
          <w:rFonts w:ascii="Arial" w:cs="Arial" w:eastAsia="Arial" w:hAnsi="Arial"/>
          <w:sz w:val="18"/>
          <w:szCs w:val="18"/>
          <w:color w:val="auto"/>
        </w:rPr>
      </w:pPr>
    </w:p>
    <w:p>
      <w:pPr>
        <w:ind w:left="980" w:hanging="63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recorded $124,209 (2011 - $389,824) in stock based compensation for the fair value of options granted to management that were granted and or vested during the period;</w:t>
      </w:r>
    </w:p>
    <w:p>
      <w:pPr>
        <w:spacing w:after="0" w:line="197" w:lineRule="exact"/>
        <w:rPr>
          <w:rFonts w:ascii="Arial" w:cs="Arial" w:eastAsia="Arial" w:hAnsi="Arial"/>
          <w:sz w:val="18"/>
          <w:szCs w:val="18"/>
          <w:color w:val="auto"/>
        </w:rPr>
      </w:pPr>
    </w:p>
    <w:p>
      <w:pPr>
        <w:ind w:left="980" w:hanging="631"/>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converted $50,000 (2011 - $25,000) of debt due to related parties during the period, which were settled with shares.</w:t>
      </w:r>
    </w:p>
    <w:p>
      <w:pPr>
        <w:spacing w:after="0" w:line="252" w:lineRule="exact"/>
        <w:rPr>
          <w:rFonts w:ascii="Arial" w:cs="Arial" w:eastAsia="Arial" w:hAnsi="Arial"/>
          <w:sz w:val="18"/>
          <w:szCs w:val="18"/>
          <w:color w:val="auto"/>
        </w:rPr>
      </w:pPr>
    </w:p>
    <w:p>
      <w:pPr>
        <w:ind w:left="980" w:hanging="63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issued $38,000 (2011 - $nil) in promissory notes to an officer and director of the Company (Note 7).</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related party transactions (other than stock based consideration) involving provision of services were recorded at the exchange amount, which is the amount established and agreed to by the related parties as representing fair value. The Company accounted for the debt settlement transactions with related parties at management’s estimate of fair value, using amounts similar to arm’s length settlements for debt settled.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2012, the Company had amounts owing to directors and officers of $366,697 (2011 - $322,905). Amounts due to related parties are unsecured, non-interest bearing and have no specific terms of repayment.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5" w:name="page46"/>
    <w:bookmarkEnd w:id="45"/>
    <w:p>
      <w:pPr>
        <w:spacing w:after="0"/>
        <w:tabs>
          <w:tab w:leader="none" w:pos="14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CAPITAL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 to March 27, 2007, the authorized capital of the Company consisted of 50,000,000 common shares with $0.001 par value and 5,000,000 non-voting preferred shares with $0.001 par value. On March 27, 2007, the Company’s Articles of Incorporation were amended to increase the authorized shares of common stock from 50,000,000 shares of common stock to 200,000,000 shares. On June 28, 2007, the Company completed a reverse stock split thereby issuing 1 new share for each 2.5 outstanding shares of the Company’s common stock. Accordingly, the Company’s authorized share capital was decreased from 200,000,000 common shares to 80,000,000 common shares. On January 22, 2009 the authorized shares of common stock increased from 80,000,000 shares to 500,000,000 shares. Effective July 10, 2009, the Company executed a further 1 for 10 reverse stock split while simultaneously reducing the authorized shares of common stock to 50,000,000 common shares with a $0.001 par value. Effective February 21, 2010, the Company increased its authorized shares of common stock from 50,000,000 shares to 150,000,000 common shares. The Company maintained its authorized shares of preferred stock at 5,000,000.</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prior period share transactions included in the Company’s stock transactions and balances have been retroactively restated for the transactions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Share Transactions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15, 2012, the Company issued 333,334 shares of its restricted common stock to related parties, pursuant to debt settlement agreements to settle $50,000 of outstanding trade payable. At the time of issuance the fair value of the shares was determined to be $50,000 based on the quoted market price of $0.15 per share.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15, 2012, the Company issued 400,000 shares of its restricted common stock pursuant to a debt settlement and a consulting agreement. At the time of issuance the fair value of the shares was determined to be $71,200 based on the quoted market price of $0.15 per share. The Company recorded $9,930 as gain on settlement of debt.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15, 2012, the Company issued 789,778 shares of its restricted common stock in settlement of accrued interest on the outstanding 2011 Notes. At the time of issuance the fair value of the shares was determined to be $118,467 based on the quoted market price of $0.15 per share. No gain or loss was recorded on settlement.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2012, the Company received subscription proceeds of $85,000. The subscribers purchased 733,334 share units at $0.15 per unit. Each unit consists of 1 share of Company’s common stock and half a warrant exercisable at $0.40, which expires in two years. The fair value of these warrants was determined to be $5,133.</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2012, the Company received subscription proceeds of $345,000. The subscribers purchased 2,300,000 share units at $0.15 per unit. Each unit consists of 1 share of Company’s common stock and half a warrant exercisable at $0.40, which expires in two years. The fair value of these warrants was determined to be $123,000.</w:t>
      </w:r>
    </w:p>
    <w:p>
      <w:pPr>
        <w:spacing w:after="0" w:line="20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April, 2012, the Company issued 100,000 shares of its restricted common stock pursuant to a debt settlement and a consulting agreement. At the time of issuance the fair value of the shares was determined to be $18,500 based on the quoted market price of $0.185 per share. The Company recorded $18,758 as gain on settlement.</w:t>
      </w:r>
    </w:p>
    <w:p>
      <w:pPr>
        <w:spacing w:after="0" w:line="20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April 2012, the Company issued 933,333 restricted common shares, at $0.15 per share, for proceeds of $140,000 received in October 2011, in a private placement.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April 2012, the Company issued 1,000,000 common shares to a consultant pursuant to a consulting agreement effective October 1, 2011.</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2012, the Company issued 163,334 shares of its restricted common stock in settlement of accrued interest on the outstanding 2011 Notes. At the time of issuance the fair value of the shares was determined to be $24,500 based on the quoted market price of $0.15 per share. No gain or loss was recorded on settlement.</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May 2012, the Company issued 14,000,000 common shares to consultants pursuant to a consulting agreement (Note 12). At the time of issuance the fair value of the shares was determined to be $1,918,000 based on the quoted market price of $0.137 per share.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2012, the Company issued 35,179 shares of its restricted common stock pursuant to a consulting agreement. The fair value of the shares was determined to be $6,000 based on the quoted market price of $0.17 per share.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2012, the Company issued 500,000 shares of its restricted common stock pursuant to a consulting agreement. The fair value of the shares was determined to be $74,000 based on the quoted market price of $0.148 per share.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6" w:name="page47"/>
    <w:bookmarkEnd w:id="46"/>
    <w:p>
      <w:pPr>
        <w:jc w:val="both"/>
        <w:spacing w:after="0" w:line="264" w:lineRule="auto"/>
        <w:rPr>
          <w:sz w:val="20"/>
          <w:szCs w:val="20"/>
          <w:color w:val="auto"/>
        </w:rPr>
      </w:pPr>
      <w:r>
        <w:rPr>
          <w:rFonts w:ascii="Arial" w:cs="Arial" w:eastAsia="Arial" w:hAnsi="Arial"/>
          <w:sz w:val="18"/>
          <w:szCs w:val="18"/>
          <w:color w:val="auto"/>
        </w:rPr>
        <w:t>In September 2012, the Company issued 500,000 shares of its restricted common stock to the holder of a promissory note in exchange for the note holder’s agreement to forebear from pursuing collection action on that note (Note 7). The fair value of the shares was determined to be $72,750 based on the quoted market price of $0.146 per share.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2012, the Company issued 437,063 shares of its restricted common stock on election by the holder to convert part of a convertible debt (Note 5) at a conversion price of $.0572 per share. The fair value of the shares was determined to be $55,944 based on the quoted market price of $0.128 per share. The Company recorded $30,944 as loss on settlement of debt.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2012, the Company issued 597,185 shares of its restricted common stock on election by the holder to convert part of a convertible debt (Note 5) at a conversion price of $.0586 per share. The fair value of the shares was determined to be $63,003 based on the quoted market price of $0.106 per share. The Company recorded $28,003 as loss on settlement of debt.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2012, the Company issued 228,479 shares of its restricted common stock on election by the holder to convert part of a convertible debt (Note 5) at a conversion price of $.0601 per share. The fair value of the shares was determined to be $21,591 based on the quoted market price of $0.095 per share. The Company recorded $7,854 as loss on settlement of debt.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2012, the Company issued 1,078,477 shares of its restricted common stock as payment of installment of $65,032 for a convertible debt (Note 5) at a conversion price of $.0603 per share. The fair value of the shares was determined to be $96,523 based on the quoted market price of $0.09 per share. The Company recorded $31,491 as loss on settlement of debt.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Share Transactions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21, 2011, the Company issued 641,023 shares of its restricted common stock pursuant to debt settlement and warrant extinguishment agreement to settle $83,333 of the 2010 Notes and partial extinguishment of the Series A, Series B and Series C Warrants. At the time of issuance, the fair value of the shares was determined to be $115,384, based on the quoted market price of $0.18 per share, which has been recorded against the carrying value of the debt. The Company recognized a loss of $87,734 on partial settlement of 2010 Notes and partial extinguishment of the Series A, Series B and Series C Warrants.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23, 2011, the Company issued 1,180,000 shares of its restricted common stock pursuant to various consulting agreements. At the time of issuance the fair value of the shares was determined to be $227,432 based on the quoted market price of $0.18 per share.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23, 2011, the Company issued 885,295 shares of its restricted common stock pursuant to debt settlement agreements to settle $150,500 of outstanding trade payables. At the time of issuance the fair value of the shares was determined to be $172,633 based on the quoted market price of $0.195 per share. The Company recorded $22,133 as loss on settlement of debt.</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23, 2011, the Company issued 441,177 shares of its restricted common stock to related parties, pursuant to debt settlement agreements to settle $75,000 of its outstanding trade payables. At the time of issuance the fair value of the shares was determined to be $86,030 based on the quoted market price of $0.195 per share. The Company recorded the calculated loss on settlement of $11,030 to the statement of operations.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30, 2011, the Company issued 2,048,578 shares of its restricted common stock pursuant to an exchange agreement to settle $233,333 of the 2010 Notes. At the time of issuance the fair value of the shares was determined to be $450,687 based on the quoted market price of $0.22 per share. The discounted carrying amount of the 2010 Note as of March 30, 2011 was $77,421. The Company recorded the difference between the fair value and accreted amount of $373,266 as loss on settlement of debt.</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5, 2011, the Company issued 500,000 shares of its restricted common stock pursuant to a consulting agreement. At the time of issuance the fair value of the shares was determined to be $125,000 based on the quoted market price of $0.25 per share.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25, 2011, the Company issued 350,000 shares of its restricted common stock pursuant to a consulting agreement. At the time of issuance the fair value of the shares was determined to be $87,500 based on the quoted market price of $0.25 per share.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25, 2011, the Company issued 366,783 shares of its restricted common stock pursuant to debt settlement agreements to settle $84,315 of outstanding trade payables. At the time of issuance the fair value of the shares was determined to be $91,696 based on the quoted market price of $0.25 per share. The Company recorded $7,381 as loss on settlement of debt.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25, 2011, the Company issued 20,000 shares of its restricted common stock pursuant to a debt settlement agreement to settle $4,575 of outstanding trade payables. At the time of agreement the fair value of the shares was determined to be $6,800 based on the quoted market price of $0.34 per share. The Company recorded $2,225 as loss on settlement of debt.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 w:name="page48"/>
    <w:bookmarkEnd w:id="47"/>
    <w:p>
      <w:pPr>
        <w:jc w:val="both"/>
        <w:spacing w:after="0" w:line="286" w:lineRule="auto"/>
        <w:rPr>
          <w:sz w:val="20"/>
          <w:szCs w:val="20"/>
          <w:color w:val="auto"/>
        </w:rPr>
      </w:pPr>
      <w:r>
        <w:rPr>
          <w:rFonts w:ascii="Arial" w:cs="Arial" w:eastAsia="Arial" w:hAnsi="Arial"/>
          <w:sz w:val="17"/>
          <w:szCs w:val="17"/>
          <w:color w:val="auto"/>
        </w:rPr>
        <w:t>On April 25, 2011, the Company issued 108,696 shares of its restricted common stock to related parties, pursuant to a debt settlement agreement to settle $25,000 of its outstanding accounts payables. At the time of issuance the fair value of the shares was determined to be $27,174 based on the quoted market price of $0.25 per share. The Company recorded the calculated loss on settlement of $2,174 to the statement of operations.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2011, the Company received subscription proceeds of $90,000 and issued 600,001 shares of common stock in a private placement. The subscribers purchased one unit for each $3.00 of subscription proceeds. Each unit consists of 20 shares of Company’s common stock and 6 warrants each exercisable at $0.25, which expire in two years.</w:t>
      </w:r>
    </w:p>
    <w:p>
      <w:pPr>
        <w:spacing w:after="0" w:line="2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June 1, 2011, 586,858 shares of the Company’s restricted common stock were returned to treasury due to an adjustment to the final settlement of the $233,333 2010 Notes. The return of the shares resulted in a $134,977 reduction to the previously calculated loss on debt settlement.</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7, 2011, the Company received subscription proceeds of $65,000 and issued 325,000 shares of common stock in a private placement. The subscribers purchased one unit for each $2.00 of subscription proceeds. Each unit consists of 10 shares of Company’s common stock and 6 warrants each exercisable at $0.25, which expire in two years. The fair value of these warrants was determined to be $33,600.</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19, 2011, the Company received subscription proceeds of $45,000 and issued 225,000 shares of common stock in a private placement. The subscribers purchased one unit for each $2.00 of subscription proceeds. Each unit consists of 10 shares of Company’s common stock and 6 warrants each exercisable at $0.25, which expire in two years. The fair value of these warrants was determined to be $23,400.</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1, 2011, the Company issued 44,405 shares of its common stock pursuant to a consulting services agreement. At the time of issuance, the shares had a quoted market value of $0.20 per share, and $9,000 was recorded as stock-based consulting fees.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and November 2011, the Company received subscription proceeds of $635,000 and converted debt of $115,250. As of December 31, 2012, the Company issued 4,068,334 shares of common stock in a private placement and has $140,000 in subscription proceeds for which the common shares have yet to be issued. The subscribers purchased one unit for each $0.15 of subscription proceeds. Each unit consists of 1 share of Company’s common stock and half a warrant exercisable at $0.40, which expires in two years. The fair value of these warrants was determined to be $287,000.</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19, 2011, the Company issued 100,000 shares of its common stock pursuant to a consulting services agreement. The Company determined the market value of the shares to be $0.27 per share, and $27,000 was recorded as stock-based consulting fees.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13, 2011, the Company issued 500,000 shares of its common stock pursuant to consulting service agreements and as settlement pursuant to consulting service termination agreements. The Company determined the market value of the shares to be $0.22 per share, and recorded $107,700 as gain on settlement of debt.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14, 2009, the Company adopted the 2009 Stock Incentive Plan (the “2009 Plan”) which supersedes and replaces the 2007 Stock Plan. The 2009 Plan allows for the issuance of up to 10,000,000 common shares. Options granted under the Plan shall be at prices and for terms as determined by the Board of Directors.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7, 2010, the Company granted 250,000 stock options at an exercise price of $0.35 per share, vesting monthly over a twenty four month period, to a director of the Company. The term of the options is ten years. The fair value of the new grant was estimated at $47,500, or $0.19 per option, using the Black-Scholes Option Pricing Model with a risk free interest rate of 2.61%, a dividend yield of 0%, an expected volatility of 249.6%, and an expected life of 10 years. The expensed portion of the value of these options during the year ended December 31, 2011 was $1,979, which was recorded as stock based management compensation.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16, 2011, the Company granted a total of 850,000 stock options at an exercise price of $0.17 per share to consultants and management, which vest monthly over a twenty-four month period. The term of the options is ten years.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on February 16, 2011, the Company approved the repricing of 2,928,000 stock options issued to consultants and management. Options with an exercise price of $0.97 were repriced to $0.17 per share and the Company recognized aggregate incremental fair value of the repriced options of $40,260. The incremental fair value was determined using the Black-Scholes Option Pricing Model with weighted average assumptions as follows: Expected life of 3.48 years, an expected volatility of 199%, dividend yield of 0% and risk-free rate of 1.4%.</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8"/>
          <w:szCs w:val="18"/>
          <w:color w:val="auto"/>
        </w:rPr>
        <w:t>On March 16, 2011, the Company granted 2,000,000 stock options to management at an exercise price of $0.19 per share, of which, 1,000,000 vested immediately and the remaining vest monthly over twenty four month period. The aggregate fair value of the new grants was estimated at $522,500, or $0.18 per option, using the Black-Scholes Option Pricing Model with weighted average assumptions as follows: a risk free interest rate of 2.4%, a dividend yield of 0%, an expected volatility of 248%, and an expected life of 6.43 years.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8, 2011, the Company granted 250,000 stock options to a consultant at an exercise price of $0.17 per share, of which, 125,000 vested immediately and the remaining vest monthly over twenty four month period. The aggregate fair value of the grant was estimated at $42,500, or $0.17 per option, using the Black-Scholes Option Pricing Model with weighted average assumptions as follows: a risk free interest rate of 2.98%, a dividend yield of 0%, an expected volatility of 238.4%, and an expected life of 10 years.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30, 2012, the Company granted 250,000 stock options to a management at an exercise price of $0.18 per share, vesting monthly over thirty six month period. The aggregate fair value of the grant was estimated at $45,000, or $0.18 per option, using the Black-Scholes Option Pricing Model with weighted average assumptions as follows: a risk free interest rate of 1.95%, a dividend yield of 0%, an expected volatility of 199.0%, and an expected life of 10 years.</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8, 2012, the Company granted 250,000 stock options to a consultant at an exercise price of $0.17 per share, vesting monthly over twelve month period. The aggregate fair value of the grant was estimated at $40,000, or $0.17 per option, using the Black-Scholes Option Pricing Model with weighted average assumptions as follows: a risk free interest rate of 1.71%, a dividend yield of 0%, an expected volatility of 199.0%, and an expected life of 10 years.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expensed portion of the value of the granted and vested options during the year ended December 31, 2012 was $204,427 (2011 - $456,081) which was recorded as stock based consulting and management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options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options as of December 31, 2012 and changes during the period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2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right="250"/>
              <w:spacing w:after="0"/>
              <w:rPr>
                <w:sz w:val="20"/>
                <w:szCs w:val="20"/>
                <w:color w:val="auto"/>
              </w:rPr>
            </w:pPr>
            <w:r>
              <w:rPr>
                <w:rFonts w:ascii="Arial" w:cs="Arial" w:eastAsia="Arial" w:hAnsi="Arial"/>
                <w:sz w:val="18"/>
                <w:szCs w:val="18"/>
                <w:color w:val="auto"/>
                <w:w w:val="89"/>
              </w:rPr>
              <w:t>Weighted</w:t>
            </w: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Number of</w:t>
            </w:r>
          </w:p>
        </w:tc>
        <w:tc>
          <w:tcPr>
            <w:tcW w:w="240" w:type="dxa"/>
            <w:vAlign w:val="bottom"/>
          </w:tcPr>
          <w:p>
            <w:pPr>
              <w:spacing w:after="0"/>
              <w:rPr>
                <w:sz w:val="18"/>
                <w:szCs w:val="18"/>
                <w:color w:val="auto"/>
              </w:rPr>
            </w:pPr>
          </w:p>
        </w:tc>
        <w:tc>
          <w:tcPr>
            <w:tcW w:w="1180" w:type="dxa"/>
            <w:vAlign w:val="bottom"/>
          </w:tcPr>
          <w:p>
            <w:pPr>
              <w:jc w:val="center"/>
              <w:ind w:right="250"/>
              <w:spacing w:after="0"/>
              <w:rPr>
                <w:sz w:val="20"/>
                <w:szCs w:val="20"/>
                <w:color w:val="auto"/>
              </w:rPr>
            </w:pPr>
            <w:r>
              <w:rPr>
                <w:rFonts w:ascii="Arial" w:cs="Arial" w:eastAsia="Arial" w:hAnsi="Arial"/>
                <w:sz w:val="18"/>
                <w:szCs w:val="18"/>
                <w:color w:val="auto"/>
                <w:w w:val="89"/>
              </w:rPr>
              <w:t>Average</w:t>
            </w: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92"/>
              </w:rPr>
              <w:t>Remaining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Options</w:t>
            </w:r>
          </w:p>
        </w:tc>
        <w:tc>
          <w:tcPr>
            <w:tcW w:w="14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color w:val="auto"/>
                <w:w w:val="90"/>
              </w:rPr>
              <w:t>Exercise Price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2010</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3,272,000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0.92</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Issued</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3,100,000</w:t>
            </w:r>
          </w:p>
        </w:tc>
        <w:tc>
          <w:tcPr>
            <w:tcW w:w="2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0.18</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Cancelled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0.97</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2011</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6,278,000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0.18</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Issued</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500,000</w:t>
            </w:r>
          </w:p>
        </w:tc>
        <w:tc>
          <w:tcPr>
            <w:tcW w:w="2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0.17</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Cancelled/Forfeited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0.35</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220" w:type="dxa"/>
            <w:vAlign w:val="bottom"/>
            <w:gridSpan w:val="2"/>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7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2012</w:t>
            </w:r>
          </w:p>
        </w:tc>
        <w:tc>
          <w:tcPr>
            <w:tcW w:w="15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6,528,000</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0.18</w:t>
            </w:r>
          </w:p>
        </w:tc>
        <w:tc>
          <w:tcPr>
            <w:tcW w:w="1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453"/>
        </w:trPr>
        <w:tc>
          <w:tcPr>
            <w:tcW w:w="7220" w:type="dxa"/>
            <w:vAlign w:val="bottom"/>
            <w:gridSpan w:val="2"/>
          </w:tcPr>
          <w:p>
            <w:pPr>
              <w:spacing w:after="0"/>
              <w:rPr>
                <w:sz w:val="20"/>
                <w:szCs w:val="20"/>
                <w:color w:val="auto"/>
              </w:rPr>
            </w:pPr>
            <w:r>
              <w:rPr>
                <w:rFonts w:ascii="Arial" w:cs="Arial" w:eastAsia="Arial" w:hAnsi="Arial"/>
                <w:sz w:val="18"/>
                <w:szCs w:val="18"/>
                <w:color w:val="auto"/>
                <w:w w:val="96"/>
              </w:rPr>
              <w:t>At December 31, 2012, the intrinsic value of the vested options was equal to $nil (2011 - $nil).</w:t>
            </w: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Company’s unvested options as of December 31, 2012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920" w:type="dxa"/>
            <w:vAlign w:val="bottom"/>
            <w:tcBorders>
              <w:top w:val="single" w:sz="8" w:color="auto"/>
            </w:tcBorders>
          </w:tcPr>
          <w:p>
            <w:pPr>
              <w:spacing w:after="0"/>
              <w:rPr>
                <w:sz w:val="19"/>
                <w:szCs w:val="19"/>
                <w:color w:val="auto"/>
              </w:rPr>
            </w:pPr>
          </w:p>
        </w:tc>
        <w:tc>
          <w:tcPr>
            <w:tcW w:w="6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160" w:type="dxa"/>
            <w:vAlign w:val="bottom"/>
          </w:tcPr>
          <w:p>
            <w:pPr>
              <w:jc w:val="right"/>
              <w:ind w:right="230"/>
              <w:spacing w:after="0"/>
              <w:rPr>
                <w:sz w:val="20"/>
                <w:szCs w:val="20"/>
                <w:color w:val="auto"/>
              </w:rPr>
            </w:pPr>
            <w:r>
              <w:rPr>
                <w:rFonts w:ascii="Arial" w:cs="Arial" w:eastAsia="Arial" w:hAnsi="Arial"/>
                <w:sz w:val="18"/>
                <w:szCs w:val="18"/>
                <w:color w:val="auto"/>
              </w:rPr>
              <w:t>Number of</w:t>
            </w:r>
          </w:p>
        </w:tc>
        <w:tc>
          <w:tcPr>
            <w:tcW w:w="20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9"/>
              </w:rPr>
              <w:t>Grant-Date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Shares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Unvested, December 31, 2011</w:t>
            </w:r>
          </w:p>
        </w:tc>
        <w:tc>
          <w:tcPr>
            <w:tcW w:w="6160" w:type="dxa"/>
            <w:vAlign w:val="bottom"/>
          </w:tcPr>
          <w:p>
            <w:pPr>
              <w:jc w:val="right"/>
              <w:ind w:right="50"/>
              <w:spacing w:after="0"/>
              <w:rPr>
                <w:sz w:val="20"/>
                <w:szCs w:val="20"/>
                <w:color w:val="auto"/>
              </w:rPr>
            </w:pPr>
            <w:r>
              <w:rPr>
                <w:rFonts w:ascii="Arial" w:cs="Arial" w:eastAsia="Arial" w:hAnsi="Arial"/>
                <w:sz w:val="18"/>
                <w:szCs w:val="18"/>
                <w:color w:val="auto"/>
              </w:rPr>
              <w:t>1,037,709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Granted</w:t>
            </w:r>
          </w:p>
        </w:tc>
        <w:tc>
          <w:tcPr>
            <w:tcW w:w="6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Arial" w:cs="Arial" w:eastAsia="Arial" w:hAnsi="Arial"/>
                <w:sz w:val="18"/>
                <w:szCs w:val="18"/>
                <w:color w:val="auto"/>
              </w:rPr>
              <w:t>Vested</w:t>
            </w:r>
          </w:p>
        </w:tc>
        <w:tc>
          <w:tcPr>
            <w:tcW w:w="6160" w:type="dxa"/>
            <w:vAlign w:val="bottom"/>
          </w:tcPr>
          <w:p>
            <w:pPr>
              <w:jc w:val="right"/>
              <w:spacing w:after="0"/>
              <w:rPr>
                <w:sz w:val="20"/>
                <w:szCs w:val="20"/>
                <w:color w:val="auto"/>
              </w:rPr>
            </w:pPr>
            <w:r>
              <w:rPr>
                <w:rFonts w:ascii="Arial" w:cs="Arial" w:eastAsia="Arial" w:hAnsi="Arial"/>
                <w:sz w:val="18"/>
                <w:szCs w:val="18"/>
                <w:color w:val="auto"/>
              </w:rPr>
              <w:t>(1,158,134)</w:t>
            </w:r>
          </w:p>
        </w:tc>
        <w:tc>
          <w:tcPr>
            <w:tcW w:w="2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Cancelled</w:t>
            </w:r>
          </w:p>
        </w:tc>
        <w:tc>
          <w:tcPr>
            <w:tcW w:w="6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18"/>
                <w:szCs w:val="18"/>
                <w:color w:val="auto"/>
              </w:rPr>
            </w:pPr>
          </w:p>
        </w:tc>
        <w:tc>
          <w:tcPr>
            <w:tcW w:w="6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Unvested, December 31, 2012</w:t>
            </w:r>
          </w:p>
        </w:tc>
        <w:tc>
          <w:tcPr>
            <w:tcW w:w="6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379,575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160" w:type="dxa"/>
            <w:vAlign w:val="bottom"/>
          </w:tcPr>
          <w:p>
            <w:pPr>
              <w:jc w:val="right"/>
              <w:ind w:right="421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Share Purchase Warrants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24, 2011, the Company issued 2,369,388 share purchase warrants to acquire an equivalent number of common shares of the Company, at an exercise price of $0.25 per share for an exercise period of up to five years from the issuance date. The warrants were issued pursuant to a securities purchase agreement (Note 5). The fair value of these warrants of $483,355 was recognized under derivative liabilities, using the Binomial option pricing model with an expected life of 5 years, a risk free interest rate of 2.06%, a dividend yield of 0%, and an expected volatility of 199%.</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21, 2011, the Company issued 250,000 share purchase warrants to acquire an equivalent number of common shares of the Company, at an exercise price of $0.25 per share for an exercise period of up to five years from the issuance date. The warrants were issued pursuant to a debt settlement agreement (Note 5). The fair value of these warrants of $43,750 was recognized under derivative liabilities, using the Binomial option pricing model with an expected life of 5 years, a risk free interest rate of 0.77%, a dividend yield of 0%, and an expected volatility of 199%.</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4, 2011, the Company issued 430,000 share purchase warrants to acquire an equivalent number of common shares of the Company, at an exercise price of $0.25 per share for an exercise period of up to five years from the issuance date. The warrants were issued pursuant to a securities purchase agreement (Note 5). The fair value of these warrants of $130,720 was recognized under derivative liabilities, using the Binomial option pricing model with an expected life of 2 years, a risk free interest rate of 0.77%, a dividend yield of 0%, and an expected volatility of 199%.</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4, 2011, the Company issued 1,000,000 share purchase warrants to acquire an equivalent number of common shares of the Company, at an exercise price of $0.25 per share for an exercise period of up to five years from the issuance date. The warrants were issued pursuant to a debt settlement agreement (Note 5). The fair value of these warrants of $304,000 was recognized under derivative liabilities, using the Binomial option pricing model with an expected life of 2 years, a risk free interest rate of 0.77%, a dividend yield of 0%, and an expected volatility of 199%.</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25, 2011, the Company issued 180,000 share purchase warrants to acquire an equivalent number of common shares of the Company, at an exercise price of $0.38 per share for an exercise period of up to five years from the issuance date. The warrants were issued pursuant to the private placement of $90,000. The fair value of these warrants of $50,760 was recognized under derivative liabilities, using the Binomial option pricing model with an expected life of 2 years, a risk free interest rate of 0.77%, a dividend yield of 0%, and an expected volatility of 199%.</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6, 2011, the Company issued 60,000 share purchase warrants to acquire an equivalent number of common shares of the Company, at an exercise price of $0.25 per share for an exercise period of up to five years from the issuance date. The warrants were issued pursuant to a securities purchase agreement (Note 5). The fair value of these warrants of $8,280 was recognized under derivative liabilities, using the Binomial option pricing model with an expected life of 2 years, a risk free interest rate of 0.43%, a dividend yield of 0%, and an expected volatility of 199%.</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2011, the Company issued 275,000 share purchase warrants to acquire an equivalent number of common shares of the Company, at an exercise price of $0.25 per share for an exercise period of up to five years from the issuance date. The fair value of these warrants of $58,850 was recognized under derivative liabilities, using the Binomial option pricing model with an expected life of 2 years, a risk free interest rate of 0.49%, a dividend yield of 0%, and an expected volatility of 199%.</w:t>
      </w:r>
    </w:p>
    <w:p>
      <w:pPr>
        <w:spacing w:after="0" w:line="21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October, 2011, the Company issued 600,000 share purchase warrants to acquire an equivalent number of common shares of the Company, at an exercise price of $0.20 per share for an exercise period of up to five years from the issuance date. The fair value of these warrants of $117,000 was recognized under derivative liabilities, using the Binomial option pricing model with an expected life of 5 years, a risk free interest rate of 1.40%, a dividend yield of 0%, and an expected volatility of 199%.</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2011, the Company issued 2,034,167 share purchase warrants to acquire an equivalent number of common shares of the Company, at an exercise price of $0.40 per share for an exercise period of up to two years from the issuance date. The warrants were issued pursuant to the private placement of $610,250. The fair value of these warrants of $390,560 was recognized under derivative liabilities, using the Binomial option pricing model with an expected life of 2 years, a risk free interest rate of 0.29%, a dividend yield of 0%, and an expected volatility of 199%.</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2012, the Company issued 366,668 share purchase warrants to acquire an equivalent number of common shares of the Company, at an exercise price of $0.40 per share for an exercise period of up to two years from the issuance date. The warrants were issued pursuant to the private placement of $110,000 and included within equity. The fair value of these warrants was determined to be $5,133, using the Black-Scholes Option Pricing Model with an expected life of 2 years, a risk free interest rate of 0.37%, a dividend yield of 0%, and an expected volatility of 63%.</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0" w:name="page51"/>
    <w:bookmarkEnd w:id="50"/>
    <w:p>
      <w:pPr>
        <w:jc w:val="both"/>
        <w:spacing w:after="0" w:line="259" w:lineRule="auto"/>
        <w:rPr>
          <w:sz w:val="20"/>
          <w:szCs w:val="20"/>
          <w:color w:val="auto"/>
        </w:rPr>
      </w:pPr>
      <w:r>
        <w:rPr>
          <w:rFonts w:ascii="Arial" w:cs="Arial" w:eastAsia="Arial" w:hAnsi="Arial"/>
          <w:sz w:val="18"/>
          <w:szCs w:val="18"/>
          <w:color w:val="auto"/>
        </w:rPr>
        <w:t>In April, 2012, the Company issued 1,150,000 share purchase warrants to acquire an equivalent number of common shares of the Company, at an exercise price of $0.40 per share for an exercise period of up to two years from the issuance date. The warrants were issued pursuant to a private placement and included within equity. The fair value of these warrants was determined to be $123,000, using the Black-Scholes Option Pricing Model with an expected life of 2 years, a risk free interest rate of 0.27%, a dividend yield of 0%, and an expected volatility of 146.6%.</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2012, the Company issued 3,000,000 share purchase warrants to acquire an equivalent number of common shares of the Company, at an exercise price of $0.25 per share for an exercise period of up to four years from the issuance date. The warrants were issued pursuant to a convertible debt and included within equity. The residual fair value of these warrants was determined to be $62,000.</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2012, the Company issued 1,000,000 share purchase warrants to acquire an equivalent number of common shares of the Company, at an exercise price of $0.10 per share for an exercise period of up to five years from the issuance date. The warrants were issued pursuant to a private placement and included within equity. The fair value of these warrants was determined to be $178,000, using the Black-Scholes Option Pricing Model with an expected life of 5 years, a risk free interest rate of 0.87%, a dividend yield of 0%, and an expected volatility of 199.0%.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share purchase warrants as of December 31, 2012 and 2011 changes during the year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980" w:type="dxa"/>
            <w:vAlign w:val="bottom"/>
            <w:tcBorders>
              <w:top w:val="single" w:sz="8" w:color="auto"/>
            </w:tcBorders>
          </w:tcPr>
          <w:p>
            <w:pPr>
              <w:spacing w:after="0"/>
              <w:rPr>
                <w:sz w:val="19"/>
                <w:szCs w:val="19"/>
                <w:color w:val="auto"/>
              </w:rPr>
            </w:pPr>
          </w:p>
        </w:tc>
        <w:tc>
          <w:tcPr>
            <w:tcW w:w="37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right="250"/>
              <w:spacing w:after="0"/>
              <w:rPr>
                <w:sz w:val="20"/>
                <w:szCs w:val="20"/>
                <w:color w:val="auto"/>
              </w:rPr>
            </w:pPr>
            <w:r>
              <w:rPr>
                <w:rFonts w:ascii="Arial" w:cs="Arial" w:eastAsia="Arial" w:hAnsi="Arial"/>
                <w:sz w:val="18"/>
                <w:szCs w:val="18"/>
                <w:color w:val="auto"/>
                <w:w w:val="89"/>
              </w:rPr>
              <w:t>Weighted</w:t>
            </w: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740" w:type="dxa"/>
            <w:vAlign w:val="bottom"/>
          </w:tcPr>
          <w:p>
            <w:pPr>
              <w:jc w:val="right"/>
              <w:ind w:right="250"/>
              <w:spacing w:after="0"/>
              <w:rPr>
                <w:sz w:val="20"/>
                <w:szCs w:val="20"/>
                <w:color w:val="auto"/>
              </w:rPr>
            </w:pPr>
            <w:r>
              <w:rPr>
                <w:rFonts w:ascii="Arial" w:cs="Arial" w:eastAsia="Arial" w:hAnsi="Arial"/>
                <w:sz w:val="18"/>
                <w:szCs w:val="18"/>
                <w:color w:val="auto"/>
              </w:rPr>
              <w:t>Number of</w:t>
            </w:r>
          </w:p>
        </w:tc>
        <w:tc>
          <w:tcPr>
            <w:tcW w:w="240" w:type="dxa"/>
            <w:vAlign w:val="bottom"/>
          </w:tcPr>
          <w:p>
            <w:pPr>
              <w:spacing w:after="0"/>
              <w:rPr>
                <w:sz w:val="18"/>
                <w:szCs w:val="18"/>
                <w:color w:val="auto"/>
              </w:rPr>
            </w:pPr>
          </w:p>
        </w:tc>
        <w:tc>
          <w:tcPr>
            <w:tcW w:w="1180" w:type="dxa"/>
            <w:vAlign w:val="bottom"/>
          </w:tcPr>
          <w:p>
            <w:pPr>
              <w:jc w:val="center"/>
              <w:ind w:right="250"/>
              <w:spacing w:after="0"/>
              <w:rPr>
                <w:sz w:val="20"/>
                <w:szCs w:val="20"/>
                <w:color w:val="auto"/>
              </w:rPr>
            </w:pPr>
            <w:r>
              <w:rPr>
                <w:rFonts w:ascii="Arial" w:cs="Arial" w:eastAsia="Arial" w:hAnsi="Arial"/>
                <w:sz w:val="18"/>
                <w:szCs w:val="18"/>
                <w:color w:val="auto"/>
                <w:w w:val="89"/>
              </w:rPr>
              <w:t>Average</w:t>
            </w: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92"/>
              </w:rPr>
              <w:t>Remaining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Warrants</w:t>
            </w:r>
          </w:p>
        </w:tc>
        <w:tc>
          <w:tcPr>
            <w:tcW w:w="14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color w:val="auto"/>
                <w:w w:val="90"/>
              </w:rPr>
              <w:t>Exercise Price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Balance, December 31, 2010</w:t>
            </w:r>
          </w:p>
        </w:tc>
        <w:tc>
          <w:tcPr>
            <w:tcW w:w="3740" w:type="dxa"/>
            <w:vAlign w:val="bottom"/>
          </w:tcPr>
          <w:p>
            <w:pPr>
              <w:jc w:val="right"/>
              <w:ind w:right="50"/>
              <w:spacing w:after="0"/>
              <w:rPr>
                <w:sz w:val="20"/>
                <w:szCs w:val="20"/>
                <w:color w:val="auto"/>
              </w:rPr>
            </w:pPr>
            <w:r>
              <w:rPr>
                <w:rFonts w:ascii="Arial" w:cs="Arial" w:eastAsia="Arial" w:hAnsi="Arial"/>
                <w:sz w:val="18"/>
                <w:szCs w:val="18"/>
                <w:color w:val="auto"/>
              </w:rPr>
              <w:t>24,868,300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0.45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Issued</w:t>
            </w:r>
          </w:p>
        </w:tc>
        <w:tc>
          <w:tcPr>
            <w:tcW w:w="3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7,198,555</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0.29</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Exercised, cancelled or expired</w:t>
            </w:r>
          </w:p>
        </w:tc>
        <w:tc>
          <w:tcPr>
            <w:tcW w:w="3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(19,960,500)</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0.32</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2011</w:t>
            </w:r>
          </w:p>
        </w:tc>
        <w:tc>
          <w:tcPr>
            <w:tcW w:w="3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12,106,355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0.56</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80"/>
              <w:spacing w:after="0"/>
              <w:rPr>
                <w:sz w:val="20"/>
                <w:szCs w:val="20"/>
                <w:color w:val="auto"/>
              </w:rPr>
            </w:pPr>
            <w:r>
              <w:rPr>
                <w:rFonts w:ascii="Arial" w:cs="Arial" w:eastAsia="Arial" w:hAnsi="Arial"/>
                <w:sz w:val="18"/>
                <w:szCs w:val="18"/>
                <w:color w:val="auto"/>
              </w:rPr>
              <w:t>Issued</w:t>
            </w:r>
          </w:p>
        </w:tc>
        <w:tc>
          <w:tcPr>
            <w:tcW w:w="3740" w:type="dxa"/>
            <w:vAlign w:val="bottom"/>
          </w:tcPr>
          <w:p>
            <w:pPr>
              <w:jc w:val="right"/>
              <w:ind w:right="50"/>
              <w:spacing w:after="0"/>
              <w:rPr>
                <w:sz w:val="20"/>
                <w:szCs w:val="20"/>
                <w:color w:val="auto"/>
              </w:rPr>
            </w:pPr>
            <w:r>
              <w:rPr>
                <w:rFonts w:ascii="Arial" w:cs="Arial" w:eastAsia="Arial" w:hAnsi="Arial"/>
                <w:sz w:val="18"/>
                <w:szCs w:val="18"/>
                <w:color w:val="auto"/>
              </w:rPr>
              <w:t>5,516,668</w:t>
            </w:r>
          </w:p>
        </w:tc>
        <w:tc>
          <w:tcPr>
            <w:tcW w:w="2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0.26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Extinguished or expired</w:t>
            </w:r>
          </w:p>
        </w:tc>
        <w:tc>
          <w:tcPr>
            <w:tcW w:w="3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(714,400)</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2.33</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Balance, December 31, 2012</w:t>
            </w:r>
          </w:p>
        </w:tc>
        <w:tc>
          <w:tcPr>
            <w:tcW w:w="3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16,908,623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0.39</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not identified or quantified any significant temporary differences between the Company’s tax and financial bases of assets and liabilities that result in deferred tax assets, except for the Company’s net operating loss carry-forwards amounting to approximately $18,201,000 at December 31, 2012 (2011 - $13,629,000), which may be available to reduce future year’s taxable income. These carry forwards begin to expire, if not utilized, commencing in 2012. Future tax benefits which may arise as a result of these losses have not been recognized in these financial statements, as their realization does not meet a more likely than not test and accordingly, the Company has recorded a 100% valuation allowance for the potential deferred tax asset relating to these tax loss carry forwards.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reviews its valuation allowance requirements on an annual basis based on management’s expectations of future operations. Should circumstances change resulting in a change in management’s judgment about the recoverability of future tax assets, the impact of the change on the valuation allowance would be reflected in current operations and disclosures.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policy is to accrue amounts for known or likely interest and penalties related to unrecognized tax charges or likely penalties and interest in its provision for income taxes. Additionally, ASC 740-10 requires that a company recognize in its financial statements the impact of a tax position that is more likely than not to be sustained upon examination based on the technical merits of the position. The Company has incurred taxable losses for all tax years since inception and accordingly, no provision for taxes has been recorded for the current or any prior fiscal year.</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actual income tax provisions differ from the expected amounts calculated by applying the combined federal and state corporate income tax rates to the Company’s loss before income taxes and other temporary adjusted as appropriate for temporary and permanent tax basis differences. The components of these differences are as follows: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640" w:type="dxa"/>
            <w:vAlign w:val="bottom"/>
            <w:tcBorders>
              <w:top w:val="single" w:sz="8" w:color="auto"/>
            </w:tcBorders>
          </w:tcPr>
          <w:p>
            <w:pPr>
              <w:spacing w:after="0"/>
              <w:rPr>
                <w:sz w:val="19"/>
                <w:szCs w:val="19"/>
                <w:color w:val="auto"/>
              </w:rPr>
            </w:pPr>
          </w:p>
        </w:tc>
        <w:tc>
          <w:tcPr>
            <w:tcW w:w="3280" w:type="dxa"/>
            <w:vAlign w:val="bottom"/>
            <w:tcBorders>
              <w:top w:val="single" w:sz="8" w:color="auto"/>
            </w:tcBorders>
            <w:gridSpan w:val="2"/>
          </w:tcPr>
          <w:p>
            <w:pPr>
              <w:jc w:val="right"/>
              <w:ind w:right="770"/>
              <w:spacing w:after="0"/>
              <w:rPr>
                <w:sz w:val="20"/>
                <w:szCs w:val="20"/>
                <w:color w:val="auto"/>
              </w:rPr>
            </w:pPr>
            <w:r>
              <w:rPr>
                <w:rFonts w:ascii="Arial" w:cs="Arial" w:eastAsia="Arial" w:hAnsi="Arial"/>
                <w:sz w:val="18"/>
                <w:szCs w:val="18"/>
                <w:color w:val="auto"/>
              </w:rPr>
              <w:t>Year Ended</w:t>
            </w:r>
          </w:p>
        </w:tc>
        <w:tc>
          <w:tcPr>
            <w:tcW w:w="2480" w:type="dxa"/>
            <w:vAlign w:val="bottom"/>
            <w:tcBorders>
              <w:top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December 31, 2012</w:t>
            </w:r>
          </w:p>
        </w:tc>
        <w:tc>
          <w:tcPr>
            <w:tcW w:w="24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December 31,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Loss before income taxes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(5,857,943)</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(2,028,941)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Corporate tax rate</w:t>
            </w:r>
          </w:p>
        </w:tc>
        <w:tc>
          <w:tcPr>
            <w:tcW w:w="2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35.00%</w:t>
            </w:r>
          </w:p>
        </w:tc>
        <w:tc>
          <w:tcPr>
            <w:tcW w:w="1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Expected tax recovery</w:t>
            </w:r>
          </w:p>
        </w:tc>
        <w:tc>
          <w:tcPr>
            <w:tcW w:w="2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(2,050,280)</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(710,129)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Increase (decrease) resulting from:</w:t>
            </w:r>
          </w:p>
        </w:tc>
        <w:tc>
          <w:tcPr>
            <w:tcW w:w="2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Permanent differences</w:t>
            </w:r>
          </w:p>
        </w:tc>
        <w:tc>
          <w:tcPr>
            <w:tcW w:w="23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384,590</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152,458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items</w:t>
            </w:r>
          </w:p>
        </w:tc>
        <w:tc>
          <w:tcPr>
            <w:tcW w:w="2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(3,908)</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Change in valuation allowance</w:t>
            </w:r>
          </w:p>
        </w:tc>
        <w:tc>
          <w:tcPr>
            <w:tcW w:w="2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1,669,598</w:t>
            </w:r>
          </w:p>
        </w:tc>
        <w:tc>
          <w:tcPr>
            <w:tcW w:w="1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561,579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Income tax recovery</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660" w:type="dxa"/>
            <w:vAlign w:val="bottom"/>
            <w:gridSpan w:val="2"/>
          </w:tcPr>
          <w:p>
            <w:pPr>
              <w:spacing w:after="0"/>
              <w:rPr>
                <w:sz w:val="20"/>
                <w:szCs w:val="20"/>
                <w:color w:val="auto"/>
              </w:rPr>
            </w:pPr>
            <w:r>
              <w:rPr>
                <w:rFonts w:ascii="Arial" w:cs="Arial" w:eastAsia="Arial" w:hAnsi="Arial"/>
                <w:sz w:val="18"/>
                <w:szCs w:val="18"/>
                <w:color w:val="auto"/>
              </w:rPr>
              <w:t>The Company’s estimated deferred tax assets are as follows:</w:t>
            </w:r>
          </w:p>
        </w:tc>
        <w:tc>
          <w:tcPr>
            <w:tcW w:w="2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jc w:val="center"/>
              <w:ind w:right="190"/>
              <w:spacing w:after="0" w:line="201" w:lineRule="exact"/>
              <w:rPr>
                <w:sz w:val="20"/>
                <w:szCs w:val="20"/>
                <w:color w:val="auto"/>
              </w:rPr>
            </w:pPr>
            <w:r>
              <w:rPr>
                <w:rFonts w:ascii="Arial" w:cs="Arial" w:eastAsia="Arial" w:hAnsi="Arial"/>
                <w:sz w:val="18"/>
                <w:szCs w:val="18"/>
                <w:color w:val="auto"/>
                <w:w w:val="88"/>
              </w:rPr>
              <w:t>Year Ended</w:t>
            </w:r>
          </w:p>
        </w:tc>
        <w:tc>
          <w:tcPr>
            <w:tcW w:w="132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140" w:type="dxa"/>
            <w:vAlign w:val="bottom"/>
            <w:gridSpan w:val="2"/>
          </w:tcPr>
          <w:p>
            <w:pPr>
              <w:jc w:val="center"/>
              <w:ind w:left="630"/>
              <w:spacing w:after="0"/>
              <w:rPr>
                <w:sz w:val="20"/>
                <w:szCs w:val="20"/>
                <w:color w:val="auto"/>
              </w:rPr>
            </w:pPr>
            <w:r>
              <w:rPr>
                <w:rFonts w:ascii="Arial" w:cs="Arial" w:eastAsia="Arial" w:hAnsi="Arial"/>
                <w:sz w:val="18"/>
                <w:szCs w:val="18"/>
                <w:color w:val="auto"/>
                <w:w w:val="90"/>
              </w:rPr>
              <w:t>December 31,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2012</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Deferred tax assets:</w:t>
            </w:r>
          </w:p>
        </w:tc>
        <w:tc>
          <w:tcPr>
            <w:tcW w:w="2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 option expense</w:t>
            </w:r>
          </w:p>
        </w:tc>
        <w:tc>
          <w:tcPr>
            <w:tcW w:w="2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2,730,750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2,730,750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80"/>
              <w:spacing w:after="0"/>
              <w:rPr>
                <w:sz w:val="20"/>
                <w:szCs w:val="20"/>
                <w:color w:val="auto"/>
              </w:rPr>
            </w:pPr>
            <w:r>
              <w:rPr>
                <w:rFonts w:ascii="Arial" w:cs="Arial" w:eastAsia="Arial" w:hAnsi="Arial"/>
                <w:sz w:val="18"/>
                <w:szCs w:val="18"/>
                <w:color w:val="auto"/>
              </w:rPr>
              <w:t>Loss carry-forwards and tax pools</w:t>
            </w:r>
          </w:p>
        </w:tc>
        <w:tc>
          <w:tcPr>
            <w:tcW w:w="2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9,585,489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7,985,278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Valuation allowance</w:t>
            </w:r>
          </w:p>
        </w:tc>
        <w:tc>
          <w:tcPr>
            <w:tcW w:w="2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(12,316,239)</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(10,716,028)</w:t>
            </w:r>
          </w:p>
        </w:tc>
        <w:tc>
          <w:tcPr>
            <w:tcW w:w="0" w:type="dxa"/>
            <w:vAlign w:val="bottom"/>
          </w:tcPr>
          <w:p>
            <w:pPr>
              <w:spacing w:after="0"/>
              <w:rPr>
                <w:sz w:val="1"/>
                <w:szCs w:val="1"/>
                <w:color w:val="auto"/>
              </w:rPr>
            </w:pPr>
          </w:p>
        </w:tc>
      </w:tr>
      <w:tr>
        <w:trPr>
          <w:trHeight w:val="270"/>
        </w:trPr>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deferred income tax assets</w:t>
            </w:r>
          </w:p>
        </w:tc>
        <w:tc>
          <w:tcPr>
            <w:tcW w:w="2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the criteria for recognizing future income tax assets have not been met due to the uncertainty of realization, a valuation allowance of 100% has been recorded for the current and prior year.</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not filed income tax returns for several years for the US entities within the consolidated group of companies. Canadian corporate tax returns to the end of 2007 have been filed. Both taxing authorities prescribe penalties for failing to file certain tax returns and supplemental disclosures. Upon filing and/or review there could be penalties and interest assessed. Such penalties vary by jurisdiction and by assessing practices and authorities. As the Company has incurred losses since inception anticipated risk for exposure to penalties for income tax liability is determined to be low. However, certain jurisdictions may assess penalties for failing to file returns and other disclosures and for failing to file other supplementary information associated with foreign ownership, debt and equity positions. Inherent uncertainties arise over tax positions taken, or expected to be taken, with respect to transfer pricing, inter-company charges and allocations, financing charges, fees, related party transactions, tax credits, tax based incentives and stock based transactions.</w:t>
      </w:r>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has considered the likelihood and significance of possible penalties associated with its current and intended filing positions and has determined, based on their assessment, that such penalties, if any, would not be expected to be material.</w:t>
      </w:r>
    </w:p>
    <w:p>
      <w:pPr>
        <w:spacing w:after="0" w:line="193"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8"/>
          <w:szCs w:val="18"/>
          <w:b w:val="1"/>
          <w:bCs w:val="1"/>
          <w:color w:val="auto"/>
        </w:rPr>
        <w:t>SUPPLEMENTAL CASH FLOW INFORMATION AND NON-CASH INVESTING AND FINANCING ACTIVITIES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Borders>
              <w:top w:val="single" w:sz="8" w:color="auto"/>
            </w:tcBorders>
          </w:tcPr>
          <w:p>
            <w:pPr>
              <w:spacing w:after="0"/>
              <w:rPr>
                <w:sz w:val="19"/>
                <w:szCs w:val="19"/>
                <w:color w:val="auto"/>
              </w:rPr>
            </w:pPr>
          </w:p>
        </w:tc>
        <w:tc>
          <w:tcPr>
            <w:tcW w:w="6680" w:type="dxa"/>
            <w:vAlign w:val="bottom"/>
            <w:tcBorders>
              <w:top w:val="single" w:sz="8" w:color="auto"/>
            </w:tcBorders>
            <w:gridSpan w:val="2"/>
          </w:tcPr>
          <w:p>
            <w:pPr>
              <w:jc w:val="right"/>
              <w:ind w:right="850"/>
              <w:spacing w:after="0"/>
              <w:rPr>
                <w:sz w:val="20"/>
                <w:szCs w:val="20"/>
                <w:color w:val="auto"/>
              </w:rPr>
            </w:pPr>
            <w:r>
              <w:rPr>
                <w:rFonts w:ascii="Arial" w:cs="Arial" w:eastAsia="Arial" w:hAnsi="Arial"/>
                <w:sz w:val="18"/>
                <w:szCs w:val="18"/>
                <w:color w:val="auto"/>
              </w:rPr>
              <w:t>Year Ended</w:t>
            </w:r>
          </w:p>
        </w:tc>
      </w:tr>
      <w:tr>
        <w:trPr>
          <w:trHeight w:val="237"/>
        </w:trPr>
        <w:tc>
          <w:tcPr>
            <w:tcW w:w="474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color w:val="auto"/>
              </w:rPr>
              <w:t>December 31, 2012</w:t>
            </w:r>
          </w:p>
        </w:tc>
      </w:tr>
      <w:tr>
        <w:trPr>
          <w:trHeight w:val="250"/>
        </w:trPr>
        <w:tc>
          <w:tcPr>
            <w:tcW w:w="4740" w:type="dxa"/>
            <w:vAlign w:val="bottom"/>
            <w:tcBorders>
              <w:bottom w:val="single" w:sz="8" w:color="auto"/>
            </w:tcBorders>
          </w:tcPr>
          <w:p>
            <w:pPr>
              <w:spacing w:after="0"/>
              <w:rPr>
                <w:sz w:val="21"/>
                <w:szCs w:val="21"/>
                <w:color w:val="auto"/>
              </w:rPr>
            </w:pPr>
          </w:p>
        </w:tc>
        <w:tc>
          <w:tcPr>
            <w:tcW w:w="5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Shares/warrants</w:t>
            </w: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Amount</w:t>
            </w:r>
          </w:p>
        </w:tc>
      </w:tr>
      <w:tr>
        <w:trPr>
          <w:trHeight w:val="216"/>
        </w:trPr>
        <w:tc>
          <w:tcPr>
            <w:tcW w:w="474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Shares issued pursuant to consulting arrangements</w:t>
            </w:r>
          </w:p>
        </w:tc>
        <w:tc>
          <w:tcPr>
            <w:tcW w:w="5460" w:type="dxa"/>
            <w:vAlign w:val="bottom"/>
          </w:tcPr>
          <w:p>
            <w:pPr>
              <w:jc w:val="right"/>
              <w:ind w:right="150"/>
              <w:spacing w:after="0"/>
              <w:rPr>
                <w:sz w:val="20"/>
                <w:szCs w:val="20"/>
                <w:color w:val="auto"/>
              </w:rPr>
            </w:pPr>
            <w:r>
              <w:rPr>
                <w:rFonts w:ascii="Arial" w:cs="Arial" w:eastAsia="Arial" w:hAnsi="Arial"/>
                <w:sz w:val="18"/>
                <w:szCs w:val="18"/>
                <w:color w:val="auto"/>
              </w:rPr>
              <w:t>14,535,179</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1,998,000</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pursuant to debt settlement agreements</w:t>
            </w:r>
          </w:p>
        </w:tc>
        <w:tc>
          <w:tcPr>
            <w:tcW w:w="5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3,014,538</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348,282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Shares issued for interest and penalties</w:t>
            </w:r>
          </w:p>
        </w:tc>
        <w:tc>
          <w:tcPr>
            <w:tcW w:w="5460" w:type="dxa"/>
            <w:vAlign w:val="bottom"/>
          </w:tcPr>
          <w:p>
            <w:pPr>
              <w:jc w:val="right"/>
              <w:ind w:right="150"/>
              <w:spacing w:after="0"/>
              <w:rPr>
                <w:sz w:val="20"/>
                <w:szCs w:val="20"/>
                <w:color w:val="auto"/>
              </w:rPr>
            </w:pPr>
            <w:r>
              <w:rPr>
                <w:rFonts w:ascii="Arial" w:cs="Arial" w:eastAsia="Arial" w:hAnsi="Arial"/>
                <w:sz w:val="18"/>
                <w:szCs w:val="18"/>
                <w:color w:val="auto"/>
              </w:rPr>
              <w:t>1,653,113</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245,717</w:t>
            </w:r>
          </w:p>
        </w:tc>
      </w:tr>
      <w:tr>
        <w:trPr>
          <w:trHeight w:val="311"/>
        </w:trPr>
        <w:tc>
          <w:tcPr>
            <w:tcW w:w="4740" w:type="dxa"/>
            <w:vAlign w:val="bottom"/>
            <w:tcBorders>
              <w:bottom w:val="single" w:sz="8" w:color="auto"/>
            </w:tcBorders>
            <w:shd w:val="clear" w:color="auto" w:fill="CCEEFF"/>
          </w:tcPr>
          <w:p>
            <w:pPr>
              <w:spacing w:after="0"/>
              <w:rPr>
                <w:sz w:val="24"/>
                <w:szCs w:val="24"/>
                <w:color w:val="auto"/>
              </w:rPr>
            </w:pPr>
          </w:p>
        </w:tc>
        <w:tc>
          <w:tcPr>
            <w:tcW w:w="54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r>
      <w:tr>
        <w:trPr>
          <w:trHeight w:val="601"/>
        </w:trPr>
        <w:tc>
          <w:tcPr>
            <w:tcW w:w="4740" w:type="dxa"/>
            <w:vAlign w:val="bottom"/>
          </w:tcPr>
          <w:p>
            <w:pPr>
              <w:spacing w:after="0"/>
              <w:rPr>
                <w:sz w:val="24"/>
                <w:szCs w:val="24"/>
                <w:color w:val="auto"/>
              </w:rPr>
            </w:pPr>
          </w:p>
        </w:tc>
        <w:tc>
          <w:tcPr>
            <w:tcW w:w="5460" w:type="dxa"/>
            <w:vAlign w:val="bottom"/>
          </w:tcPr>
          <w:p>
            <w:pPr>
              <w:jc w:val="right"/>
              <w:ind w:right="4310"/>
              <w:spacing w:after="0"/>
              <w:rPr>
                <w:sz w:val="20"/>
                <w:szCs w:val="20"/>
                <w:color w:val="auto"/>
              </w:rPr>
            </w:pPr>
            <w:r>
              <w:rPr>
                <w:rFonts w:ascii="Arial" w:cs="Arial" w:eastAsia="Arial" w:hAnsi="Arial"/>
                <w:sz w:val="18"/>
                <w:szCs w:val="18"/>
                <w:color w:val="auto"/>
              </w:rPr>
              <w:t>49</w:t>
            </w:r>
          </w:p>
        </w:tc>
        <w:tc>
          <w:tcPr>
            <w:tcW w:w="1220" w:type="dxa"/>
            <w:vAlign w:val="bottom"/>
          </w:tcPr>
          <w:p>
            <w:pPr>
              <w:spacing w:after="0"/>
              <w:rPr>
                <w:sz w:val="24"/>
                <w:szCs w:val="24"/>
                <w:color w:val="auto"/>
              </w:rPr>
            </w:pPr>
          </w:p>
        </w:tc>
      </w:tr>
      <w:tr>
        <w:trPr>
          <w:trHeight w:val="118"/>
        </w:trPr>
        <w:tc>
          <w:tcPr>
            <w:tcW w:w="474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9"/>
        </w:trPr>
        <w:tc>
          <w:tcPr>
            <w:tcW w:w="7560" w:type="dxa"/>
            <w:vAlign w:val="bottom"/>
            <w:tcBorders>
              <w:top w:val="single" w:sz="8" w:color="auto"/>
            </w:tcBorders>
          </w:tcPr>
          <w:p>
            <w:pPr>
              <w:spacing w:after="0"/>
              <w:rPr>
                <w:sz w:val="19"/>
                <w:szCs w:val="19"/>
                <w:color w:val="auto"/>
              </w:rPr>
            </w:pPr>
          </w:p>
        </w:tc>
        <w:tc>
          <w:tcPr>
            <w:tcW w:w="3860" w:type="dxa"/>
            <w:vAlign w:val="bottom"/>
            <w:tcBorders>
              <w:top w:val="single" w:sz="8" w:color="auto"/>
            </w:tcBorders>
            <w:gridSpan w:val="2"/>
          </w:tcPr>
          <w:p>
            <w:pPr>
              <w:jc w:val="right"/>
              <w:ind w:right="850"/>
              <w:spacing w:after="0"/>
              <w:rPr>
                <w:sz w:val="20"/>
                <w:szCs w:val="20"/>
                <w:color w:val="auto"/>
              </w:rPr>
            </w:pPr>
            <w:r>
              <w:rPr>
                <w:rFonts w:ascii="Arial" w:cs="Arial" w:eastAsia="Arial" w:hAnsi="Arial"/>
                <w:sz w:val="18"/>
                <w:szCs w:val="18"/>
                <w:color w:val="auto"/>
              </w:rPr>
              <w:t>Year Ended</w:t>
            </w:r>
          </w:p>
        </w:tc>
      </w:tr>
      <w:tr>
        <w:trPr>
          <w:trHeight w:val="237"/>
        </w:trPr>
        <w:tc>
          <w:tcPr>
            <w:tcW w:w="756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color w:val="auto"/>
              </w:rPr>
              <w:t>December 31, 2011</w:t>
            </w:r>
          </w:p>
        </w:tc>
      </w:tr>
      <w:tr>
        <w:trPr>
          <w:trHeight w:val="250"/>
        </w:trPr>
        <w:tc>
          <w:tcPr>
            <w:tcW w:w="756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Shares/warrants</w:t>
            </w: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Amount</w:t>
            </w:r>
          </w:p>
        </w:tc>
      </w:tr>
      <w:tr>
        <w:trPr>
          <w:trHeight w:val="216"/>
        </w:trPr>
        <w:tc>
          <w:tcPr>
            <w:tcW w:w="75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Prepaid portion of fair value of shares issued pursuant to consulting service agreements</w:t>
            </w:r>
          </w:p>
        </w:tc>
        <w:tc>
          <w:tcPr>
            <w:tcW w:w="2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35,968</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pursuant to consulting arrangements</w:t>
            </w:r>
          </w:p>
        </w:tc>
        <w:tc>
          <w:tcPr>
            <w:tcW w:w="2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2,971,464</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646,408</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Shares issued pursuant to debt settlement agreements</w:t>
            </w:r>
          </w:p>
        </w:tc>
        <w:tc>
          <w:tcPr>
            <w:tcW w:w="2640" w:type="dxa"/>
            <w:vAlign w:val="bottom"/>
          </w:tcPr>
          <w:p>
            <w:pPr>
              <w:jc w:val="right"/>
              <w:ind w:right="150"/>
              <w:spacing w:after="0"/>
              <w:rPr>
                <w:sz w:val="20"/>
                <w:szCs w:val="20"/>
                <w:color w:val="auto"/>
              </w:rPr>
            </w:pPr>
            <w:r>
              <w:rPr>
                <w:rFonts w:ascii="Arial" w:cs="Arial" w:eastAsia="Arial" w:hAnsi="Arial"/>
                <w:sz w:val="18"/>
                <w:szCs w:val="18"/>
                <w:color w:val="auto"/>
              </w:rPr>
              <w:t>3,953,413</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755,777</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settled by issuing shares</w:t>
            </w:r>
          </w:p>
        </w:tc>
        <w:tc>
          <w:tcPr>
            <w:tcW w:w="2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1,029,413</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200,736</w:t>
            </w:r>
          </w:p>
        </w:tc>
      </w:tr>
      <w:tr>
        <w:trPr>
          <w:trHeight w:val="270"/>
        </w:trPr>
        <w:tc>
          <w:tcPr>
            <w:tcW w:w="756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r>
      <w:tr>
        <w:trPr>
          <w:trHeight w:val="21"/>
        </w:trPr>
        <w:tc>
          <w:tcPr>
            <w:tcW w:w="75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February 2011 Note settlement agreement entered during the year ended December 31, 2012, the Company issued December 14, 2012 Note in the amount of $252,280 of which, $220,255 was deemed to be for partial settlement of the February 2011 Note (Note 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promissory note settlement agreement entered during the year ended December 31, 2012, the Company issued November 1, 2012 Notes in the amount of $105,000 which was deemed to be full settlement of the promissory note (Note 7).</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2010 Note settlement and warrant extinguishment agreements entered during the year ended December 31, 2011, the Company issued February 2011 Notes in the amount of $240,000 of which, $80,000 was deemed to be for partial settlement of the 2010 Series A, Series B and Series C warrants (Note 5).</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warrant extinguishment agreement entered during the year ended December 31, 2011, the Company issued an April 2011 Note in the amount of $25,000, which was for partial settlement of the 2010 Series A, Series B and Series C warrants (Note 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Notes 5 and 9 for additional disclosure on non-cash transactions.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5120" w:type="dxa"/>
            <w:vAlign w:val="bottom"/>
            <w:tcBorders>
              <w:top w:val="single" w:sz="8" w:color="auto"/>
            </w:tcBorders>
          </w:tcPr>
          <w:p>
            <w:pPr>
              <w:spacing w:after="0"/>
              <w:rPr>
                <w:sz w:val="22"/>
                <w:szCs w:val="22"/>
                <w:color w:val="auto"/>
              </w:rPr>
            </w:pPr>
          </w:p>
        </w:tc>
        <w:tc>
          <w:tcPr>
            <w:tcW w:w="600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Year Ended December 31,</w:t>
            </w:r>
          </w:p>
        </w:tc>
        <w:tc>
          <w:tcPr>
            <w:tcW w:w="280" w:type="dxa"/>
            <w:vAlign w:val="bottom"/>
            <w:tcBorders>
              <w:top w:val="single" w:sz="8" w:color="auto"/>
            </w:tcBorders>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2012</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2011</w:t>
            </w:r>
          </w:p>
        </w:tc>
        <w:tc>
          <w:tcPr>
            <w:tcW w:w="280" w:type="dxa"/>
            <w:vAlign w:val="bottom"/>
            <w:tcBorders>
              <w:bottom w:val="single" w:sz="8" w:color="auto"/>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paid in cash</w:t>
            </w:r>
          </w:p>
        </w:tc>
        <w:tc>
          <w:tcPr>
            <w:tcW w:w="46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 paid</w:t>
            </w:r>
          </w:p>
        </w:tc>
        <w:tc>
          <w:tcPr>
            <w:tcW w:w="46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CONTINGENCIES AND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Filings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not filed income tax returns for several years in certain operating jurisdictions (Note 10), and may be subject to possible compliance penalties and interest. Management is currently not able to make a reliably measurable provision for possible liability for penalties and interest, if any, at this time, and the Company may be liable for such amounts upon assessment. Penalties and interest, if assessed in the future, will be recorded in the period such amounts are determinable.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Research and Operating Obligations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May 25, 2010, the Company entered into a research and license Option Agreement with the Mayo Clinic for the development and possible commercial use of a cancer vaccine. Subject to the approval and guidance of the United States Food and Drug Administration (“FDA”) the Mayo Clinic plans to conduct a Phase I human clinical trial (“Phase I Trial”) to test and develop the Company’s technology.</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agreed that, during the period of the option and upon approval of FDA to conduct Phase I Trials, will pay all the costs incurred by the Mayo Clinic, not to exceed a total of $841,000. Both Parties agree that within 30 days after the Mayo Clinic informs the Company in writing about the receipt of FDA approval, the parties shall enter into an a formal research agreement. Management anticipates that Phase 1 Trials will begin in the second quarter of 2013. An initial payment of $250,000 will be required within 30 days of receiving notice from the Mayo Clinic that the Phase 1 Trial will commence.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Management Services Agreement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2011, the Company approved an employment agreement with Dr. Wilson with an initial term of 2 years, which may be automatically extended for successive one-year terms. This employment agreement provides for annual compensation of $180,000 and the grant of an option to acquire 2,000,000 shares of the Company’s common stock at $0.19 per share, 50% of which vested on March 16, 2011, while the remainder will vest monthly over a period of two years (41,667 per month). The options shall be exercisable for at least five years.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Consultant Agreements</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April 2012, the Company entered into an investors’ relation consulting agreement for a one year term, with a one-time right to terminate the agreement at its six month anniversary. The consulting agreement provides for the Company to issue 620,690 shares to the consultant and a monthly payment of $7,500.</w:t>
      </w:r>
    </w:p>
    <w:p>
      <w:pPr>
        <w:spacing w:after="0" w:line="15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April 2012, the Company entered into financial consulting service agreements, which included compensation of 14,000,000 shares of common stock, whereby the Company agreed to issue additional shares to the consultants to restore their holdings to 24.8% of fully diluted capitalization of the Company if the Company completes a re-organization, re-capitalization or a liquidity event during the eighteen months commencing with the signing of these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Lease Agreement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2011, the Company entered into a lease agreement, to start in January 2012 for a two year period. The Company will pay a monthly basic rent of $7,152 and additional rent for operating costs of 2.20% of total operating expenses of the property.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obligations under various research and consulting agreements through December 31, 2014. The aggregate minimum annual payments for the years ending December 31 are as follows: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240" w:type="dxa"/>
            <w:vAlign w:val="bottom"/>
            <w:gridSpan w:val="2"/>
          </w:tcPr>
          <w:p>
            <w:pPr>
              <w:jc w:val="right"/>
              <w:ind w:right="3790"/>
              <w:spacing w:after="0"/>
              <w:rPr>
                <w:sz w:val="20"/>
                <w:szCs w:val="20"/>
                <w:color w:val="auto"/>
              </w:rPr>
            </w:pPr>
            <w:r>
              <w:rPr>
                <w:rFonts w:ascii="Arial" w:cs="Arial" w:eastAsia="Arial" w:hAnsi="Arial"/>
                <w:sz w:val="18"/>
                <w:szCs w:val="18"/>
                <w:color w:val="auto"/>
                <w:w w:val="84"/>
              </w:rPr>
              <w:t>2013</w:t>
            </w:r>
          </w:p>
        </w:tc>
        <w:tc>
          <w:tcPr>
            <w:tcW w:w="39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845,813</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jc w:val="right"/>
              <w:ind w:right="3790"/>
              <w:spacing w:after="0"/>
              <w:rPr>
                <w:sz w:val="20"/>
                <w:szCs w:val="20"/>
                <w:color w:val="auto"/>
              </w:rPr>
            </w:pPr>
            <w:r>
              <w:rPr>
                <w:rFonts w:ascii="Arial" w:cs="Arial" w:eastAsia="Arial" w:hAnsi="Arial"/>
                <w:sz w:val="18"/>
                <w:szCs w:val="18"/>
                <w:color w:val="auto"/>
                <w:w w:val="79"/>
              </w:rPr>
              <w:t>2014</w:t>
            </w:r>
          </w:p>
        </w:tc>
        <w:tc>
          <w:tcPr>
            <w:tcW w:w="39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362,284</w:t>
            </w: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9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1,208,097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 and Accrued Liabilities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00" w:type="dxa"/>
            <w:vAlign w:val="bottom"/>
            <w:tcBorders>
              <w:top w:val="single" w:sz="8" w:color="auto"/>
            </w:tcBorders>
          </w:tcPr>
          <w:p>
            <w:pPr>
              <w:spacing w:after="0"/>
              <w:rPr>
                <w:sz w:val="19"/>
                <w:szCs w:val="19"/>
                <w:color w:val="auto"/>
              </w:rPr>
            </w:pPr>
          </w:p>
        </w:tc>
        <w:tc>
          <w:tcPr>
            <w:tcW w:w="7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3"/>
              </w:rPr>
              <w:t>December 31,</w:t>
            </w: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December 31,</w:t>
            </w:r>
          </w:p>
        </w:tc>
      </w:tr>
      <w:tr>
        <w:trPr>
          <w:trHeight w:val="230"/>
        </w:trPr>
        <w:tc>
          <w:tcPr>
            <w:tcW w:w="140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2012</w:t>
            </w: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2011</w:t>
            </w:r>
          </w:p>
        </w:tc>
      </w:tr>
      <w:tr>
        <w:trPr>
          <w:trHeight w:val="250"/>
        </w:trPr>
        <w:tc>
          <w:tcPr>
            <w:tcW w:w="1400" w:type="dxa"/>
            <w:vAlign w:val="bottom"/>
            <w:tcBorders>
              <w:bottom w:val="single" w:sz="8" w:color="auto"/>
            </w:tcBorders>
          </w:tcPr>
          <w:p>
            <w:pPr>
              <w:spacing w:after="0"/>
              <w:rPr>
                <w:sz w:val="21"/>
                <w:szCs w:val="21"/>
                <w:color w:val="auto"/>
              </w:rPr>
            </w:pPr>
          </w:p>
        </w:tc>
        <w:tc>
          <w:tcPr>
            <w:tcW w:w="7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gridSpan w:val="2"/>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Trade accounts payable</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1,680,155</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625,063</w:t>
            </w:r>
          </w:p>
        </w:tc>
      </w:tr>
      <w:tr>
        <w:trPr>
          <w:trHeight w:val="216"/>
        </w:trPr>
        <w:tc>
          <w:tcPr>
            <w:tcW w:w="1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Accrued liabilities</w:t>
            </w:r>
          </w:p>
        </w:tc>
        <w:tc>
          <w:tcPr>
            <w:tcW w:w="7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242,245</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74,218</w:t>
            </w:r>
          </w:p>
        </w:tc>
      </w:tr>
      <w:tr>
        <w:trPr>
          <w:trHeight w:val="216"/>
        </w:trPr>
        <w:tc>
          <w:tcPr>
            <w:tcW w:w="1400" w:type="dxa"/>
            <w:vAlign w:val="bottom"/>
          </w:tcPr>
          <w:p>
            <w:pPr>
              <w:ind w:left="60"/>
              <w:spacing w:after="0"/>
              <w:rPr>
                <w:sz w:val="20"/>
                <w:szCs w:val="20"/>
                <w:color w:val="auto"/>
              </w:rPr>
            </w:pPr>
            <w:r>
              <w:rPr>
                <w:rFonts w:ascii="Arial" w:cs="Arial" w:eastAsia="Arial" w:hAnsi="Arial"/>
                <w:sz w:val="18"/>
                <w:szCs w:val="18"/>
                <w:color w:val="auto"/>
                <w:w w:val="95"/>
              </w:rPr>
              <w:t>Employee payroll</w:t>
            </w:r>
          </w:p>
        </w:tc>
        <w:tc>
          <w:tcPr>
            <w:tcW w:w="74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61,458</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7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74,698</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89,760</w:t>
            </w:r>
          </w:p>
        </w:tc>
      </w:tr>
      <w:tr>
        <w:trPr>
          <w:trHeight w:val="223"/>
        </w:trPr>
        <w:tc>
          <w:tcPr>
            <w:tcW w:w="1400" w:type="dxa"/>
            <w:vAlign w:val="bottom"/>
          </w:tcPr>
          <w:p>
            <w:pPr>
              <w:ind w:left="60"/>
              <w:spacing w:after="0"/>
              <w:rPr>
                <w:sz w:val="20"/>
                <w:szCs w:val="20"/>
                <w:color w:val="auto"/>
              </w:rPr>
            </w:pPr>
            <w:r>
              <w:rPr>
                <w:rFonts w:ascii="Arial" w:cs="Arial" w:eastAsia="Arial" w:hAnsi="Arial"/>
                <w:sz w:val="18"/>
                <w:szCs w:val="18"/>
                <w:color w:val="auto"/>
              </w:rPr>
              <w:t>Other liabilities</w:t>
            </w:r>
          </w:p>
        </w:tc>
        <w:tc>
          <w:tcPr>
            <w:tcW w:w="7420" w:type="dxa"/>
            <w:vAlign w:val="bottom"/>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5,250</w:t>
            </w:r>
          </w:p>
        </w:tc>
      </w:tr>
      <w:tr>
        <w:trPr>
          <w:trHeight w:val="257"/>
        </w:trPr>
        <w:tc>
          <w:tcPr>
            <w:tcW w:w="1400" w:type="dxa"/>
            <w:vAlign w:val="bottom"/>
            <w:tcBorders>
              <w:bottom w:val="single" w:sz="8" w:color="CCEEFF"/>
            </w:tcBorders>
            <w:shd w:val="clear" w:color="auto" w:fill="CCEEFF"/>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2,058,556</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794,291</w:t>
            </w:r>
          </w:p>
        </w:tc>
      </w:tr>
      <w:tr>
        <w:trPr>
          <w:trHeight w:val="426"/>
        </w:trPr>
        <w:tc>
          <w:tcPr>
            <w:tcW w:w="1400" w:type="dxa"/>
            <w:vAlign w:val="bottom"/>
          </w:tcPr>
          <w:p>
            <w:pPr>
              <w:spacing w:after="0"/>
              <w:rPr>
                <w:sz w:val="20"/>
                <w:szCs w:val="20"/>
                <w:color w:val="auto"/>
              </w:rPr>
            </w:pPr>
            <w:r>
              <w:rPr>
                <w:rFonts w:ascii="Arial" w:cs="Arial" w:eastAsia="Arial" w:hAnsi="Arial"/>
                <w:sz w:val="18"/>
                <w:szCs w:val="18"/>
                <w:b w:val="1"/>
                <w:bCs w:val="1"/>
                <w:color w:val="auto"/>
              </w:rPr>
              <w:t>NOTE 13:</w:t>
            </w:r>
          </w:p>
        </w:tc>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SUBSEQUENT EVENTS</w:t>
            </w: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is in default of the secured notes issued in February 2011. No second year amortization payments have been made to the holders as of the anniversary of the notes in February 2013 and April 2013. Interest charges will be accrued at 20% per year. The note holders have not made any demands other than the interest rate penalty and are in discussions with the Company to resolve the matter.</w:t>
      </w:r>
    </w:p>
    <w:p>
      <w:pPr>
        <w:spacing w:after="0" w:line="20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 is in default of the October 2012 note to Tonaquint due to the late filing of this annual report. Concurrent with the filing, this default will be cured. The lender has not made any claims under their default provisions and management is working closely with them to mitigate or negate any such claims.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4" w:name="page55"/>
    <w:bookmarkEnd w:id="54"/>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had no disagreements with our principal independent accountants.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Principal Executive Officer and Principal Financial Officer have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management of the Company is responsible for establishing and maintaining adequate internal control over financial reporting, as required by Sarbanes-Oxley (SOX) Section 404 A. The Company's internal control over financial reporting is a process designed under the supervision of the Company's Principal Executive Officer and Principal Financial Officer to provide reasonable assurance regarding the reliability of financial reporting and the preparation of the Company's financial statements for external purposes in accordance with United States generally accepted accounting principles (“US GAAP”).</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December 31, 2012, management assessed the effectiveness of the Company's internal control over financial reporting based on the criteria for effective internal control over financial reporting established in Internal Control -Integrated Framework issued by the Committee of Sponsoring Organizations of the Treadway Commission ("COSO") and SEC guidance on conducting such assessments. Based on that evaluation, they concluded that, as at December 31, 2012 such internal controls and procedures were not effective to detect the inappropriate application of US GAAP rules as more fully described below.</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matters involving internal controls and procedures that the Company’s management considered to be material weaknesses under the standards of the Public Company Accounting Oversight Board were: (1) inadequate entity level controls due to an ineffective audit committee resulting from the presence of only one of independent member on the current audit committee and the presence of only one outside director on our board of directors; (2) inadequate segregation of duties consistent with control objectives; (3) insufficient written policies and procedures for accounting and financial reporting with respect to the requirements and application of US GAAP and SEC disclosure requirements; and (4) ineffective controls over period end financial disclosure and reporting processes.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believes that none of the material weaknesses set forth above had a material adverse effect on the Company's financial results for the fiscal year ended December 31, 2012 but management is concerned that the material weakness in entity level controls set forth in item (1) results in ineffective oversight in the establishment and monitoring of required internal controls and procedures, it could result in a material misstatement in our financial statements in future periods.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committed to improving our financial organization. As part of this commitment, we intend to continue to enhance our internal control over financial reporting by: i) expanding our personnel, ii) improving segregated duties consistent with control objectives, iii) appointing more outside directors to our board of directors who shall be appointed to our audit committee resulting in a fully functioning audit committee who will undertake the oversight in the establishment and monitoring of required internal controls and procedures such as reviewing and approving estimates and assumptions made by management; and iv) preparing and implementing sufficient written policies and checklists which will set forth procedures for accounting and financial reporting with respect to the requirements and application of US GAAP and SEC disclosure requirements.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5" w:name="page56"/>
    <w:bookmarkEnd w:id="55"/>
    <w:p>
      <w:pPr>
        <w:jc w:val="both"/>
        <w:spacing w:after="0" w:line="273" w:lineRule="auto"/>
        <w:rPr>
          <w:sz w:val="20"/>
          <w:szCs w:val="20"/>
          <w:color w:val="auto"/>
        </w:rPr>
      </w:pPr>
      <w:r>
        <w:rPr>
          <w:rFonts w:ascii="Arial" w:cs="Arial" w:eastAsia="Arial" w:hAnsi="Arial"/>
          <w:sz w:val="17"/>
          <w:szCs w:val="17"/>
          <w:color w:val="auto"/>
        </w:rPr>
        <w:t>Management believes that the appointment of one or more outside directors, who shall be appointed to a fully functioning audit committee, will remedy the ineffective audit committee. To this end, Sherry Grisewood was appointed to our audit Committee in 2013. In addition, management believes that preparing and implementing sufficient written policies and checklists will remedy the following material weaknesses (i) insufficient written policies and procedures for accounting and financial reporting with respect to the requirements and application of US GAAP and SEC disclosure requirements; and (ii) ineffective controls over period end financial close and reporting processes. Further, management believes that the hiring of additional personnel will result in improved segregation of duties and provide more checks and balances within the financial reporting department.</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continue to monitor and evaluate the effectiveness of our internal controls and procedures over financial reporting on an ongoing basis and are committed to taking further action by implementing additional enhancements or improvements, or deploying additional human resources as may be deemed necessary.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controls over financial reporting. Management’s report was not subject to attestation by the Company’s registered public accounting firm pursuant to the temporary rules of the SEC that permit the Company to provide only management’s report in this annual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our fourth fiscal quarter of our fiscal year ended December 31, 2012 that have materially affected, or are reasonably likely to materially affect, our internal control over financial reporting.</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and their respective ages as of the date of this annual report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780" w:type="dxa"/>
            <w:vAlign w:val="bottom"/>
            <w:tcBorders>
              <w:top w:val="single" w:sz="8" w:color="auto"/>
              <w:bottom w:val="single" w:sz="8" w:color="auto"/>
            </w:tcBorders>
          </w:tcPr>
          <w:p>
            <w:pPr>
              <w:jc w:val="center"/>
              <w:ind w:left="1230"/>
              <w:spacing w:after="0"/>
              <w:rPr>
                <w:sz w:val="20"/>
                <w:szCs w:val="20"/>
                <w:color w:val="auto"/>
              </w:rPr>
            </w:pPr>
            <w:r>
              <w:rPr>
                <w:rFonts w:ascii="Arial" w:cs="Arial" w:eastAsia="Arial" w:hAnsi="Arial"/>
                <w:sz w:val="18"/>
                <w:szCs w:val="18"/>
                <w:b w:val="1"/>
                <w:bCs w:val="1"/>
                <w:color w:val="auto"/>
                <w:w w:val="88"/>
              </w:rPr>
              <w:t>Age</w:t>
            </w:r>
          </w:p>
        </w:tc>
        <w:tc>
          <w:tcPr>
            <w:tcW w:w="54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b w:val="1"/>
                <w:bCs w:val="1"/>
                <w:color w:val="auto"/>
              </w:rPr>
              <w:t>Position with the Company</w:t>
            </w: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rPr>
              <w:t>Glynn Wilson</w:t>
            </w:r>
          </w:p>
        </w:tc>
        <w:tc>
          <w:tcPr>
            <w:tcW w:w="2780" w:type="dxa"/>
            <w:vAlign w:val="bottom"/>
          </w:tcPr>
          <w:p>
            <w:pPr>
              <w:jc w:val="center"/>
              <w:ind w:left="1230"/>
              <w:spacing w:after="0" w:line="201" w:lineRule="exact"/>
              <w:rPr>
                <w:sz w:val="20"/>
                <w:szCs w:val="20"/>
                <w:color w:val="auto"/>
              </w:rPr>
            </w:pPr>
            <w:r>
              <w:rPr>
                <w:rFonts w:ascii="Arial" w:cs="Arial" w:eastAsia="Arial" w:hAnsi="Arial"/>
                <w:sz w:val="18"/>
                <w:szCs w:val="18"/>
                <w:color w:val="auto"/>
                <w:w w:val="89"/>
              </w:rPr>
              <w:t>66</w:t>
            </w:r>
          </w:p>
        </w:tc>
        <w:tc>
          <w:tcPr>
            <w:tcW w:w="5420" w:type="dxa"/>
            <w:vAlign w:val="bottom"/>
          </w:tcPr>
          <w:p>
            <w:pPr>
              <w:ind w:left="560"/>
              <w:spacing w:after="0" w:line="201" w:lineRule="exact"/>
              <w:rPr>
                <w:sz w:val="20"/>
                <w:szCs w:val="20"/>
                <w:color w:val="auto"/>
              </w:rPr>
            </w:pPr>
            <w:r>
              <w:rPr>
                <w:rFonts w:ascii="Arial" w:cs="Arial" w:eastAsia="Arial" w:hAnsi="Arial"/>
                <w:sz w:val="18"/>
                <w:szCs w:val="18"/>
                <w:color w:val="auto"/>
                <w:w w:val="98"/>
              </w:rPr>
              <w:t>Chairman, Chief Executive Officer, Principal Executive Officer</w:t>
            </w:r>
          </w:p>
        </w:tc>
      </w:tr>
      <w:tr>
        <w:trPr>
          <w:trHeight w:val="216"/>
        </w:trPr>
        <w:tc>
          <w:tcPr>
            <w:tcW w:w="3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420" w:type="dxa"/>
            <w:vAlign w:val="bottom"/>
          </w:tcPr>
          <w:p>
            <w:pPr>
              <w:ind w:left="560"/>
              <w:spacing w:after="0"/>
              <w:rPr>
                <w:sz w:val="20"/>
                <w:szCs w:val="20"/>
                <w:color w:val="auto"/>
              </w:rPr>
            </w:pPr>
            <w:r>
              <w:rPr>
                <w:rFonts w:ascii="Arial" w:cs="Arial" w:eastAsia="Arial" w:hAnsi="Arial"/>
                <w:sz w:val="18"/>
                <w:szCs w:val="18"/>
                <w:color w:val="auto"/>
              </w:rPr>
              <w:t>and a Director</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Mark Reddish</w:t>
            </w:r>
          </w:p>
        </w:tc>
        <w:tc>
          <w:tcPr>
            <w:tcW w:w="2780" w:type="dxa"/>
            <w:vAlign w:val="bottom"/>
          </w:tcPr>
          <w:p>
            <w:pPr>
              <w:jc w:val="center"/>
              <w:ind w:left="1230"/>
              <w:spacing w:after="0"/>
              <w:rPr>
                <w:sz w:val="20"/>
                <w:szCs w:val="20"/>
                <w:color w:val="auto"/>
              </w:rPr>
            </w:pPr>
            <w:r>
              <w:rPr>
                <w:rFonts w:ascii="Arial" w:cs="Arial" w:eastAsia="Arial" w:hAnsi="Arial"/>
                <w:sz w:val="18"/>
                <w:szCs w:val="18"/>
                <w:color w:val="auto"/>
                <w:w w:val="89"/>
              </w:rPr>
              <w:t>58</w:t>
            </w:r>
          </w:p>
        </w:tc>
        <w:tc>
          <w:tcPr>
            <w:tcW w:w="5420" w:type="dxa"/>
            <w:vAlign w:val="bottom"/>
          </w:tcPr>
          <w:p>
            <w:pPr>
              <w:ind w:left="560"/>
              <w:spacing w:after="0"/>
              <w:rPr>
                <w:sz w:val="20"/>
                <w:szCs w:val="20"/>
                <w:color w:val="auto"/>
              </w:rPr>
            </w:pPr>
            <w:r>
              <w:rPr>
                <w:rFonts w:ascii="Arial" w:cs="Arial" w:eastAsia="Arial" w:hAnsi="Arial"/>
                <w:sz w:val="18"/>
                <w:szCs w:val="18"/>
                <w:color w:val="auto"/>
              </w:rPr>
              <w:t>Vice President Development</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Sherry Grisewood</w:t>
            </w:r>
          </w:p>
        </w:tc>
        <w:tc>
          <w:tcPr>
            <w:tcW w:w="2780" w:type="dxa"/>
            <w:vAlign w:val="bottom"/>
          </w:tcPr>
          <w:p>
            <w:pPr>
              <w:jc w:val="center"/>
              <w:ind w:left="1230"/>
              <w:spacing w:after="0"/>
              <w:rPr>
                <w:sz w:val="20"/>
                <w:szCs w:val="20"/>
                <w:color w:val="auto"/>
              </w:rPr>
            </w:pPr>
            <w:r>
              <w:rPr>
                <w:rFonts w:ascii="Arial" w:cs="Arial" w:eastAsia="Arial" w:hAnsi="Arial"/>
                <w:sz w:val="18"/>
                <w:szCs w:val="18"/>
                <w:color w:val="auto"/>
                <w:w w:val="89"/>
              </w:rPr>
              <w:t>60</w:t>
            </w:r>
          </w:p>
        </w:tc>
        <w:tc>
          <w:tcPr>
            <w:tcW w:w="5420" w:type="dxa"/>
            <w:vAlign w:val="bottom"/>
          </w:tcPr>
          <w:p>
            <w:pPr>
              <w:ind w:left="560"/>
              <w:spacing w:after="0"/>
              <w:rPr>
                <w:sz w:val="20"/>
                <w:szCs w:val="20"/>
                <w:color w:val="auto"/>
              </w:rPr>
            </w:pPr>
            <w:r>
              <w:rPr>
                <w:rFonts w:ascii="Arial" w:cs="Arial" w:eastAsia="Arial" w:hAnsi="Arial"/>
                <w:sz w:val="18"/>
                <w:szCs w:val="18"/>
                <w:color w:val="auto"/>
              </w:rPr>
              <w:t>Independent Board Member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business experience of each of our directors and executive officers, including other directorships held in reporting companies: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Glynn Wilson, Ph.D., Chief Executive Officer and Chairman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Dr. Wilson brings an extensive background of success in corporate management and product development with tenures in both major multinational pharmaceutical companies and start-up pharmaceutical/biotech organizations. Dr. Wilson's former positions include Head of Drug Delivery at SmithKline Beecham Pharmaceuticals, Research Area Head in Advanced Drug Delivery at Ciba-Geigy Pharmaceuticals, and President and co-founder of Auriga Pharmaceuticals. As Executive Vice President of R&amp;D at Tacora Corporation he was responsible for merging the Company with Access Pharmaceuticals. He is a recognized leader in the development of drug delivery systems and has been involved in taking lead products &amp; technologies from concept to commercialization. Glynn has a Ph.D. in Biochemistry and conducted medical research at The Rockefeller University, New York. He has been on the Board of TapImmune for 4 years.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Mark Reddish, VP Development</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Mark was formerly Vice President of Product Development and Principal Investigator, Biodefense at ID Biomedical, Bothell, WA, prior to the acquisition of the company by Glaxo SmithKline for $1.6 billion. At Biomira Inc, (renamed Oncothyreon) he was responsible for preclinical development of their cancer vaccines program where he led the early research and clinical development of Stimuvax, which is currently in late Stage 3 clinical trials under a partnership with Merck KGa. Mark brings thirty years of biomedical experience ranging from clinical and academic research to industrial product development and has already brought significant value and insight to TapImmune as a member of the scientific advisory board. He has over 50 publications and a number of issued and pending patents in the area of vaccine technologies.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Sherry Grisewood, Director</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Sherry Grisewood, CFA, has over 25 years securities industry experience in a range of investment banking, advisory and research-related activities. She is currently associated with Dawson James Securities Inc in a senior banking analytical role. Prior to joining Dawson James, she most recently inaugurated a Lifesciences specialty practice as Managing Director, Lifesciences and Technology Banking for Tripoint Global Equities. Prior to Tripoint, Sherry served as Senior Life Sciences Banker at Jesup &amp; Lamont Securities Corp. and as an independent strategic advisor and consultant for several investment banks over the prior 12 year period. She has participated in over 50 transaction-related projects involving initial public offerings, secondary offerings, PIPE’s, private equity, M&amp;A and licensing transactions. These deals and projects represented US, Canadian, Scandinavian, UK, Chinese and Australian clients with advanced technologies and the development of nucleic acid therapeutics and delivery systems in the life sciences such as those addressing nucleic acid therapeutics, regenerative medicine, CNS diseases, or leading edge technologies for lifescience special situations. Prior to consulting for investment banks, Sherry served as Director of Research for several mid-tier brokerage companies and a leading independent investment research company.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Sherry holds a Bachelor of Science degree (Highest Honors, 4.0GPA) in Life Science from Ramapo College of New Jersey. She is a member of the American Society of Gene and Cell Therapy, the Tissue Engineering and Regenerative Medicine Society International, the Society of Biomaterials, the CFA Institute and the NY Society of Security Analysts.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 December 31, 2012 we had 6 full-time employees.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has established an Audit Committee which functions pursuant to a written charter adopted by our Board of Directors in March 2004.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our Audit Committee as of December 31, 2012 were Dr. Wilson, Mr. Reddish and Mr. Fuller.</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has determined that our Audit Committee does not have a member that qualifies as an “audit committee financial expert” as defined in Item 407(d)(5)(ii) of Regulation S-K. Our Board of Directors believes that it is capable of analyzing and evaluating our financial statements and understanding internal controls and procedures for financial reporting and that retaining an independent director who would qualify as an “audit committee financial expert” would be overly costly and burdensome at this time. In a subsequent development in March 2013, the Company appointed Sherry Grisewood to the Board of Directors. Ms. Grisewood has over 25 years of securities industry experience in a range of investment banking, advisory and research-related activities. Ms. Grisewood is leading the audit committee.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Dr. Wilson and Ms Sherry Grisewood serve on our compensation committee, which is now led by Sherry Grisewood.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None of our directors, executive officers or control persons has been involved in any of the following events during the past five years: (i) any bankruptcy petition filed by or against any business of which such person was a general partner or executive officer either at the time of the bankruptcy or within two years prior to that time; (ii) any conviction in a criminal proceeding or being subject to a pending criminal proceeding (excluding traffic violations and other minor offences); (iii) being subject to any order, judgment or decree, not subsequently reversed, suspended or vacated, of any court of competent jurisdiction, permanently or temporarily enjoining, barring, suspending or otherwise limiting his involvement in any type of business, securities or banking activities; or</w:t>
      </w:r>
    </w:p>
    <w:p>
      <w:pPr>
        <w:spacing w:after="0" w:line="3" w:lineRule="exact"/>
        <w:rPr>
          <w:sz w:val="20"/>
          <w:szCs w:val="20"/>
          <w:color w:val="auto"/>
        </w:rPr>
      </w:pPr>
    </w:p>
    <w:p>
      <w:pPr>
        <w:ind w:firstLine="8"/>
        <w:spacing w:after="0" w:line="261" w:lineRule="auto"/>
        <w:tabs>
          <w:tab w:leader="none" w:pos="30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the SEC or the Commodity Futures Trading Commission to have violated a federal or state securities or commodities law, and the judgment has not been reversed, suspended or vacated.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have adopted a Code of Conduct policy that applies to all directors and officers. The code describes the legal, ethical and regulatory standards that must be followed by the directors and officers of the Company and sets forth high standards of business conduct applicable to each director and officer. A copy of the Code of Conduct can be viewed on our website at the following URL: http://www.tapimmune.com/investors/corporate_info/</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16(a) of the Exchange Act requires our directors and officers, and the persons who beneficially own more than 10% of our common stock, to file reports of ownership and changes in ownership with the SEC. Copies of all filed reports are required to be furnished to us pursuant to Rule 16a-3 promulgated under the Exchange Act. Based solely on the reports received by us and on the representations of the reporting persons, we believe that these persons have complied with all applicable filing requirements during the year ended December 31, 2012.</w:t>
      </w:r>
    </w:p>
    <w:p>
      <w:pPr>
        <w:spacing w:after="0" w:line="213"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the compensation paid to our executive officers for their services as executive officers during our fiscal years ended December 31, 2012 and December 31, 2011: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9"/>
              </w:rPr>
              <w:t>Stock</w:t>
            </w:r>
          </w:p>
        </w:tc>
        <w:tc>
          <w:tcPr>
            <w:tcW w:w="1060" w:type="dxa"/>
            <w:vAlign w:val="bottom"/>
            <w:tcBorders>
              <w:top w:val="single" w:sz="8" w:color="auto"/>
            </w:tcBorders>
          </w:tcPr>
          <w:p>
            <w:pPr>
              <w:jc w:val="center"/>
              <w:ind w:left="30"/>
              <w:spacing w:after="0" w:line="205" w:lineRule="exact"/>
              <w:rPr>
                <w:sz w:val="20"/>
                <w:szCs w:val="20"/>
                <w:color w:val="auto"/>
              </w:rPr>
            </w:pPr>
            <w:r>
              <w:rPr>
                <w:rFonts w:ascii="Arial" w:cs="Arial" w:eastAsia="Arial" w:hAnsi="Arial"/>
                <w:sz w:val="18"/>
                <w:szCs w:val="18"/>
                <w:b w:val="1"/>
                <w:bCs w:val="1"/>
                <w:color w:val="auto"/>
                <w:w w:val="93"/>
              </w:rPr>
              <w:t>Option</w:t>
            </w:r>
          </w:p>
        </w:tc>
        <w:tc>
          <w:tcPr>
            <w:tcW w:w="15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7"/>
              </w:rPr>
              <w:t>All Other</w:t>
            </w:r>
          </w:p>
        </w:tc>
        <w:tc>
          <w:tcPr>
            <w:tcW w:w="1100" w:type="dxa"/>
            <w:vAlign w:val="bottom"/>
            <w:tcBorders>
              <w:top w:val="single" w:sz="8" w:color="auto"/>
            </w:tcBorders>
          </w:tcPr>
          <w:p>
            <w:pPr>
              <w:spacing w:after="0"/>
              <w:rPr>
                <w:sz w:val="17"/>
                <w:szCs w:val="17"/>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w:t>
            </w:r>
          </w:p>
        </w:tc>
        <w:tc>
          <w:tcPr>
            <w:tcW w:w="940" w:type="dxa"/>
            <w:vAlign w:val="bottom"/>
          </w:tcPr>
          <w:p>
            <w:pPr>
              <w:spacing w:after="0"/>
              <w:rPr>
                <w:sz w:val="18"/>
                <w:szCs w:val="18"/>
                <w:color w:val="auto"/>
              </w:rPr>
            </w:pPr>
          </w:p>
        </w:tc>
        <w:tc>
          <w:tcPr>
            <w:tcW w:w="1180" w:type="dxa"/>
            <w:vAlign w:val="bottom"/>
          </w:tcPr>
          <w:p>
            <w:pPr>
              <w:ind w:left="340"/>
              <w:spacing w:after="0"/>
              <w:rPr>
                <w:sz w:val="20"/>
                <w:szCs w:val="20"/>
                <w:color w:val="auto"/>
              </w:rPr>
            </w:pPr>
            <w:r>
              <w:rPr>
                <w:rFonts w:ascii="Arial" w:cs="Arial" w:eastAsia="Arial" w:hAnsi="Arial"/>
                <w:sz w:val="18"/>
                <w:szCs w:val="18"/>
                <w:b w:val="1"/>
                <w:bCs w:val="1"/>
                <w:color w:val="auto"/>
              </w:rPr>
              <w:t>Salary</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5"/>
              </w:rPr>
              <w:t>Bonus</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06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Awards</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Compen-sation</w:t>
            </w:r>
          </w:p>
        </w:tc>
        <w:tc>
          <w:tcPr>
            <w:tcW w:w="1100" w:type="dxa"/>
            <w:vAlign w:val="bottom"/>
          </w:tcPr>
          <w:p>
            <w:pPr>
              <w:ind w:left="280"/>
              <w:spacing w:after="0"/>
              <w:rPr>
                <w:sz w:val="20"/>
                <w:szCs w:val="20"/>
                <w:color w:val="auto"/>
              </w:rPr>
            </w:pPr>
            <w:r>
              <w:rPr>
                <w:rFonts w:ascii="Arial" w:cs="Arial" w:eastAsia="Arial" w:hAnsi="Arial"/>
                <w:sz w:val="18"/>
                <w:szCs w:val="18"/>
                <w:b w:val="1"/>
                <w:bCs w:val="1"/>
                <w:color w:val="auto"/>
              </w:rPr>
              <w:t>Total</w:t>
            </w:r>
          </w:p>
        </w:tc>
      </w:tr>
      <w:tr>
        <w:trPr>
          <w:trHeight w:val="241"/>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940" w:type="dxa"/>
            <w:vAlign w:val="bottom"/>
          </w:tcPr>
          <w:p>
            <w:pPr>
              <w:ind w:left="300"/>
              <w:spacing w:after="0"/>
              <w:rPr>
                <w:sz w:val="20"/>
                <w:szCs w:val="20"/>
                <w:color w:val="auto"/>
              </w:rPr>
            </w:pPr>
            <w:r>
              <w:rPr>
                <w:rFonts w:ascii="Arial" w:cs="Arial" w:eastAsia="Arial" w:hAnsi="Arial"/>
                <w:sz w:val="18"/>
                <w:szCs w:val="18"/>
                <w:b w:val="1"/>
                <w:bCs w:val="1"/>
                <w:color w:val="auto"/>
              </w:rPr>
              <w:t>Year</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w:t>
            </w:r>
          </w:p>
        </w:tc>
      </w:tr>
      <w:tr>
        <w:trPr>
          <w:trHeight w:val="202"/>
        </w:trPr>
        <w:tc>
          <w:tcPr>
            <w:tcW w:w="20" w:type="dxa"/>
            <w:vAlign w:val="bottom"/>
          </w:tcPr>
          <w:p>
            <w:pPr>
              <w:spacing w:after="0"/>
              <w:rPr>
                <w:sz w:val="17"/>
                <w:szCs w:val="17"/>
                <w:color w:val="auto"/>
              </w:rPr>
            </w:pPr>
          </w:p>
        </w:tc>
        <w:tc>
          <w:tcPr>
            <w:tcW w:w="32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Glynn Wilson</w:t>
            </w:r>
          </w:p>
        </w:tc>
        <w:tc>
          <w:tcPr>
            <w:tcW w:w="9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Chairman, CEO and Principal Executive</w:t>
            </w: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2012</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10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Nil</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11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180,000</w:t>
            </w: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Officer and Acting Principal Accounting</w:t>
            </w:r>
          </w:p>
        </w:tc>
        <w:tc>
          <w:tcPr>
            <w:tcW w:w="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2011</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321,438</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11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501,438</w:t>
            </w: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Officer</w:t>
            </w:r>
          </w:p>
        </w:tc>
        <w:tc>
          <w:tcPr>
            <w:tcW w:w="9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bl>
    <w:p>
      <w:pPr>
        <w:spacing w:after="0" w:line="175" w:lineRule="exact"/>
        <w:rPr>
          <w:sz w:val="20"/>
          <w:szCs w:val="20"/>
          <w:color w:val="auto"/>
        </w:rPr>
      </w:pPr>
    </w:p>
    <w:p>
      <w:pPr>
        <w:sectPr>
          <w:pgSz w:w="11900" w:h="16838" w:orient="portrait"/>
          <w:cols w:equalWidth="0" w:num="1">
            <w:col w:w="11420"/>
          </w:cols>
          <w:pgMar w:left="240" w:top="513" w:right="239" w:bottom="1440" w:gutter="0" w:footer="0" w:header="0"/>
        </w:sectPr>
      </w:pPr>
    </w:p>
    <w:p>
      <w:pPr>
        <w:spacing w:after="0"/>
        <w:rPr>
          <w:sz w:val="20"/>
          <w:szCs w:val="20"/>
          <w:color w:val="auto"/>
        </w:rPr>
      </w:pPr>
      <w:r>
        <w:rPr>
          <w:rFonts w:ascii="Arial" w:cs="Arial" w:eastAsia="Arial" w:hAnsi="Arial"/>
          <w:sz w:val="18"/>
          <w:szCs w:val="18"/>
          <w:color w:val="auto"/>
        </w:rPr>
        <w:t>Denis Corin</w:t>
      </w:r>
    </w:p>
    <w:p>
      <w:pPr>
        <w:spacing w:after="0" w:line="23"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i w:val="1"/>
          <w:iCs w:val="1"/>
          <w:color w:val="auto"/>
        </w:rPr>
        <w:t xml:space="preserve">Former CFO, Acting Principal Accounting Officer and a director </w:t>
      </w:r>
      <w:r>
        <w:rPr>
          <w:rFonts w:ascii="Arial" w:cs="Arial" w:eastAsia="Arial" w:hAnsi="Arial"/>
          <w:sz w:val="18"/>
          <w:szCs w:val="18"/>
          <w:color w:val="auto"/>
        </w:rPr>
        <w:t>Mark Reddish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VP Development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190"/>
              <w:spacing w:after="0"/>
              <w:rPr>
                <w:sz w:val="20"/>
                <w:szCs w:val="20"/>
                <w:color w:val="auto"/>
              </w:rPr>
            </w:pPr>
            <w:r>
              <w:rPr>
                <w:rFonts w:ascii="Arial" w:cs="Arial" w:eastAsia="Arial" w:hAnsi="Arial"/>
                <w:sz w:val="18"/>
                <w:szCs w:val="18"/>
                <w:color w:val="auto"/>
                <w:w w:val="89"/>
              </w:rPr>
              <w:t>2012</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62,040</w:t>
            </w:r>
          </w:p>
        </w:tc>
        <w:tc>
          <w:tcPr>
            <w:tcW w:w="1060" w:type="dxa"/>
            <w:vAlign w:val="bottom"/>
          </w:tcPr>
          <w:p>
            <w:pPr>
              <w:ind w:left="380"/>
              <w:spacing w:after="0"/>
              <w:rPr>
                <w:sz w:val="20"/>
                <w:szCs w:val="20"/>
                <w:color w:val="auto"/>
              </w:rPr>
            </w:pPr>
            <w:r>
              <w:rPr>
                <w:rFonts w:ascii="Arial" w:cs="Arial" w:eastAsia="Arial" w:hAnsi="Arial"/>
                <w:sz w:val="18"/>
                <w:szCs w:val="18"/>
                <w:color w:val="auto"/>
              </w:rPr>
              <w:t>Nil</w:t>
            </w:r>
          </w:p>
        </w:tc>
        <w:tc>
          <w:tcPr>
            <w:tcW w:w="1100" w:type="dxa"/>
            <w:vAlign w:val="bottom"/>
          </w:tcPr>
          <w:p>
            <w:pPr>
              <w:ind w:left="460"/>
              <w:spacing w:after="0"/>
              <w:rPr>
                <w:sz w:val="20"/>
                <w:szCs w:val="20"/>
                <w:color w:val="auto"/>
              </w:rPr>
            </w:pPr>
            <w:r>
              <w:rPr>
                <w:rFonts w:ascii="Arial" w:cs="Arial" w:eastAsia="Arial" w:hAnsi="Arial"/>
                <w:sz w:val="18"/>
                <w:szCs w:val="18"/>
                <w:color w:val="auto"/>
              </w:rPr>
              <w:t>Nil</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6,720</w:t>
            </w:r>
          </w:p>
        </w:tc>
        <w:tc>
          <w:tcPr>
            <w:tcW w:w="1080" w:type="dxa"/>
            <w:vAlign w:val="bottom"/>
          </w:tcPr>
          <w:p>
            <w:pPr>
              <w:ind w:left="440"/>
              <w:spacing w:after="0"/>
              <w:rPr>
                <w:sz w:val="20"/>
                <w:szCs w:val="20"/>
                <w:color w:val="auto"/>
              </w:rPr>
            </w:pPr>
            <w:r>
              <w:rPr>
                <w:rFonts w:ascii="Arial" w:cs="Arial" w:eastAsia="Arial" w:hAnsi="Arial"/>
                <w:sz w:val="18"/>
                <w:szCs w:val="18"/>
                <w:color w:val="auto"/>
              </w:rPr>
              <w:t>Nil</w:t>
            </w:r>
          </w:p>
        </w:tc>
        <w:tc>
          <w:tcPr>
            <w:tcW w:w="1040" w:type="dxa"/>
            <w:vAlign w:val="bottom"/>
          </w:tcPr>
          <w:p>
            <w:pPr>
              <w:jc w:val="right"/>
              <w:spacing w:after="0"/>
              <w:rPr>
                <w:sz w:val="20"/>
                <w:szCs w:val="20"/>
                <w:color w:val="auto"/>
              </w:rPr>
            </w:pPr>
            <w:r>
              <w:rPr>
                <w:rFonts w:ascii="Arial" w:cs="Arial" w:eastAsia="Arial" w:hAnsi="Arial"/>
                <w:sz w:val="18"/>
                <w:szCs w:val="18"/>
                <w:color w:val="auto"/>
              </w:rPr>
              <w:t>68,760</w:t>
            </w:r>
          </w:p>
        </w:tc>
      </w:tr>
      <w:tr>
        <w:trPr>
          <w:trHeight w:val="230"/>
        </w:trPr>
        <w:tc>
          <w:tcPr>
            <w:tcW w:w="660" w:type="dxa"/>
            <w:vAlign w:val="bottom"/>
          </w:tcPr>
          <w:p>
            <w:pPr>
              <w:jc w:val="right"/>
              <w:ind w:right="190"/>
              <w:spacing w:after="0"/>
              <w:rPr>
                <w:sz w:val="20"/>
                <w:szCs w:val="20"/>
                <w:color w:val="auto"/>
              </w:rPr>
            </w:pPr>
            <w:r>
              <w:rPr>
                <w:rFonts w:ascii="Arial" w:cs="Arial" w:eastAsia="Arial" w:hAnsi="Arial"/>
                <w:sz w:val="18"/>
                <w:szCs w:val="18"/>
                <w:color w:val="auto"/>
                <w:w w:val="89"/>
              </w:rPr>
              <w:t>2011</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159,600</w:t>
            </w:r>
          </w:p>
        </w:tc>
        <w:tc>
          <w:tcPr>
            <w:tcW w:w="1060" w:type="dxa"/>
            <w:vAlign w:val="bottom"/>
          </w:tcPr>
          <w:p>
            <w:pPr>
              <w:ind w:left="380"/>
              <w:spacing w:after="0"/>
              <w:rPr>
                <w:sz w:val="20"/>
                <w:szCs w:val="20"/>
                <w:color w:val="auto"/>
              </w:rPr>
            </w:pPr>
            <w:r>
              <w:rPr>
                <w:rFonts w:ascii="Arial" w:cs="Arial" w:eastAsia="Arial" w:hAnsi="Arial"/>
                <w:sz w:val="18"/>
                <w:szCs w:val="18"/>
                <w:color w:val="auto"/>
              </w:rPr>
              <w:t>Nil</w:t>
            </w:r>
          </w:p>
        </w:tc>
        <w:tc>
          <w:tcPr>
            <w:tcW w:w="1100" w:type="dxa"/>
            <w:vAlign w:val="bottom"/>
          </w:tcPr>
          <w:p>
            <w:pPr>
              <w:ind w:left="460"/>
              <w:spacing w:after="0"/>
              <w:rPr>
                <w:sz w:val="20"/>
                <w:szCs w:val="20"/>
                <w:color w:val="auto"/>
              </w:rPr>
            </w:pPr>
            <w:r>
              <w:rPr>
                <w:rFonts w:ascii="Arial" w:cs="Arial" w:eastAsia="Arial" w:hAnsi="Arial"/>
                <w:sz w:val="18"/>
                <w:szCs w:val="18"/>
                <w:color w:val="auto"/>
              </w:rPr>
              <w:t>Nil</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43,425</w:t>
            </w:r>
          </w:p>
        </w:tc>
        <w:tc>
          <w:tcPr>
            <w:tcW w:w="1080" w:type="dxa"/>
            <w:vAlign w:val="bottom"/>
          </w:tcPr>
          <w:p>
            <w:pPr>
              <w:ind w:left="440"/>
              <w:spacing w:after="0"/>
              <w:rPr>
                <w:sz w:val="20"/>
                <w:szCs w:val="20"/>
                <w:color w:val="auto"/>
              </w:rPr>
            </w:pPr>
            <w:r>
              <w:rPr>
                <w:rFonts w:ascii="Arial" w:cs="Arial" w:eastAsia="Arial" w:hAnsi="Arial"/>
                <w:sz w:val="18"/>
                <w:szCs w:val="18"/>
                <w:color w:val="auto"/>
              </w:rPr>
              <w:t>Nil</w:t>
            </w:r>
          </w:p>
        </w:tc>
        <w:tc>
          <w:tcPr>
            <w:tcW w:w="1040" w:type="dxa"/>
            <w:vAlign w:val="bottom"/>
          </w:tcPr>
          <w:p>
            <w:pPr>
              <w:jc w:val="right"/>
              <w:spacing w:after="0"/>
              <w:rPr>
                <w:sz w:val="20"/>
                <w:szCs w:val="20"/>
                <w:color w:val="auto"/>
              </w:rPr>
            </w:pPr>
            <w:r>
              <w:rPr>
                <w:rFonts w:ascii="Arial" w:cs="Arial" w:eastAsia="Arial" w:hAnsi="Arial"/>
                <w:sz w:val="18"/>
                <w:szCs w:val="18"/>
                <w:color w:val="auto"/>
              </w:rPr>
              <w:t>203,025</w:t>
            </w:r>
          </w:p>
        </w:tc>
      </w:tr>
      <w:tr>
        <w:trPr>
          <w:trHeight w:val="513"/>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84"/>
              </w:rPr>
              <w:t>2012</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150,000</w:t>
            </w:r>
          </w:p>
        </w:tc>
        <w:tc>
          <w:tcPr>
            <w:tcW w:w="1060" w:type="dxa"/>
            <w:vAlign w:val="bottom"/>
          </w:tcPr>
          <w:p>
            <w:pPr>
              <w:ind w:left="380"/>
              <w:spacing w:after="0"/>
              <w:rPr>
                <w:sz w:val="20"/>
                <w:szCs w:val="20"/>
                <w:color w:val="auto"/>
              </w:rPr>
            </w:pPr>
            <w:r>
              <w:rPr>
                <w:rFonts w:ascii="Arial" w:cs="Arial" w:eastAsia="Arial" w:hAnsi="Arial"/>
                <w:sz w:val="18"/>
                <w:szCs w:val="18"/>
                <w:color w:val="auto"/>
              </w:rPr>
              <w:t>Nil</w:t>
            </w:r>
          </w:p>
        </w:tc>
        <w:tc>
          <w:tcPr>
            <w:tcW w:w="1100" w:type="dxa"/>
            <w:vAlign w:val="bottom"/>
          </w:tcPr>
          <w:p>
            <w:pPr>
              <w:ind w:left="460"/>
              <w:spacing w:after="0"/>
              <w:rPr>
                <w:sz w:val="20"/>
                <w:szCs w:val="20"/>
                <w:color w:val="auto"/>
              </w:rPr>
            </w:pPr>
            <w:r>
              <w:rPr>
                <w:rFonts w:ascii="Arial" w:cs="Arial" w:eastAsia="Arial" w:hAnsi="Arial"/>
                <w:sz w:val="18"/>
                <w:szCs w:val="18"/>
                <w:color w:val="auto"/>
              </w:rPr>
              <w:t>Nil</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45,000</w:t>
            </w:r>
          </w:p>
        </w:tc>
        <w:tc>
          <w:tcPr>
            <w:tcW w:w="1080" w:type="dxa"/>
            <w:vAlign w:val="bottom"/>
          </w:tcPr>
          <w:p>
            <w:pPr>
              <w:ind w:left="440"/>
              <w:spacing w:after="0"/>
              <w:rPr>
                <w:sz w:val="20"/>
                <w:szCs w:val="20"/>
                <w:color w:val="auto"/>
              </w:rPr>
            </w:pPr>
            <w:r>
              <w:rPr>
                <w:rFonts w:ascii="Arial" w:cs="Arial" w:eastAsia="Arial" w:hAnsi="Arial"/>
                <w:sz w:val="18"/>
                <w:szCs w:val="18"/>
                <w:color w:val="auto"/>
              </w:rPr>
              <w:t>Nil</w:t>
            </w:r>
          </w:p>
        </w:tc>
        <w:tc>
          <w:tcPr>
            <w:tcW w:w="1040" w:type="dxa"/>
            <w:vAlign w:val="bottom"/>
          </w:tcPr>
          <w:p>
            <w:pPr>
              <w:jc w:val="right"/>
              <w:spacing w:after="0"/>
              <w:rPr>
                <w:sz w:val="20"/>
                <w:szCs w:val="20"/>
                <w:color w:val="auto"/>
              </w:rPr>
            </w:pPr>
            <w:r>
              <w:rPr>
                <w:rFonts w:ascii="Arial" w:cs="Arial" w:eastAsia="Arial" w:hAnsi="Arial"/>
                <w:sz w:val="18"/>
                <w:szCs w:val="18"/>
                <w:color w:val="auto"/>
              </w:rPr>
              <w:t>195,000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-196850</wp:posOffset>
            </wp:positionV>
            <wp:extent cx="7246620" cy="2832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311" w:lineRule="exact"/>
        <w:rPr>
          <w:sz w:val="20"/>
          <w:szCs w:val="20"/>
          <w:color w:val="auto"/>
        </w:rPr>
      </w:pPr>
    </w:p>
    <w:p>
      <w:pPr>
        <w:sectPr>
          <w:pgSz w:w="11900" w:h="16838" w:orient="portrait"/>
          <w:cols w:equalWidth="0" w:num="2">
            <w:col w:w="2860" w:space="720"/>
            <w:col w:w="7840"/>
          </w:cols>
          <w:pgMar w:left="240" w:top="513" w:right="239" w:bottom="1440" w:gutter="0" w:footer="0" w:header="0"/>
          <w:type w:val="continuous"/>
        </w:sectPr>
      </w:pPr>
    </w:p>
    <w:p>
      <w:pPr>
        <w:spacing w:after="0" w:line="2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amounts represent fees paid or accrued by us to the executive officers during the past year pursuant to various employment and consulting services agreements, as between us and the executive officers, which are described below. Our executive officers are also reimbursed for any out-of-pocket expenses incurred in connection with corporate duties. We presently have no pension, health, annuity, insurance, profit sharing or similar benefit plans.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color w:val="auto"/>
        </w:rPr>
        <w:t>The following table sets forth information as at December 31, 2012 relating to outstanding equity awards for each Named Executive Officer: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Year End Table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4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center"/>
              <w:ind w:left="10"/>
              <w:spacing w:after="0" w:line="205" w:lineRule="exact"/>
              <w:rPr>
                <w:sz w:val="20"/>
                <w:szCs w:val="20"/>
                <w:color w:val="auto"/>
              </w:rPr>
            </w:pPr>
            <w:r>
              <w:rPr>
                <w:rFonts w:ascii="Arial" w:cs="Arial" w:eastAsia="Arial" w:hAnsi="Arial"/>
                <w:sz w:val="18"/>
                <w:szCs w:val="18"/>
                <w:b w:val="1"/>
                <w:bCs w:val="1"/>
                <w:color w:val="auto"/>
                <w:w w:val="93"/>
              </w:rPr>
              <w:t>Number of</w:t>
            </w:r>
          </w:p>
        </w:tc>
        <w:tc>
          <w:tcPr>
            <w:tcW w:w="178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3"/>
              </w:rPr>
              <w:t>Number of</w:t>
            </w:r>
          </w:p>
        </w:tc>
        <w:tc>
          <w:tcPr>
            <w:tcW w:w="156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3"/>
              </w:rPr>
              <w:t>Number of</w:t>
            </w:r>
          </w:p>
        </w:tc>
        <w:tc>
          <w:tcPr>
            <w:tcW w:w="13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74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Securities</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74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Underlying</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74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Unexercised</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74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Options</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6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Name</w:t>
            </w:r>
          </w:p>
        </w:tc>
        <w:tc>
          <w:tcPr>
            <w:tcW w:w="17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(exercisable)</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(unexercisable)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Glynn Wilson</w:t>
            </w:r>
          </w:p>
        </w:tc>
        <w:tc>
          <w:tcPr>
            <w:tcW w:w="1740" w:type="dxa"/>
            <w:vAlign w:val="bottom"/>
          </w:tcPr>
          <w:p>
            <w:pPr>
              <w:jc w:val="center"/>
              <w:ind w:left="30"/>
              <w:spacing w:after="0"/>
              <w:rPr>
                <w:sz w:val="20"/>
                <w:szCs w:val="20"/>
                <w:color w:val="auto"/>
              </w:rPr>
            </w:pPr>
            <w:r>
              <w:rPr>
                <w:rFonts w:ascii="Arial" w:cs="Arial" w:eastAsia="Arial" w:hAnsi="Arial"/>
                <w:sz w:val="18"/>
                <w:szCs w:val="18"/>
                <w:color w:val="auto"/>
                <w:w w:val="90"/>
              </w:rPr>
              <w:t>40,000</w:t>
            </w:r>
          </w:p>
        </w:tc>
        <w:tc>
          <w:tcPr>
            <w:tcW w:w="1780" w:type="dxa"/>
            <w:vAlign w:val="bottom"/>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Pr>
          <w:p>
            <w:pPr>
              <w:jc w:val="center"/>
              <w:spacing w:after="0"/>
              <w:rPr>
                <w:sz w:val="20"/>
                <w:szCs w:val="20"/>
                <w:color w:val="auto"/>
              </w:rPr>
            </w:pPr>
            <w:r>
              <w:rPr>
                <w:rFonts w:ascii="Arial" w:cs="Arial" w:eastAsia="Arial" w:hAnsi="Arial"/>
                <w:sz w:val="18"/>
                <w:szCs w:val="18"/>
                <w:color w:val="auto"/>
              </w:rPr>
              <w:t>Nil</w:t>
            </w:r>
          </w:p>
        </w:tc>
        <w:tc>
          <w:tcPr>
            <w:tcW w:w="1300" w:type="dxa"/>
            <w:vAlign w:val="bottom"/>
          </w:tcPr>
          <w:p>
            <w:pPr>
              <w:jc w:val="center"/>
              <w:spacing w:after="0" w:line="216" w:lineRule="exact"/>
              <w:rPr>
                <w:sz w:val="20"/>
                <w:szCs w:val="20"/>
                <w:color w:val="auto"/>
              </w:rPr>
            </w:pPr>
            <w:r>
              <w:rPr>
                <w:rFonts w:ascii="Arial" w:cs="Arial" w:eastAsia="Arial" w:hAnsi="Arial"/>
                <w:sz w:val="18"/>
                <w:szCs w:val="18"/>
                <w:color w:val="auto"/>
                <w:w w:val="85"/>
              </w:rPr>
              <w:t>$0.17</w:t>
            </w:r>
            <w:r>
              <w:rPr>
                <w:rFonts w:ascii="Arial" w:cs="Arial" w:eastAsia="Arial" w:hAnsi="Arial"/>
                <w:sz w:val="25"/>
                <w:szCs w:val="25"/>
                <w:color w:val="auto"/>
                <w:w w:val="85"/>
                <w:vertAlign w:val="superscript"/>
              </w:rPr>
              <w:t>(3)</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07/06/17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Chairman, CEO and Principal Executive</w:t>
            </w:r>
          </w:p>
        </w:tc>
        <w:tc>
          <w:tcPr>
            <w:tcW w:w="1740" w:type="dxa"/>
            <w:vAlign w:val="bottom"/>
            <w:shd w:val="clear" w:color="auto" w:fill="CCEEFF"/>
          </w:tcPr>
          <w:p>
            <w:pPr>
              <w:jc w:val="center"/>
              <w:ind w:left="30"/>
              <w:spacing w:after="0" w:line="216" w:lineRule="exact"/>
              <w:rPr>
                <w:sz w:val="20"/>
                <w:szCs w:val="20"/>
                <w:color w:val="auto"/>
              </w:rPr>
            </w:pPr>
            <w:r>
              <w:rPr>
                <w:rFonts w:ascii="Arial" w:cs="Arial" w:eastAsia="Arial" w:hAnsi="Arial"/>
                <w:sz w:val="18"/>
                <w:szCs w:val="18"/>
                <w:color w:val="auto"/>
                <w:w w:val="85"/>
              </w:rPr>
              <w:t>1,600,000</w:t>
            </w:r>
            <w:r>
              <w:rPr>
                <w:rFonts w:ascii="Arial" w:cs="Arial" w:eastAsia="Arial" w:hAnsi="Arial"/>
                <w:sz w:val="25"/>
                <w:szCs w:val="25"/>
                <w:color w:val="auto"/>
                <w:w w:val="85"/>
                <w:vertAlign w:val="superscript"/>
              </w:rPr>
              <w:t>(2)</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130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85"/>
              </w:rPr>
              <w:t>$0.17</w:t>
            </w:r>
            <w:r>
              <w:rPr>
                <w:rFonts w:ascii="Arial" w:cs="Arial" w:eastAsia="Arial" w:hAnsi="Arial"/>
                <w:sz w:val="25"/>
                <w:szCs w:val="25"/>
                <w:color w:val="auto"/>
                <w:w w:val="85"/>
                <w:vertAlign w:val="superscript"/>
              </w:rPr>
              <w:t>(3)</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i w:val="1"/>
                <w:iCs w:val="1"/>
                <w:color w:val="auto"/>
              </w:rPr>
              <w:t>Officer</w:t>
            </w:r>
          </w:p>
        </w:tc>
        <w:tc>
          <w:tcPr>
            <w:tcW w:w="1740" w:type="dxa"/>
            <w:vAlign w:val="bottom"/>
          </w:tcPr>
          <w:p>
            <w:pPr>
              <w:jc w:val="center"/>
              <w:ind w:left="30"/>
              <w:spacing w:after="0" w:line="216" w:lineRule="exact"/>
              <w:rPr>
                <w:sz w:val="20"/>
                <w:szCs w:val="20"/>
                <w:color w:val="auto"/>
              </w:rPr>
            </w:pPr>
            <w:r>
              <w:rPr>
                <w:rFonts w:ascii="Arial" w:cs="Arial" w:eastAsia="Arial" w:hAnsi="Arial"/>
                <w:sz w:val="18"/>
                <w:szCs w:val="18"/>
                <w:color w:val="auto"/>
                <w:w w:val="86"/>
              </w:rPr>
              <w:t>160,000</w:t>
            </w:r>
            <w:r>
              <w:rPr>
                <w:rFonts w:ascii="Arial" w:cs="Arial" w:eastAsia="Arial" w:hAnsi="Arial"/>
                <w:sz w:val="25"/>
                <w:szCs w:val="25"/>
                <w:color w:val="auto"/>
                <w:w w:val="86"/>
                <w:vertAlign w:val="superscript"/>
              </w:rPr>
              <w:t>(2)</w:t>
            </w:r>
          </w:p>
        </w:tc>
        <w:tc>
          <w:tcPr>
            <w:tcW w:w="1780" w:type="dxa"/>
            <w:vAlign w:val="bottom"/>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Pr>
          <w:p>
            <w:pPr>
              <w:jc w:val="center"/>
              <w:spacing w:after="0"/>
              <w:rPr>
                <w:sz w:val="20"/>
                <w:szCs w:val="20"/>
                <w:color w:val="auto"/>
              </w:rPr>
            </w:pPr>
            <w:r>
              <w:rPr>
                <w:rFonts w:ascii="Arial" w:cs="Arial" w:eastAsia="Arial" w:hAnsi="Arial"/>
                <w:sz w:val="18"/>
                <w:szCs w:val="18"/>
                <w:color w:val="auto"/>
              </w:rPr>
              <w:t>Nil</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$0.17</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02/16/21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740" w:type="dxa"/>
            <w:vAlign w:val="bottom"/>
            <w:shd w:val="clear" w:color="auto" w:fill="CCEEFF"/>
          </w:tcPr>
          <w:p>
            <w:pPr>
              <w:jc w:val="center"/>
              <w:ind w:left="30"/>
              <w:spacing w:after="0" w:line="216" w:lineRule="exact"/>
              <w:rPr>
                <w:sz w:val="20"/>
                <w:szCs w:val="20"/>
                <w:color w:val="auto"/>
              </w:rPr>
            </w:pPr>
            <w:r>
              <w:rPr>
                <w:rFonts w:ascii="Arial" w:cs="Arial" w:eastAsia="Arial" w:hAnsi="Arial"/>
                <w:sz w:val="18"/>
                <w:szCs w:val="18"/>
                <w:color w:val="auto"/>
                <w:w w:val="85"/>
              </w:rPr>
              <w:t>1,937,500</w:t>
            </w:r>
            <w:r>
              <w:rPr>
                <w:rFonts w:ascii="Arial" w:cs="Arial" w:eastAsia="Arial" w:hAnsi="Arial"/>
                <w:sz w:val="25"/>
                <w:szCs w:val="25"/>
                <w:color w:val="auto"/>
                <w:w w:val="85"/>
                <w:vertAlign w:val="superscript"/>
              </w:rPr>
              <w:t>(2)</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62,500</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$0.19</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03/16/16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Denis Corin</w:t>
            </w:r>
          </w:p>
        </w:tc>
        <w:tc>
          <w:tcPr>
            <w:tcW w:w="17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80,000</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130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85"/>
              </w:rPr>
              <w:t>$0.17</w:t>
            </w:r>
            <w:r>
              <w:rPr>
                <w:rFonts w:ascii="Arial" w:cs="Arial" w:eastAsia="Arial" w:hAnsi="Arial"/>
                <w:sz w:val="25"/>
                <w:szCs w:val="25"/>
                <w:color w:val="auto"/>
                <w:w w:val="85"/>
                <w:vertAlign w:val="superscript"/>
              </w:rPr>
              <w:t>(3)</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07/06/17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i w:val="1"/>
                <w:iCs w:val="1"/>
                <w:color w:val="auto"/>
              </w:rPr>
              <w:t>Former President, CFO, Acting Principal</w:t>
            </w:r>
          </w:p>
        </w:tc>
        <w:tc>
          <w:tcPr>
            <w:tcW w:w="1740" w:type="dxa"/>
            <w:vAlign w:val="bottom"/>
          </w:tcPr>
          <w:p>
            <w:pPr>
              <w:jc w:val="center"/>
              <w:ind w:left="30"/>
              <w:spacing w:after="0" w:line="216" w:lineRule="exact"/>
              <w:rPr>
                <w:sz w:val="20"/>
                <w:szCs w:val="20"/>
                <w:color w:val="auto"/>
              </w:rPr>
            </w:pPr>
            <w:r>
              <w:rPr>
                <w:rFonts w:ascii="Arial" w:cs="Arial" w:eastAsia="Arial" w:hAnsi="Arial"/>
                <w:sz w:val="18"/>
                <w:szCs w:val="18"/>
                <w:color w:val="auto"/>
                <w:w w:val="85"/>
              </w:rPr>
              <w:t>1,100,000</w:t>
            </w:r>
            <w:r>
              <w:rPr>
                <w:rFonts w:ascii="Arial" w:cs="Arial" w:eastAsia="Arial" w:hAnsi="Arial"/>
                <w:sz w:val="25"/>
                <w:szCs w:val="25"/>
                <w:color w:val="auto"/>
                <w:w w:val="85"/>
                <w:vertAlign w:val="superscript"/>
              </w:rPr>
              <w:t>(2)</w:t>
            </w:r>
          </w:p>
        </w:tc>
        <w:tc>
          <w:tcPr>
            <w:tcW w:w="1780" w:type="dxa"/>
            <w:vAlign w:val="bottom"/>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Pr>
          <w:p>
            <w:pPr>
              <w:jc w:val="center"/>
              <w:spacing w:after="0"/>
              <w:rPr>
                <w:sz w:val="20"/>
                <w:szCs w:val="20"/>
                <w:color w:val="auto"/>
              </w:rPr>
            </w:pPr>
            <w:r>
              <w:rPr>
                <w:rFonts w:ascii="Arial" w:cs="Arial" w:eastAsia="Arial" w:hAnsi="Arial"/>
                <w:sz w:val="18"/>
                <w:szCs w:val="18"/>
                <w:color w:val="auto"/>
              </w:rPr>
              <w:t>Nil</w:t>
            </w:r>
          </w:p>
        </w:tc>
        <w:tc>
          <w:tcPr>
            <w:tcW w:w="1300" w:type="dxa"/>
            <w:vAlign w:val="bottom"/>
          </w:tcPr>
          <w:p>
            <w:pPr>
              <w:jc w:val="center"/>
              <w:spacing w:after="0" w:line="216" w:lineRule="exact"/>
              <w:rPr>
                <w:sz w:val="20"/>
                <w:szCs w:val="20"/>
                <w:color w:val="auto"/>
              </w:rPr>
            </w:pPr>
            <w:r>
              <w:rPr>
                <w:rFonts w:ascii="Arial" w:cs="Arial" w:eastAsia="Arial" w:hAnsi="Arial"/>
                <w:sz w:val="18"/>
                <w:szCs w:val="18"/>
                <w:color w:val="auto"/>
                <w:w w:val="85"/>
              </w:rPr>
              <w:t>$0.17</w:t>
            </w:r>
            <w:r>
              <w:rPr>
                <w:rFonts w:ascii="Arial" w:cs="Arial" w:eastAsia="Arial" w:hAnsi="Arial"/>
                <w:sz w:val="25"/>
                <w:szCs w:val="25"/>
                <w:color w:val="auto"/>
                <w:w w:val="85"/>
                <w:vertAlign w:val="superscript"/>
              </w:rPr>
              <w:t>(3)</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Accounting Officer and a director</w:t>
            </w:r>
          </w:p>
        </w:tc>
        <w:tc>
          <w:tcPr>
            <w:tcW w:w="1740" w:type="dxa"/>
            <w:vAlign w:val="bottom"/>
            <w:shd w:val="clear" w:color="auto" w:fill="CCEEFF"/>
          </w:tcPr>
          <w:p>
            <w:pPr>
              <w:jc w:val="center"/>
              <w:ind w:left="30"/>
              <w:spacing w:after="0" w:line="216" w:lineRule="exact"/>
              <w:rPr>
                <w:sz w:val="20"/>
                <w:szCs w:val="20"/>
                <w:color w:val="auto"/>
              </w:rPr>
            </w:pPr>
            <w:r>
              <w:rPr>
                <w:rFonts w:ascii="Arial" w:cs="Arial" w:eastAsia="Arial" w:hAnsi="Arial"/>
                <w:sz w:val="18"/>
                <w:szCs w:val="18"/>
                <w:color w:val="auto"/>
                <w:w w:val="86"/>
              </w:rPr>
              <w:t>160,000</w:t>
            </w:r>
            <w:r>
              <w:rPr>
                <w:rFonts w:ascii="Arial" w:cs="Arial" w:eastAsia="Arial" w:hAnsi="Arial"/>
                <w:sz w:val="25"/>
                <w:szCs w:val="25"/>
                <w:color w:val="auto"/>
                <w:w w:val="86"/>
                <w:vertAlign w:val="superscript"/>
              </w:rPr>
              <w:t>(2)</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$0.17</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02/16/21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740" w:type="dxa"/>
            <w:vAlign w:val="bottom"/>
          </w:tcPr>
          <w:p>
            <w:pPr>
              <w:jc w:val="center"/>
              <w:ind w:left="30"/>
              <w:spacing w:after="0" w:line="216" w:lineRule="exact"/>
              <w:rPr>
                <w:sz w:val="20"/>
                <w:szCs w:val="20"/>
                <w:color w:val="auto"/>
              </w:rPr>
            </w:pPr>
            <w:r>
              <w:rPr>
                <w:rFonts w:ascii="Arial" w:cs="Arial" w:eastAsia="Arial" w:hAnsi="Arial"/>
                <w:sz w:val="18"/>
                <w:szCs w:val="18"/>
                <w:color w:val="auto"/>
                <w:w w:val="86"/>
              </w:rPr>
              <w:t>168,000</w:t>
            </w:r>
            <w:r>
              <w:rPr>
                <w:rFonts w:ascii="Arial" w:cs="Arial" w:eastAsia="Arial" w:hAnsi="Arial"/>
                <w:sz w:val="25"/>
                <w:szCs w:val="25"/>
                <w:color w:val="auto"/>
                <w:w w:val="86"/>
                <w:vertAlign w:val="superscript"/>
              </w:rPr>
              <w:t>(2)</w:t>
            </w:r>
          </w:p>
        </w:tc>
        <w:tc>
          <w:tcPr>
            <w:tcW w:w="1780" w:type="dxa"/>
            <w:vAlign w:val="bottom"/>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82,000</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$0.17</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05/08/22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Mark Reddish</w:t>
            </w:r>
          </w:p>
        </w:tc>
        <w:tc>
          <w:tcPr>
            <w:tcW w:w="1740" w:type="dxa"/>
            <w:vAlign w:val="bottom"/>
          </w:tcPr>
          <w:p>
            <w:pPr>
              <w:jc w:val="center"/>
              <w:ind w:left="30"/>
              <w:spacing w:after="0"/>
              <w:rPr>
                <w:sz w:val="20"/>
                <w:szCs w:val="20"/>
                <w:color w:val="auto"/>
              </w:rPr>
            </w:pPr>
            <w:r>
              <w:rPr>
                <w:rFonts w:ascii="Arial" w:cs="Arial" w:eastAsia="Arial" w:hAnsi="Arial"/>
                <w:sz w:val="18"/>
                <w:szCs w:val="18"/>
                <w:color w:val="auto"/>
                <w:w w:val="89"/>
              </w:rPr>
              <w:t>200,000</w:t>
            </w:r>
          </w:p>
        </w:tc>
        <w:tc>
          <w:tcPr>
            <w:tcW w:w="1780" w:type="dxa"/>
            <w:vAlign w:val="bottom"/>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Pr>
          <w:p>
            <w:pPr>
              <w:jc w:val="center"/>
              <w:spacing w:after="0"/>
              <w:rPr>
                <w:sz w:val="20"/>
                <w:szCs w:val="20"/>
                <w:color w:val="auto"/>
              </w:rPr>
            </w:pPr>
            <w:r>
              <w:rPr>
                <w:rFonts w:ascii="Arial" w:cs="Arial" w:eastAsia="Arial" w:hAnsi="Arial"/>
                <w:sz w:val="18"/>
                <w:szCs w:val="18"/>
                <w:color w:val="auto"/>
              </w:rPr>
              <w:t>Nil</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$0.17</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02/16/21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VP Development</w:t>
            </w:r>
          </w:p>
        </w:tc>
        <w:tc>
          <w:tcPr>
            <w:tcW w:w="174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55,556</w:t>
            </w:r>
          </w:p>
        </w:tc>
        <w:tc>
          <w:tcPr>
            <w:tcW w:w="1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194,444</w:t>
            </w:r>
          </w:p>
        </w:tc>
        <w:tc>
          <w:tcPr>
            <w:tcW w:w="1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$0.18</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04/30/22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Corin was appointed Secretary, Treasurer, CFO and Acting Principal Accounting Officer on July 16, 2010. Mr. Corin resigned on May 8, 2012.</w:t>
      </w:r>
    </w:p>
    <w:p>
      <w:pPr>
        <w:spacing w:after="0" w:line="46" w:lineRule="exact"/>
        <w:rPr>
          <w:rFonts w:ascii="Arial" w:cs="Arial" w:eastAsia="Arial" w:hAnsi="Arial"/>
          <w:sz w:val="16"/>
          <w:szCs w:val="16"/>
          <w:color w:val="auto"/>
        </w:rPr>
      </w:pPr>
    </w:p>
    <w:p>
      <w:pPr>
        <w:ind w:left="520" w:hanging="512"/>
        <w:spacing w:after="0" w:line="250"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plan under which these shares were issued was approved by the Board of Directors and the shareholders in 2009 but did not come into effect until February 22, 2010.</w:t>
      </w: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 February 16, 2011, the option exercise price was reduced to $0.17.</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relating to compensation paid to our directors for their services as directors in the fiscal year ended December 31, 2012, and excludes compensation paid to our directors for their services as executive officers: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98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jc w:val="center"/>
              <w:ind w:left="450"/>
              <w:spacing w:after="0" w:line="205" w:lineRule="exact"/>
              <w:rPr>
                <w:sz w:val="20"/>
                <w:szCs w:val="20"/>
                <w:color w:val="auto"/>
              </w:rPr>
            </w:pPr>
            <w:r>
              <w:rPr>
                <w:rFonts w:ascii="Arial" w:cs="Arial" w:eastAsia="Arial" w:hAnsi="Arial"/>
                <w:sz w:val="18"/>
                <w:szCs w:val="18"/>
                <w:b w:val="1"/>
                <w:bCs w:val="1"/>
                <w:color w:val="auto"/>
                <w:w w:val="82"/>
              </w:rPr>
              <w:t>Fees</w:t>
            </w:r>
          </w:p>
        </w:tc>
        <w:tc>
          <w:tcPr>
            <w:tcW w:w="16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00" w:type="dxa"/>
            <w:vAlign w:val="bottom"/>
          </w:tcPr>
          <w:p>
            <w:pPr>
              <w:jc w:val="center"/>
              <w:ind w:left="450"/>
              <w:spacing w:after="0"/>
              <w:rPr>
                <w:sz w:val="20"/>
                <w:szCs w:val="20"/>
                <w:color w:val="auto"/>
              </w:rPr>
            </w:pPr>
            <w:r>
              <w:rPr>
                <w:rFonts w:ascii="Arial" w:cs="Arial" w:eastAsia="Arial" w:hAnsi="Arial"/>
                <w:sz w:val="18"/>
                <w:szCs w:val="18"/>
                <w:b w:val="1"/>
                <w:bCs w:val="1"/>
                <w:color w:val="auto"/>
                <w:w w:val="92"/>
              </w:rPr>
              <w:t>Earned or</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142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Option</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4"/>
              </w:rPr>
              <w:t>All Other</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0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Paid in</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42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Awards</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8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Name</w:t>
            </w:r>
          </w:p>
        </w:tc>
        <w:tc>
          <w:tcPr>
            <w:tcW w:w="220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90"/>
              </w:rPr>
              <w:t>Cash</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42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0"/>
              </w:rPr>
              <w:t>($)</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Glynn Wilson</w:t>
            </w:r>
          </w:p>
        </w:tc>
        <w:tc>
          <w:tcPr>
            <w:tcW w:w="220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Nil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14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rPr>
              <w:t>Nil</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13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Denis Corin</w:t>
            </w:r>
          </w:p>
        </w:tc>
        <w:tc>
          <w:tcPr>
            <w:tcW w:w="220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Nil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14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rPr>
              <w:t>Nil</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13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Lynn M. DePippo</w:t>
            </w:r>
          </w:p>
        </w:tc>
        <w:tc>
          <w:tcPr>
            <w:tcW w:w="2200" w:type="dxa"/>
            <w:vAlign w:val="bottom"/>
            <w:tcBorders>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rPr>
              <w:t>Nil</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142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rPr>
              <w:t>Nil</w:t>
            </w: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1360" w:type="dxa"/>
            <w:vAlign w:val="bottom"/>
            <w:tcBorders>
              <w:bottom w:val="single" w:sz="8" w:color="auto"/>
            </w:tcBorders>
            <w:shd w:val="clear" w:color="auto" w:fill="CCEEFF"/>
          </w:tcPr>
          <w:p>
            <w:pPr>
              <w:jc w:val="center"/>
              <w:ind w:right="19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80" w:type="dxa"/>
            <w:vAlign w:val="bottom"/>
          </w:tcPr>
          <w:p>
            <w:pPr>
              <w:jc w:val="right"/>
              <w:ind w:right="990"/>
              <w:spacing w:after="0"/>
              <w:rPr>
                <w:sz w:val="20"/>
                <w:szCs w:val="20"/>
                <w:color w:val="auto"/>
              </w:rPr>
            </w:pPr>
            <w:r>
              <w:rPr>
                <w:rFonts w:ascii="Arial" w:cs="Arial" w:eastAsia="Arial" w:hAnsi="Arial"/>
                <w:sz w:val="18"/>
                <w:szCs w:val="18"/>
                <w:color w:val="auto"/>
              </w:rPr>
              <w:t>56</w:t>
            </w:r>
          </w:p>
        </w:tc>
        <w:tc>
          <w:tcPr>
            <w:tcW w:w="1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Employment, Consulting and Services Agreements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30, 2007, with an effective date of May 1, 2007, our Board of Directors approved an amended executive services agreement with Mr. Corin with a one year term with automatic annual renewal. The amended agreement, provides for an increase in the month consulting fees to $10,000 USD per month through the term of the agreement, with annual increase of 10% and providing for the granting of an aggregate of not less than 1,180,000 stock options to acquire a similar number of our common shares at an exercise price of $0.97 per share for a period of not less than ten years from the date of grant as amended. In May 2012, the Company entered into a new one year consulting services agreement superseding the previous management consulting agreement with Mr. Corin to provide expertise in the areas of finance and corporate development to the Management and Board of TapImmune. The consulting services agreement provides for a consulting fee of $12,000 per month from May 2012 to December 2012 and $10,000 for the following four months. The Company also granted 250,000 options to Mr. Corin, vesting equally over twelve months at an exercise price of $0.17 with a ten year term.</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16, 2011, our Board of Directors approved an employment agreement with Dr. Wilson with an initial term of two years, which may be automatically extended for successive one-year terms. This employment agreement provides for annual compensation of $180,000 and the grant of an option to acquire 2,000,000 shares of the Company’s common stock, 50% of which vested on March 16, 2011, while the remainder will vest monthly over a period of two years (41,667 per month). The option price is the market price on March 16, 2011 and shall be exercisable for at least five years.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compensation committee that is comprised of Dr. Wilson and Ms. Grisewood. All compensation is recommended and resolved by the compensation committee and board of directors.</w:t>
      </w:r>
    </w:p>
    <w:p>
      <w:pPr>
        <w:spacing w:after="0" w:line="193" w:lineRule="exact"/>
        <w:rPr>
          <w:sz w:val="20"/>
          <w:szCs w:val="20"/>
          <w:color w:val="auto"/>
        </w:rPr>
      </w:pPr>
    </w:p>
    <w:p>
      <w:pPr>
        <w:jc w:val="both"/>
        <w:ind w:left="1020" w:hanging="1012"/>
        <w:spacing w:after="0" w:line="261" w:lineRule="auto"/>
        <w:tabs>
          <w:tab w:leader="none" w:pos="10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jc w:val="both"/>
        <w:spacing w:after="0" w:line="271" w:lineRule="auto"/>
        <w:rPr>
          <w:sz w:val="20"/>
          <w:szCs w:val="20"/>
          <w:color w:val="auto"/>
        </w:rPr>
      </w:pPr>
      <w:r>
        <w:rPr>
          <w:rFonts w:ascii="Arial" w:cs="Arial" w:eastAsia="Arial" w:hAnsi="Arial"/>
          <w:sz w:val="17"/>
          <w:szCs w:val="17"/>
          <w:color w:val="auto"/>
        </w:rPr>
        <w:t>The following table sets forth, as of the date of this Annual Report certain information regarding the ownership of our common stock by (i) each person known by us to be the beneficial owner of more than 5% of our outstanding shares of common stock, (ii) each of our directors, (iii) our Principal Executive Officer and (iv) all of our executive officers and directors as a group. Unless otherwise indicated, the address of each person shown is c/o TapImmune Inc., 1551 Eastlake Avenue East, Suite 100, Seattle, Washington, 98102. Beneficial ownership, for purposes of this table, includes options to purchase common stock that are either currently exercisable or will be exercisable within 60 days of the date of this annual report.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520" w:type="dxa"/>
            <w:vAlign w:val="bottom"/>
            <w:tcBorders>
              <w:top w:val="single" w:sz="8" w:color="auto"/>
            </w:tcBorders>
          </w:tcPr>
          <w:p>
            <w:pPr>
              <w:spacing w:after="0"/>
              <w:rPr>
                <w:sz w:val="19"/>
                <w:szCs w:val="19"/>
                <w:color w:val="auto"/>
              </w:rPr>
            </w:pPr>
          </w:p>
        </w:tc>
        <w:tc>
          <w:tcPr>
            <w:tcW w:w="3620" w:type="dxa"/>
            <w:vAlign w:val="bottom"/>
            <w:tcBorders>
              <w:top w:val="single" w:sz="8" w:color="auto"/>
            </w:tcBorders>
          </w:tcPr>
          <w:p>
            <w:pPr>
              <w:jc w:val="center"/>
              <w:ind w:left="1810"/>
              <w:spacing w:after="0"/>
              <w:rPr>
                <w:sz w:val="20"/>
                <w:szCs w:val="20"/>
                <w:color w:val="auto"/>
              </w:rPr>
            </w:pPr>
            <w:r>
              <w:rPr>
                <w:rFonts w:ascii="Arial" w:cs="Arial" w:eastAsia="Arial" w:hAnsi="Arial"/>
                <w:sz w:val="18"/>
                <w:szCs w:val="18"/>
                <w:b w:val="1"/>
                <w:bCs w:val="1"/>
                <w:color w:val="auto"/>
                <w:w w:val="91"/>
              </w:rPr>
              <w:t>Amount and</w:t>
            </w: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620" w:type="dxa"/>
            <w:vAlign w:val="bottom"/>
          </w:tcPr>
          <w:p>
            <w:pPr>
              <w:jc w:val="center"/>
              <w:ind w:left="1810"/>
              <w:spacing w:after="0"/>
              <w:rPr>
                <w:sz w:val="20"/>
                <w:szCs w:val="20"/>
                <w:color w:val="auto"/>
              </w:rPr>
            </w:pPr>
            <w:r>
              <w:rPr>
                <w:rFonts w:ascii="Arial" w:cs="Arial" w:eastAsia="Arial" w:hAnsi="Arial"/>
                <w:sz w:val="18"/>
                <w:szCs w:val="18"/>
                <w:b w:val="1"/>
                <w:bCs w:val="1"/>
                <w:color w:val="auto"/>
                <w:w w:val="91"/>
              </w:rPr>
              <w:t>Nature of</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620" w:type="dxa"/>
            <w:vAlign w:val="bottom"/>
          </w:tcPr>
          <w:p>
            <w:pPr>
              <w:jc w:val="center"/>
              <w:ind w:left="1810"/>
              <w:spacing w:after="0"/>
              <w:rPr>
                <w:sz w:val="20"/>
                <w:szCs w:val="20"/>
                <w:color w:val="auto"/>
              </w:rPr>
            </w:pPr>
            <w:r>
              <w:rPr>
                <w:rFonts w:ascii="Arial" w:cs="Arial" w:eastAsia="Arial" w:hAnsi="Arial"/>
                <w:sz w:val="18"/>
                <w:szCs w:val="18"/>
                <w:b w:val="1"/>
                <w:bCs w:val="1"/>
                <w:color w:val="auto"/>
                <w:w w:val="89"/>
              </w:rPr>
              <w:t>Beneficial</w:t>
            </w:r>
          </w:p>
        </w:tc>
        <w:tc>
          <w:tcPr>
            <w:tcW w:w="1260" w:type="dxa"/>
            <w:vAlign w:val="bottom"/>
          </w:tcPr>
          <w:p>
            <w:pPr>
              <w:jc w:val="right"/>
              <w:ind w:right="251"/>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241"/>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3620" w:type="dxa"/>
            <w:vAlign w:val="bottom"/>
          </w:tcPr>
          <w:p>
            <w:pPr>
              <w:jc w:val="center"/>
              <w:ind w:left="1810"/>
              <w:spacing w:after="0" w:line="234" w:lineRule="exact"/>
              <w:rPr>
                <w:sz w:val="20"/>
                <w:szCs w:val="20"/>
                <w:color w:val="auto"/>
              </w:rPr>
            </w:pPr>
            <w:r>
              <w:rPr>
                <w:rFonts w:ascii="Arial" w:cs="Arial" w:eastAsia="Arial" w:hAnsi="Arial"/>
                <w:sz w:val="18"/>
                <w:szCs w:val="18"/>
                <w:b w:val="1"/>
                <w:bCs w:val="1"/>
                <w:color w:val="auto"/>
                <w:w w:val="88"/>
              </w:rPr>
              <w:t>Owner</w:t>
            </w:r>
            <w:r>
              <w:rPr>
                <w:rFonts w:ascii="Arial" w:cs="Arial" w:eastAsia="Arial" w:hAnsi="Arial"/>
                <w:sz w:val="25"/>
                <w:szCs w:val="25"/>
                <w:color w:val="auto"/>
                <w:w w:val="88"/>
                <w:vertAlign w:val="superscript"/>
              </w:rPr>
              <w:t>(1)</w:t>
            </w:r>
          </w:p>
        </w:tc>
        <w:tc>
          <w:tcPr>
            <w:tcW w:w="1260" w:type="dxa"/>
            <w:vAlign w:val="bottom"/>
          </w:tcPr>
          <w:p>
            <w:pPr>
              <w:jc w:val="right"/>
              <w:ind w:right="431"/>
              <w:spacing w:after="0"/>
              <w:rPr>
                <w:sz w:val="20"/>
                <w:szCs w:val="20"/>
                <w:color w:val="auto"/>
              </w:rPr>
            </w:pPr>
            <w:r>
              <w:rPr>
                <w:rFonts w:ascii="Arial" w:cs="Arial" w:eastAsia="Arial" w:hAnsi="Arial"/>
                <w:sz w:val="18"/>
                <w:szCs w:val="18"/>
                <w:b w:val="1"/>
                <w:bCs w:val="1"/>
                <w:color w:val="auto"/>
              </w:rPr>
              <w:t>Class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Officers:</w:t>
            </w:r>
          </w:p>
        </w:tc>
        <w:tc>
          <w:tcPr>
            <w:tcW w:w="36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line="201" w:lineRule="exact"/>
              <w:rPr>
                <w:sz w:val="20"/>
                <w:szCs w:val="20"/>
                <w:color w:val="auto"/>
              </w:rPr>
            </w:pPr>
            <w:r>
              <w:rPr>
                <w:rFonts w:ascii="Arial" w:cs="Arial" w:eastAsia="Arial" w:hAnsi="Arial"/>
                <w:sz w:val="18"/>
                <w:szCs w:val="18"/>
                <w:color w:val="auto"/>
              </w:rPr>
              <w:t>Glynn Wilson</w:t>
            </w:r>
          </w:p>
        </w:tc>
        <w:tc>
          <w:tcPr>
            <w:tcW w:w="3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1551 Eastlake Avenue East, Suite 100, Seattle, Washington</w:t>
            </w:r>
          </w:p>
        </w:tc>
        <w:tc>
          <w:tcPr>
            <w:tcW w:w="3620" w:type="dxa"/>
            <w:vAlign w:val="bottom"/>
          </w:tcPr>
          <w:p>
            <w:pPr>
              <w:jc w:val="right"/>
              <w:ind w:right="50"/>
              <w:spacing w:after="0"/>
              <w:rPr>
                <w:sz w:val="20"/>
                <w:szCs w:val="20"/>
                <w:color w:val="auto"/>
              </w:rPr>
            </w:pPr>
            <w:r>
              <w:rPr>
                <w:rFonts w:ascii="Arial" w:cs="Arial" w:eastAsia="Arial" w:hAnsi="Arial"/>
                <w:sz w:val="18"/>
                <w:szCs w:val="18"/>
                <w:color w:val="auto"/>
              </w:rPr>
              <w:t>4,951,226</w:t>
            </w:r>
            <w:r>
              <w:rPr>
                <w:rFonts w:ascii="Arial" w:cs="Arial" w:eastAsia="Arial" w:hAnsi="Arial"/>
                <w:sz w:val="12"/>
                <w:szCs w:val="12"/>
                <w:color w:val="auto"/>
              </w:rPr>
              <w:t>(2)</w:t>
            </w:r>
          </w:p>
        </w:tc>
        <w:tc>
          <w:tcPr>
            <w:tcW w:w="126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20" w:type="dxa"/>
            <w:vAlign w:val="bottom"/>
          </w:tcPr>
          <w:p>
            <w:pPr>
              <w:spacing w:after="0" w:line="201" w:lineRule="exact"/>
              <w:rPr>
                <w:sz w:val="20"/>
                <w:szCs w:val="20"/>
                <w:color w:val="auto"/>
              </w:rPr>
            </w:pPr>
            <w:r>
              <w:rPr>
                <w:rFonts w:ascii="Arial" w:cs="Arial" w:eastAsia="Arial" w:hAnsi="Arial"/>
                <w:sz w:val="18"/>
                <w:szCs w:val="18"/>
                <w:color w:val="auto"/>
              </w:rPr>
              <w:t>Mark Reddish, VP Development</w:t>
            </w:r>
          </w:p>
        </w:tc>
        <w:tc>
          <w:tcPr>
            <w:tcW w:w="3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1551 Eastlake Avenue East, Suite 100, Seattle, Washington</w:t>
            </w:r>
          </w:p>
        </w:tc>
        <w:tc>
          <w:tcPr>
            <w:tcW w:w="3620" w:type="dxa"/>
            <w:vAlign w:val="bottom"/>
          </w:tcPr>
          <w:p>
            <w:pPr>
              <w:jc w:val="right"/>
              <w:ind w:right="210"/>
              <w:spacing w:after="0"/>
              <w:rPr>
                <w:sz w:val="20"/>
                <w:szCs w:val="20"/>
                <w:color w:val="auto"/>
              </w:rPr>
            </w:pPr>
            <w:r>
              <w:rPr>
                <w:rFonts w:ascii="Arial" w:cs="Arial" w:eastAsia="Arial" w:hAnsi="Arial"/>
                <w:sz w:val="18"/>
                <w:szCs w:val="18"/>
                <w:color w:val="auto"/>
              </w:rPr>
              <w:t>255,556</w:t>
            </w:r>
          </w:p>
        </w:tc>
        <w:tc>
          <w:tcPr>
            <w:tcW w:w="126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Sherry Grisewood</w:t>
            </w:r>
          </w:p>
        </w:tc>
        <w:tc>
          <w:tcPr>
            <w:tcW w:w="36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1551 Eastlake Avenue East, Suite 100, Seattle, Washington</w:t>
            </w:r>
          </w:p>
        </w:tc>
        <w:tc>
          <w:tcPr>
            <w:tcW w:w="3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All executive officers and directors as a group (3 persons)</w:t>
            </w:r>
          </w:p>
        </w:tc>
        <w:tc>
          <w:tcPr>
            <w:tcW w:w="3620" w:type="dxa"/>
            <w:vAlign w:val="bottom"/>
          </w:tcPr>
          <w:p>
            <w:pPr>
              <w:jc w:val="right"/>
              <w:ind w:right="210"/>
              <w:spacing w:after="0"/>
              <w:rPr>
                <w:sz w:val="20"/>
                <w:szCs w:val="20"/>
                <w:color w:val="auto"/>
              </w:rPr>
            </w:pPr>
            <w:r>
              <w:rPr>
                <w:rFonts w:ascii="Arial" w:cs="Arial" w:eastAsia="Arial" w:hAnsi="Arial"/>
                <w:sz w:val="18"/>
                <w:szCs w:val="18"/>
                <w:color w:val="auto"/>
              </w:rPr>
              <w:t>5,206,782</w:t>
            </w:r>
          </w:p>
        </w:tc>
        <w:tc>
          <w:tcPr>
            <w:tcW w:w="1260" w:type="dxa"/>
            <w:vAlign w:val="bottom"/>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Major Stockholders:</w:t>
            </w:r>
          </w:p>
        </w:tc>
        <w:tc>
          <w:tcPr>
            <w:tcW w:w="3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Michael Gardner </w:t>
            </w:r>
            <w:r>
              <w:rPr>
                <w:rFonts w:ascii="Arial" w:cs="Arial" w:eastAsia="Arial" w:hAnsi="Arial"/>
                <w:sz w:val="25"/>
                <w:szCs w:val="25"/>
                <w:color w:val="auto"/>
                <w:vertAlign w:val="superscript"/>
              </w:rPr>
              <w:t>(4)</w:t>
            </w:r>
          </w:p>
        </w:tc>
        <w:tc>
          <w:tcPr>
            <w:tcW w:w="3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5,600,000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0"/>
        </w:trPr>
        <w:tc>
          <w:tcPr>
            <w:tcW w:w="6540" w:type="dxa"/>
            <w:vAlign w:val="bottom"/>
            <w:tcBorders>
              <w:bottom w:val="single" w:sz="8" w:color="auto"/>
            </w:tcBorders>
            <w:gridSpan w:val="2"/>
          </w:tcPr>
          <w:p>
            <w:pPr>
              <w:spacing w:after="0" w:line="270" w:lineRule="exact"/>
              <w:rPr>
                <w:sz w:val="20"/>
                <w:szCs w:val="20"/>
                <w:color w:val="auto"/>
              </w:rPr>
            </w:pPr>
            <w:r>
              <w:rPr>
                <w:rFonts w:ascii="Arial" w:cs="Arial" w:eastAsia="Arial" w:hAnsi="Arial"/>
                <w:sz w:val="18"/>
                <w:szCs w:val="18"/>
                <w:color w:val="auto"/>
              </w:rPr>
              <w:t xml:space="preserve">Sailesh Barchha </w:t>
            </w:r>
            <w:r>
              <w:rPr>
                <w:rFonts w:ascii="Arial" w:cs="Arial" w:eastAsia="Arial" w:hAnsi="Arial"/>
                <w:sz w:val="25"/>
                <w:szCs w:val="25"/>
                <w:color w:val="auto"/>
                <w:vertAlign w:val="superscript"/>
              </w:rPr>
              <w:t>(4)</w:t>
            </w:r>
          </w:p>
        </w:tc>
        <w:tc>
          <w:tcPr>
            <w:tcW w:w="3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5,600,000</w:t>
            </w:r>
          </w:p>
        </w:tc>
        <w:tc>
          <w:tcPr>
            <w:tcW w:w="1260" w:type="dxa"/>
            <w:vAlign w:val="bottom"/>
            <w:tcBorders>
              <w:bottom w:val="single" w:sz="8" w:color="auto"/>
            </w:tcBorders>
          </w:tcPr>
          <w:p>
            <w:pPr>
              <w:jc w:val="right"/>
              <w:spacing w:after="0" w:line="269" w:lineRule="exact"/>
              <w:rPr>
                <w:sz w:val="20"/>
                <w:szCs w:val="20"/>
                <w:color w:val="auto"/>
              </w:rPr>
            </w:pPr>
            <w:r>
              <w:rPr>
                <w:rFonts w:ascii="Arial" w:cs="Arial" w:eastAsia="Arial" w:hAnsi="Arial"/>
                <w:sz w:val="16"/>
                <w:szCs w:val="16"/>
                <w:color w:val="auto"/>
              </w:rPr>
              <w:t>6.0</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00" w:hanging="492"/>
        <w:spacing w:after="0" w:line="267"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Annual Report. As of the date of this Annual Report, there were 92,728,474 shares of common stock issued and outstanding.</w:t>
      </w:r>
    </w:p>
    <w:p>
      <w:pPr>
        <w:ind w:left="500" w:right="20" w:hanging="492"/>
        <w:spacing w:after="0" w:line="281"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figure includes (i) 1,213,726 shares of common stock; and (ii) 1,800,000 options to acquire an equivalent number of common shares at $0.17 for 10 years and 2,000,000 options to acquire an equivalent number of common shares at $0.19 for 5 years, where 1,937,500 are fully vested.</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200,000 vested options exercisable at $0.17 and 55,556 vested options exercisable at $0.18.</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we contest this issuance, we are reporting it as if it was a valid issuance.</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are no arrangements or understanding among the parties set out above or their respective associates or affiliates concerning election of directors or any other matters which may require shareholder approval.</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description of the Company’s equity compensation plan is provided in Part II, Item 5 of this Form 10-K and is hereby incorporated by reference into this Item 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Control</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are unaware of any contract, or other arrangement or provision, the operation of which may at a subsequent date result in a change of control of our Company.</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described below, none of the following parties has had any material interest, direct or indirect, in any transaction with us during our last fiscal year or in any presently proposed transaction that has or will materially affect us:</w:t>
      </w:r>
    </w:p>
    <w:p>
      <w:pPr>
        <w:spacing w:after="0" w:line="197" w:lineRule="exact"/>
        <w:rPr>
          <w:sz w:val="20"/>
          <w:szCs w:val="20"/>
          <w:color w:val="auto"/>
        </w:rPr>
      </w:pPr>
    </w:p>
    <w:p>
      <w:pPr>
        <w:ind w:left="960" w:hanging="52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of our directors or officers;</w:t>
      </w:r>
    </w:p>
    <w:p>
      <w:pPr>
        <w:spacing w:after="0" w:line="23" w:lineRule="exact"/>
        <w:rPr>
          <w:rFonts w:ascii="Arial" w:cs="Arial" w:eastAsia="Arial" w:hAnsi="Arial"/>
          <w:sz w:val="18"/>
          <w:szCs w:val="18"/>
          <w:color w:val="auto"/>
        </w:rPr>
      </w:pPr>
    </w:p>
    <w:p>
      <w:pPr>
        <w:ind w:left="940" w:hanging="500"/>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person proposed as a nominee for election as a director;</w:t>
      </w:r>
    </w:p>
    <w:p>
      <w:pPr>
        <w:spacing w:after="0" w:line="9" w:lineRule="exact"/>
        <w:rPr>
          <w:rFonts w:ascii="Arial" w:cs="Arial" w:eastAsia="Arial" w:hAnsi="Arial"/>
          <w:sz w:val="18"/>
          <w:szCs w:val="18"/>
          <w:color w:val="auto"/>
        </w:rPr>
      </w:pPr>
    </w:p>
    <w:p>
      <w:pPr>
        <w:ind w:left="940" w:hanging="500"/>
        <w:spacing w:after="0" w:line="250"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shares carrying more than 5% of the voting rights attached to our outstanding shares of common stock; or</w:t>
      </w:r>
    </w:p>
    <w:p>
      <w:pPr>
        <w:ind w:left="940" w:hanging="500"/>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member of the immediate family (including spouse, parents, children, siblings and in-laws) of any of the above persons.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We had transactions with certain of our officers and directors during our fiscal year ended December 31, 2012 as follows:</w:t>
      </w:r>
    </w:p>
    <w:p>
      <w:pPr>
        <w:spacing w:after="0" w:line="252" w:lineRule="exact"/>
        <w:rPr>
          <w:sz w:val="20"/>
          <w:szCs w:val="20"/>
          <w:color w:val="auto"/>
        </w:rPr>
      </w:pPr>
    </w:p>
    <w:p>
      <w:pPr>
        <w:ind w:left="940" w:hanging="566"/>
        <w:spacing w:after="0" w:line="277"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incurred $295,600 (2011 - $248,400) in management, consulting and directors’ fees and $90,000 (2011 - $90,000) in research and development services paid to officers and directors during the period;</w:t>
      </w:r>
    </w:p>
    <w:p>
      <w:pPr>
        <w:spacing w:after="0" w:line="197" w:lineRule="exact"/>
        <w:rPr>
          <w:rFonts w:ascii="Arial" w:cs="Arial" w:eastAsia="Arial" w:hAnsi="Arial"/>
          <w:sz w:val="18"/>
          <w:szCs w:val="18"/>
          <w:color w:val="auto"/>
        </w:rPr>
      </w:pPr>
    </w:p>
    <w:p>
      <w:pPr>
        <w:ind w:left="940" w:hanging="556"/>
        <w:spacing w:after="0" w:line="277"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recorded $124,209 (2011 - $389,824) in stock based compensation for the fair value of options granted to management that were granted and or vested during the period;</w:t>
      </w:r>
    </w:p>
    <w:p>
      <w:pPr>
        <w:spacing w:after="0" w:line="197" w:lineRule="exact"/>
        <w:rPr>
          <w:rFonts w:ascii="Arial" w:cs="Arial" w:eastAsia="Arial" w:hAnsi="Arial"/>
          <w:sz w:val="18"/>
          <w:szCs w:val="18"/>
          <w:color w:val="auto"/>
        </w:rPr>
      </w:pPr>
    </w:p>
    <w:p>
      <w:pPr>
        <w:ind w:left="960" w:hanging="58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converted $50,000 (2011 - $25,000) of debt due to related parties during the period, which were settled with shares.</w:t>
      </w:r>
    </w:p>
    <w:p>
      <w:pPr>
        <w:spacing w:after="0" w:line="252" w:lineRule="exact"/>
        <w:rPr>
          <w:rFonts w:ascii="Arial" w:cs="Arial" w:eastAsia="Arial" w:hAnsi="Arial"/>
          <w:sz w:val="18"/>
          <w:szCs w:val="18"/>
          <w:color w:val="auto"/>
        </w:rPr>
      </w:pPr>
    </w:p>
    <w:p>
      <w:pPr>
        <w:ind w:left="960" w:hanging="58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issued $38,000 (2011 - $nil) in promissory notes to an officer and director of the Company.</w:t>
      </w:r>
    </w:p>
    <w:p>
      <w:pPr>
        <w:spacing w:after="0" w:line="200" w:lineRule="exact"/>
        <w:rPr>
          <w:sz w:val="20"/>
          <w:szCs w:val="20"/>
          <w:color w:val="auto"/>
        </w:rPr>
      </w:pPr>
    </w:p>
    <w:p>
      <w:pPr>
        <w:spacing w:after="0" w:line="2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related party transactions (other than stock based consideration) involving provision of services were recorded at the exchange amount, which is the amount established and agreed to by the related parties as representing fair value. The Company accounted for the debt settlement transactions with related parties at management’s estimate of fair value, which is evidenced by settlements between arm’s length parties.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2012, the Company had amounts owing to directors and officers of $366,697 (2011 - $322,905). These amounts were in the normal course of operations. Amounts due to related parties are unsecured, non-interest bearing and have no specific terms of repayment.</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Dale Matheson Carr-Hilton LaBonte LLP served as our independent registered public accounting firm and audited our financial statements for the fiscal years ended December 31, 2012 and 2011. Aggregate fees for professional services rendered to us by our auditor are set forth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080" w:type="dxa"/>
            <w:vAlign w:val="bottom"/>
            <w:tcBorders>
              <w:top w:val="single" w:sz="8" w:color="auto"/>
            </w:tcBorders>
          </w:tcPr>
          <w:p>
            <w:pPr>
              <w:spacing w:after="0"/>
              <w:rPr>
                <w:sz w:val="19"/>
                <w:szCs w:val="19"/>
                <w:color w:val="auto"/>
              </w:rPr>
            </w:pPr>
          </w:p>
        </w:tc>
        <w:tc>
          <w:tcPr>
            <w:tcW w:w="38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88"/>
              </w:rPr>
              <w:t>Year Ended</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960" w:type="dxa"/>
            <w:vAlign w:val="bottom"/>
            <w:gridSpan w:val="2"/>
          </w:tcPr>
          <w:p>
            <w:pPr>
              <w:jc w:val="center"/>
              <w:ind w:left="3530"/>
              <w:spacing w:after="0"/>
              <w:rPr>
                <w:sz w:val="20"/>
                <w:szCs w:val="20"/>
                <w:color w:val="auto"/>
              </w:rPr>
            </w:pPr>
            <w:r>
              <w:rPr>
                <w:rFonts w:ascii="Arial" w:cs="Arial" w:eastAsia="Arial" w:hAnsi="Arial"/>
                <w:sz w:val="18"/>
                <w:szCs w:val="18"/>
                <w:color w:val="auto"/>
                <w:w w:val="90"/>
              </w:rPr>
              <w:t>December 31,</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2012</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Audit Fees</w:t>
            </w:r>
          </w:p>
        </w:tc>
        <w:tc>
          <w:tcPr>
            <w:tcW w:w="3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Audit Related Fees</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Tax Fees</w:t>
            </w:r>
          </w:p>
        </w:tc>
        <w:tc>
          <w:tcPr>
            <w:tcW w:w="38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Nil</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38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Nil</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80" w:type="dxa"/>
            <w:vAlign w:val="bottom"/>
            <w:tcBorders>
              <w:bottom w:val="single" w:sz="8" w:color="auto"/>
            </w:tcBorders>
          </w:tcPr>
          <w:p>
            <w:pPr>
              <w:spacing w:after="0"/>
              <w:rPr>
                <w:sz w:val="23"/>
                <w:szCs w:val="23"/>
                <w:color w:val="auto"/>
              </w:rPr>
            </w:pPr>
          </w:p>
        </w:tc>
        <w:tc>
          <w:tcPr>
            <w:tcW w:w="3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Audit fees are the aggregate fees billed for professional services rendered by our independent auditors for the audit of our annual financial statements, the review of the financial statements included in each of our quarterly reports and services provided in connection with statutory and regulatory filings or engagements.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Related Fees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Audit related fees are the aggregate fees billed by our independent auditors for assurance and related services that are reasonably related to the performance of the audit or review of our financial statements and are not described in the preceding category.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Tax fees are billed by our independent auditors for tax compliance, tax advice and tax planning.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All other fees include fees billed by our independent auditors for products or services other than as described in the immediately preceding three categories.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Pre-Approval of Services Performed by Independent Auditors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It is our audit committee’s policy to pre-approve all audit and permissible non-audit services performed by the independent auditors. We approved all services that our independent accountants provided to us in the past two fiscal years.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20"/>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15.</w:t>
            </w:r>
          </w:p>
        </w:tc>
        <w:tc>
          <w:tcPr>
            <w:tcW w:w="220" w:type="dxa"/>
            <w:vAlign w:val="bottom"/>
          </w:tcPr>
          <w:p>
            <w:pPr>
              <w:spacing w:after="0"/>
              <w:rPr>
                <w:sz w:val="19"/>
                <w:szCs w:val="19"/>
                <w:color w:val="auto"/>
              </w:rPr>
            </w:pPr>
          </w:p>
        </w:tc>
        <w:tc>
          <w:tcPr>
            <w:tcW w:w="10160" w:type="dxa"/>
            <w:vAlign w:val="bottom"/>
          </w:tcPr>
          <w:p>
            <w:pPr>
              <w:ind w:left="2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30"/>
        </w:trPr>
        <w:tc>
          <w:tcPr>
            <w:tcW w:w="11420" w:type="dxa"/>
            <w:vAlign w:val="bottom"/>
            <w:gridSpan w:val="4"/>
          </w:tcPr>
          <w:p>
            <w:pPr>
              <w:spacing w:after="0"/>
              <w:rPr>
                <w:sz w:val="20"/>
                <w:szCs w:val="20"/>
                <w:color w:val="auto"/>
              </w:rPr>
            </w:pPr>
            <w:r>
              <w:rPr>
                <w:rFonts w:ascii="Arial" w:cs="Arial" w:eastAsia="Arial" w:hAnsi="Arial"/>
                <w:sz w:val="18"/>
                <w:szCs w:val="18"/>
                <w:color w:val="auto"/>
              </w:rPr>
              <w:t>The following exhibits are filed as part of this registration statement. Exhibit numbers correspond to the exhibit requirements of Regulation S-K.</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9"/>
              </w:rPr>
              <w:t>Exhibit No.</w:t>
            </w:r>
          </w:p>
        </w:tc>
        <w:tc>
          <w:tcPr>
            <w:tcW w:w="220" w:type="dxa"/>
            <w:vAlign w:val="bottom"/>
          </w:tcPr>
          <w:p>
            <w:pPr>
              <w:spacing w:after="0"/>
              <w:rPr>
                <w:sz w:val="24"/>
                <w:szCs w:val="24"/>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220" w:type="dxa"/>
            <w:vAlign w:val="bottom"/>
            <w:vMerge w:val="continue"/>
          </w:tcPr>
          <w:p>
            <w:pPr>
              <w:spacing w:after="0"/>
              <w:rPr>
                <w:sz w:val="16"/>
                <w:szCs w:val="16"/>
                <w:color w:val="auto"/>
              </w:rPr>
            </w:pPr>
          </w:p>
        </w:tc>
        <w:tc>
          <w:tcPr>
            <w:tcW w:w="10160" w:type="dxa"/>
            <w:vAlign w:val="bottom"/>
          </w:tcPr>
          <w:p>
            <w:pPr>
              <w:spacing w:after="0" w:line="195" w:lineRule="exact"/>
              <w:rPr>
                <w:sz w:val="20"/>
                <w:szCs w:val="20"/>
                <w:color w:val="auto"/>
              </w:rPr>
            </w:pPr>
            <w:r>
              <w:rPr>
                <w:rFonts w:ascii="Arial" w:cs="Arial" w:eastAsia="Arial" w:hAnsi="Arial"/>
                <w:sz w:val="18"/>
                <w:szCs w:val="18"/>
                <w:color w:val="auto"/>
                <w:w w:val="93"/>
              </w:rPr>
              <w:t>Amended Articles of Incorporation dated February 3, 2009 as filed as Exhibit 3.1 to Form 8-K filed on February 6, 2009 and incorporated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3.2</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7"/>
              </w:rPr>
              <w:t>Amended Articles of Incorporation dated May 19, 1999 as filed as Exhibit 2.1 to the Registration Statement filed on Form 10-SB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September 3, 1999 and incorporated herein by reference.</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3.3</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Amended and Restated Bylaws of the Company dated May 10, 2004 as filed as Exhibit 3.1 to the Company's Quarterly Report on Form 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QSB as filed on May 20, 2004 and incorporated herein by reference.</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4.1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Securities Purchase Agreement, dated May 17, 2010, as filed as Exhibit 10.1 to our Current Report on Form 8-K as filed on May 18,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4.2</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Registration Rights Agreement, dated May 24, 2010, as filed as Exhibit 10.4 to our Current Report on Form 8-K as filed on May 18,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4.3</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8"/>
              </w:rPr>
              <w:t>Security Agreement, dated May 24, 2010, as filed as Exhibit 10.3 to our Current Report on Form 8-K as filed on May 18, 2010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4.4</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7"/>
              </w:rPr>
              <w:t>Form of Senior Secured Convertible Note, as filed as Exhibit 10.2 to our Current Report on Form 8-K as filed on May 18, 2010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4.5</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Form of Series A Warrants, as filed as Exhibit 10.5 to our Current Report on Form 8-K as filed on May 18, 2010 and incorporated herein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4.6</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Form of Series B Warrants, as filed as Exhibit 10.6 to our Current Report on Form 8-K as filed on May 18, 2010 and incorporated herein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4.7</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Form of Series C Warrants, as filed as Exhibit 10.7 to our Current Report on Form 8-K as filed on May 18, 2010 and incorporated herein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4.8</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Securities Purchase Agreement, dated February 24, 2011, as filed as Exhibit 10.1 to our Current Report on Form 8-K as filed on March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2011 and incorporated herein by reference.</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4.9</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Form of Convertible Note, as filed as Exhibit 10.2 to our Current Report on Form 8-K as filed on March 2, 2011 and incorporated herein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4.10</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Security Agreement, dated February 24, 2011, as filed as Exhibit 10.3 to our Current Report on Form 8-K as filed on March 2, 2011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4.11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8"/>
              </w:rPr>
              <w:t>Form of Warrant, as filed as Exhibit 10.4 to our Current Report on Form 8-K as filed on March 2, 2011 and incorporated herein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4.12</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5"/>
              </w:rPr>
              <w:t>Form of Convertible Note in connection with the sale of same on April 12, 2011 filed as an Exhibit to the Company's Annual Report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10-K as filed on April 18, 2011 and incorporated by reference herein.</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4.13</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Security Agreement, dated April 12, 2011 filed as an Exhibit to the Company's Annual Report on Form 10-K as filed on April 18, 2011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incorporated by reference herein.</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4.14</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Form of Securities Purchase Agreement in connection with the sale of Units on April 14, 2011 filed as an Exhibit to the Company's Annual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Report on Form 10-K as filed on April 18, 2011 and incorporated by reference herein.</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4.15</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6"/>
              </w:rPr>
              <w:t>Form of Warrant in connection with Securities Purchase Agreement dated April 14, 2011 filed as an Exhibit to the Company's Annual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Report on Form 10-K as filed on April 18, 2011 and incorporated by reference herein.</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4.16</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of Warrants issued in November 2009 private placements</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Executive Services Agreement with Denis Corin as filed as Exhibit 10.1 to our Quarterly Report on Form 10-QSB as filed on November 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2007 and incorporated herein by reference.</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10.2</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5"/>
              </w:rPr>
              <w:t>Amended Executive Services Agreement with Denis Corin as filed as Exhibit 10.2 to our Quarterly Report on Form 10-QSB as filed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November 14, 2007 and incorporated herein by reference.</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380" w:type="dxa"/>
            <w:vAlign w:val="bottom"/>
            <w:gridSpan w:val="2"/>
          </w:tcPr>
          <w:p>
            <w:pPr>
              <w:jc w:val="right"/>
              <w:ind w:right="553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40" w:type="dxa"/>
            <w:vAlign w:val="bottom"/>
          </w:tcPr>
          <w:p>
            <w:pPr>
              <w:ind w:left="420"/>
              <w:spacing w:after="0"/>
              <w:rPr>
                <w:sz w:val="20"/>
                <w:szCs w:val="20"/>
                <w:color w:val="auto"/>
              </w:rPr>
            </w:pPr>
            <w:r>
              <w:rPr>
                <w:rFonts w:ascii="Arial" w:cs="Arial" w:eastAsia="Arial" w:hAnsi="Arial"/>
                <w:sz w:val="18"/>
                <w:szCs w:val="18"/>
                <w:color w:val="auto"/>
                <w:w w:val="92"/>
              </w:rPr>
              <w:t>License Agreement made March 6, 2000 between GeneMax Pharmaceuticals, UBC and Dr. Jefferies as filed as an Exhibit to our Annual</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9"/>
              </w:rPr>
              <w:t>Report on Form 10-KSB for the year ended December 31, 2004 as filed on April 15, 2005 and incorporated by reference herein.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Collaborative Research Agreement made September 1, 2000 between GeneMax Pharmaceuticals, GeneMax Pharmaceuticals Inc. and UBC</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8"/>
              </w:rPr>
              <w:t>as filed as an Exhibit to our Annual Report on Form 10-KSB for the year ended December 31, 2004 as filed on April 15, 2005 and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incorporated by reference herein.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40" w:type="dxa"/>
            <w:vAlign w:val="bottom"/>
          </w:tcPr>
          <w:p>
            <w:pPr>
              <w:ind w:left="420"/>
              <w:spacing w:after="0"/>
              <w:rPr>
                <w:sz w:val="20"/>
                <w:szCs w:val="20"/>
                <w:color w:val="auto"/>
              </w:rPr>
            </w:pPr>
            <w:r>
              <w:rPr>
                <w:rFonts w:ascii="Arial" w:cs="Arial" w:eastAsia="Arial" w:hAnsi="Arial"/>
                <w:sz w:val="18"/>
                <w:szCs w:val="18"/>
                <w:color w:val="auto"/>
                <w:w w:val="92"/>
              </w:rPr>
              <w:t>Production Services Agreement made March 18, 2003 between the Company and Molecular Medicine as filed as an Exhibit to our Annual</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9"/>
              </w:rPr>
              <w:t>Report on Form 10-KSB for the year ended December 31, 2004 as filed on April 15, 2005 and incorporated by reference herein.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40" w:type="dxa"/>
            <w:vAlign w:val="bottom"/>
          </w:tcPr>
          <w:p>
            <w:pPr>
              <w:ind w:left="420"/>
              <w:spacing w:after="0"/>
              <w:rPr>
                <w:sz w:val="20"/>
                <w:szCs w:val="20"/>
                <w:color w:val="auto"/>
              </w:rPr>
            </w:pPr>
            <w:r>
              <w:rPr>
                <w:rFonts w:ascii="Arial" w:cs="Arial" w:eastAsia="Arial" w:hAnsi="Arial"/>
                <w:sz w:val="18"/>
                <w:szCs w:val="18"/>
                <w:color w:val="auto"/>
                <w:w w:val="94"/>
              </w:rPr>
              <w:t>Biological Materials Transfer Agreement made October 21, 2003 between the Company and National Institutes of Health as filed as an</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6"/>
              </w:rPr>
              <w:t>Exhibit to our Annual Report on Form 10-KSB for the year ended December 31, 2004 as filed on April 15, 2005 and incorporated by</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herein.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Option and Settlement Agreement made January 23, 2006 between GeneMax Pharmaceuticals, GeneMax Pharmaceuticals Inc., UBC and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Dr. Jefferies as filed as an Exhibit to the Company's Current Report on Form 8-K as filed on January 24, 2006 and incorporated by reference</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herein.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40" w:type="dxa"/>
            <w:vAlign w:val="bottom"/>
          </w:tcPr>
          <w:p>
            <w:pPr>
              <w:ind w:left="420"/>
              <w:spacing w:after="0"/>
              <w:rPr>
                <w:sz w:val="20"/>
                <w:szCs w:val="20"/>
                <w:color w:val="auto"/>
              </w:rPr>
            </w:pPr>
            <w:r>
              <w:rPr>
                <w:rFonts w:ascii="Arial" w:cs="Arial" w:eastAsia="Arial" w:hAnsi="Arial"/>
                <w:sz w:val="18"/>
                <w:szCs w:val="18"/>
                <w:color w:val="auto"/>
                <w:w w:val="94"/>
              </w:rPr>
              <w:t>2009 Stock Incentive Plan as filed as Exhibit B to our Information Statement filed on Definitive Schedule 14-C on January 29, 2010 and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Technology Option Agreement, dated June 1, 2010, between TapImmune Inc. and Mayo Foundation for Education and Research as filed as</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an Exhibit to the Company's Current Report on Form 8-K as filed on June 4, 2010 and incorporated by reference herein.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Employment Agreement between Dr. Glynn Wilson and the Company dated March 16, 2011 filed as an Exhibit to the Company's Annual</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Report on Form 10-K as filed on April 18, 2011 and incorporated by reference herein.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21.1</w:t>
            </w:r>
          </w:p>
        </w:tc>
        <w:tc>
          <w:tcPr>
            <w:tcW w:w="10540" w:type="dxa"/>
            <w:vAlign w:val="bottom"/>
          </w:tcPr>
          <w:p>
            <w:pPr>
              <w:ind w:left="460"/>
              <w:spacing w:after="0"/>
              <w:rPr>
                <w:sz w:val="20"/>
                <w:szCs w:val="20"/>
                <w:color w:val="auto"/>
              </w:rPr>
            </w:pPr>
            <w:r>
              <w:rPr>
                <w:rFonts w:ascii="Arial" w:cs="Arial" w:eastAsia="Arial" w:hAnsi="Arial"/>
                <w:sz w:val="18"/>
                <w:szCs w:val="18"/>
                <w:color w:val="auto"/>
                <w:w w:val="98"/>
              </w:rPr>
              <w:t>Subsidiaries of TapImmune Inc. filed as an Exhibit to the Company's Annual Report on Form 10-K as filed on April 18, 2011 and</w:t>
            </w:r>
          </w:p>
        </w:tc>
      </w:tr>
      <w:tr>
        <w:trPr>
          <w:trHeight w:val="216"/>
        </w:trPr>
        <w:tc>
          <w:tcPr>
            <w:tcW w:w="840" w:type="dxa"/>
            <w:vAlign w:val="bottom"/>
          </w:tcPr>
          <w:p>
            <w:pPr>
              <w:spacing w:after="0"/>
              <w:rPr>
                <w:sz w:val="18"/>
                <w:szCs w:val="18"/>
                <w:color w:val="auto"/>
              </w:rPr>
            </w:pPr>
          </w:p>
        </w:tc>
        <w:tc>
          <w:tcPr>
            <w:tcW w:w="10540" w:type="dxa"/>
            <w:vAlign w:val="bottom"/>
          </w:tcPr>
          <w:p>
            <w:pPr>
              <w:ind w:left="460"/>
              <w:spacing w:after="0"/>
              <w:rPr>
                <w:sz w:val="20"/>
                <w:szCs w:val="20"/>
                <w:color w:val="auto"/>
              </w:rPr>
            </w:pPr>
            <w:r>
              <w:rPr>
                <w:rFonts w:ascii="Arial" w:cs="Arial" w:eastAsia="Arial" w:hAnsi="Arial"/>
                <w:sz w:val="18"/>
                <w:szCs w:val="18"/>
                <w:color w:val="auto"/>
              </w:rPr>
              <w:t>incorporated by reference herein.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540" w:type="dxa"/>
            <w:vAlign w:val="bottom"/>
          </w:tcPr>
          <w:p>
            <w:pPr>
              <w:ind w:left="480"/>
              <w:spacing w:after="0"/>
              <w:rPr>
                <w:sz w:val="20"/>
                <w:szCs w:val="20"/>
                <w:color w:val="auto"/>
              </w:rPr>
            </w:pPr>
            <w:r>
              <w:rPr>
                <w:rFonts w:ascii="Arial" w:cs="Arial" w:eastAsia="Arial" w:hAnsi="Arial"/>
                <w:sz w:val="18"/>
                <w:szCs w:val="18"/>
                <w:color w:val="auto"/>
                <w:w w:val="95"/>
              </w:rPr>
              <w:t>Certification of Principal Executive Officer and Acting Principal Accounting Officer pursuant to Securities Exchange Act of 1934 Rule</w:t>
            </w:r>
          </w:p>
        </w:tc>
      </w:tr>
      <w:tr>
        <w:trPr>
          <w:trHeight w:val="216"/>
        </w:trPr>
        <w:tc>
          <w:tcPr>
            <w:tcW w:w="840" w:type="dxa"/>
            <w:vAlign w:val="bottom"/>
          </w:tcPr>
          <w:p>
            <w:pPr>
              <w:spacing w:after="0"/>
              <w:rPr>
                <w:sz w:val="18"/>
                <w:szCs w:val="18"/>
                <w:color w:val="auto"/>
              </w:rPr>
            </w:pPr>
          </w:p>
        </w:tc>
        <w:tc>
          <w:tcPr>
            <w:tcW w:w="10540" w:type="dxa"/>
            <w:vAlign w:val="bottom"/>
          </w:tcPr>
          <w:p>
            <w:pPr>
              <w:ind w:left="480"/>
              <w:spacing w:after="0"/>
              <w:rPr>
                <w:sz w:val="20"/>
                <w:szCs w:val="20"/>
                <w:color w:val="auto"/>
              </w:rPr>
            </w:pPr>
            <w:r>
              <w:rPr>
                <w:rFonts w:ascii="Arial" w:cs="Arial" w:eastAsia="Arial" w:hAnsi="Arial"/>
                <w:sz w:val="18"/>
                <w:szCs w:val="18"/>
                <w:color w:val="auto"/>
              </w:rPr>
              <w:t>13a-14(a) or 15d-14(a).*</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540" w:type="dxa"/>
            <w:vAlign w:val="bottom"/>
          </w:tcPr>
          <w:p>
            <w:pPr>
              <w:ind w:left="480"/>
              <w:spacing w:after="0"/>
              <w:rPr>
                <w:sz w:val="20"/>
                <w:szCs w:val="20"/>
                <w:color w:val="auto"/>
              </w:rPr>
            </w:pPr>
            <w:r>
              <w:rPr>
                <w:rFonts w:ascii="Arial" w:cs="Arial" w:eastAsia="Arial" w:hAnsi="Arial"/>
                <w:sz w:val="18"/>
                <w:szCs w:val="18"/>
                <w:color w:val="auto"/>
              </w:rPr>
              <w:t>Certification of Principal Executive Officer and Acting Principal Accounting Officer pursuant to 18 U.S.C. Section 1350.*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and 15 (d)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Glynn Wilson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 and Acting Principal</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Accounting Officer</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 May 15, 2013</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Glynn Wilson, Director</w:t>
      </w:r>
    </w:p>
    <w:p>
      <w:pPr>
        <w:spacing w:after="0" w:line="252"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Reddish, Director</w:t>
      </w:r>
    </w:p>
    <w:p>
      <w:pPr>
        <w:spacing w:after="0" w:line="252"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Sherry Grisewood, Director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5" w:name="page66"/>
    <w:bookmarkEnd w:id="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Glynn Wilson, certify that:</w:t>
      </w:r>
    </w:p>
    <w:p>
      <w:pPr>
        <w:spacing w:after="0" w:line="25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TapImmune Inc.;</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7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2013</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u w:val="single" w:color="auto"/>
          <w:color w:val="auto"/>
        </w:rPr>
        <w:t>_/s/ Glynn Wilson</w:t>
      </w:r>
      <w:r>
        <w:rPr>
          <w:rFonts w:ascii="Arial" w:cs="Arial" w:eastAsia="Arial" w:hAnsi="Arial"/>
          <w:sz w:val="18"/>
          <w:szCs w:val="18"/>
          <w:i w:val="1"/>
          <w:iCs w:val="1"/>
          <w:color w:val="auto"/>
        </w:rPr>
        <w:t>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Glynn Wilson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Acting Principal Accounting Officer</w:t>
      </w:r>
    </w:p>
    <w:p>
      <w:pPr>
        <w:sectPr>
          <w:pgSz w:w="11900" w:h="16838" w:orient="portrait"/>
          <w:cols w:equalWidth="0" w:num="1">
            <w:col w:w="11420"/>
          </w:cols>
          <w:pgMar w:left="240" w:top="364"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Glynn Wilson, the Chief Executive Officer of TapImmune Inc. (the “Company”), hereby certifies, pursuant to 18 U.S.C. Section 1350, as adopted pursuant to Section 906 of the Sarbanes-Oxley Act of 2002, that, to his knowledge, the Annual Report on Form 10-K for the year ended December 31, 2012 fully complies with the requirements of Section 13(a) or 15(d) of the Securities Exchange Act of 1934, as amended, and that the information contained in the Annual Report on Form 10-K, as amended, fairly presents in all material respects the financial condition and results of operations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2013</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u w:val="single" w:color="auto"/>
          <w:color w:val="auto"/>
        </w:rPr>
        <w:t>_/s/ Glynn Wilson</w:t>
      </w:r>
      <w:r>
        <w:rPr>
          <w:rFonts w:ascii="Arial" w:cs="Arial" w:eastAsia="Arial" w:hAnsi="Arial"/>
          <w:sz w:val="18"/>
          <w:szCs w:val="18"/>
          <w:i w:val="1"/>
          <w:iCs w:val="1"/>
          <w:color w:val="auto"/>
        </w:rPr>
        <w:t>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Glynn Wilson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Acting Principal Accounting Officer</w:t>
      </w:r>
    </w:p>
    <w:p>
      <w:pPr>
        <w:spacing w:after="0" w:line="21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__________</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2"/>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Roman"/>
      <w:start w:val="2"/>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Roman"/>
      <w:start w:val="4"/>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lowerLetter"/>
      <w:start w:val="5"/>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2020-02-26T10:50:51Z</dcterms:created>
  <dcterms:modified xsi:type="dcterms:W3CDTF">2020-02-26T10:50:51Z</dcterms:modified>
</cp:coreProperties>
</file>