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144"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Under Section 13 or 15(d) of the Securities Exchange Act of 1934 for the quarterly period ended September 30, 2021</w:t>
      </w:r>
    </w:p>
    <w:p>
      <w:pPr>
        <w:spacing w:after="0" w:line="131" w:lineRule="exact"/>
        <w:rPr>
          <w:sz w:val="24"/>
          <w:szCs w:val="24"/>
          <w:color w:val="auto"/>
        </w:rPr>
      </w:pPr>
    </w:p>
    <w:p>
      <w:pPr>
        <w:ind w:left="3720" w:right="1140" w:hanging="3712"/>
        <w:spacing w:after="0" w:line="429" w:lineRule="auto"/>
        <w:tabs>
          <w:tab w:leader="none" w:pos="26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Transition Report Under Section 13 or 15(d) of the Securities Exchange Act of 1934 for the transition period from _____ to _____. Commission File Number: </w:t>
      </w:r>
      <w:r>
        <w:rPr>
          <w:rFonts w:ascii="Arial" w:cs="Arial" w:eastAsia="Arial" w:hAnsi="Arial"/>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-16510</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in its charter)</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6"/>
                <w:szCs w:val="16"/>
                <w:b w:val="1"/>
                <w:bCs w:val="1"/>
                <w:color w:val="auto"/>
                <w:w w:val="99"/>
              </w:rPr>
              <w:t>DELAWARE</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1956"/>
              <w:spacing w:after="0"/>
              <w:rPr>
                <w:sz w:val="20"/>
                <w:szCs w:val="20"/>
                <w:color w:val="auto"/>
              </w:rPr>
            </w:pPr>
            <w:r>
              <w:rPr>
                <w:rFonts w:ascii="Arial" w:cs="Arial" w:eastAsia="Arial" w:hAnsi="Arial"/>
                <w:sz w:val="16"/>
                <w:szCs w:val="16"/>
                <w:b w:val="1"/>
                <w:bCs w:val="1"/>
                <w:color w:val="auto"/>
              </w:rPr>
              <w:t>45-4497941</w:t>
            </w:r>
          </w:p>
        </w:tc>
      </w:tr>
      <w:tr>
        <w:trPr>
          <w:trHeight w:val="206"/>
        </w:trPr>
        <w:tc>
          <w:tcPr>
            <w:tcW w:w="20" w:type="dxa"/>
            <w:vAlign w:val="bottom"/>
          </w:tcPr>
          <w:p>
            <w:pPr>
              <w:spacing w:after="0"/>
              <w:rPr>
                <w:sz w:val="17"/>
                <w:szCs w:val="17"/>
                <w:color w:val="auto"/>
              </w:rPr>
            </w:pPr>
          </w:p>
        </w:tc>
        <w:tc>
          <w:tcPr>
            <w:tcW w:w="4440" w:type="dxa"/>
            <w:vAlign w:val="bottom"/>
            <w:gridSpan w:val="3"/>
          </w:tcPr>
          <w:p>
            <w:pPr>
              <w:jc w:val="center"/>
              <w:ind w:left="31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40" w:type="dxa"/>
            <w:vAlign w:val="bottom"/>
            <w:gridSpan w:val="3"/>
          </w:tcPr>
          <w:p>
            <w:pPr>
              <w:jc w:val="center"/>
              <w:ind w:right="916"/>
              <w:spacing w:after="0"/>
              <w:rPr>
                <w:sz w:val="20"/>
                <w:szCs w:val="20"/>
                <w:color w:val="auto"/>
              </w:rPr>
            </w:pPr>
            <w:r>
              <w:rPr>
                <w:rFonts w:ascii="Arial" w:cs="Arial" w:eastAsia="Arial" w:hAnsi="Arial"/>
                <w:sz w:val="16"/>
                <w:szCs w:val="16"/>
                <w:color w:val="auto"/>
                <w:w w:val="95"/>
              </w:rPr>
              <w:t>(I.R.S. Employer Identification No.)</w:t>
            </w:r>
          </w:p>
        </w:tc>
      </w:tr>
      <w:tr>
        <w:trPr>
          <w:trHeight w:val="347"/>
        </w:trPr>
        <w:tc>
          <w:tcPr>
            <w:tcW w:w="20" w:type="dxa"/>
            <w:vAlign w:val="bottom"/>
          </w:tcPr>
          <w:p>
            <w:pPr>
              <w:spacing w:after="0"/>
              <w:rPr>
                <w:sz w:val="24"/>
                <w:szCs w:val="24"/>
                <w:color w:val="auto"/>
              </w:rPr>
            </w:pPr>
          </w:p>
        </w:tc>
        <w:tc>
          <w:tcPr>
            <w:tcW w:w="4440" w:type="dxa"/>
            <w:vAlign w:val="bottom"/>
            <w:gridSpan w:val="3"/>
          </w:tcPr>
          <w:p>
            <w:pPr>
              <w:jc w:val="center"/>
              <w:ind w:left="318"/>
              <w:spacing w:after="0"/>
              <w:rPr>
                <w:sz w:val="20"/>
                <w:szCs w:val="20"/>
                <w:color w:val="auto"/>
              </w:rPr>
            </w:pPr>
            <w:r>
              <w:rPr>
                <w:rFonts w:ascii="Arial" w:cs="Arial" w:eastAsia="Arial" w:hAnsi="Arial"/>
                <w:sz w:val="16"/>
                <w:szCs w:val="16"/>
                <w:b w:val="1"/>
                <w:bCs w:val="1"/>
                <w:color w:val="auto"/>
                <w:w w:val="90"/>
              </w:rPr>
              <w:t>3200 Southwest Freeway, Suite 2500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6"/>
                <w:szCs w:val="16"/>
                <w:b w:val="1"/>
                <w:bCs w:val="1"/>
                <w:color w:val="auto"/>
                <w:w w:val="87"/>
              </w:rPr>
              <w:t>Houston, Texas</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2136"/>
              <w:spacing w:after="0"/>
              <w:rPr>
                <w:sz w:val="20"/>
                <w:szCs w:val="20"/>
                <w:color w:val="auto"/>
              </w:rPr>
            </w:pPr>
            <w:r>
              <w:rPr>
                <w:rFonts w:ascii="Arial" w:cs="Arial" w:eastAsia="Arial" w:hAnsi="Arial"/>
                <w:sz w:val="16"/>
                <w:szCs w:val="16"/>
                <w:b w:val="1"/>
                <w:bCs w:val="1"/>
                <w:color w:val="auto"/>
              </w:rPr>
              <w:t>77027</w:t>
            </w:r>
          </w:p>
        </w:tc>
      </w:tr>
      <w:tr>
        <w:trPr>
          <w:trHeight w:val="206"/>
        </w:trPr>
        <w:tc>
          <w:tcPr>
            <w:tcW w:w="20" w:type="dxa"/>
            <w:vAlign w:val="bottom"/>
          </w:tcPr>
          <w:p>
            <w:pPr>
              <w:spacing w:after="0"/>
              <w:rPr>
                <w:sz w:val="17"/>
                <w:szCs w:val="17"/>
                <w:color w:val="auto"/>
              </w:rPr>
            </w:pPr>
          </w:p>
        </w:tc>
        <w:tc>
          <w:tcPr>
            <w:tcW w:w="4440" w:type="dxa"/>
            <w:vAlign w:val="bottom"/>
            <w:gridSpan w:val="3"/>
          </w:tcPr>
          <w:p>
            <w:pPr>
              <w:jc w:val="center"/>
              <w:ind w:left="318"/>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jc w:val="center"/>
              <w:ind w:right="1336"/>
              <w:spacing w:after="0"/>
              <w:rPr>
                <w:sz w:val="20"/>
                <w:szCs w:val="20"/>
                <w:color w:val="auto"/>
              </w:rPr>
            </w:pPr>
            <w:r>
              <w:rPr>
                <w:rFonts w:ascii="Arial" w:cs="Arial" w:eastAsia="Arial" w:hAnsi="Arial"/>
                <w:sz w:val="16"/>
                <w:szCs w:val="16"/>
                <w:color w:val="auto"/>
                <w:w w:val="95"/>
              </w:rPr>
              <w:t>(Zip Code)</w:t>
            </w:r>
          </w:p>
        </w:tc>
      </w:tr>
      <w:tr>
        <w:trPr>
          <w:trHeight w:val="354"/>
        </w:trPr>
        <w:tc>
          <w:tcPr>
            <w:tcW w:w="38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91"/>
              </w:rPr>
              <w:t>(713) 400-6400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4440" w:type="dxa"/>
            <w:vAlign w:val="bottom"/>
            <w:tcBorders>
              <w:top w:val="single" w:sz="8" w:color="auto"/>
            </w:tcBorders>
            <w:gridSpan w:val="3"/>
          </w:tcPr>
          <w:p>
            <w:pPr>
              <w:jc w:val="center"/>
              <w:ind w:left="318"/>
              <w:spacing w:after="0"/>
              <w:rPr>
                <w:sz w:val="20"/>
                <w:szCs w:val="20"/>
                <w:color w:val="auto"/>
              </w:rPr>
            </w:pPr>
            <w:r>
              <w:rPr>
                <w:rFonts w:ascii="Arial" w:cs="Arial" w:eastAsia="Arial" w:hAnsi="Arial"/>
                <w:sz w:val="16"/>
                <w:szCs w:val="16"/>
                <w:color w:val="auto"/>
                <w:w w:val="90"/>
              </w:rPr>
              <w:t>(Issuer’s telephone number)</w:t>
            </w: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328"/>
        </w:trPr>
        <w:tc>
          <w:tcPr>
            <w:tcW w:w="446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440" w:type="dxa"/>
            <w:vAlign w:val="bottom"/>
            <w:gridSpan w:val="3"/>
          </w:tcPr>
          <w:p>
            <w:pPr>
              <w:ind w:left="1360"/>
              <w:spacing w:after="0"/>
              <w:rPr>
                <w:sz w:val="20"/>
                <w:szCs w:val="20"/>
                <w:color w:val="auto"/>
              </w:rPr>
            </w:pPr>
            <w:r>
              <w:rPr>
                <w:rFonts w:ascii="Arial" w:cs="Arial" w:eastAsia="Arial" w:hAnsi="Arial"/>
                <w:sz w:val="16"/>
                <w:szCs w:val="16"/>
                <w:b w:val="1"/>
                <w:bCs w:val="1"/>
                <w:color w:val="auto"/>
              </w:rPr>
              <w:t>Title of each class</w:t>
            </w:r>
          </w:p>
        </w:tc>
        <w:tc>
          <w:tcPr>
            <w:tcW w:w="16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Trading Symbol(s)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0"/>
        </w:trPr>
        <w:tc>
          <w:tcPr>
            <w:tcW w:w="2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Common Stock, par value $0.001 per share</w:t>
            </w: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6"/>
                <w:szCs w:val="16"/>
                <w:color w:val="auto"/>
              </w:rPr>
              <w:t>MRKR</w:t>
            </w: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1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4"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80"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65"/>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7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0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1020" w:type="dxa"/>
            <w:vAlign w:val="bottom"/>
          </w:tcPr>
          <w:p>
            <w:pPr>
              <w:ind w:left="8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56"/>
        </w:trPr>
        <w:tc>
          <w:tcPr>
            <w:tcW w:w="2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82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25"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83" w:lineRule="exact"/>
        <w:rPr>
          <w:sz w:val="24"/>
          <w:szCs w:val="24"/>
          <w:color w:val="auto"/>
        </w:rPr>
      </w:pPr>
    </w:p>
    <w:p>
      <w:pPr>
        <w:ind w:right="1660"/>
        <w:spacing w:after="0" w:line="28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As of November 1, 2021, the Company had 83,078,675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784860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40" w:type="dxa"/>
            <w:vAlign w:val="bottom"/>
          </w:tcPr>
          <w:p>
            <w:pPr>
              <w:spacing w:after="0"/>
              <w:rPr>
                <w:sz w:val="17"/>
                <w:szCs w:val="17"/>
                <w:color w:val="auto"/>
              </w:rPr>
            </w:pPr>
          </w:p>
        </w:tc>
      </w:tr>
      <w:tr>
        <w:trPr>
          <w:trHeight w:val="844"/>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8"/>
          </w:tcPr>
          <w:p>
            <w:pPr>
              <w:ind w:left="108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2021 and December 31,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2021 and</w:t>
              </w:r>
            </w:hyperlink>
          </w:p>
        </w:tc>
        <w:tc>
          <w:tcPr>
            <w:tcW w:w="940" w:type="dxa"/>
            <w:vAlign w:val="bottom"/>
            <w:tcBorders>
              <w:bottom w:val="single" w:sz="8" w:color="CCEEFF"/>
            </w:tcBorders>
            <w:shd w:val="clear" w:color="auto" w:fill="CCEEFF"/>
          </w:tcPr>
          <w:p>
            <w:pPr>
              <w:spacing w:after="0"/>
              <w:rPr>
                <w:sz w:val="15"/>
                <w:szCs w:val="15"/>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Stockholders' Equity for the three and nine months ended September 30,</w:t>
              </w:r>
            </w:hyperlink>
          </w:p>
        </w:tc>
        <w:tc>
          <w:tcPr>
            <w:tcW w:w="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0" w:type="dxa"/>
            <w:vAlign w:val="bottom"/>
            <w:gridSpan w:val="2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w:t>
              </w:r>
            </w:hyperlink>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2"/>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Cash Flows for the nine months ended September 30, 2021 and 2020</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5"/>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8200" w:type="dxa"/>
            <w:vAlign w:val="bottom"/>
            <w:gridSpan w:val="22"/>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5"/>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1424"/>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rPr>
              <w:t>MARKER THERAPEUTICS, INC.</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80" w:type="dxa"/>
            <w:vAlign w:val="bottom"/>
          </w:tcPr>
          <w:p>
            <w:pPr>
              <w:jc w:val="center"/>
              <w:ind w:left="119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48,705,297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2,701,327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2,057,924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51,406,867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24,410,865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9,846,745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3,570,736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Right-of-use assets,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10,086,158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20,532,908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21,203,950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2"/>
              </w:rPr>
              <w:t>Total assets</w:t>
            </w:r>
          </w:p>
        </w:tc>
        <w:tc>
          <w:tcPr>
            <w:tcW w:w="38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71,939,775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Lease liability</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8,226,875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11,430,892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11,430,892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19,657,767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18,270,242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Commitments and contingencies (see Note 10)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7"/>
              </w:rPr>
              <w:t>Common stock, $0.001 par value, 150 million shares authorized, 83.1 million and 50.7 million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w w:val="95"/>
              </w:rPr>
              <w:t>shares issued and outstanding as of September 30, 2021 and December 31, 2020, respectively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440,553,968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383,533,326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(388,355,039)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(356,239,484)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52,282,008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27,344,573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71,939,775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45,614,815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000" w:right="2260"/>
        <w:spacing w:after="0" w:line="266" w:lineRule="auto"/>
        <w:rPr>
          <w:sz w:val="20"/>
          <w:szCs w:val="20"/>
          <w:color w:val="auto"/>
        </w:rPr>
      </w:pPr>
      <w:r>
        <w:rPr>
          <w:rFonts w:ascii="Arial" w:cs="Arial" w:eastAsia="Arial" w:hAnsi="Arial"/>
          <w:sz w:val="18"/>
          <w:szCs w:val="18"/>
          <w:b w:val="1"/>
          <w:bCs w:val="1"/>
          <w:color w:val="auto"/>
        </w:rPr>
        <w:t>MARKER THERAPEUTICS, INC. CONDENSED CONSOLIDATED STATEMENTS OF OPERATIONS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For the 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6,784,390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4,803,605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19,777,454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12,897,275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3,239,148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2,572,562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9,936,256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10,023,538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7,376,167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29,713,710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20,844,121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(10,023,538)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(7,376,167)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(29,713,710)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(20,377,336)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Arbitration settlement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(2,406,576)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(2,406,576)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(12,429,323)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(7,371,500)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(32,115,555)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(20,198,843)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Weighted average number of common shares outstanding, basic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9"/>
              </w:rPr>
              <w:t>83,078,675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0"/>
              </w:rPr>
              <w:t>46,867,119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74,290,598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46,509,391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2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3"/>
              </w:rPr>
              <w:t>For the Three Months Ended September 30, 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439,085,948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(375,925,716)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63,243,311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1,468,020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1,468,020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(12,429,323)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(12,429,323)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440,553,968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(388,355,039)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52,282,008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3"/>
              </w:rPr>
              <w:t>For the Nine Months Ended September 30, 2021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50,731,072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50,731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383,533,326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(356,239,484)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27,344,573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for cash (net of</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offering costs of $3.9 million)</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32,282,857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52,520,475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52,552,758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63,290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4,497,082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4,497,145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(32,115,555)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(32,115,555)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440,553,968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(388,355,039)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52,282,008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3"/>
              </w:rPr>
              <w:t>For the Three Months Ended September 30, 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46,617,632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46,617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374,828,385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(340,360,757)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34,514,245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Issuance common stock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1,407,470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2,184,601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2,186,009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(7,371,500)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48,025,102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378,282,157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(347,732,257)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30,597,925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3"/>
              </w:rPr>
              <w:t>For the Nine Months Ended September 30, 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45,728,831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371,573,909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(327,533,414)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44,086,223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Issuance common stock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1,407,470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2,184,601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2,186,009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as commitment</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fee for future financing</w:t>
            </w:r>
          </w:p>
        </w:tc>
        <w:tc>
          <w:tcPr>
            <w:tcW w:w="920" w:type="dxa"/>
            <w:vAlign w:val="bottom"/>
          </w:tcPr>
          <w:p>
            <w:pPr>
              <w:jc w:val="right"/>
              <w:spacing w:after="0"/>
              <w:rPr>
                <w:sz w:val="20"/>
                <w:szCs w:val="20"/>
                <w:color w:val="auto"/>
              </w:rPr>
            </w:pPr>
            <w:r>
              <w:rPr>
                <w:rFonts w:ascii="Arial" w:cs="Arial" w:eastAsia="Arial" w:hAnsi="Arial"/>
                <w:sz w:val="18"/>
                <w:szCs w:val="18"/>
                <w:color w:val="auto"/>
              </w:rPr>
              <w:t>345,357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3,974,451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(20,198,843)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(20,198,843)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48,025,102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378,282,157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(347,732,257)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30,597,925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MARKER THERAPEUTICS, INC. CONDENSED CONSOLIDATED STATEMENTS OF CASH FLOWS (UNAUDITED)</w:t>
      </w:r>
    </w:p>
    <w:p>
      <w:pPr>
        <w:spacing w:after="0" w:line="39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Nine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(32,115,555)</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(20,198,843)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1,584,495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warrant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4,497,145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on right-of-use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deposits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1,000,316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2,742,154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(244,752)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(166,723)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(22,421,642)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(14,530,495)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(1,262,092)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Purchase of construction in progress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(1,519,196)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(3,147,566)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(2,781,288)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(5,152,726)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52,552,758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Proceeds from exercise of warrants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52,555,845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27,352,915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(16,947,212)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48,705,297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26,956,737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3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7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and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Reclassifications between construction in progress and fixed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6,789,098</w:t>
            </w:r>
          </w:p>
        </w:tc>
        <w:tc>
          <w:tcPr>
            <w:tcW w:w="22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 included in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70,399</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Issuance of common stock as commitment fee for future financing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Recognition of right-of-use assets and lease liability from new operating lease agreement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11,077,636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for the condensed consolidated statement of operations are not necessarily indicative of results to be expected for the year ending December 31, 2021 or for any future interim period. The condensed consolidated balance sheet at September 30, 2021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2020 and notes thereto included in the Company’s annual report on Form 10-K filed on March 9,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2021, the Company had cash and cash equivalents of approximately $48.7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August 2021, the Company entered into a Controlled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Sales Agents will be entitled to compensation under the Sales Agreement at a commission rate equal to 3.0% of the gross sales price per share sold under the ATM Agreement, and the Company has provided each of the Sales Agents with indemnification and contribution rights. To date, the Company has not sold any shares of its common stock under the ATM Agreement.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On March 16, 2021, the Company issued an aggregate of 32,282,857 shares of its common stock, for net proceeds of $52.6 million.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2021, the Company received notice of a Product Development Research award totaling approximately $13.1 million from the Cancer Prevention and Research Institute of Texas (“CPRIT”) to support the Company's Phase 2 clinical trial of its lead MultiTAA-specific T cell product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the Company has not received any funds from the CPRIT grant.</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on the Company’s clinical and research and development plans and its timing expectations related to the progress of its programs, the Company expects that its cash and cash equivalents as of September 30, 2021 will enable the Company to fund its operating expenses and capital expenditure requirements into the first quarter of 2023. This expectation does not account for any future funds that the Company may receive from the CPRIT award.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8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340" w:hanging="332"/>
        <w:spacing w:after="0" w:line="250" w:lineRule="auto"/>
        <w:tabs>
          <w:tab w:leader="none" w:pos="398"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ultimate geographic spread of the disease, the duration of the outbreak, the emergence of any new variant strains of COVID-19, the duration and effect of business disruptions and the short-term effects and ultimate effectiveness of the travel restrictions, quarantines, social distancing requirements, the timing, distribution, rate of public acceptance and efficacy of vaccines and other treatments, and business closures in the United States and other countries to contain and treat the disease. While the potential economic impact brought by, and the duration of, the COVID-19 pandemic may be difficult to assess or predict, it could result in significant disruption of global financial markets, reducing the Company’s ability to access capital, which could in the future negatively affect the Company’s liquidity. In addition, a recession or market correction resulting from the spread of COVID-19 and any variant strains thereof could materially affect the Company’s business and the value of its common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Prior Period Reclassification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reclassifications have been made to reclass certain non-cash capital expenditures on the consolidated statements of cash flows from a cash outflow from investing activity to a non-cash investing activity. The Company has evaluated the materiality of this adjustment and concluded it was not material to the previously issued consolidated financial statements and had no impact to the reported consolidated balance sheets, consolidated statements of operations or net loss per share.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2020, this immaterial adjustment had the effect of increasing net cash used in operating activities and decreasing net cash used in investing activities by $1.2 million from what was previously reported. For the nine months ended September 30, 2020, this immaterial adjustment had the effect of increasing net cash used in operating activities and decreasing net cash used in investing activities by $1.9 million from was previously reported.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and equipment - Construction in Progress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2021, and in connection with the Company’s manufacturing facility in Houston, Texas, the Company incurred $0.6 million of costs pursuant to an agreement with a vendor to build and eventually install a second modular cleanroom. Such costs were recorded in fixed assets – construction in progress on the balance sheet as of September 30, 2021. Upon completion and installation of the modular cleanroom, all costs associated with the buildout will be recorded as manufacturing equipment and amortized over the estimated useful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Grant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Mayo Foundation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 09, “Revenue from Contracts with Customers (Topic 606)” issued by the Financial Accounting Standards Board (“FASB”).</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received from grants in advance of incurring qualifying costs is recorded as deferred revenue and recognized as revenue when qualifying costs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Adopted in the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has adopted the new standard effective January 1, 2021 and has concluded that the adoption of this standard did not have a material impact on its condensed consolidated financial statements and related disclosures.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computation of net loss per share for the three and nine months ended September 30, 2021 and 2020,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For the 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(12,429,323)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(7,371,500)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(32,115,555)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(20,198,843)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83,078,675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46,867,119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74,290,598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46,509,391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Basic and diluted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pacing w:after="0" w:line="17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Nine Months Ended</w:t>
      </w:r>
    </w:p>
    <w:p>
      <w:pPr>
        <w:jc w:val="center"/>
        <w:ind w:left="74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5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5,882,000</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purchase warrants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19,830,000</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20,964,000</w:t>
            </w:r>
          </w:p>
        </w:tc>
      </w:tr>
      <w:tr>
        <w:trPr>
          <w:trHeight w:val="209"/>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27,374,000</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26,846,000</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RECEIVABLES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Company’s lease agreement for its manufacturing facility, the Company incurred and paid for the construction invoices directly for both the structural improvements of the facility and the building of the manufacturing modular cleanroom (i.e. leasehold improvements and manufacturing equipment). In accordance with the agreement, upon completion of the facility’s construction, the Company was owed up to $1.0 million as reimbursement, and as such a landlord receivable was recorded, which provides for a legal right to receive construction reimbursements from the landlord for tenant improvement allowances. During the fiscal year ended 2020, the Company recorded a $1.0 million receivable in its condensed consolidated financial statements. The Company received the $1.0 million reimbursement in April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September 30, 2021 and December 31, 2020,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Estimated Useful Lives</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 and manufacturing equipment</w:t>
            </w:r>
          </w:p>
        </w:tc>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Computers, equipment and software</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3-5 Years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835,000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3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5 Years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678,000</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32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Lesser of lease term or estimated useful</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rPr>
              <w:t>life</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3,171,000</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289,000</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12,022,000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(2,175,000)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6,789,000</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Total fixed assets, net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10,447,000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10,360,000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2020, the Company entered into a lease for a manufacturing facility in Houston, Texas. The Company has incurred costs pursuant to an agreement with a vendor to design, engineer, build and eventually install modular cleanrooms in a manufacturing facility. $6.8 million was recorded in fixed assets - construction in progress on the balance sheet as of December 31, 2020. The completion of the facility’s construction occurred during December 2020 and the Company received its certificate of occupancy in January 2021, and as such was placed into service in January 2021 and became fully operational in July 2021. During January 2021, $4.0 million of the costs previously recorded as construction in progress were recorded to lab and manufacturing equipment and $2.8 million were recorded to leasehold improvements.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2021, and in connection with the opening of the Company’s manufacturing facility in Houston, Texas, the Company incurred $0.6 million of costs pursuant to an agreement with a vendor to build and eventually install a second modular cleanroom. Such costs were recorded in fixed assets – construction in progress on the balance sheet as of September 30, 2021.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for the three months ended September 30, 2021 and 2020 was approximately $0.6 million and $0.1 million, respectively. Depreciation expense for the nine months ended September 30, 2021 and 2020 was approximately $1.6 million and $0.3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Topic ASC 842 requires the Company to recognize in the statement of financial position a liability to make lease payments (the lease liability) and a right-of-use asset representing its right to use the underlying asset for the lease term. Right-of-use assets are recorded in other assets on the Company’s condensed consolidated balance sheets. Current and non-current lease liabilities are recorded in other accruals within current liabilities and other non-current liabilities, respectively, on its condensed consolidated balance sheets. Costs associated with operating leases are recognized on a straight-line basis within operating expenses over the term of the lease.</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the Company had total operating lease liabilities of approximately $12.0 million and right-of-use assets of approximately $10.1 million, which were included in the condensed consolidated balance sheet.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quantitative information about the Company’s operating leases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6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425,000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9"/>
              </w:rPr>
              <w:t>1,275,000</w:t>
            </w:r>
          </w:p>
        </w:tc>
        <w:tc>
          <w:tcPr>
            <w:tcW w:w="14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533,000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expense</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168,000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430,000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593,000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444,000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1,705,000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3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jc w:val="right"/>
              <w:ind w:right="12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 operating leases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763,000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   362,000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remaining lease term as of September 30, 2021 and December 31, 2020 was approximately 8.7 years and 9.3 years, respectively. The weighted-average discount rate used to determine the operating lease liability as of September 30, 2021 and December 31, 2020 was approximately 5.7% and 5.7%,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Maturities of our operating leases, excluding short-term leases, are as follows: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31, 2021</w:t>
            </w: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Operating lease liabilities included in the Condensed Consolidated Balance Sheet at September 30, 2021</w:t>
            </w: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liabilities consist of the following as of September 30, 2021 and December 31, 2020,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2,935,000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1,694,000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Process development expenses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Professional fees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fees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Arbitration settlement fees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2,407,000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3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7,645,000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6,013,000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60" w:type="dxa"/>
            <w:vAlign w:val="bottom"/>
            <w:vMerge w:val="restart"/>
          </w:tcPr>
          <w:p>
            <w:pPr>
              <w:jc w:val="right"/>
              <w:ind w:right="21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0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September 30, 2021, the Company recorded an accrual of $2.4 million in accrued liabilities on its condensed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2021, certain outstanding options were exercised for 1,456 shares of common stock providing aggregate proceeds to the Company of approximately $3,100.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Company issued an aggregate of 63,290 shares of common stock to its non-employee directors. The fair value of the common stock of approximately $0.2 million was recognized as a component of stock-based compensation expense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11, 2021, the Company entered into an underwriting agreement with Piper Sandler &amp; Co., as representative of the several underwriters, to issue and sell 28,572,000 shares of common stock of the Company in an underwritten public offering. The offering price to the public was $1.75 per share. In addition, the Company granted the underwriters an option to purchase, for a period of 30 days, up to an additional 4,285,800 shares of common stock, which such option was partially exercised with respect to 3,710,857 shares. An aggregate of 32,282,857 shares of the Company’s common stock was issued for net proceeds of $52.6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September 30, 2021 and changes during the period is presented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200" w:type="dxa"/>
            <w:vAlign w:val="bottom"/>
          </w:tcPr>
          <w:p>
            <w:pPr>
              <w:spacing w:after="0"/>
              <w:rPr>
                <w:sz w:val="14"/>
                <w:szCs w:val="1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Intrinsic</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Expired or cancelled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19,830,000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480" w:type="dxa"/>
            <w:vAlign w:val="bottom"/>
          </w:tcPr>
          <w:p>
            <w:pPr>
              <w:spacing w:after="0"/>
              <w:rPr>
                <w:sz w:val="24"/>
                <w:szCs w:val="24"/>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Equity Incentive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10, 2021, pursuant to the Company’s 2020 Equity Incentive Plan, the compensation committee of the Company’s board of directors approved a total of 740,000 options to purchase the Company’s common stock as equity-based incentive awards to the Company’s executive officers, other than the Chief Executive Officer. Each option award was granted with an exercise price of $3.29 per share, the closing price of the Company’s common stock on the Nasdaq Global Market on February 10, 2021, with the option award vesting in 48 equal monthly installments over a four-year period, subject to such executive officer’s continued service on the applicable vesting date. Additionally, on February 10, 2021, the compensation committee of the Company’s board of directors approved a total of 260,000 options to purchase the Company’s common stock to non-executive employees of the Company as equity-based incentive awards. Each option award was granted with an exercise price of $3.29 per share, the closing price of the Company’s common stock on the Nasdaq Global Market on February 10, 2021, with the option award vesting in 48 equal monthly installments over a four-year period, subject to such employee’s continued service on the applicable vesting date.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11, 2021, upon the recommendation of the compensation committee and pursuant to the Company’s 2020 Equity Incentive Plan, the Company’s board of directors approved a total of 430,000 options to purchase the Company’s common stock as (equity-based incentive awards to the Company’s Chief Executive Officer. The option award was granted with an exercise price of $3.06 per share, the closing price of the Company’s common stock on the Nasdaq Global Market on February 11, 2021, with the option award vesting in 48 equal monthly installments over a four-year period, subject to such Chief Executive Officer’s continued service on the applicable vesting date.</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above awards were in addition to 90,000 stock option awards issued during the three months ended March 31, 2021 to new employees upon their commencement of employment with the Company. Each option award was granted with an exercise price of $1.47 per share, the closing price of the Company’s common stock on the Nasdaq Global Market on January 4, 2021, with 25% of the option award vesting in one year and the remaining 75% vesting in 36 equal monthly installments thereafter over a three-year period, subject to such employee's continued service on the applicable vesting date. Also, 100,000 stock option awards were issued during the three months ended June 30, 2021 to new employees upon their commencement of employment with the Company. Each option award was granted with an exercise price of $2.19 per share, the closing price of the Company’s common stock on the Nasdaq Global Market on April 1, 2021, with 25% of the option award vesting in one year and the remaining 75% vesting in 36 equal monthly installments thereafter over a three-year period, subject to such employee’s continued service on the applicable vesting date. Additionally, 130,000 stock option awards were issued during the three months ended September 30, 2021 to new employees upon their commencement of employment with the Company. Each option award was granted with an exercise price of $2.88 per share, the closing price of the Company’s common stock on the Nasdaq Global Market on July 1, 2021, with 25% of the option award vesting in one year and the remaining 75% vesting in 36 equal monthly installments thereafter over a three-year period, subject to such employee’s continued service on the applicable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1,456 stock options were exercised for net proceeds of $3,100.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for the nine months ended September 30,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Intrinsic</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Number of Shares</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6,001,814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1,750,000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Canceled/Expired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(206,312)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7,544,046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Options vested and exercisable</w:t>
            </w: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3,814,160</w:t>
            </w:r>
          </w:p>
        </w:tc>
        <w:tc>
          <w:tcPr>
            <w:tcW w:w="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6.75</w:t>
            </w:r>
          </w:p>
        </w:tc>
        <w:tc>
          <w:tcPr>
            <w:tcW w:w="1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850"/>
        </w:trPr>
        <w:tc>
          <w:tcPr>
            <w:tcW w:w="4800" w:type="dxa"/>
            <w:vAlign w:val="bottom"/>
          </w:tcPr>
          <w:p>
            <w:pPr>
              <w:spacing w:after="0"/>
              <w:rPr>
                <w:sz w:val="24"/>
                <w:szCs w:val="24"/>
                <w:color w:val="auto"/>
              </w:rPr>
            </w:pPr>
          </w:p>
        </w:tc>
        <w:tc>
          <w:tcPr>
            <w:tcW w:w="1140" w:type="dxa"/>
            <w:vAlign w:val="bottom"/>
          </w:tcPr>
          <w:p>
            <w:pPr>
              <w:jc w:val="right"/>
              <w:ind w:right="79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nine months ended September 30, 2021 was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September 30, 2021</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95 %</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4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98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0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727,000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636,000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60"/>
              <w:spacing w:after="0"/>
              <w:rPr>
                <w:sz w:val="20"/>
                <w:szCs w:val="20"/>
                <w:color w:val="auto"/>
              </w:rPr>
            </w:pPr>
            <w:r>
              <w:rPr>
                <w:rFonts w:ascii="Arial" w:cs="Arial" w:eastAsia="Arial" w:hAnsi="Arial"/>
                <w:sz w:val="18"/>
                <w:szCs w:val="18"/>
                <w:color w:val="auto"/>
                <w:w w:val="94"/>
              </w:rPr>
              <w:t>2,132,000</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1,945,000</w:t>
            </w: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4"/>
              </w:rPr>
              <w:t>2,365,000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2,030,000</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1,468,000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1,270,000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4,497,000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3,975,000</w:t>
            </w:r>
          </w:p>
        </w:tc>
      </w:tr>
      <w:tr>
        <w:trPr>
          <w:trHeight w:val="20"/>
        </w:trPr>
        <w:tc>
          <w:tcPr>
            <w:tcW w:w="4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total stock-based compensation cost related to unvested awards not yet recognized was $9.9 million. The expected weighted average period compensation costs to be recognized was approximately 2.1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for the three and nine months ended September 30, 2021 and 2020,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04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Baylor College of Medicine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2,052,000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759,000</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Bio-Techne Corporation</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105,000</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843,000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405,000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2,267,000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864,000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2019, May 2020 and July 2021, the Company entered into Clinical Supply Agreements with BCM, which provided for BCM to provide to the Company multi tumor antigen specific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entered in a Clinical Trial Agreement with BCM, which provided for BCM to provide to the Company investigator-initiated research studies.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currently utilizing Bio-Techne Corporation and two of its brands for the purchases of reagents, primarily cytokines. Mr. David Eansor is a member of the Company’s board of directors and is serving as the President of the Protein Sciences Segment of Bio-Techne Corporation.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nine months ended September 30, 2021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pursuing post-transplant AML as the lead indication for our first company-sponsored MultiTAA-specific T cell program. In April 2020, the FDA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 Additionally, eight patients were treated for active disease that was resistant to salvage therapy post-HSCT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(zedenoleucel), in post-allogeneic HSCT patients with AML in both the adjuvant and active disease setting. The dose administered in this multicenter trial is currently 100 million cells every two weeks for three doses.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We have completed the safety lead-in portion of the trial in June 2021. We initiated the remainder of the Phase 2 trial in July 2021 and plan to complete enrollment of approximately 20 patients and activate additional clinical sites across the United States in the fourth quarter of 2021 in order to report results from the active disease arm of the trial in the first quarter of 2022. We expect to begin manufacturing MT-401 for the Phase 2 trial at our cGMP manufacturing facility in the fourth quarter of 2021, which facility became fully operational in July 2021.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evaluating the MultiTAA-specific T cell therapies in a Phase 2 clinical trial for the treatment of breast cancer and in Phase 1 clinical trials for the treatment of ALL, lymphoma, MM and sarcoma, all of which are being conducted by BCM. As of June 2021,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and the emergence of any new variant strains of COVID-19.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clinical trials investigating other indications in addition to our planned Phase 2 trial in post-transplant AML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151765</wp:posOffset>
            </wp:positionV>
            <wp:extent cx="6172200" cy="267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in financial tables, other than per-share amounts, have been rounded to the nearest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September 30,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3,239,000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2,572,000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10,024,000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2,648,000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(10,024,000)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(7,376,000)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(2,648,000)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settlement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(2,407,000)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(12,429,000)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(7,371,000)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(5,059,000)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7"/>
              </w:rPr>
              <w:t>Weighted average number of common shares outstanding,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9"/>
              </w:rPr>
              <w:t>83,079,000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46,867,000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3"/>
              </w:rPr>
              <w:t>36,212,000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7"/>
        </w:trPr>
        <w:tc>
          <w:tcPr>
            <w:tcW w:w="508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incurred during the three months ended September 30, 2021 were $10.0 million compared to $7.4 million during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Research and development expenses increased by 41% to $6.8 million for the three months ended September 30, 2021, compared to $4.8 million for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$2.0 million in 2021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$1.0 million in expenses related to our AML clinical trial,</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$0.6 million in headcount-related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sponsored research expenses from BCM agreements,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increase of $0.1 million in rent and utilities,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1000" w:hanging="317"/>
        <w:spacing w:after="0" w:line="259" w:lineRule="auto"/>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increase of $0.4 million in depreciation expenses primarily attributable to our manufacturing facility and related expenses, offset by</w:t>
      </w:r>
    </w:p>
    <w:p>
      <w:pPr>
        <w:spacing w:after="0" w:line="184"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decrease of $0.2 million in expenses related to our vaccine clinical trials,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decrease of $0.1 million in process development expenses, and</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decrease of $0.1 million in other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and administrative expenses were $3.2 million and $2.6 million for the three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$0.6 million in 2021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legal fees,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headcount-related expenses, and</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increase of $0.1 million in rent and utilities.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Arbitration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arbitration proceeding was brought against us before the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which we recorded in the three months ended September 30, 2021. On October 22, 2021, we filed a motion in federal court to vacate the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was $1,000 and $5,000 for the three months ended September 30, 2021 and 2020, respectively, and was attributable to interest income relating to funds that are held in U.S. Treasury notes and U.S. government agency-backed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our net loss during the three months ended September 30, 2021 compared to the three months ended September 30, 2020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nine months ended September 30, 2021 and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For the Nine Months Ended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4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(467,000)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19,778,000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12,897,000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9,936,000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29,714,000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20,844,000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(29,714,000)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(20,377,000)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(9,337,000)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(31,000)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settlement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(2,407,000)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(2,407,000)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(142,000)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(32,116,000)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(20,199,000)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(11,917,000)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74,291,000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46,509,000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27,782,000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receive any grant income during the nine months ended September 30,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2020, we received $0.5 million of a grant awarded to the Mayo Foundation from the U.S. Department of Defense to fund the Phase 2 clinical trial of TPIV100 for the treatment of HER2/neu breast cancer. The portion of the grant we received compensated us for clinical supplies manufactured by us for the clinical trial.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incurred during the nine months ended September 30, 2021 were $29.7 million compared to $20.8 million during the nine months ended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53% to $19.8 million for the nine months ended September 30, 2021, compared to $12.9 million for the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$6.9 million in 2021 was primarily attributable to the following:</w:t>
      </w:r>
    </w:p>
    <w:p>
      <w:pPr>
        <w:spacing w:after="0" w:line="225" w:lineRule="exact"/>
        <w:rPr>
          <w:sz w:val="20"/>
          <w:szCs w:val="20"/>
          <w:color w:val="auto"/>
        </w:rPr>
      </w:pPr>
    </w:p>
    <w:p>
      <w:pPr>
        <w:ind w:left="1000" w:hanging="317"/>
        <w:spacing w:after="0"/>
        <w:tabs>
          <w:tab w:leader="none" w:pos="10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increase of $2.3 million in expenses related to our AML clinical trial,</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increase of $1.9 million in headcount-related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increase of $0.4 million in process development expenses,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1000" w:hanging="317"/>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increase of $1.0 million in sponsored research expenses from BCM agreements,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increase of $0.7 million in rent and utilities, and</w:t>
      </w:r>
    </w:p>
    <w:p>
      <w:pPr>
        <w:spacing w:after="0" w:line="209" w:lineRule="exact"/>
        <w:rPr>
          <w:rFonts w:ascii="Courier New" w:cs="Courier New" w:eastAsia="Courier New" w:hAnsi="Courier New"/>
          <w:sz w:val="18"/>
          <w:szCs w:val="18"/>
          <w:color w:val="auto"/>
        </w:rPr>
      </w:pPr>
    </w:p>
    <w:p>
      <w:pPr>
        <w:ind w:left="1000" w:hanging="317"/>
        <w:spacing w:after="0" w:line="259" w:lineRule="auto"/>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increase of $1.3 million in depreciation expenses primarily attributable to our manufacturing facility and related expenses, offset by</w:t>
      </w:r>
    </w:p>
    <w:p>
      <w:pPr>
        <w:spacing w:after="0" w:line="184"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decrease of $0.7 million in expenses related to our vaccine clinical trials.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General and administrative expenses were $9.9 million and $7.9 million for the nine months ended September 30,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$2.0 million in 2021 was primarily attributable to the following:</w:t>
      </w:r>
    </w:p>
    <w:p>
      <w:pPr>
        <w:spacing w:after="0" w:line="185" w:lineRule="exact"/>
        <w:rPr>
          <w:sz w:val="20"/>
          <w:szCs w:val="20"/>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insurance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$0.9 million in headcount-related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recruitment expenses,</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$0.4 million in rent and utilities, and</w:t>
      </w:r>
    </w:p>
    <w:p>
      <w:pPr>
        <w:spacing w:after="0" w:line="209" w:lineRule="exact"/>
        <w:rPr>
          <w:rFonts w:ascii="Courier New" w:cs="Courier New" w:eastAsia="Courier New" w:hAnsi="Courier New"/>
          <w:sz w:val="18"/>
          <w:szCs w:val="18"/>
          <w:color w:val="auto"/>
        </w:rPr>
      </w:pPr>
    </w:p>
    <w:p>
      <w:pPr>
        <w:ind w:left="1000" w:hanging="317"/>
        <w:spacing w:after="0"/>
        <w:tabs>
          <w:tab w:leader="none" w:pos="10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increase of $0.3 million in legal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for the nine months ended September 30, 2021 was $0 as compared to $31,000 for the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Arbitration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arbitration proceeding was brought against us before the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which we recorded in the nine months ended September 30, 2021. On October 22, 2021, we filed a motion in federal court to vacate the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$5,000 and $0.1 million for the nine months ended September 30, 2021 and 2020, respectively, and was attributable to interest income relating to funds that are held in U.S. Treasury notes and U.S. government agency-backed securities. As part of the reaction to the COVID-19 pandemic, the Federal Reserve cut rates in mid-March of 2020 to a range of 0.0% - 0.25%. As such, we recorded lower interest income during the nine months ended September 30,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our net loss during the nine months ended September 30, 2021 compared to the nine months ended September 30, 2020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and cash equivalents and working capital as of September 30, 2021 and December 31,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21,352,000</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43,180,000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18,009,000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w:t>
      </w:r>
    </w:p>
    <w:p>
      <w:pPr>
        <w:spacing w:after="0" w:line="23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Nine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(22,422,000)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(14,530,000)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2,736,000</w:t>
            </w: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27,353,000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(16,947,000)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operating activities during the nine months ended September 30, 2021 was $22.4 million compared to $14.5 million for the same period last year. The increase of $7.9 million was primarily attributable to the increased costs in research and development and pre-commercial activities. The changes in cash flow from operating activities during the nine months ended September 30, 2021 were due to $32.1 million of net losses and a $2.9 million increase from changes in operating assets and liabilities. This was in addition to $4.5 million of stock-based compensation, $1.6 million of depreciation expense and $0.8 million right-of-use asset amortization and lease liability accretion.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$2.8 million and $5.2 million for the purchase of property and equipment and construction in progress related to the manufacturing facility during the nine months ended September 30, 2021 and 2020, respectively. The increase mainly relates to purchases of equipment for the manufacturing and research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provided by financing activities was $52.6 million during the nine months ended September 30, 2021, due to the net proceeds received from the underwritten public offering. Net cash provided by financing activities was $2.7 million during the nine months ended September 30, 2020, due to the exercise of $0.5 million in stock warrants and the purchase of $2.2 million in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August 2021, we entered into a Controlled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The Sales Agents will be entitled to compensation under the Sales Agreement at a commission rate equal to 3.0% of the gross sales price per share sold under the ATM Agreement, and we have provided each of the Sales Agents with indemnification and contribution rights. To date, we have not sold any shares of our common stock under the ATM Agreement.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2021, we issued an aggregate of 32,282,857 shares of our common stock, for net proceeds of $52.6 million pursuant to an underwritten public offering.</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September 30, 2021, we had working capital of $43.2 million, compared to working capital of $18.0 million as of December 31, 2020. Based on our clinical and research and development plans and our timing expectations related to the progress of our programs, we expect that our cash and cash equivalents as of September 30, 2021 will enable us to fund our operating expenses and capital expenditure requirements into the first quarter of 2023.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6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the Cancer Prevention and Research Institute of Texas, or CPRIT, to support our Phase 2 clinical trial of its lead MultiTAA-specific T cell product MT-401. The CPRIT award is intended to support the adjuvant arm of our Phase 2 clinical trial evaluating MT-401 when given as an adjuvant therapy to patients with AML following a hematopoietic stem cell transplant. The primary objectives of the adjuvant arm of the trial are to evaluate relapse-free survival after MT-401 treatment when compared with a randomized control group. To date, the Company has not received any funds from the CPRIT grant.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our current assessment, we do not expect any material impact on our long-term liquidity due to the COVID-19 pandemic. However, we will continue to assess the effect of the pandemic on our operations. The extent to which the COVID-19 pandemic will impact our business and operations will depend on future developments that are highly uncertain and cannot be predicted with confidence, such as the ultimate geographic spread of the disease, the duration of the outbreak, the emergence of any new variant strains of COVID-19, the duration and effect of business disruptions and the short-term effects and ultimate effectiveness of the travel restrictions, quarantines, social distancing requirements, the timing, distribution, rate of public acceptance and efficacy of vaccines and other treatments, and business closures in the United States and other countries to contain and treat the disease. While the potential economic impact brought by, and the duration of, the COVID-19 pandemic may be difficult to assess or predict, it could result in significant disruption of global financial markets, reducing our ability to access capital, which could in the future negatively affect our liquidity. In addition, a recession or market correction resulting from the spread of COVID-19 and any variant strains thereof could materially affect our business and the value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nine months ended September 30, 2021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were not a party to any legal proceedings that, in the opinion of management, are likely to have a material adverse effect on our business.</w:t>
      </w:r>
    </w:p>
    <w:p>
      <w:pPr>
        <w:spacing w:after="0" w:line="16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2020, filed with the Securities and Exchange Commission on March 9, 2021. There have been no material changes to the risk factors described in that report.</w:t>
      </w:r>
    </w:p>
    <w:p>
      <w:pPr>
        <w:spacing w:after="0" w:line="184"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did not record any issuances of unregistered securities during the nine months ended September 30, 2021.</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6.</w:t>
            </w:r>
          </w:p>
        </w:tc>
        <w:tc>
          <w:tcPr>
            <w:tcW w:w="4060" w:type="dxa"/>
            <w:vAlign w:val="bottom"/>
            <w:tcBorders>
              <w:bottom w:val="single" w:sz="8" w:color="auto"/>
            </w:tcBorders>
            <w:gridSpan w:val="12"/>
          </w:tcPr>
          <w:p>
            <w:pPr>
              <w:ind w:left="180"/>
              <w:spacing w:after="0"/>
              <w:rPr>
                <w:sz w:val="20"/>
                <w:szCs w:val="20"/>
                <w:color w:val="auto"/>
              </w:rPr>
            </w:pPr>
            <w:r>
              <w:rPr>
                <w:rFonts w:ascii="Arial" w:cs="Arial" w:eastAsia="Arial" w:hAnsi="Arial"/>
                <w:sz w:val="18"/>
                <w:szCs w:val="18"/>
                <w:b w:val="1"/>
                <w:bCs w:val="1"/>
                <w:color w:val="auto"/>
              </w:rPr>
              <w:t>Exhibits</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00" w:type="dxa"/>
            <w:vAlign w:val="bottom"/>
            <w:gridSpan w:val="15"/>
          </w:tcPr>
          <w:p>
            <w:pPr>
              <w:spacing w:after="0"/>
              <w:rPr>
                <w:sz w:val="20"/>
                <w:szCs w:val="20"/>
                <w:color w:val="auto"/>
              </w:rPr>
            </w:pPr>
            <w:r>
              <w:rPr>
                <w:rFonts w:ascii="Arial" w:cs="Arial" w:eastAsia="Arial" w:hAnsi="Arial"/>
                <w:sz w:val="18"/>
                <w:szCs w:val="18"/>
                <w:color w:val="auto"/>
                <w:w w:val="93"/>
              </w:rPr>
              <w:t>The following exhibits are included with this Quarterly Report on Form 10-Q:</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720" w:type="dxa"/>
            <w:vAlign w:val="bottom"/>
            <w:gridSpan w:val="10"/>
            <w:vMerge w:val="restart"/>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vMerge w:val="restart"/>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200" w:type="dxa"/>
            <w:vAlign w:val="bottom"/>
            <w:vMerge w:val="restart"/>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720" w:type="dxa"/>
            <w:vAlign w:val="bottom"/>
            <w:tcBorders>
              <w:bottom w:val="single" w:sz="8" w:color="auto"/>
            </w:tcBorders>
            <w:gridSpan w:val="10"/>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2900" w:type="dxa"/>
            <w:vAlign w:val="bottom"/>
            <w:tcBorders>
              <w:bottom w:val="single" w:sz="8" w:color="0000EE"/>
            </w:tcBorders>
            <w:gridSpan w:val="5"/>
          </w:tcPr>
          <w:p>
            <w:pPr>
              <w:spacing w:after="0"/>
              <w:rPr>
                <w:rFonts w:ascii="Arial" w:cs="Arial" w:eastAsia="Arial" w:hAnsi="Arial"/>
                <w:sz w:val="18"/>
                <w:szCs w:val="18"/>
                <w:color w:val="0000EE"/>
                <w:w w:val="93"/>
              </w:rPr>
            </w:pPr>
            <w:hyperlink r:id="rId47">
              <w:r>
                <w:rPr>
                  <w:rFonts w:ascii="Arial" w:cs="Arial" w:eastAsia="Arial" w:hAnsi="Arial"/>
                  <w:sz w:val="18"/>
                  <w:szCs w:val="18"/>
                  <w:color w:val="0000EE"/>
                  <w:w w:val="93"/>
                </w:rPr>
                <w:t>Certificate of Incorporation (Delaware).</w:t>
              </w:r>
            </w:hyperlink>
          </w:p>
        </w:tc>
        <w:tc>
          <w:tcPr>
            <w:tcW w:w="960" w:type="dxa"/>
            <w:vAlign w:val="bottom"/>
            <w:gridSpan w:val="6"/>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1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660" w:type="dxa"/>
            <w:vAlign w:val="bottom"/>
            <w:tcBorders>
              <w:bottom w:val="single" w:sz="8" w:color="0000EE"/>
            </w:tcBorders>
            <w:gridSpan w:val="3"/>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Bylaws of Marker Therapeutics, Inc.</w:t>
              </w:r>
            </w:hyperlink>
          </w:p>
        </w:tc>
        <w:tc>
          <w:tcPr>
            <w:tcW w:w="1200" w:type="dxa"/>
            <w:vAlign w:val="bottom"/>
            <w:gridSpan w:val="8"/>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16"/>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Certification of Chief Executive Officer Pursuant</w:t>
              </w:r>
            </w:hyperlink>
          </w:p>
        </w:tc>
        <w:tc>
          <w:tcPr>
            <w:tcW w:w="20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to Rule 13a-14(a) or 15d-14(a) of the Securities</w:t>
              </w:r>
            </w:hyperlink>
          </w:p>
        </w:tc>
        <w:tc>
          <w:tcPr>
            <w:tcW w:w="18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Exchange Act of 1933, as amended.</w:t>
              </w:r>
            </w:hyperlink>
          </w:p>
        </w:tc>
        <w:tc>
          <w:tcPr>
            <w:tcW w:w="126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Certification of Chief Financial Officer Pursuant</w:t>
              </w:r>
            </w:hyperlink>
          </w:p>
        </w:tc>
        <w:tc>
          <w:tcPr>
            <w:tcW w:w="20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to Rule 13a-14(a) or 15d-14(a) of the Securities</w:t>
              </w:r>
            </w:hyperlink>
          </w:p>
        </w:tc>
        <w:tc>
          <w:tcPr>
            <w:tcW w:w="18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Exchange Act of 1933, as amended.</w:t>
              </w:r>
            </w:hyperlink>
          </w:p>
        </w:tc>
        <w:tc>
          <w:tcPr>
            <w:tcW w:w="126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Certification of Chief Executive Officer Pursuant</w:t>
              </w:r>
            </w:hyperlink>
          </w:p>
        </w:tc>
        <w:tc>
          <w:tcPr>
            <w:tcW w:w="20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to 18 U.S.C. 1350 as adopted pursuant to Section</w:t>
              </w:r>
            </w:hyperlink>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906 of the Sarbanes-Oxley Act of 2002.</w:t>
              </w:r>
            </w:hyperlink>
          </w:p>
        </w:tc>
        <w:tc>
          <w:tcPr>
            <w:tcW w:w="98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86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Certification  of  Chief  Financial  Officer  and</w:t>
              </w:r>
            </w:hyperlink>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Principal Financial Officer pursuant to 18 U.S.C.</w:t>
              </w:r>
            </w:hyperlink>
          </w:p>
        </w:tc>
        <w:tc>
          <w:tcPr>
            <w:tcW w:w="18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1350 as adopted pursuant to Section 906 of the</w:t>
              </w:r>
            </w:hyperlink>
          </w:p>
        </w:tc>
        <w:tc>
          <w:tcPr>
            <w:tcW w:w="20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Sarbanes-Oxley Act of 2002.</w:t>
              </w:r>
            </w:hyperlink>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Cover Page Interactive Data File (formatted as Inline XBRL and contained in Exhibit 101 filed herewith).</w:t>
      </w:r>
    </w:p>
    <w:p>
      <w:pPr>
        <w:spacing w:after="0" w:line="211" w:lineRule="exact"/>
        <w:rPr>
          <w:sz w:val="20"/>
          <w:szCs w:val="20"/>
          <w:color w:val="auto"/>
        </w:rPr>
      </w:pPr>
    </w:p>
    <w:p>
      <w:pPr>
        <w:jc w:val="both"/>
        <w:ind w:firstLine="8"/>
        <w:spacing w:after="0" w:line="259"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77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77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and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Peter L. Hoang, the Chief Executive Officer of Marker Therapeutics, Inc. (the “Company”) hereby certifies, pursuant to 18 U.S.C. Section 1350, as adopted pursuant to Section 906 of the Sarbanes-Oxley Act of 2002, that, to the best of his knowledge, the Quarterly Report on Form 10-Q for the period ended September 30, 2021,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6026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Anthony Kim, the Chief Financial Officer of Marker Therapeutics, Inc. (the “Company”) hereby certifies, pursuant to 18 U.S.C. Section 1350, as adopted pursuant to Section 906 of the Sarbanes-Oxley Act of 2002, that, to the best of his knowledge, the Quarterly Report on Form 10-Q for the period ended September 30, 2021,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6026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o"/>
      <w:numFmt w:val="bullet"/>
      <w:start w:val="1"/>
    </w:lvl>
  </w:abstractNum>
  <w:abstractNum w:abstractNumId="5">
    <w:nsid w:val="12200854"/>
    <w:multiLevelType w:val="hybridMultilevel"/>
    <w:lvl w:ilvl="0">
      <w:lvlJc w:val="left"/>
      <w:lvlText w:val="o"/>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o"/>
      <w:numFmt w:val="bullet"/>
      <w:start w:val="1"/>
    </w:lvl>
  </w:abstractNum>
  <w:abstractNum w:abstractNumId="8">
    <w:nsid w:val="1F16E9E8"/>
    <w:multiLevelType w:val="hybridMultilevel"/>
    <w:lvl w:ilvl="0">
      <w:lvlJc w:val="left"/>
      <w:lvlText w:val="o"/>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47" Type="http://schemas.openxmlformats.org/officeDocument/2006/relationships/hyperlink" Target="https://www.sec.gov/Archives/edgar/data/1094038/000114420418054209/tv504951_ex3-4.htm" TargetMode="External"/><Relationship Id="rId48" Type="http://schemas.openxmlformats.org/officeDocument/2006/relationships/hyperlink" Target="https://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2021-11-10T15:24:51Z</dcterms:created>
  <dcterms:modified xsi:type="dcterms:W3CDTF">2021-11-10T15:24:51Z</dcterms:modified>
</cp:coreProperties>
</file>