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9"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38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0" w:lineRule="exact"/>
        <w:rPr>
          <w:sz w:val="24"/>
          <w:szCs w:val="24"/>
          <w:color w:val="auto"/>
        </w:rPr>
      </w:pPr>
    </w:p>
    <w:p>
      <w:pPr>
        <w:spacing w:after="0" w:line="24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transition period from ________________ to 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154305</wp:posOffset>
            </wp:positionV>
            <wp:extent cx="249428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MARKER 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2640" w:type="dxa"/>
            <w:vAlign w:val="bottom"/>
            <w:gridSpan w:val="2"/>
          </w:tcPr>
          <w:p>
            <w:pPr>
              <w:jc w:val="center"/>
              <w:ind w:right="1920"/>
              <w:spacing w:after="0"/>
              <w:rPr>
                <w:sz w:val="20"/>
                <w:szCs w:val="20"/>
                <w:color w:val="auto"/>
              </w:rPr>
            </w:pPr>
            <w:r>
              <w:rPr>
                <w:rFonts w:ascii="Arial" w:cs="Arial" w:eastAsia="Arial" w:hAnsi="Arial"/>
                <w:sz w:val="18"/>
                <w:szCs w:val="18"/>
                <w:b w:val="1"/>
                <w:bCs w:val="1"/>
                <w:color w:val="auto"/>
                <w:w w:val="91"/>
              </w:rPr>
              <w:t>Delaware</w:t>
            </w:r>
          </w:p>
        </w:tc>
        <w:tc>
          <w:tcPr>
            <w:tcW w:w="64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860" w:type="dxa"/>
            <w:vAlign w:val="bottom"/>
            <w:gridSpan w:val="3"/>
          </w:tcPr>
          <w:p>
            <w:pPr>
              <w:jc w:val="center"/>
              <w:ind w:right="700"/>
              <w:spacing w:after="0"/>
              <w:rPr>
                <w:sz w:val="20"/>
                <w:szCs w:val="20"/>
                <w:color w:val="auto"/>
              </w:rPr>
            </w:pPr>
            <w:r>
              <w:rPr>
                <w:rFonts w:ascii="Arial" w:cs="Arial" w:eastAsia="Arial" w:hAnsi="Arial"/>
                <w:sz w:val="18"/>
                <w:szCs w:val="18"/>
                <w:color w:val="auto"/>
                <w:w w:val="92"/>
              </w:rPr>
              <w:t>(State or other jurisdiction of incorporation)</w:t>
            </w: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40" w:type="dxa"/>
            <w:vAlign w:val="bottom"/>
            <w:gridSpan w:val="3"/>
          </w:tcPr>
          <w:p>
            <w:pPr>
              <w:jc w:val="center"/>
              <w:ind w:left="189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8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88"/>
              </w:rPr>
              <w:t>3200 Southwest Freeway, Suite 2240</w:t>
            </w: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0"/>
        </w:trPr>
        <w:tc>
          <w:tcPr>
            <w:tcW w:w="386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8"/>
              </w:rPr>
              <w:t>Houston, Texas</w:t>
            </w:r>
          </w:p>
        </w:tc>
        <w:tc>
          <w:tcPr>
            <w:tcW w:w="56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9"/>
                <w:szCs w:val="19"/>
                <w:color w:val="auto"/>
              </w:rPr>
            </w:pPr>
          </w:p>
        </w:tc>
      </w:tr>
      <w:tr>
        <w:trPr>
          <w:trHeight w:val="230"/>
        </w:trPr>
        <w:tc>
          <w:tcPr>
            <w:tcW w:w="3860" w:type="dxa"/>
            <w:vAlign w:val="bottom"/>
            <w:gridSpan w:val="3"/>
          </w:tcPr>
          <w:p>
            <w:pPr>
              <w:jc w:val="center"/>
              <w:ind w:right="680"/>
              <w:spacing w:after="0"/>
              <w:rPr>
                <w:sz w:val="20"/>
                <w:szCs w:val="20"/>
                <w:color w:val="auto"/>
              </w:rPr>
            </w:pPr>
            <w:r>
              <w:rPr>
                <w:rFonts w:ascii="Arial" w:cs="Arial" w:eastAsia="Arial" w:hAnsi="Arial"/>
                <w:sz w:val="18"/>
                <w:szCs w:val="18"/>
                <w:color w:val="auto"/>
                <w:w w:val="92"/>
              </w:rPr>
              <w:t>(Address of principal executive offices)</w:t>
            </w: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60" w:type="dxa"/>
            <w:vAlign w:val="bottom"/>
            <w:gridSpan w:val="2"/>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(713) 400-6400</w:t>
            </w:r>
          </w:p>
        </w:tc>
        <w:tc>
          <w:tcPr>
            <w:tcW w:w="2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7"/>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480" w:type="dxa"/>
            <w:vAlign w:val="bottom"/>
            <w:gridSpan w:val="5"/>
          </w:tcPr>
          <w:p>
            <w:pPr>
              <w:jc w:val="center"/>
              <w:ind w:right="3540"/>
              <w:spacing w:after="0"/>
              <w:rPr>
                <w:sz w:val="20"/>
                <w:szCs w:val="20"/>
                <w:color w:val="auto"/>
              </w:rPr>
            </w:pPr>
            <w:r>
              <w:rPr>
                <w:rFonts w:ascii="Arial" w:cs="Arial" w:eastAsia="Arial" w:hAnsi="Arial"/>
                <w:sz w:val="18"/>
                <w:szCs w:val="18"/>
                <w:color w:val="auto"/>
                <w:w w:val="90"/>
              </w:rPr>
              <w:t>(Telephone Number)</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par value $0.001 per share</w:t>
            </w:r>
          </w:p>
        </w:tc>
        <w:tc>
          <w:tcPr>
            <w:tcW w:w="3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MRKR</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Nasdaq Stock Market LLC</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u w:val="single" w:color="auto"/>
          <w:color w:val="auto"/>
        </w:rPr>
        <w:t>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of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186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186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560" w:type="dxa"/>
            <w:vAlign w:val="bottom"/>
          </w:tcPr>
          <w:p>
            <w:pPr>
              <w:ind w:left="186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760" w:right="339" w:bottom="84"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28, 2019 (the last day of the registrant’s most recently completed second fiscal quarter) based on the closing sale price of $7.92 as reported on the Nasdaq Capital Market as of that date was approximately $198,900,000.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46,532,522 shares of common stock outstanding as of March 9, 2020.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Portions of the registrant’s proxy statement relating to registrant’s 2020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735965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9"/>
          </w:tcPr>
          <w:p>
            <w:pPr>
              <w:ind w:left="560"/>
              <w:spacing w:after="0"/>
              <w:rPr>
                <w:sz w:val="20"/>
                <w:szCs w:val="20"/>
                <w:color w:val="auto"/>
              </w:rPr>
            </w:pPr>
            <w:r>
              <w:rPr>
                <w:rFonts w:ascii="Arial" w:cs="Arial" w:eastAsia="Arial" w:hAnsi="Arial"/>
                <w:sz w:val="18"/>
                <w:szCs w:val="18"/>
                <w:b w:val="1"/>
                <w:bCs w:val="1"/>
                <w:color w:val="auto"/>
              </w:rPr>
              <w:t>TABLE OF CONTENTS</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60" w:type="dxa"/>
            <w:vAlign w:val="bottom"/>
            <w:gridSpan w:val="2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FORWARD LOOKING STATEMENTS</w:t>
              </w:r>
            </w:hyperlink>
          </w:p>
        </w:tc>
        <w:tc>
          <w:tcPr>
            <w:tcW w:w="166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ii</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gridSpan w:val="4"/>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6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6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gridSpan w:val="2"/>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Item 1.</w:t>
              </w:r>
            </w:hyperlink>
          </w:p>
        </w:tc>
        <w:tc>
          <w:tcPr>
            <w:tcW w:w="620" w:type="dxa"/>
            <w:vAlign w:val="bottom"/>
            <w:gridSpan w:val="2"/>
            <w:shd w:val="clear" w:color="auto" w:fill="CCEEFF"/>
          </w:tcPr>
          <w:p>
            <w:pPr>
              <w:spacing w:after="0"/>
              <w:rPr>
                <w:sz w:val="15"/>
                <w:szCs w:val="15"/>
                <w:color w:val="auto"/>
              </w:rPr>
            </w:pPr>
          </w:p>
        </w:tc>
        <w:tc>
          <w:tcPr>
            <w:tcW w:w="680" w:type="dxa"/>
            <w:vAlign w:val="bottom"/>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Business</w:t>
              </w:r>
            </w:hyperlink>
          </w:p>
        </w:tc>
        <w:tc>
          <w:tcPr>
            <w:tcW w:w="7580" w:type="dxa"/>
            <w:vAlign w:val="bottom"/>
            <w:gridSpan w:val="22"/>
            <w:shd w:val="clear" w:color="auto" w:fill="CCEEFF"/>
          </w:tcPr>
          <w:p>
            <w:pPr>
              <w:spacing w:after="0"/>
              <w:rPr>
                <w:sz w:val="15"/>
                <w:szCs w:val="15"/>
                <w:color w:val="auto"/>
              </w:rPr>
            </w:pPr>
          </w:p>
        </w:tc>
        <w:tc>
          <w:tcPr>
            <w:tcW w:w="18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1a.</w:t>
              </w:r>
            </w:hyperlink>
          </w:p>
        </w:tc>
        <w:tc>
          <w:tcPr>
            <w:tcW w:w="8260" w:type="dxa"/>
            <w:vAlign w:val="bottom"/>
            <w:gridSpan w:val="23"/>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1840" w:type="dxa"/>
            <w:vAlign w:val="bottom"/>
            <w:gridSpan w:val="4"/>
          </w:tcPr>
          <w:p>
            <w:pPr>
              <w:jc w:val="right"/>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Item 1b.</w:t>
              </w:r>
            </w:hyperlink>
          </w:p>
        </w:tc>
        <w:tc>
          <w:tcPr>
            <w:tcW w:w="8260" w:type="dxa"/>
            <w:vAlign w:val="bottom"/>
            <w:gridSpan w:val="23"/>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Unresolved Staff Comments</w:t>
              </w:r>
            </w:hyperlink>
          </w:p>
        </w:tc>
        <w:tc>
          <w:tcPr>
            <w:tcW w:w="18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Item 2.</w:t>
              </w:r>
            </w:hyperlink>
          </w:p>
        </w:tc>
        <w:tc>
          <w:tcPr>
            <w:tcW w:w="540" w:type="dxa"/>
            <w:vAlign w:val="bottom"/>
            <w:tcBorders>
              <w:top w:val="single" w:sz="8" w:color="CCEEFF"/>
            </w:tcBorders>
          </w:tcPr>
          <w:p>
            <w:pPr>
              <w:spacing w:after="0"/>
              <w:rPr>
                <w:sz w:val="15"/>
                <w:szCs w:val="15"/>
                <w:color w:val="auto"/>
              </w:rPr>
            </w:pPr>
          </w:p>
        </w:tc>
        <w:tc>
          <w:tcPr>
            <w:tcW w:w="204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Properties</w:t>
              </w:r>
            </w:hyperlink>
          </w:p>
        </w:tc>
        <w:tc>
          <w:tcPr>
            <w:tcW w:w="6220" w:type="dxa"/>
            <w:vAlign w:val="bottom"/>
            <w:tcBorders>
              <w:top w:val="single" w:sz="8" w:color="CCEEFF"/>
            </w:tcBorders>
            <w:gridSpan w:val="12"/>
          </w:tcPr>
          <w:p>
            <w:pPr>
              <w:spacing w:after="0"/>
              <w:rPr>
                <w:sz w:val="15"/>
                <w:szCs w:val="15"/>
                <w:color w:val="auto"/>
              </w:rPr>
            </w:pPr>
          </w:p>
        </w:tc>
        <w:tc>
          <w:tcPr>
            <w:tcW w:w="16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3"/>
          </w:tcPr>
          <w:p>
            <w:pPr>
              <w:jc w:val="right"/>
              <w:spacing w:after="0" w:line="17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69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Item 3.</w:t>
              </w:r>
            </w:hyperlink>
          </w:p>
        </w:tc>
        <w:tc>
          <w:tcPr>
            <w:tcW w:w="620" w:type="dxa"/>
            <w:vAlign w:val="bottom"/>
            <w:tcBorders>
              <w:bottom w:val="single" w:sz="8" w:color="CCEEFF"/>
            </w:tcBorders>
            <w:gridSpan w:val="2"/>
            <w:shd w:val="clear" w:color="auto" w:fill="CCEEFF"/>
          </w:tcPr>
          <w:p>
            <w:pPr>
              <w:spacing w:after="0"/>
              <w:rPr>
                <w:sz w:val="17"/>
                <w:szCs w:val="17"/>
                <w:color w:val="auto"/>
              </w:rPr>
            </w:pPr>
          </w:p>
        </w:tc>
        <w:tc>
          <w:tcPr>
            <w:tcW w:w="13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Legal Proceedings</w:t>
              </w:r>
            </w:hyperlink>
          </w:p>
        </w:tc>
        <w:tc>
          <w:tcPr>
            <w:tcW w:w="6880" w:type="dxa"/>
            <w:vAlign w:val="bottom"/>
            <w:tcBorders>
              <w:bottom w:val="single" w:sz="8" w:color="CCEEFF"/>
            </w:tcBorders>
            <w:gridSpan w:val="18"/>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69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Item 4.</w:t>
              </w:r>
            </w:hyperlink>
          </w:p>
        </w:tc>
        <w:tc>
          <w:tcPr>
            <w:tcW w:w="8260" w:type="dxa"/>
            <w:vAlign w:val="bottom"/>
            <w:gridSpan w:val="23"/>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Mine Safety Disclosure</w:t>
              </w:r>
            </w:hyperlink>
          </w:p>
        </w:tc>
        <w:tc>
          <w:tcPr>
            <w:tcW w:w="1840" w:type="dxa"/>
            <w:vAlign w:val="bottom"/>
            <w:gridSpan w:val="4"/>
          </w:tcPr>
          <w:p>
            <w:pPr>
              <w:jc w:val="right"/>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right w:val="single" w:sz="8" w:color="CCEEFF"/>
            </w:tcBorders>
            <w:gridSpan w:val="3"/>
            <w:shd w:val="clear" w:color="auto" w:fill="CCEEFF"/>
          </w:tcPr>
          <w:p>
            <w:pPr>
              <w:spacing w:after="0" w:line="176" w:lineRule="exact"/>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Part II</w:t>
              </w:r>
            </w:hyperlink>
          </w:p>
        </w:tc>
        <w:tc>
          <w:tcPr>
            <w:tcW w:w="5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4"/>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Item 5.</w:t>
              </w:r>
            </w:hyperlink>
          </w:p>
        </w:tc>
        <w:tc>
          <w:tcPr>
            <w:tcW w:w="8260" w:type="dxa"/>
            <w:vAlign w:val="bottom"/>
            <w:gridSpan w:val="23"/>
          </w:tcPr>
          <w:p>
            <w:pPr>
              <w:spacing w:after="0" w:line="17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Market For Registrant’s Common Equity, Related Stockholder Matters And Issuer Purchases Of Equity Securities</w:t>
              </w:r>
            </w:hyperlink>
          </w:p>
        </w:tc>
        <w:tc>
          <w:tcPr>
            <w:tcW w:w="1840" w:type="dxa"/>
            <w:vAlign w:val="bottom"/>
            <w:gridSpan w:val="4"/>
          </w:tcPr>
          <w:p>
            <w:pPr>
              <w:jc w:val="right"/>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70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Item 6.</w:t>
              </w:r>
            </w:hyperlink>
          </w:p>
        </w:tc>
        <w:tc>
          <w:tcPr>
            <w:tcW w:w="620" w:type="dxa"/>
            <w:vAlign w:val="bottom"/>
            <w:tcBorders>
              <w:bottom w:val="single" w:sz="8" w:color="CCEEFF"/>
            </w:tcBorders>
            <w:gridSpan w:val="2"/>
            <w:shd w:val="clear" w:color="auto" w:fill="CCEEFF"/>
          </w:tcPr>
          <w:p>
            <w:pPr>
              <w:spacing w:after="0"/>
              <w:rPr>
                <w:sz w:val="17"/>
                <w:szCs w:val="17"/>
                <w:color w:val="auto"/>
              </w:rPr>
            </w:pPr>
          </w:p>
        </w:tc>
        <w:tc>
          <w:tcPr>
            <w:tcW w:w="17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Selected Financial Data</w:t>
              </w:r>
            </w:hyperlink>
          </w:p>
        </w:tc>
        <w:tc>
          <w:tcPr>
            <w:tcW w:w="6500" w:type="dxa"/>
            <w:vAlign w:val="bottom"/>
            <w:tcBorders>
              <w:bottom w:val="single" w:sz="8" w:color="CCEEFF"/>
            </w:tcBorders>
            <w:gridSpan w:val="15"/>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70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4"/>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Item 7.</w:t>
              </w:r>
            </w:hyperlink>
          </w:p>
        </w:tc>
        <w:tc>
          <w:tcPr>
            <w:tcW w:w="8260" w:type="dxa"/>
            <w:vAlign w:val="bottom"/>
            <w:gridSpan w:val="23"/>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Management’s Discussion And Analysis Of Financial Condition And Results Of Operations</w:t>
              </w:r>
            </w:hyperlink>
          </w:p>
        </w:tc>
        <w:tc>
          <w:tcPr>
            <w:tcW w:w="1840" w:type="dxa"/>
            <w:vAlign w:val="bottom"/>
            <w:gridSpan w:val="4"/>
          </w:tcPr>
          <w:p>
            <w:pPr>
              <w:jc w:val="right"/>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right w:val="single" w:sz="8" w:color="CCEEFF"/>
            </w:tcBorders>
            <w:gridSpan w:val="3"/>
            <w:shd w:val="clear" w:color="auto" w:fill="CCEEFF"/>
          </w:tcPr>
          <w:p>
            <w:pPr>
              <w:spacing w:after="0" w:line="176" w:lineRule="exact"/>
              <w:rPr>
                <w:rFonts w:ascii="Arial" w:cs="Arial" w:eastAsia="Arial" w:hAnsi="Arial"/>
                <w:sz w:val="18"/>
                <w:szCs w:val="18"/>
                <w:color w:val="0000EE"/>
                <w:w w:val="86"/>
              </w:rPr>
            </w:pPr>
            <w:hyperlink w:anchor="page83">
              <w:r>
                <w:rPr>
                  <w:rFonts w:ascii="Arial" w:cs="Arial" w:eastAsia="Arial" w:hAnsi="Arial"/>
                  <w:sz w:val="18"/>
                  <w:szCs w:val="18"/>
                  <w:color w:val="0000EE"/>
                  <w:w w:val="86"/>
                </w:rPr>
                <w:t>Item 7a.</w:t>
              </w:r>
            </w:hyperlink>
          </w:p>
        </w:tc>
        <w:tc>
          <w:tcPr>
            <w:tcW w:w="540" w:type="dxa"/>
            <w:vAlign w:val="bottom"/>
            <w:tcBorders>
              <w:bottom w:val="single" w:sz="8" w:color="CCEEFF"/>
            </w:tcBorders>
            <w:shd w:val="clear" w:color="auto" w:fill="CCEEFF"/>
          </w:tcPr>
          <w:p>
            <w:pPr>
              <w:spacing w:after="0"/>
              <w:rPr>
                <w:sz w:val="17"/>
                <w:szCs w:val="17"/>
                <w:color w:val="auto"/>
              </w:rPr>
            </w:pPr>
          </w:p>
        </w:tc>
        <w:tc>
          <w:tcPr>
            <w:tcW w:w="44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3"/>
              </w:rPr>
            </w:pPr>
            <w:hyperlink w:anchor="page83">
              <w:r>
                <w:rPr>
                  <w:rFonts w:ascii="Arial" w:cs="Arial" w:eastAsia="Arial" w:hAnsi="Arial"/>
                  <w:sz w:val="18"/>
                  <w:szCs w:val="18"/>
                  <w:color w:val="0000EE"/>
                  <w:w w:val="93"/>
                </w:rPr>
                <w:t>Quantitative And Qualitative Disclosures About Market Risk</w:t>
              </w:r>
            </w:hyperlink>
          </w:p>
        </w:tc>
        <w:tc>
          <w:tcPr>
            <w:tcW w:w="3800" w:type="dxa"/>
            <w:vAlign w:val="bottom"/>
            <w:tcBorders>
              <w:bottom w:val="single" w:sz="8" w:color="CCEEFF"/>
            </w:tcBorders>
            <w:gridSpan w:val="6"/>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78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Item 8.</w:t>
              </w:r>
            </w:hyperlink>
          </w:p>
        </w:tc>
        <w:tc>
          <w:tcPr>
            <w:tcW w:w="8260" w:type="dxa"/>
            <w:vAlign w:val="bottom"/>
            <w:gridSpan w:val="23"/>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Financial Statements</w:t>
              </w:r>
            </w:hyperlink>
          </w:p>
        </w:tc>
        <w:tc>
          <w:tcPr>
            <w:tcW w:w="1840" w:type="dxa"/>
            <w:vAlign w:val="bottom"/>
            <w:gridSpan w:val="4"/>
          </w:tcPr>
          <w:p>
            <w:pPr>
              <w:jc w:val="right"/>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78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Item 9.</w:t>
              </w:r>
            </w:hyperlink>
          </w:p>
        </w:tc>
        <w:tc>
          <w:tcPr>
            <w:tcW w:w="620" w:type="dxa"/>
            <w:vAlign w:val="bottom"/>
            <w:tcBorders>
              <w:bottom w:val="single" w:sz="8" w:color="CCEEFF"/>
            </w:tcBorders>
            <w:gridSpan w:val="2"/>
            <w:shd w:val="clear" w:color="auto" w:fill="CCEEFF"/>
          </w:tcPr>
          <w:p>
            <w:pPr>
              <w:spacing w:after="0"/>
              <w:rPr>
                <w:sz w:val="17"/>
                <w:szCs w:val="17"/>
                <w:color w:val="auto"/>
              </w:rPr>
            </w:pPr>
          </w:p>
        </w:tc>
        <w:tc>
          <w:tcPr>
            <w:tcW w:w="670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Changes In And Disagreements With Accountants On Accounting And Financial Disclosure</w:t>
              </w:r>
            </w:hyperlink>
          </w:p>
        </w:tc>
        <w:tc>
          <w:tcPr>
            <w:tcW w:w="1560" w:type="dxa"/>
            <w:vAlign w:val="bottom"/>
            <w:tcBorders>
              <w:bottom w:val="single" w:sz="8" w:color="CCEEFF"/>
            </w:tcBorders>
            <w:gridSpan w:val="2"/>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78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4"/>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Item 9a.</w:t>
              </w:r>
            </w:hyperlink>
          </w:p>
        </w:tc>
        <w:tc>
          <w:tcPr>
            <w:tcW w:w="8260" w:type="dxa"/>
            <w:vAlign w:val="bottom"/>
            <w:gridSpan w:val="23"/>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Controls And Procedures</w:t>
              </w:r>
            </w:hyperlink>
          </w:p>
        </w:tc>
        <w:tc>
          <w:tcPr>
            <w:tcW w:w="1840" w:type="dxa"/>
            <w:vAlign w:val="bottom"/>
            <w:gridSpan w:val="4"/>
          </w:tcPr>
          <w:p>
            <w:pPr>
              <w:jc w:val="right"/>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79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9b.</w:t>
              </w:r>
            </w:hyperlink>
          </w:p>
        </w:tc>
        <w:tc>
          <w:tcPr>
            <w:tcW w:w="8260" w:type="dxa"/>
            <w:vAlign w:val="bottom"/>
            <w:gridSpan w:val="23"/>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Other Information</w:t>
              </w:r>
            </w:hyperlink>
          </w:p>
        </w:tc>
        <w:tc>
          <w:tcPr>
            <w:tcW w:w="18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80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4"/>
          </w:tcPr>
          <w:p>
            <w:pPr>
              <w:spacing w:after="0" w:line="176" w:lineRule="exact"/>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Part III</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10.</w:t>
              </w:r>
            </w:hyperlink>
          </w:p>
        </w:tc>
        <w:tc>
          <w:tcPr>
            <w:tcW w:w="8260" w:type="dxa"/>
            <w:vAlign w:val="bottom"/>
            <w:gridSpan w:val="23"/>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Directors, Executive Officers And Corporate Governance</w:t>
              </w:r>
            </w:hyperlink>
          </w:p>
        </w:tc>
        <w:tc>
          <w:tcPr>
            <w:tcW w:w="18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11.</w:t>
              </w:r>
            </w:hyperlink>
          </w:p>
        </w:tc>
        <w:tc>
          <w:tcPr>
            <w:tcW w:w="8260" w:type="dxa"/>
            <w:vAlign w:val="bottom"/>
            <w:gridSpan w:val="23"/>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Executive Compensation</w:t>
              </w:r>
            </w:hyperlink>
          </w:p>
        </w:tc>
        <w:tc>
          <w:tcPr>
            <w:tcW w:w="1840" w:type="dxa"/>
            <w:vAlign w:val="bottom"/>
            <w:gridSpan w:val="4"/>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12.</w:t>
              </w:r>
            </w:hyperlink>
          </w:p>
        </w:tc>
        <w:tc>
          <w:tcPr>
            <w:tcW w:w="8260" w:type="dxa"/>
            <w:vAlign w:val="bottom"/>
            <w:gridSpan w:val="23"/>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Security Ownership Of Certain Beneficial Owners And Management And Related Stockholder Matters</w:t>
              </w:r>
            </w:hyperlink>
          </w:p>
        </w:tc>
        <w:tc>
          <w:tcPr>
            <w:tcW w:w="18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4"/>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13.</w:t>
              </w:r>
            </w:hyperlink>
          </w:p>
        </w:tc>
        <w:tc>
          <w:tcPr>
            <w:tcW w:w="8260" w:type="dxa"/>
            <w:vAlign w:val="bottom"/>
            <w:gridSpan w:val="23"/>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Certain Relationships And Related Transactions, And Director Independence</w:t>
              </w:r>
            </w:hyperlink>
          </w:p>
        </w:tc>
        <w:tc>
          <w:tcPr>
            <w:tcW w:w="1840" w:type="dxa"/>
            <w:vAlign w:val="bottom"/>
            <w:gridSpan w:val="4"/>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14.</w:t>
              </w:r>
            </w:hyperlink>
          </w:p>
        </w:tc>
        <w:tc>
          <w:tcPr>
            <w:tcW w:w="8260" w:type="dxa"/>
            <w:vAlign w:val="bottom"/>
            <w:gridSpan w:val="23"/>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Principal Accounting Fees And Services</w:t>
              </w:r>
            </w:hyperlink>
          </w:p>
        </w:tc>
        <w:tc>
          <w:tcPr>
            <w:tcW w:w="18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0" w:type="dxa"/>
            <w:vAlign w:val="bottom"/>
            <w:tcBorders>
              <w:top w:val="single" w:sz="8" w:color="0000EE"/>
              <w:bottom w:val="single" w:sz="8" w:color="0000EE"/>
            </w:tcBorders>
            <w:gridSpan w:val="3"/>
          </w:tcPr>
          <w:p>
            <w:pPr>
              <w:spacing w:after="0" w:line="176" w:lineRule="exact"/>
              <w:rPr>
                <w:rFonts w:ascii="Arial" w:cs="Arial" w:eastAsia="Arial" w:hAnsi="Arial"/>
                <w:sz w:val="18"/>
                <w:szCs w:val="18"/>
                <w:b w:val="1"/>
                <w:bCs w:val="1"/>
                <w:color w:val="0000EE"/>
                <w:w w:val="98"/>
              </w:rPr>
            </w:pPr>
            <w:hyperlink w:anchor="page87">
              <w:r>
                <w:rPr>
                  <w:rFonts w:ascii="Arial" w:cs="Arial" w:eastAsia="Arial" w:hAnsi="Arial"/>
                  <w:sz w:val="18"/>
                  <w:szCs w:val="18"/>
                  <w:b w:val="1"/>
                  <w:bCs w:val="1"/>
                  <w:color w:val="0000EE"/>
                  <w:w w:val="98"/>
                </w:rPr>
                <w:t>Part IV</w:t>
              </w:r>
            </w:hyperlink>
          </w:p>
        </w:tc>
        <w:tc>
          <w:tcPr>
            <w:tcW w:w="540" w:type="dxa"/>
            <w:vAlign w:val="bottom"/>
            <w:tcBorders>
              <w:top w:val="single" w:sz="8" w:color="CCEEFF"/>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660" w:type="dxa"/>
            <w:vAlign w:val="bottom"/>
            <w:tcBorders>
              <w:top w:val="single" w:sz="8" w:color="CCEEFF"/>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Item 15.</w:t>
              </w:r>
            </w:hyperlink>
          </w:p>
        </w:tc>
        <w:tc>
          <w:tcPr>
            <w:tcW w:w="8260" w:type="dxa"/>
            <w:vAlign w:val="bottom"/>
            <w:gridSpan w:val="23"/>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Exhibits, Financial Statement Schedules</w:t>
              </w:r>
            </w:hyperlink>
          </w:p>
        </w:tc>
        <w:tc>
          <w:tcPr>
            <w:tcW w:w="184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82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Item 16.</w:t>
              </w:r>
            </w:hyperlink>
          </w:p>
        </w:tc>
        <w:tc>
          <w:tcPr>
            <w:tcW w:w="8260" w:type="dxa"/>
            <w:vAlign w:val="bottom"/>
            <w:gridSpan w:val="23"/>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Form 10-K Summary</w:t>
              </w:r>
            </w:hyperlink>
          </w:p>
        </w:tc>
        <w:tc>
          <w:tcPr>
            <w:tcW w:w="1840" w:type="dxa"/>
            <w:vAlign w:val="bottom"/>
            <w:gridSpan w:val="4"/>
          </w:tcPr>
          <w:p>
            <w:pPr>
              <w:jc w:val="right"/>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85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annual report contains forward-looking statements within the meaning of the Private Securities Litigation Reform Act of 1995 that involve substantial risks and uncertainties. The forward-looking statements are contained principally in Part I, Item 1: "Business," Part I, Item 1A: "Risk Factors," and Part 2, Item 7: "Management's Discussion and Analysis of Financial Condition and Results of Operations," but are also contained elsewhere in this annual report.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These statements speak only as of the date of this Annual Report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Forward-looking statements in this annual report include statements as to:</w:t>
      </w:r>
    </w:p>
    <w:p>
      <w:pPr>
        <w:spacing w:after="0" w:line="168" w:lineRule="exact"/>
        <w:rPr>
          <w:sz w:val="20"/>
          <w:szCs w:val="20"/>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of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product candidates and our ability to obtain and maintain regulatory approvals for product candidates for any indication;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product candidates, if approved for commercial use;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manufacturing capabilities and strategy, including the ease, scalability and commercial viability of our manufacturing methods and processes;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indications for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and our ability to maintain our relationships and collaborations with the Baylor College of Medicine and other potential collaboration or strategic relationships;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use the MultiTAA-specific T cell platform to develop future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of our expenses, ongoing losses, future revenue, capital requirements and our needs for or ability to obtain additional funding;</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position for our product candidates, and the scope of such protection;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89" w:lineRule="auto"/>
        <w:rPr>
          <w:sz w:val="20"/>
          <w:szCs w:val="20"/>
          <w:color w:val="auto"/>
        </w:rPr>
      </w:pPr>
      <w:r>
        <w:rPr>
          <w:rFonts w:ascii="Arial" w:cs="Arial" w:eastAsia="Arial" w:hAnsi="Arial"/>
          <w:sz w:val="16"/>
          <w:szCs w:val="16"/>
          <w:color w:val="auto"/>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read this annual report and the documents that we reference in this annual report and have filed as exhibits to this annual report completely and with the understanding that our actual future results may be materially different from what we expect. We qualify all of our forward-looking statements by these cautionary statements.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this report all references to (i) “Marker” “we,” “us,” “our” or the “Company” mean Marker Therapeutics, Inc. and its wholly-owned subsidiaries, Marker Cell Therapy, Inc. and GeneMax Pharmaceuticals, Inc., which wholly owns GeneMax Pharmaceuticals Canada Inc., unless the context otherwise requires;</w:t>
      </w:r>
    </w:p>
    <w:p>
      <w:pPr>
        <w:jc w:val="both"/>
        <w:ind w:firstLine="8"/>
        <w:spacing w:after="0" w:line="255" w:lineRule="auto"/>
        <w:tabs>
          <w:tab w:leader="none" w:pos="281"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“SEC” refers to the Securities and Exchange Commission; (iii) “Securities Act” refers to the United States </w:t>
      </w:r>
      <w:r>
        <w:rPr>
          <w:rFonts w:ascii="Arial" w:cs="Arial" w:eastAsia="Arial" w:hAnsi="Arial"/>
          <w:sz w:val="18"/>
          <w:szCs w:val="18"/>
          <w:i w:val="1"/>
          <w:iCs w:val="1"/>
          <w:color w:val="auto"/>
        </w:rPr>
        <w:t>Securities Act of 1933</w:t>
      </w:r>
      <w:r>
        <w:rPr>
          <w:rFonts w:ascii="Arial" w:cs="Arial" w:eastAsia="Arial" w:hAnsi="Arial"/>
          <w:sz w:val="18"/>
          <w:szCs w:val="18"/>
          <w:color w:val="auto"/>
        </w:rPr>
        <w:t xml:space="preserve">, as amended; (iv) “Exchange Act” refers to the United States </w:t>
      </w:r>
      <w:r>
        <w:rPr>
          <w:rFonts w:ascii="Arial" w:cs="Arial" w:eastAsia="Arial" w:hAnsi="Arial"/>
          <w:sz w:val="18"/>
          <w:szCs w:val="18"/>
          <w:i w:val="1"/>
          <w:iCs w:val="1"/>
          <w:color w:val="auto"/>
        </w:rPr>
        <w:t>Securities Exchange Act of 1934</w:t>
      </w:r>
      <w:r>
        <w:rPr>
          <w:rFonts w:ascii="Arial" w:cs="Arial" w:eastAsia="Arial" w:hAnsi="Arial"/>
          <w:sz w:val="18"/>
          <w:szCs w:val="18"/>
          <w:color w:val="auto"/>
        </w:rPr>
        <w:t>, as amended; and (v) all dollar amounts refer to United States dollars unless otherwise indicated.</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MultiTAA-specific T cell program: the autologous T cells for the treatment of lymphoma, multiple myeloma, or MM, and selected solid tumors and the allogeneic T cells for the treatment of acute myeloid leukemia, or AML, and acute lymphoblastic leukemia, or ALL. Because we do not genetically engineer the MultiTAA-specific T cell therapies, we believe that our product candidates are easier and less expensive to manufacture, with reduced toxicities, than current engineered chimeric antigen receptor, or CAR-T, and T cell receptor-based therapies and may provide patients with meaningful clinical benefit. We are also developing innovative peptide-based immunotherapeutic vaccines for the treatment of metastatic solid tumors.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pursuing post-transplant AML as the lead indication for our first company-sponsored MultiTAA-specific T cell program. The MultiTAA-specific T cell therapy has been well tolerated in an ongoing Phase 1/2 clinical trial conducted by our strategic partner Baylor College of Medicine, or BCM. As reported in March 2019, eleven of the thirteen patients in the adjuvant disease setting dosed with the MultiTAA-specific T cell therapy after receiving an allogeneic stem cell transplant survived, ranging from 6 weeks to 2.5 years post-infusion, with nine of these remaining patients in continuing complete remission, or CCR. Survival of the six patients with active disease ranged from 4 to 21 months, as compared to a historical survival rate of approximately 4.5 months for patients who receive the standard of care post-transplant.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submitted an investigational new drug, or IND, application to the United States Food and Drug Administration, or the FDA to initiate a Phase 2 clinical trial of MultiTAA-specific T cell therapy, which we refer to as MT-401, in post-allogeneic hematopoietic stem cell transplant patients with AML in both the adjuvant and active disease setting, which may become pivotal pending the results of the interim analysis. The dose administered in this multicenter trial is the current maximum tolerated dose from the ongoing Phase 1/2 trial. In the adjuvant setting, patients will be randomized to either MultiTAA-specific T cell therapy at approximately 90 days post-transplant versus standard of care observation, while the active disease patients will receive MT-401 following relapse post-transplant as part of a single-arm group. In February 2020, we announced that the FDA has permitted us to initiate our Phase 2 clinical trial beginning with a safety lead-in portion of the trial.</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recently reported interim data for an ongoing Phase 1/2 clinical trial of the MultiTAA-specific T cell therapy for the treatment of pancreatic adenocarcinoma being conducted by BCM. In this trial, we have observed a clinical benefit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cytokine release syndrome or neurotoxicity in this trial.</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evaluating the MultiTAA-specific T cell therapies in a Phase 2 clinical trial for the treatment of breast cancer and in Phase 1 clinical trials for the treatment of ALL, lymphoma, MM and sarcoma, all of which are being conducted by BCM. As of December 2019, the MultiTAA-specific T cell therapies have been generally well tolerated by all of the patients enrolled in clinical trials in hematological and solid tumor indications with no incidents of cytokine release syndrome or neurotoxicity, which are frequently associated with CD19 CAR-T therapies. Based on our observations in clinical trials in AML, pancreatic cancer, lymphoma, ALL and MM, we believe that the MultiTAA-specific T cell therapies have the potential to mediate a meaningful anti-tumor effect, as well as significant in vivo expansion of T cells. We may initiate additional Phase 2 clinical trials investigating other indications in 2020 in addition to our planned Phase 2 trial in post-transplant AML patients.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color w:val="auto"/>
        </w:rPr>
        <w:t>We believe that our therapies present promising innovations in immuno-oncology. We developed the MultiTAA-specific T cell therapy in collaboration with the Cell and Gene Therapy Center at BCM, which was founded by Dr. Malcolm K. Brenner, M.D., Ph.D., a recognized pioneer in immuno-oncology. BCM remains an important strategic partner and conducts early-stage clinical trials of the MultiTAA-specific T cell therapies pursuant to a sponsored research agreement. Our cell therapy founders include Drs. Brenner, Ann Leen, Ph.D., Juan Vera, M.D., Helen Heslop, M.D., DSc (Hon) and Cliona Rooney, Ph.D., who all have significant experience in this field. Drs. Brenner, Heslop, Rooney, James P. Allison and Padmanee Sharma serve on our Scientific Advisory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pipeline, including clinical trials being conducted by BCM and other partners,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151765</wp:posOffset>
            </wp:positionV>
            <wp:extent cx="5092065" cy="2108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9206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AML Clinical Program Update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2020, we announced that the FDA lifted the clinical hold on the Phase 2 clinical trial investigating the safety and efficacy of MT-401 for the treatment of patients with AML post-transplant permitting us to initiate the trial with the safety lead-in portion that is expected to enroll approximately six patients. Three patients will be dosed with MT-401 manufactured using the legacy reagent used in the Phase 1 trial, and three patients will be dosed with MT-401 manufactured using a reagent from an alternative supplier. We anticipate using this supplier for clinical and commercial supply of MT-401. The FDA placed a partial clinical hold on the trial for the use of the MT-401 product manufactured using one of the reagents supplied by the alternative supplier until the final data and certificate of analysis for the reagent are reviewed and accepted by the FDA. We currently estimate that the alternative supplier will deliver the final reagent, along with the final data and certificate of analysis required by the FDA, by the end of the second quarter of 2020. During the second half of 2020, we anticipate completing enrollment of the first three patients and submission of both the final technical specifications and comparability data of the new reagents to the FDA, the latter of which would satisfy the requirements for lifting the partial hold on the clinical trial. Given this expected timing, we do not currently expect the partial clinical hold to significantly impact site and patient enrollment of the Phase 2 trial.</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safety lead-in will be followed by the 160-patient randomized portion of the trial at approximately 20 transplant centers. Group 1 will comprise 120 adjuvant (disease-free) patients, with the primary endpoint of relapse-free survival of patients receiving MT-401 versus a control group. Group 2 will comprise 40 active disease patients in a single arm, with primary endpoints of complete remission and duration of complete remission.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goal is to be the leader in the development and commercialization of transformative immunotherapies for the treatment of hematological malignancies and solid tumors. We are developing a portfolio of highly differentiated T cell therapies utilizing the MultiTAA-specific T cell platform that we believe have the potential to significantly disrupt the current cell therapy landscape, while substantially improving survival and quality of life for patients with cancers.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key elements of our strategy include:</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Expedite clinical development, regulatory approval, and commercialization of our lead product candidates.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results of the Phase 1 clinical trials of the MultiTAA-specific T cell therapies conducted at BCM, we plan to advance our lead product candidates into Phase 2 clinical trials and facilitate the initiation of company-sponsored clinical trials. We are pursuing post-transplant AML as the lead indication for the MultiTAA-specific T cell program. During the second half of 2020, we expect to complete the safety lead-in portion of our Phase 2 trial in post-transplant AML and satisfy the FDA’s other requirements for lifting the partial hold on the clinical trial.</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plan to initiate in the future additional clinical trials in other tumor types based on emerging data. We anticipate that product manufacturing in support of those clinical trials will be conducted at BCM’s Good Manufacturing Practices, or GMP, cell manufacturing facility.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we expect to begin the technology transfer process and begin the planning and implementation of an additional GMP manufacturing capacity capable of supporting our manufacturing needs with respect to potentially pivotal trials. If the results of our Phase 2 clinical trials are positive, we intend to explore potential avenues to achieve regulatory approval for the use of our products in these indications, including any potential avenues for obtaining accelerated approval.</w:t>
      </w:r>
    </w:p>
    <w:p>
      <w:pPr>
        <w:spacing w:after="0" w:line="187"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collaborate with our partners and increase our internal research and development activities to improve and develop adoptive cell therapy technologies.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party to a strategic alliance with BCM, pursuant to which we will sponsor selected research at BCM in support of our technology. In conjunction with this strategic alliance, BCM will conduct selected Phase 1 and Phase 2 clinical trials of our product candidates. If data from these early clinical trials are positive, we will consider the therapeutic and commercial potential for such therapies to be advanced as new product candidates for us.</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plan to use BCM facilities and our company laboratories to enable the process development required to support the Phase 2 clinical trials of our product candidates. We plan to invest in our own research and development and chemistry, manufacturing and controls, or CMC, capabilities to enhance our ability to conduct process development to optimize our manufacturing process, product quality and commercial scalability.</w:t>
      </w:r>
    </w:p>
    <w:p>
      <w:pPr>
        <w:spacing w:after="0" w:line="16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our platform to maximize the beneficial outcomes for cancer patients.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plan to explore new product opportunities by increasing and/or customizing the antigens we target to expand the indications in which the MultiTAA-specific T cell products will be efficacious, including solid tumors or other hematologic malignancies. Additionally, our research and development efforts may include the exploration of different doses and/or frequency of dosing and the relationship of these factors with potential therapeutic benefit.</w:t>
      </w:r>
    </w:p>
    <w:p>
      <w:pPr>
        <w:spacing w:after="0" w:line="14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Leverage our relationships with our founding institutions, scientific founders and other scientific advisors.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world-renowned scientific founders and scientific advisors have made seminal contributions to major discoveries in the field of immuno-oncology, and have significant experience in oncology, immunology and cell therapy. We intend to significantly leverage the knowledge, experience and advice of our scientific founders and advisors, as well as the institutional expertise of BCM, the Mayo Foundation and our other major institutional partners, to advance our therapies through the clinic and into commercialization.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in the process of evaluating the peptide vaccine therapeutic products and programs to determine the future strategy and the proper allocation of our resources to best maximize stockholder value. In conjunction with this evaluation process we may de-emphasize or terminate certain vaccine therapeutic products or programs. Such strategic review and evaluations are a priority and an important part of our ongoing operations.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Background and History of Cancer Immunotherapies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advances in options for treatment, cancer continues to be one of the main causes of death in developed countries. Historically, cancer therapy has been constrained to surgery, radiation, and chemotherapy. More recently, advances in the understanding of the immune system’s role in cancer surveillance have led to immunotherapy becoming an important treatment approach. Cancer immunotherapy began with treatments that nonspecifically activated the immune system and had limited efficacy and/or significant toxicity. In contrast, newer immunotherapy treatments activate specific, potent immune cells, leading to improved safety and efficacy. Within the immunotherapy category, treatments have included vaccines, cytokine therapies, antibody therapies, and adoptive cell therapies.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1996, Dr. Dana Leach, Dr. Matthew Krummel and Dr. James Allison reported that monoclonal antibodies, or mAbs, blocking CTLA-4 could treat tumors in animal models. Subsequently, mAbs that targeted CTLA-4 and PD-1 became known as immune checkpoint inhibitors, or ICIs. Immune checkpoints are a means by which cancer cells inhibit or turn down the body’s immune response to cancer. By interfering with these cloaking mechanisms, ICIs have shown an ability to activate T cells, shrink tumors, and improve patient survival. Recent clinical data from checkpoint inhibitors such as ipilimumab, nivolumab and pembrolizumab have confirmed both the validity of this approach and the importance of T cells as promising tools for the treatment of cancer.</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these many advances, there persists a significant unmet need in cancer therapeutics. We believe that the use of human cells as a therapeutic modality to re-engage the immune system will be the next significant advancement in the treatment of cancer. These cellular therapies may avoid the long-term side effects associated with current treatments and have the potential to be effective regardless of the type of previous treatments patients have experienced.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Cell Therapy Overview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field of adoptive cell transfer is currently comprised primarily of CAR and TCR engineered T cells and has emerged from principles of basic immunology to become a paradigm-shifting clinical immunotherapy. T cell therapy has evolved as one of the most promising branches of immunotherapy. T cell immunotherapy involves the infusion of T cells into a patient. Immune cells used for immunotherapy treatments can either be collected from the patient (autologous) or harvested from a donor (allogeneic). The cells are retrieved and either genetically modified to express tumor-specific CARs or TCRs or mixed with specific antigens. The cells are then cultured to proliferate, and the proliferated cells are infused into the patient. Upon infusion, the cells can target and eliminate cancerous cells. Unlike chemotherapy, which is unable to distinguish between healthy and malignant cells, T cells produced for immunotherapy can selectively attack cancer cells that express the target antigen(s). This leads to a more effective treatment platform with fewer side effects. Some of these infused T cells may remain in the body for long periods, providing immunological memory, thus leading to longer and more durable responses.</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TCRs and CARs have distinct signaling properties and antigen sensitivities. TCRs recognize peptide fragments from proteins expressed either inside the cell or on the cell surface, which are presented to T cells via major histocompatibility complex molecules. CARs are programmed to recognize a specific cell surface protein. Because CARs are specific for a single antigen, or more precisely a single epitope within the single antigen, they are very narrowly focused and have limitations. When a CAR-T cell product is applied to a specific antigen of a heterogeneous disease, CAR-T cells may leave behind tumor cells that do not express the target antigen, which can lead to tumor relapse due to immune escape.</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Our approach is to avoid genetic engineering by relying upon the native T cell receptor, which has evolved over millions of years to provide T cells with an exquisite capacity to recognize and kill cancer cells. Use of the native T cell receptor is the bedrock of our versatile immunotherapy, which is intended to provide a cost-effective and non-toxic strategy to target multiple tumor antigens and lead to durable responses. The process entails expanding tumor-specific T cells from patients (autologous), or a patient’s hematopoietic stem cell donor (allogeneic). This is achieved by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manipulation consisting of co-culturing a patient’s or donor’s antigen presenting cells with patient (or donor) peripheral blood mononuclear cells, or PBMCs, respectively. As a source of antigen, we use overlapping peptide libraries spanning each of several immunogenic target antigens that are typically associated with certain types of cancer. These peptides are 15 amino acids in length, overlapping by 11 amino acids and span the entire length of each of the target antigens. This typical</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footprint of peptides allows us to induce both CD4</w:t>
      </w:r>
      <w:r>
        <w:rPr>
          <w:rFonts w:ascii="Arial" w:cs="Arial" w:eastAsia="Arial" w:hAnsi="Arial"/>
          <w:sz w:val="29"/>
          <w:szCs w:val="29"/>
          <w:color w:val="auto"/>
          <w:vertAlign w:val="superscript"/>
        </w:rPr>
        <w:t>+</w:t>
      </w:r>
      <w:r>
        <w:rPr>
          <w:rFonts w:ascii="Arial" w:cs="Arial" w:eastAsia="Arial" w:hAnsi="Arial"/>
          <w:sz w:val="18"/>
          <w:szCs w:val="18"/>
          <w:color w:val="auto"/>
        </w:rPr>
        <w:t xml:space="preserve"> (helper) and CD8</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(cytotoxic) T cells. Following manufacture, these cells are frozen and stored for later infusion. Once infused, the natural characteristics of T cells take over and the T cells multiply in quantity, forming an army of T cells that kill the targeted cancer cells.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We have observed evidence of “epitope spreading” in our clinical trials, suggesting that the MultiTAA-specific T cell therapy is inducing an enhanced response by the patient’s own T cells (specific for an expanded set of tumor-associated antigens beyond those targeted by the infused product). Correlative analyses show expansion of endogenous T cells, other than those present in the infused product, in the months following infusion. This phenomenon, also known as “antigen spreading,” is potentially important in generating a deep and durable response for a patient because it enables the killing of tumors that do not express any of the antigens initially targeted by our therapy and could be due to the lack of lymphodepletion that allows recruitment of the endogenous immune system for anti-tumor activity.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MultiTAA-Specific T Cell Therapies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collaboration with BCM, we are advancing two MultiTAA-specific T cell therapies through clinical development:</w:t>
      </w:r>
    </w:p>
    <w:p>
      <w:pPr>
        <w:spacing w:after="0" w:line="225" w:lineRule="exact"/>
        <w:rPr>
          <w:sz w:val="20"/>
          <w:szCs w:val="20"/>
          <w:color w:val="auto"/>
        </w:rPr>
      </w:pPr>
    </w:p>
    <w:p>
      <w:pPr>
        <w:jc w:val="both"/>
        <w:ind w:left="700" w:hanging="328"/>
        <w:spacing w:after="0" w:line="311"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Autologous MultiTAA-specific T cell therapies </w:t>
      </w:r>
      <w:r>
        <w:rPr>
          <w:rFonts w:ascii="Arial" w:cs="Arial" w:eastAsia="Arial" w:hAnsi="Arial"/>
          <w:sz w:val="16"/>
          <w:szCs w:val="16"/>
          <w:color w:val="auto"/>
        </w:rPr>
        <w:t>target the NY-ESO-1, PRAME, MAGE-A4, Survivin and SSX2 antigens. We recently reported</w:t>
      </w:r>
      <w:r>
        <w:rPr>
          <w:rFonts w:ascii="Arial" w:cs="Arial" w:eastAsia="Arial" w:hAnsi="Arial"/>
          <w:sz w:val="16"/>
          <w:szCs w:val="16"/>
          <w:i w:val="1"/>
          <w:iCs w:val="1"/>
          <w:color w:val="auto"/>
        </w:rPr>
        <w:t xml:space="preserve"> </w:t>
      </w:r>
      <w:r>
        <w:rPr>
          <w:rFonts w:ascii="Arial" w:cs="Arial" w:eastAsia="Arial" w:hAnsi="Arial"/>
          <w:sz w:val="16"/>
          <w:szCs w:val="16"/>
          <w:color w:val="auto"/>
        </w:rPr>
        <w:t>updated clinical data from BCM’s Phase 1/2 clinical trial of the autologous MultiTAA therapy for the treatment of patients with pancreatic cancer, and we are currently evaluating these therapies for the treatment of patients with lymphoma, MM and other selected solid tumors in Phase 1 trials.</w:t>
      </w:r>
    </w:p>
    <w:p>
      <w:pPr>
        <w:spacing w:after="0" w:line="148" w:lineRule="exact"/>
        <w:rPr>
          <w:rFonts w:ascii="Arial" w:cs="Arial" w:eastAsia="Arial" w:hAnsi="Arial"/>
          <w:sz w:val="16"/>
          <w:szCs w:val="16"/>
          <w:color w:val="auto"/>
        </w:rPr>
      </w:pPr>
    </w:p>
    <w:p>
      <w:pPr>
        <w:jc w:val="both"/>
        <w:ind w:left="700" w:hanging="328"/>
        <w:spacing w:after="0" w:line="263"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Allogeneic MultiTAA-specific T cell therapies </w:t>
      </w:r>
      <w:r>
        <w:rPr>
          <w:rFonts w:ascii="Arial" w:cs="Arial" w:eastAsia="Arial" w:hAnsi="Arial"/>
          <w:sz w:val="18"/>
          <w:szCs w:val="18"/>
          <w:color w:val="auto"/>
        </w:rPr>
        <w:t>target the WT1, NY-ESO-1, PRAME, and Survivin antigens. The stem cell transplant donor is used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source of the cells manufactured for our allogeneic therapies. We are pursuing post-transplant AML as the lead indication for the MultiTAA-specific T cell program using our allogeneic therapies.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the blood source and the antigens for stimulation differ between the autologous and allogeneic therapies, the manufacturing process for each product is identical.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Cancers are heterogeneous in their expression of antigens. Tumors generally consist of individual cancer cells expressing different antigens, and each of those antigens can be present at a different level that can change over time. Therapies targeting only a single antigen are vulnerable to evolutionary escape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125730</wp:posOffset>
            </wp:positionV>
            <wp:extent cx="3300095" cy="2082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009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While single-antigen specific therapy can eliminate all the tumor cells expressing the targeted antigen, the residual tumor cells that do not express that antigen may survive and expand. In addition, tumor cells may also downregulate or mutate the targeted antigen, thus becoming invisible to the T cell therapy. Both phenomena create a transformed tumor that is impervious to that therapy. This process is referred to as antigen-negative tumor escape.</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solution to the problem of tumor heterogeneity is the development of T cell products that simultaneously attack multiple tumor-expressed antigens and thereby enable more complete initial tumor targeting, thus minimizing the subsequent opportunity for the cancer to engage escape mechanisms. Of note, data suggest that this strategy may be responsible for recruitment and activation of unique cancer-killing cells from the patient’s own immune repertoire to participate in cancer eradication, further minimizing the possibility for tumor cell escape.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2239645</wp:posOffset>
            </wp:positionH>
            <wp:positionV relativeFrom="page">
              <wp:posOffset>723265</wp:posOffset>
            </wp:positionV>
            <wp:extent cx="3034665" cy="2331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303466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believe our proprietary MultiTAA-specific T cell platform may have meaningful advantages over current CAR and TCR-engineered cell therapy approaches. Compared to current gene-modified T cell therapies, the MultiTAA-specific T cell product candidates are characterized by the following:</w:t>
      </w:r>
    </w:p>
    <w:p>
      <w:pPr>
        <w:spacing w:after="0" w:line="14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Clinical benefits observed in early-stage clinical trials in multiple cancer indications.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on our observations in clinical trials in AML, pancreatic cancer, lymphoma, ALL and MM, we believe that the MultiTAA-specific T cell therapies have the potential to mediate a meaningful anti-tumor effect, as well as significant in vivo expansion of T cells. For example, in BCM’s Phase 1 clinical trial in lymphoma, there were complete responses, or CRs, in six of the fifteen evaluable patients with active disease. Significantly, no patient with a CR has subsequently relapsed with disease, whereas typically 30% or more of patients with CR in reported CAR-T studies relapse within one year. In patient results to date in this trial, observed therapeutic responses appear to be highly durable, with some patients being relapse-free beyond five years.</w:t>
      </w:r>
    </w:p>
    <w:p>
      <w:pPr>
        <w:spacing w:after="0" w:line="15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Non-gene modified.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Unlike CAR and TCR-based approaches, our MultiTAA-specific T cell therapy does not require genetic modification of T cells, a costly and complex process that significantly complicates the manufacturing of a patient product. We believe our MultiTAA-specific T cell therapy can be manufactured at a fraction of the cost of a gene-modified T cell product, with substantially reduced complexity of manufacturing.</w:t>
      </w:r>
    </w:p>
    <w:p>
      <w:pPr>
        <w:spacing w:after="0" w:line="18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No need for lymphodepletion before infusion.</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Unlike CAR-T therapies, which require lymphodepletion of a patient’s existing T cells so that they will not compete with the infused therapy, the MultiTAA-specific T cell therapies work with the natural capabilities of T cells to target cancer and do not require lymphodepletion prior to infusion.</w:t>
      </w:r>
    </w:p>
    <w:p>
      <w:pPr>
        <w:spacing w:after="0" w:line="14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Low incidence rate of adverse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2019, the MultiTAA-specific T cell therapy has been generally well tolerated by all of the patients enrolled in clinical trials in hematological and solid tumor indications with no incidences of cytokine release syndrome or neurotoxicity. In these trials, there has been only one Grade 3 adverse reaction considered possibly related to the therapy. This appears to compare favorably with published CD19 CAR-T studies that have been associated with substantial tolerability concerns, including one Phase 1 trial in which 95% of patients had Grade 3 or higher adverse events during treatment.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Appears to drive endogenous immune responses.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our clinical trials, we have observed evidence of “epitope spreading” in the treated patients, meaning that the MultiTAA-specific T cell therapy is potentially inducing an enhanced response by the patient’s own T cells (specific for an expanded set of tumor-associated antigens beyond those targeted by the infused product). Correlative analyses show expansion of endogenous T cells, other than those present in the infused product, in the months following infusion. This phenomenon, also known as “antigen spreading,” is potentially important in generating a deep and durable response for a patient, because it enables the killing of tumors that do not express any of the antigens initially targeted by our therapy and could be due to the lack of lymphodepletion that allows recruitment of the endogenous immune system for anti-tumor activity.</w:t>
      </w:r>
    </w:p>
    <w:p>
      <w:pPr>
        <w:spacing w:after="0" w:line="17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Capable of addressing a broad repertoire of cancer cells.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CAR-T and TCR therapies generally target a single epitope, our manufacturing process selects for T cells that are specific for multiple peptides derived from several targeted antigens. Deep gene sequencing of our products shows that a typical patient dose usually consists of approximately 4,000 unique T cell clonotypes, some of which target up to five different tumor-associated antigens. The five antigen targets can be recognized by a very wide range of T cells, which we believe facilitates robust killing of targeted cancer cells.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MT-401 for the Treatment of Post-Transplant AML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submitted an IND to the FDA to initiate a Phase 2 clinical trial in post-allogeneic hematopoietic stem cell transplant patients with AML in both the adjuvant and active disease setting, which may become pivotal pending the results of the interim analysis. The dose administered in this multicenter trial is the current maximum tolerated dose from the Phase 1/2 trial. In the adjuvant setting, patients will be randomized to either MT-401 at approximately 90 days post-transplant versus standard of care observation, while the active disease patients will receive MT-401 following relapse post-transplant as part of a single-arm group.</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2020, we announced that the FDA lifted the clinical hold on the Phase 2 trial and has permitted us to initiate the trial, beginning with a safety lead-in portion that is expected to enroll approximately six patients. Three patients will be dosed with MT-401 manufactured using the legacy reagent used in the Phase 1 trial, and three patients will be dosed with MT-401 manufactured using a reagent from an alternative supplier. We anticipate using this supplier for clinical and commercial supply of MT-401. The FDA placed a partial clinical hold on the trial for the use of the MT-401 product manufactured using one of the reagents supplied by the alternative supplier until the final data and certificate of analysis for the reagent are reviewed and accepted by the FDA. We currently estimate that the alternative supplier will deliver the final reagent, along with the final data and certificate of analysis required by the FDA, by the end of the second quarter of 2020. We anticipate to complete enrollment of the first three patients and submission of the final technical specifications and comparability data of the new reagents to the FDA during the second half of 2020, thereby satisfying the requirements for lifting the partial hold on the clinical trial. Given this expected timing, we do not currently expect the partial clinical hold to significantly impact site and patient enrollment of the Phase 2 trial.</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safety lead-in will be followed by the 160-patient randomized portion of the trial at approximately 20 transplant centers. Group 1 will comprise 120 adjuvant (disease-free) patients, with the primary endpoint of relapse-free survival of patients receiving MT-401 versus a control group. Group 2 will comprise 40 active disease patients in a single arm, with primary endpoints of complete remission and duration of complete remission.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Our MultiTAA-Specific T Cell Therapies by BCM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clinical trials are being conducted by BCM pursuant to our strategic alliance. If data from these early clinical trials are positive, we will consider the therapeutic and commercial potential for such therapies to be advanced as new product candidates for us. In each trial, correlative studies showed significant expansion of MultiTAA-specific T cells, as well as significant evidence of epitope spreading with expansion of endogenous T cells specific for tumor-associated antigens that were not targeted by the MultiTAA-specific T cell therapy.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Acute Myeloid Leukemia</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pursuing post-transplant AML as the lead indication for the MultiTAA-specific T cell program. Currently, available treatments for post-transplant AML patients are limited and include donor lymphocyte infusion, which has an approximately 15% overall response rate but a 30% to 50% risk of severe and debilitating graft-versus-host disease. The five-year mortality rate for patients who receive an allogeneic hematopoietic stem cell transplant exceeds 50%, and patients who relapse after a transplant have a survival expectation of approximately 4.5 months.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BCM recently completed a Phase 1 clinical trial of the MultiTAA-specific T cell therapy for the treatment of patients with post-transplant AML. In this trial, we treated patients in remission and with active disease post-transplant. As illustrated below, eleven of the thirteen patients in the adjuvant disease setting dosed with the MultiTAA-specific T cell therapy after receiving an allogeneic stem cell transplant survived, ranging from 6 weeks to 2.5 years post-infusion, with nine of these patients in CCR, as reported in March 2019. Two patients saw local relapse in the central nervous system, but in both cases these patients were successfully treated with local therapy alone. One patient saw extramedullary relapse and was subsequently treated in the active disease arm of the trial, generating a CR that was durable for 13 months. One patient relapsed 8 months after receiving MultiTAA-specific T cells but following a second allogeneic stem cell transplant this patient remains alive in relapse 1.5 years following his initial T cell infusion.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114935</wp:posOffset>
            </wp:positionV>
            <wp:extent cx="4928870" cy="2588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2887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illustrated below, and reported in March 2019, survival of the six evaluable patients with active disease ranged from 4 to 21 months, as compared to a historical survival rate of 4 months for patients who receive the standard of care post-transplant. Of these patients, one patient demonstrated a complete response that was durable for 13 months, one patient demonstrated a partial response that enabled that patient to receive a second allogeneic stem cell transplant and two patients, who did not meet partial response criteria, experienced disease stabilization enabling a two-month delay to next-line therapy.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723265</wp:posOffset>
            </wp:positionV>
            <wp:extent cx="5117465" cy="2734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117465"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trial, the MultiTAA-specific T cell therapy was well tolerated, with no drug-related serious adverse events and no instances of graft-versus-host disease. One patient in the adjuvant disease group had a possibly drug-related Grade 3 elevation of liver enzymes, which was treated with prednisone. After discontinuing treatment and receiving decitabine, the patient relapsed and later re-enrolled in the trial in the active disease group and entered CR for 13 months and survived for 2.5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Pancreatic Cancer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2019, we reported interim data from an ongoing Phase 1/2 clinical trial of the MultiTAA-specific T cell therapy for the treatment of pancreatic adenocarcinoma being conducted by BCM. In this trial, BCM plans to enroll approximately 45 patients with advanced or borderline resectable pancreatic adenocarcinoma in three arms: Arm A, which includes patients with unresectable/metastatic disease who are responding to standard first-line chemotherapy; Arm B, which includes patients with progressive disease or therapy intolerance; and Arm C, which includes patients with surgically resectable disease. As of July 5, 2019, a total of 19 patients were administered the MultiTAA-specific T cell therapy: 10 patients in Arm A, 6 patients in Arm B and 3 patients in Arm C.</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we have observed a clinical benefit correlated with the detection of tumor-reactive T cells in patient peripheral blood (Arms A, B and C) and within tumor biopsy samples (Arm C) post-infusion. T cells exhibited activity against both targeted antigens as well as non-targeted TAAs, including MAGE-A2B and AFP, indicating induction of antigen/epitope spreading. No cytokine release syndrome or neurotoxicity had been observed as of July 5,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Arm 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Arm A is designed to evaluate the safety and potential efficacy of using MultiTAA-specific T cell therapy as part of first-line treatment for patients with pancreatic cancer. These patients in the chemo-responsive arm have completed or will complete at least three months of standard-of-care chemotherapy (gemcitabine/nab-paclitaxel or FOLFIRINOX), which is the period during which a response to chemotherapy would typically occur, before receiving up to six administrations of MultiTAA-specific T cell therapy in conjunction with chemotherapy. Of the nine evaluable patients in Arm A as of July 5, 2019 (one patient was too early to be evaluated):</w:t>
      </w:r>
    </w:p>
    <w:p>
      <w:pPr>
        <w:spacing w:after="0" w:line="188" w:lineRule="exact"/>
        <w:rPr>
          <w:sz w:val="20"/>
          <w:szCs w:val="20"/>
          <w:color w:val="auto"/>
        </w:rPr>
      </w:pPr>
    </w:p>
    <w:p>
      <w:pPr>
        <w:ind w:left="660" w:right="3020" w:hanging="328"/>
        <w:spacing w:after="0" w:line="50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Three patients experienced objective responses after administration of MultiTAA-specific T cell therapy: o One patient experienced a complete response; and</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   Two patients experienced partial responses.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ind w:left="660" w:right="48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Four patients experienced disease stabilization. Two patients within stable disease boundaries (+20%/-30%) saw reversal of tumor growth in which tumors previously growing after chemotherapy alone showed shrinkage after administration of MultiTAA-specific T cell therapy.</w:t>
      </w:r>
    </w:p>
    <w:p>
      <w:pPr>
        <w:spacing w:after="0" w:line="123"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 patient experienced a mixed response, in which some lesions increased in size and others decreased in size for a net zero change in the size of tumor lesions.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 patient experienced disease progression.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overall tumor shrinkage volume was observed in six out of the eight patients with a measurable tumor after administration of MultiTAA-specific T cell therapy. One evaluable patient did not have tumor measurements for analysis.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patients responding to therapy, significant expansion of the infused MultiTAA-specific T cell therapy was observed, along with broad-based epitope spreading, with significant expansion of endogenous T cells specific for other tumor specific antigens.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Arm B</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Arm B is designed to evaluate the use of MultiTAA-specific T cell therapy as a second-line therapy for patients who have failed first-line chemotherapy. The patients in this chemo-refractory arm are either ineligible for chemotherapy or have progressed on chemotherapy and have received or are receiving up to six doses of MultiTAA-specific T cell therapy as a monotherapy. Of the six evaluable patients in Arm B as of July 5, 2019:</w:t>
      </w:r>
    </w:p>
    <w:p>
      <w:pPr>
        <w:spacing w:after="0" w:line="14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Three patients experienced stable disease or clinical disease stabilization:</w:t>
      </w:r>
    </w:p>
    <w:p>
      <w:pPr>
        <w:spacing w:after="0" w:line="225" w:lineRule="exact"/>
        <w:rPr>
          <w:rFonts w:ascii="Arial" w:cs="Arial" w:eastAsia="Arial" w:hAnsi="Arial"/>
          <w:sz w:val="18"/>
          <w:szCs w:val="18"/>
          <w:color w:val="auto"/>
        </w:rPr>
      </w:pPr>
    </w:p>
    <w:p>
      <w:pPr>
        <w:ind w:left="660" w:right="1860"/>
        <w:spacing w:after="0" w:line="500" w:lineRule="auto"/>
        <w:rPr>
          <w:rFonts w:ascii="Arial" w:cs="Arial" w:eastAsia="Arial" w:hAnsi="Arial"/>
          <w:sz w:val="18"/>
          <w:szCs w:val="18"/>
          <w:color w:val="auto"/>
        </w:rPr>
      </w:pPr>
      <w:r>
        <w:rPr>
          <w:rFonts w:ascii="Arial" w:cs="Arial" w:eastAsia="Arial" w:hAnsi="Arial"/>
          <w:sz w:val="18"/>
          <w:szCs w:val="18"/>
          <w:color w:val="auto"/>
        </w:rPr>
        <w:t>o Two patients who previously had progressive disease experienced clinical disease stabilization for up to two months. o One patient has maintained stable disease for seven months (ongoing).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Three patients experienced clinical decline.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Among the patients who saw clinical disease stabilization, significant expansion of the infused MultiTAA-specific T cell therapy was observed, along with broad-based epitope spreading, with significant expansion of endogenous T cells specific for other tumor-specific antigens.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Arm C</w:t>
      </w:r>
    </w:p>
    <w:p>
      <w:pPr>
        <w:spacing w:after="0" w:line="225"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Arm C is designed to assess T cell infiltration and expansion. These patients with borderline surgically resectable disease received or will receive a dose of MultiTAA-specific T cell therapy following chemotherapy, radiotherapy or combination and prior to surgical resection and up to five additional doses of T cells after surgery. In the patients evaluable in Arm C as of July 5, 2019, MultiTAA-specific T cells were measurable in meaningful numbers as detected by correlative analysis of resected tumor, and significant expansion of the infused MultiTAA-specific T cells was observed, along with broad-based epitope spreading, with significant expansion of endogenous T cells specific for other tumor specific antigens.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Lymphoma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BCM is currently evaluating the MultiTAA-specific T cell therapy in a Phase 1 clinical trial for the treatment of patients with lymphoma.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spacing w:after="0" w:line="290" w:lineRule="auto"/>
        <w:rPr>
          <w:sz w:val="20"/>
          <w:szCs w:val="20"/>
          <w:color w:val="auto"/>
        </w:rPr>
      </w:pPr>
      <w:r>
        <w:rPr>
          <w:rFonts w:ascii="Arial" w:cs="Arial" w:eastAsia="Arial" w:hAnsi="Arial"/>
          <w:sz w:val="16"/>
          <w:szCs w:val="16"/>
          <w:color w:val="auto"/>
        </w:rPr>
        <w:t>As of January 2019, we had treated 15 patients with active disease, which we refer to as the active lymphoma group, all of whom had completed a follow-up period beyond three months post-infusion. These patients were heavily pre-treated and, on average, had failed between four and seven prior therapies, with two patients having failed nine prior therapies. As illustrated below, in the active lymphoma group, six patients entered CR and nine patients had experienced stable disease, with three of those patients experiencing durable stable disease and six of those patients experiencing transient stable disease ranging from three months to ten months. None of the patients in CR had relapsed, and the range for the duration of CR in these patients were between one and over five years after being infused with the MultiTAA-specific T cell therapy. Responses in all six patients who entered CR were associated with an expansion of infused T cells, as well as induction of antigen spreading. Of the nine patients with stable disease, three had not relapsed, with two of those patients in stable disease for nine months and over 24 months, respectively, which we believe shows potential durable disease stabilization.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114300</wp:posOffset>
            </wp:positionV>
            <wp:extent cx="5923280" cy="3265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23280"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also had treated 18 patients, including one patient who was treated a second time after a relapse, in remission, which we refer to as the adjuvant lymphoma group. Like the active lymphoma group, these patients were heavily pre-treated. As illustrated below, in the adjuvant lymphoma group as reported in January 2019, all 18 patients had entered CR, with 14 patients in CCR. The duration of response ranged from nine months to over 48 months.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586105</wp:posOffset>
            </wp:positionV>
            <wp:extent cx="6146165" cy="33775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146165"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both treatment groups, the MultiTAA-specific T cell therapy was well tolerated, with no drug-related serious adverse events, suggesting that the MultiTAA-specific T cell therapy might serve as a standard-of-care maintenance therapy for lymphoma patients in remission.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data from this trial show “epitope spreading,” or expansion of patients’ endogenous T cells (specific for an expanded set of tumor-associated antigens beyond those targeted by the infused therapy) in the months following infusion. Significantly, we have observed this effect even though some patients in this trial received doses that had not yet been antigen-escalated to the full antigen dose.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Acute Lymphoblastic Leukemia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BCM is currently evaluating the MultiTAA-specific T cell therapy in a Phase 1 clinical trial for the treatment of patients with ALL. Leukemic relapse is one of the primary causes of treatment failure in hematopoietic stem cell transplant recipients. Like post-transplant AML patients, post-transplant ALL patients have limited treatment options, with donor lymphocyte infusions similarly associated with the risk of life-threatening graft-versus-host disease. While CAR-T therapies have shown potent anti-leukemia activity in post-transplant ALL patients, CD19-CAR-T cell therapies target a single antigen, carrying the inherent risk of immune escape, and are most effective in malignancies of B-cell lineage. In contrast, the MultiTAA-specific T cell therapy targets multiple antigens expressed in both B- and T-cell ALL.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this trial, as reported in February 2019 we had treated 18 patients. Of the seven evaluable patients: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evaluable patients were up to 28 months in CCR;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One patient experienced relapse displayed mixed donor/recipient chimerism after transplant, but remained in CCR for 6 months;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Patients who remained in CCR had been durable for between four to 28 months, with a median of 16 months.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Multiple Myeloma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BCM is currently evaluating the MultiTAA-specific T cell therapy in a Phase 1b/2a clinical trial for the treatment of patients with MM. In this trial, we are treating both active and adjuvant post-autologous stem cell transplant MM patients both within 90 days and more than 90 days post-transplant. We have not seen a meaningful difference in response rates or durability between the two arms and intend to standardize future trials based upon a protocol wherein patients will receive MultiTAA-specific T cell therapy immediately post-transplant.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reported in January 2019, of the 12 patients that had been treated in the active MM group:</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 patient had a CR;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Three patients achieved partial responses;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eight remaining patients experienced stabilization of disease following initial MultiTAA-specific T cell infusion.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reported in January 2019, of the eight patients that had been treated in the adjuvant MM group, all eight patients had experienced a partial response or CR, with a median follow-up of 21 months. Only one patient had relapsed as of such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Development and Manufacturing of The MultiTAA-Specific T Cell Therapies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manufacturing process, blood is drawn from either the individual patient (in the case of the autologous T cells) or from the allogeneic stem cell transplant donor (in the case of the allogeneic T cells). Although the T cells that are selected and expanded by our process exist in a patient’s circulating blood, these T cells are often present at very low frequencies. Researchers at BCM believe that these T cells are adversely affected by the suppressive tumor microenvironment. It is a well-accepted concept that cancers not only evade immune detection but often actively suppress the function of the human immune system. Our manufacturing and culturing process is intended to (1) identify the T cells specific for the antigens that we intend to target, (2) restore these T cells to functionality with respect to their anti-tumor capability and (3) expand the population of those T cells specific for our targets to achieve the required patient dose.</w:t>
      </w:r>
    </w:p>
    <w:p>
      <w:pPr>
        <w:spacing w:after="0" w:line="19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After blood is drawn, PBMCs are isolated and used to manufacture a patient-specific product. These cells are placed inside a G-Rex manufacturing device or standard plasticware and combined with an experimentally optimized mix of GMP-grade cytokines that is used to restore and enhance the functional capability of the cultured T cells.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libraries of overlapping peptides, which we refer to as peptide pools, spanning the target antigens are combined with antigen presenting cells and added to the cell culture. Each peptide within a peptide pool represents a small segment of a target antigen, which a T cell might recognize. Each library represents the entire protein sequence of a target antigen, with each peptide overlapping significantly with the peptides adjacent to it within the antigen’s protein sequence. This overlapping structure allows us to isolate, activate and expand any T cell that is specific for any segment of the antigens that we target in the unique genetic background of every patient.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G-Rex is a cell culture device manufactured by Wilson Wolf used by many cell therapy developers, both in commercial and academic settings. The device allows a user to introduce cells, media and other reagents into a cell culture chamber, which has a gas-permeable membrane at its bottom. The cells settle on this gas-permeable membrane through which oxygen and carbon dioxide are exchanged (i.e. the cells can breathe at the base of the device), while nutrients required for cell expansion are obtained from the medium above the cells. This system allows for the highly robust growth of cells in culture, by providing them with superior access to oxygen and nutrients. Cells manufactured in the device grow efficiently without need for agitation by a technician, scientist or automated system.</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Inside the G-Rex or the regular plasticware, PBMCs are co-cultured with antigen-presenting cells that have been exposed to the stimulating peptide pools. This results in the selective expansion of T cells that specifically recognize the target antigens. At the end of the manufacturing process, the resulting product is a mix of helper (CD4</w:t>
      </w:r>
      <w:r>
        <w:rPr>
          <w:rFonts w:ascii="Arial" w:cs="Arial" w:eastAsia="Arial" w:hAnsi="Arial"/>
          <w:sz w:val="29"/>
          <w:szCs w:val="29"/>
          <w:color w:val="auto"/>
          <w:vertAlign w:val="superscript"/>
        </w:rPr>
        <w:t>+</w:t>
      </w:r>
      <w:r>
        <w:rPr>
          <w:rFonts w:ascii="Arial" w:cs="Arial" w:eastAsia="Arial" w:hAnsi="Arial"/>
          <w:sz w:val="18"/>
          <w:szCs w:val="18"/>
          <w:color w:val="auto"/>
        </w:rPr>
        <w:t>) and cytotoxic (CD8</w:t>
      </w:r>
      <w:r>
        <w:rPr>
          <w:rFonts w:ascii="Arial" w:cs="Arial" w:eastAsia="Arial" w:hAnsi="Arial"/>
          <w:sz w:val="29"/>
          <w:szCs w:val="29"/>
          <w:color w:val="auto"/>
          <w:vertAlign w:val="superscript"/>
        </w:rPr>
        <w:t>+</w:t>
      </w:r>
      <w:r>
        <w:rPr>
          <w:rFonts w:ascii="Arial" w:cs="Arial" w:eastAsia="Arial" w:hAnsi="Arial"/>
          <w:sz w:val="18"/>
          <w:szCs w:val="18"/>
          <w:color w:val="auto"/>
        </w:rPr>
        <w:t>) T cells that recognize the antigens we are targeting.</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Once cell manufacturing is complete, the product is tested for identity, sterility, phenotype and functionality before it is released for infusion into a patient.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Sampling of product indicates that, on average, approximately 4,000 different T cell clonotypes are present in a typical 5-antigen-specific patient product.</w:t>
      </w:r>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release of the final patient product, the cells are frozen and transported to the site where the cells will be administered. The standard dose for patients with lymphoma, AML or myeloma ranges from 5 to 20 million cells per meter squared (corresponding to typical doses of 10 to 40 million cells per adult patient). These cell doses represent a significantly smaller dose of cells, when compared to CAR-T or TCR therapies. As a result, our therapy requires only a very small infusion volume that can be administered to patients within minutes at an outpatient center. Due to the low incidence of adverse events with our therapies, patients do not need to be hospitalized and monitored overnight. Instead, the patients are evaluated for any immediate infusion-related reactions and can then usually be discharged within two hours.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manufacturing process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6626225" cy="3111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26225"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Peptide-Based Immunotherapeutic Vaccines: TPIV200 and TPIV100/110</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our MultiTAA-specific T cell therapies, we are developing peptide-based immunotherapeutic vaccines that are designed to precisely target breast and ovarian cancer cells, in contrast to standard therapies for the treatment of cancer that target both cancer cells and normal cells. Our peptide vaccines are derived from naturally processed T cell-targeted antigens. We believe that our peptide vaccines are potentially effective standalone therapies but may also enhance the efficacy of other immunotherapy approaches, including our own MultiTAA-specific T cell therapies. Our multipeptide approach is fundamentally different from traditional vaccine therapies that have generally targeted a major histocompatibility complex, or MHC, class I-restricted epitope and have historically performed poorly as stand-alone treatments. We are currently evaluating TPIV200 for the treatment of breast and ovarian cancers that overexpress FRa in multiple Phase 2 clinical trials and TPIV100/110 for the treatment of breast cancers that overexpress HER2/neu in Phase 1b and Phase 2 clinical trials.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in the process of evaluating the peptide vaccine therapeutic products and programs to determine the future strategy and the proper allocation of our resources to best maximize stockholder value. In conjunction with this evaluation process we may de-emphasize or terminate certain vaccine therapeutic products or programs. Such strategic review and evaluations are a priority and an important part of our ongoing operations.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TPIV200 for the Treatment of FRa-Overexpressed Breast and Ovarian Cancers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FRa is overexpressed in over 80% of breast cancers and over 90% of ovarian cancers. The only treatment options for these cancers are surgery, radiation therapy and chemotherapy, creating a very important and urgent clinical need for a new therapeutic strategy. Time to recurrence is relatively short for ovarian cancer and survival prognosis is extremely poor after recurrence. In the United States alone, every year there are 22,350 new ovarian cancer diagnoses and 268,600 new breast cancer diagnoses, of which 10% are diagnoses of triple-negative breast cancer.</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TPIV200 is composed of a mixture of five FRa-derived immunogenic peptides adjuvanted with low-dose granulocyte-macrophage colony-stimulating factor, or GM-CSF, and is designed to activate both the CD4</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CD8</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 cell compartments in order to activate a patient’s T cells against the targets. Recent developments in immunology suggest that both CD4</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CD8</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activation support a robust immune response.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1 Clinical Trial in Advanced Breast and Ovarian Cancer</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this Phase 1 clinical trial, completed by Mayo Clinic in 2015, 21 patients with advanced breast or ovarian cancer who had undergone standard surgery and adjuvant treatment were treated with one cycle of cyclophosphamide, followed by intradermal vaccination of TPIV200 on day one of a 28-day cycle for a maximum of six vaccination cycles. In the trial, 20 of 21 patients generated T cell responses. These responses developed slowly over the course of the vaccination cycles, with a median time to maximal immunity of five months. Over 90% of patients developed robust and durable antigen-specific immune responses against FRa without regard for HLA type, which aligns with the intended mechanism of action of the vaccine, and 89% of the patients responded to multiple epitopes included in the TPIV200 vaccine, with most patients demonstrating T cell immunity to three or more epitopes. Further, all 16 patients in the observation stage generated T cell responses that lasted over six months.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TPIV200 was well-tolerated, with only one Grade 3 drug-related adverse event. In a two-year patient follow-up analysis, the 10 enrolled ovarian cancer patients had longer median progression-free survival time of 528 days than the 313 days historically reported for the standard-of-care chemotherapy treatment. All patients were alive at the final follow-up. None of the 7 breast cancer patients had experienced a recurrence.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2 Clinical Trials in Triple-Negative Breast Cancer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Triple-negative breast cancer is one of the most difficult cancers to treat and represents a clear unmet medical need. With the support of a $13.3 million grant from the Department of Defense, the Mayo Foundation is conducting a 280-patient Phase 2 clinical trial of TPIV200 in patients with triple-negative breast cancer, which began enrolling patients in late 2017 and is still recruiting patients.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21, 2016, we announced the initiation of a randomized four-arm Phase 2 trial of TPIV200 for the treatment of patients with Stage 1 to Stage 3 triple-negative breast cancer who have completed initial surgery and chemo/radiation therapy. This open-label, 80-patient clinical trial is designed to evaluate dosing regimens, pre-treatment, efficacy and immune responses. In the trial, we are evaluating a high dose and a low dose of TPIV200, each of which will be tested both with and without cyclophosphamide prior to vaccination. To date, there have been no drug-related serious adverse events reported. Based on a preliminary analysis of 34 patients enrolled in the triple negative breast cancer trial as of September 30, 2019, 31 patients showed meaningful immune response to vaccine treatment. These data are subject to final review by independent biostatistical analysis. As of September 30, 2019, 16 of the 80 patients treated have shown disease progression following treatment with TPIV200.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2 Clinical Trial in Platinum-Sensitive Ovarian Cancer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Phase 2 trial, which we sponsored, of TPIV200 in platinum-sensitive ovarian cancer patients (FRV-004) was initiated in January 2017. The trial is a multi-center double-blind efficacy study designed to evaluate TPIV200 compared to GM-CSF alone in a randomized, placebo-controlled fashion during the first maintenance period after primary surgery and chemotherapy. Multiple clinical sites enrolled approximately 120 patients. Safety and interim efficacy has been reviewed by independent data and safety monitoring board, or DSMB.</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In November 2019 we announced the discontinuation of this trial of TPIV200 based on an unblinded review of interim results from the trial conducted by the DSMB. Although the DSMB did not express any safety concerns with respect to TPIV200, we elected to suspend the trial because it did not meet the threshold for probability of clinical benefit based upon our pre-specified criteria.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2 Clinical Trial in Combination With Durvalumab for Patients with Ovarian Cancer</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21, 2016, we announced our participation in an ovarian cancer trial sponsored by Memorial Sloan Kettering Cancer Center, or MSKCC, in collaboration with AstraZeneca Pharmaceuticals in ovarian cancer patients who are not responsive to platinum, a commonly used chemotherapy for ovarian cancer. This open-label Phase 2 trial of TPIV200 in 40 patients is designed to evaluate the effects of combination therapy with AstraZeneca’s checkpoint inhibitor durvalumab (anti-PD-L1). Interim results from the first 27 patients were presented at the AACR-Rivkin Symposium in September 2018; safety of the combination was shown in these heavily pretreated patients and a subset of patients exhibited durable disease stabilization. Objective response rate and progression-free survival with combination treatment was not superior from the expected efficacy of durvalumab as a monotherapy. However, post-immunotherapy follow-up was suggestive of improved clinical benefit from standard therapies, as the majority of patients’ post-progression went on to receive subsequent standard therapy with durable clinical benefit, creating a rationale for exploration of these agents in combination with chemotherapy. Although we have no business relationship with AstraZeneca, we paid for half of the costs of this trial, in addition to providing TPIV200.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TPIV 100/110 for the Treatment of HER2/neu-Overexpressed Breast Cancers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HER2/neu amplification/overexpression results in an effective therapeutic target in breast and gastric cancer. Over-expressed HER2 is detected predominantly in malignancies of epithelial origin, such as breast, gastric, esophageal, colorectal, salivary gland, pancreatic, epithelial ovarian, endometrial, and bladder carcinomas, as well as gallbladder and extrahepatic cholangiocarcinomas. HER2 is over-expressed in approximately 25% of breast cancers and its expression is associated with unfavorable pathologic features and aggressive disease if not treated with targeted therapies, relative to other forms of breast cancer. While the outcome of patients with HER2 positive breast cancer has significantly improved in the past few decades with an advent of anti-HER2 therapies, a substantial number of resected patients with all types of breast cancer subsequently develop metastatic disease. The continued prevalence of these cancers represents a high unmet medical need, justifying the targeted development of immunotherapeutic strategies.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added a MHC class I-restricted peptide, which we licensed from the Mayo Foundation on April 16, 2012, to the four MHC class II-restricted peptides present in TPIV100, resulting in TPIV 110 after the five peptides are mixed with GM-CSF. We have amended the existing IND to incorporate the</w:t>
      </w:r>
    </w:p>
    <w:p>
      <w:pPr>
        <w:jc w:val="both"/>
        <w:spacing w:after="0" w:line="219" w:lineRule="auto"/>
        <w:rPr>
          <w:sz w:val="20"/>
          <w:szCs w:val="20"/>
          <w:color w:val="auto"/>
        </w:rPr>
      </w:pPr>
      <w:r>
        <w:rPr>
          <w:rFonts w:ascii="Arial" w:cs="Arial" w:eastAsia="Arial" w:hAnsi="Arial"/>
          <w:sz w:val="17"/>
          <w:szCs w:val="17"/>
          <w:color w:val="auto"/>
        </w:rPr>
        <w:t>fifth peptide and will use TPIV110 in future trials with the goal of producing an even more robust vaccine activating both CD4</w:t>
      </w:r>
      <w:r>
        <w:rPr>
          <w:rFonts w:ascii="Arial" w:cs="Arial" w:eastAsia="Arial" w:hAnsi="Arial"/>
          <w:sz w:val="28"/>
          <w:szCs w:val="28"/>
          <w:color w:val="auto"/>
          <w:vertAlign w:val="superscript"/>
        </w:rPr>
        <w:t>+</w:t>
      </w:r>
      <w:r>
        <w:rPr>
          <w:rFonts w:ascii="Arial" w:cs="Arial" w:eastAsia="Arial" w:hAnsi="Arial"/>
          <w:sz w:val="17"/>
          <w:szCs w:val="17"/>
          <w:color w:val="auto"/>
        </w:rPr>
        <w:t xml:space="preserve"> (helper) and CD8</w:t>
      </w:r>
      <w:r>
        <w:rPr>
          <w:rFonts w:ascii="Arial" w:cs="Arial" w:eastAsia="Arial" w:hAnsi="Arial"/>
          <w:sz w:val="28"/>
          <w:szCs w:val="28"/>
          <w:color w:val="auto"/>
          <w:vertAlign w:val="superscript"/>
        </w:rPr>
        <w:t>+</w:t>
      </w:r>
      <w:r>
        <w:rPr>
          <w:rFonts w:ascii="Arial" w:cs="Arial" w:eastAsia="Arial" w:hAnsi="Arial"/>
          <w:sz w:val="17"/>
          <w:szCs w:val="17"/>
          <w:color w:val="auto"/>
        </w:rPr>
        <w:t xml:space="preserve"> (killer) T cells.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7, 2016, we announced that we had exercised our option agreement with Mayo Foundation and signed a worldwide license agreement to TPIV100. The license gives us the right to develop and commercialize the technology in any cancer indication in which the HER2/neu antigen is overexpressed. As part of this agreement, the IND for the HER2/neu Phase 1 trial was transferred from Mayo Foundation to us for Phase 2 clinical trials of TPIV100. See “— Mayo Foundation for Medical Education and Research Relationships—Mayo HER2/neu License.”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1 Clinical Trials in HER2/neu</w:t>
      </w:r>
      <w:r>
        <w:rPr>
          <w:rFonts w:ascii="Arial" w:cs="Arial" w:eastAsia="Arial" w:hAnsi="Arial"/>
          <w:sz w:val="29"/>
          <w:szCs w:val="29"/>
          <w:u w:val="single" w:color="auto"/>
          <w:color w:val="auto"/>
          <w:vertAlign w:val="superscript"/>
        </w:rPr>
        <w:t>+</w:t>
      </w:r>
      <w:r>
        <w:rPr>
          <w:rFonts w:ascii="Arial" w:cs="Arial" w:eastAsia="Arial" w:hAnsi="Arial"/>
          <w:sz w:val="18"/>
          <w:szCs w:val="18"/>
          <w:u w:val="single" w:color="auto"/>
          <w:color w:val="auto"/>
        </w:rPr>
        <w:t xml:space="preserve"> Breast Cancer</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Phase 1 trial of 20 patients conducted at the Mayo Clinic, TPIV100 was well tolerated. Nineteen of the twenty evaluable patients showed robust T-cell immune responses to the antigens in the vaccine. An additional secondary endpoint incorporated into this trial was a two-year follow-on recording the time to disease recurrence in the participating breast cancer patients.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14, 2017, we announced that our partners at the Mayo Clinic received a $3.8 million grant from the Department of Defense to conduct a Phase 1b trial of TPIV100 in ductal carcinoma in situ, or DCIS, an early form of breast cancer. We are working closely with the Mayo Foundation on this clinical trial by providing clinical and manufacturing expertise, as well as providing GMP vaccine formulations under contract. The trial is expected to enroll 40 – 45 women with DCIS and commenced such enrollment during the first quarter of 2019. If the trial is successful and subject to receiving marketing approval from the FDA, we believe that TPIV100 may eventually augment or even replace standard surgery and chemotherapy, and potentially could become part of a routine immunization schedule for preventing breast cancer in healthy women.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Phase 2 Clinical Trials in HER2/neu</w:t>
      </w:r>
      <w:r>
        <w:rPr>
          <w:rFonts w:ascii="Arial" w:cs="Arial" w:eastAsia="Arial" w:hAnsi="Arial"/>
          <w:sz w:val="29"/>
          <w:szCs w:val="29"/>
          <w:u w:val="single" w:color="auto"/>
          <w:color w:val="auto"/>
          <w:vertAlign w:val="superscript"/>
        </w:rPr>
        <w:t>+</w:t>
      </w:r>
      <w:r>
        <w:rPr>
          <w:rFonts w:ascii="Arial" w:cs="Arial" w:eastAsia="Arial" w:hAnsi="Arial"/>
          <w:sz w:val="18"/>
          <w:szCs w:val="18"/>
          <w:u w:val="single" w:color="auto"/>
          <w:color w:val="auto"/>
        </w:rPr>
        <w:t xml:space="preserve"> Breast Cancer</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10, 2018, we announced that the Mayo Clinic had been awarded a grant of $11 million from the Department of Defense intended to cover the costs of a large randomized, double-blind Phase 2 trial of TPIV100. We are working closely with the Mayo Foundation on this clinical trial by providing clinical and manufacturing expertise, as well as providing GMP vaccine formulations under contract. In this trial, 190 patients will be randomized, in a 2:1 fashion, to receive TPIV100 plus maintenance ado-trastuzumab emtansine, or T-DM1, or maintenance T-DM1with placebo plus GM-CSF. \The trial will evaluate whether the administration of vaccine during T-DM1 maintenance therapy in patients with residual disease post-neoadjuvant chemotherapy effectively blocks disease recurrence and the development of metastatic breast cancer. By prevention of recurrence and metastasis, the expectation is that mortality associated with breast cancer will be decreased.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current manufacturing strategy is to contract with BCM and other third parties to manufacture our MultiTAA-specific T cell therapies, as well as the raw materials, our active pharmaceutical ingredients, or APIs, and finished solid dose products for our peptide vaccines for clinical and ultimately commercial uses. We currently do not operate any manufacturing facilities for clinical or commercial production of our drug candidates. In addition, we expect to continue to rely on third parties for the manufacture of our clinical and commercial supply of MultiTAA-specific T cells, and of the raw materials, API and finished drug product for our peptide vaccines. Of note, we anticipate that product manufacturing of MultiTAA-specific T cell therapies in support of Phase 1 and early Phase 2 clinical trials will be conducted at BCM within its GMP cell manufacturing facility. However, in 2020 we will initiate a technology transfer process to a manufacturing facility capable of supplying commercial grade clinical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this manner, we expect to continue to build and maintain our supply chain and quality assurance resources.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supply chain for manufacturing raw materials, API, peptide vaccines and MultiTAA-specific T cell therapies ready for distribution and commercialization is a multi-step process. Establishing and managing the supply chain requires a significant financial commitment and the creation and maintenance of numerous third-party contractual relationships.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contract with third parties to manufacture our peptide vaccines and MultiTAA-specific T cell therapies for clinical purposes. Third-party manufacturers supply us with raw materials for the peptide vaccines, and other third-party manufacturers convert these raw materials into API or convert the API into final dosage form. For most of our peptide vaccine candidates, once our raw materials are produced, we rely on different third parties to manufacture the API, to make finished drug product and to lyophilize, package and label the finished product. While we currently have focused on single vendors for manufacturing of peptide, formulation development, and lyophilization and vialing, we have access to numerous other vendors, if required. Similarly, BCM is currently the sole manufacturer of our MultiTAA-specific T cell therapies.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2019, we announced that the FDA placed our planned Phase 2 clinical trial of our MultiTAA-specific T cell therapies for the treatment of post-transplant AML on clinical hold. The FDA requested additional information and technical specifications for two legacy reagents supplied by third parties used in the MultiTAA-specific T cell manufacturing process. The technical specifications and data requested by the FDA could not be produced by the original suppliers. We identified alternative suppliers, and the FDA permitted us to initiate a safety lead-in portion of the trial but placed a partial hold on the trial for the use of the MultiTAA-specific T cell product manufactured using one of the reagents supplied by the alternative supplier until the final data and certificate of analysis for the reagent are reviewed and accepted by the FDA. We currently estimate that the alternative supplier will deliver the final reagent, along with the final data and certificate of analysis required by the FDA, by the end of the second quarter of 2020.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drug discovery, development and ultimate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which are competitive with our drug candidates. Our product candidates may compete with product candidates from a number of companies, which are developing various types of similar in vivo T-cell immunotherapies and therapeutic cancer vaccines to treat cancer, including: Advaxis Inc., Genzyme Molecular Oncology, Immune Design, Oncothyreon, Celldex, BN Immunotherapeutics, Immunocellular, SELLAS Life Sciences Group, Inc. (formerly) Galena BioPharma, Antigen Express, Transgene S. A., and Bavarian Nordic. In addition, other adoptive T-cell therapies, monoclonal antibodies and checkpoint inhibitors also provide competition in the oncology space. In these areas, competitors include Iovance, Immatics, Torque Therapeutics, Tessa Therapeutics, AdaptImmune, Mana Therapeutics, Bluebird Bio, Cellectis, Cell Medica, Juno Therapeutics/Celgene/Bristol Myers Squibb, Kite Pharma/Gilead, Novartis, Roche Pharmaceuticals, Merck &amp; Co, AstraZeneca plc and Medimmune, LLC. We believe that our non-engineered T cells therapy and our in vivo T-cell therapy approaches will be synergistic and may improve therapies being developed by these competitors.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companies and institutions, either alone or together with their collaborative partners, have substantially greater financial, technical and human resources, and significantly greater experience than we do in the following:</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our drug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drug candidate that we successfully develop may compete with existing therapies that have long histories of safe and effective use.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Competition may also arise from:</w:t>
      </w:r>
    </w:p>
    <w:p>
      <w:pPr>
        <w:spacing w:after="0" w:line="21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drug development technologies and methods of preventing or reducing the incidence of disease;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small molecules;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and maintain products that reach the market first, are technologically superior to and/or are of lower cost than other products in the market;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these situations, our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BCM Exclusive License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16, 2018, we entered into an exclusive license agreement, or the BCM License Agreement, with BCM, under which we received a worldwide, exclusive license to BCM’s rights in and to certain intellectual property rights, including European patent EP 2470644 (estimated expiration date August 24, 2030), to develop and commercialize MultiTAA-specific T cell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to BCM’s Subject Technology:</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“Generation of CTL Lines with Specificity Against Multiple Tumor Antigens or Multiple Viruses”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“Pepmixes to Generate Multiviral CTLs with Broad Specificity”</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“Immunogenic Antigen Identification from a Pathogen and Correlation to Clinical Efficacy”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partial consideration for the exclusive rights granted under the BCM License Agreement, Marker Cell Therapy, Inc., an entity that is now our wholly owned subsidiary, issued shares of its common stock to BCM valued at approximately $5.0 million at the time of issuance. Such initial equity issuance was exchanged into merger consideration of 1,490,813 shares of our common stock and warrants to acquire 540,643 shares of our common stock in connection with the merger we completed in October 2018. Additional consideration includes a royalty paid on net sales by us to BCM according to the royalty schedule in the BCM License Agreement. The royalty fee schedule is based on aggregate net sales in four different ranges: (1) less than $500 million, (2) $500 million to $1.0 billion, (3) $1.0 billion and over, and (4) $2.0 billion and over. The corresponding royalty percentages range from 0.65% to 5.0% - increasing in proportion to the aggregate net sales. The royalty fee may be reduced in the event that we must pay additional royalties with respect to third-party owned patent rights or technology necessary for the use, manufacture or sale of a licensed product. We also agreed to pay BCM up to an aggregate of $64.85 million in milestone payments upon the occurrence of nine particular milestones relating to completion of the first dosing in clinical trials for a first and second distinct product, receipt of approval from the FDA and the achievement of certain net sales goals. We are also responsible for sublicensing fees. In addition, under the BCM License Agreement, we are responsible for reimbursing BCM for patent-related expenses. BCM is responsible for filing, prosecuting and maintaining all patent applications and patents included in the licensed patent rights, and we have agreed to reimburse BCM for all such related legal costs incurred after the date of the BCM License Agreement, except such legal costs shall be reduced on a pro-rata basis on a patent or patent application basis should BCM license such patent or patent application in additional fields of use to any third party.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upon a liquidity event (as defined in the BCM License Agreement) of the Company, BCM will receive a liquidity incentive payment of 0.5% of the liquidity event proceeds (as defined in the BCM License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We have agreed to indemnify BCM and certain persons affiliated with BCM against claims and liabilities directly or indirectly related to or arising out of the design, process, manufacture or use by any third party of the licensed products, even though such claims and liabilities result in whole or in part from the negligence of the BCM indemnified parties or are based upon doctrines of strict liability or product liability, but not claims or liabilities arising from the gross negligence or intentional misconduct of any such BCM indemnified parties.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Unless terminated sooner, the license will expire on a licensed product-by-product basis and country-by-country basis, on the later of (1) the date of expiration of the last valid claim of patent rights to expire that covers the sale of such licensed product in such country, or (2) the first date following the tenth anniversary of the first commercial sale of first licensed product by us in such country. After such expiration, but not termination, the licenses granted to us shall survive and become a perpetual, paid-in-full license in such country with respect to such licensed product.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the right in our sole discretion to terminate the BCM License Agreement upon 60 days’ written notice to BCM. BCM has the right to terminate the agreement upon material default or failure of us of our overall obligation to perform any of the terms, covenants or provisions of the license agreement, including failure to make timely payment, taken as a whole, and which default or failure remains uncured thirty days after written notice from BCM of such material default or failure to correct such default or failure. Notwithstanding the foregoing, if a material default or failure is not susceptible to cure within the 30-day cure period, BCM’s right to terminate shall be suspended if, and for so long as, (1) we have provided BCM with a written plan that is reasonably calculated to effect a cure, (2) such plan is reasonably acceptable to BCM, in its sole but reasonable discretion, and (3) we commit to and do carry out such plan; provided, however, that, unless mutually agreed to by the parties in such plan, such suspension of BCM’s right to terminate shall not extend beyond 60 days after the original cure period. In addition, either party’s right to terminate the license agreement shall be tolled for so long as dispute resolution procedures are being pursued by the allegedly breaching party in good faith, and if it is finally and conclusively determined that the allegedly breaching party is in material breach, then the breaching party shall have the right to cure within 30 days after such determination. BCM also has the right to terminate the agreement if we shall (1) become involved in insolvency, dissolution, bankruptcy or receivership proceedings affecting the operation of our business, (2) make an assignment of all or substantially all of our assets for the benefit of creditors, or (3) if a receiver or trustee is appointed for us and we, after the expiration of 30 days following any of the enumerated events, are unable to secure a dismissal, stay or other suspension of such proceedings.</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event of termination of the BCM License Agreement, but not expiration, all rights to the subject technology and patent rights thereunder shall revert to BCM, except to the extent necessary to exercise any surviving right or license thereunder. We may sell any licensed products actually in our possession at the effective date of termination, provided that we continue to pay to BCM royalties on all such sales in accordance with the license agreement, otherwise comply with the terms of the license agreement and sell all such licensed products within six months after the effective date of the termination.</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furtherance of the BCM License Agreement and as contemplated by the terms thereof, we have entered into a Sponsored Research Agreement, or the SRA, with BCM, which provides for the conduct of research for us by credentialed personnel at BCM’s Center for Cell and Gene Therapy. The SRA, as amended, terminates on January 31, 2021. Pursuant to the amended SRA, we have agreed to pay BCM $54,000 in each of 2020 and 2021. We previously paid a total of $250,000 to BCM during the first two years of the SRA.</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need to enter into additional agreements with BCM with respect to a strategic alliance to advance pre-clinical research, early stage clinical trials, and Phase 2 clinical trials with respect to our product candidates, as well as continued access to our clinical data, and product manufacturing and support, including personnel and space at the institution for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Mayo Foundation for Medical Education and Research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exclusively licensed the intellectual property for our TPIV100/110 HER2/neu breast cancer vaccine and TPIV200 folate receptor alpha vaccine product candidates from the Mayo Foundation for Medical Education and Research, or the Mayo Foundation.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Following approval of the IND by the FDA in July 2011, we executed a Sponsored Research Agreement with the Mayo Foundation for the clinical trial.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Patent &amp; Know-How License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25, 2012, we entered into a Patent &amp; Know-How License Agreement with the Mayo Foundation pursuant to which we licensed certain intellectual property rights from the Mayo Foundation for the development and commercialization of certain products, methods and processes property relating to a proprietary HER2/neu technology.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Mayo Foundation granted us a license (with a right to sublicense) on a worldwide basis to make, sell and use products for prophylactic and therapeutic use. This license is an exclusive license for products that are based on the licensed intellectual property and non-exclusive for products that are based on Mayo Foundation know–how and materials. The intellectual property licensed includes U.S. patents 9,814,767 (estimated expiration date February 15, 2033) and 10,117,919 (estimated expiration date February 15, 2033) and European patent 2814836 (estimated expiration date February 15, 2033).</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this agreement, and subject to certain exceptions, we are responsible for, among other things, developing the technology under the Patent Rights to bring Licensed Products (as defined in the agreement) to market and costs of filing, prosecution and maintenance of the Patent Rights. Mayo Foundation controls the prosecution and maintenance of the Patent Rights in consultation with us.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Mayo Foundation granted this license in exchange for an upfront payment of $250,000 that we paid in three installments. In addition to the upfront payment, we are to pay an annual license maintenance fee, milestone fees, royalty fees (which will be subject to a minimum annual royalty fee once royalty fees are due), a percentage of sublicense income (if applicable), and a $2,000,000 diligence fee if we fail to initiate a Phase 2 clinical trial for a Licensed Product prior to the eighth anniversary of the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(1) the practice or exercise of any rights and assignments granted pursuant to the agreement by or on behalf of us, any affiliate, or any sub-licensee; (2) research, development, design, manufacture, distribution, use, sale, importation, exportation or other disposition of Licensed Products; (3) our, any affiliates, or any sub-licensee’s act or omission; and (4) third party suits for patent infringement involving a Licensed Product.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of this agreement runs from March 25, 2012 until the date of the last to expire of the Valid Claims (as defined in the agreement), provided that Mayo Foundation may terminate the agreement if, among other matters, (1) 45 days after providing us with notice of a material breach of this agreement, we fail to cure such breach, (2) we fail to initiate a Phase 3 clinical trial for a Licensed Product prior to the tenth anniversary of the agreement, and (3) we cease to conduct business in the normal event of operations or become insolvent or bankrupt. We may voluntarily terminate the agreement at any time upon written notice to Mayo Foundation.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HER2/neu License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4, 2016, we entered into a License and Assignment Agreement with Mayo Foundation, or the Mayo Foundation HER2/neu License, pursuant to which we licensed certain intellectual property rights from the Mayo Foundation for the development and commercialization of certain products, methods and processes property relating to any cancer indication in which the HER2/neu antigen is overexpressed. The Mayo Foundation HER2/neu License resulted from our exercise of an option that was issued pursuant to a Technology Option Agreement that we entered into with the Mayo Foundation on May 25, 2010.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any other cancers that overexpress HER2/neu antigens. This license is an exclusive license for products that are based on the licensed intellectual property and non-exclusive for products that are based on Mayo Foundation know–how and materials. The intellectual property licensed includes European patent 2215111 (estimated expiration date October 30, 2028).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Under the Mayo Foundation HER2/neu License, and subject to certain exceptions, we are responsible for, among other things, developing the technology under the Patent Rights to bring Licensed Products (both as defined in the Mayo Foundation HER2/neu License) to market and costs of filing, prosecution and maintenance of the Patent Rights. Mayo Foundation has sole control over the protection, defense, enforcement, maintenance abandonment and other handling of the Know-How (as defined in the Mayo Foundation HER2/neu License) and Materials (as defined in the Mayo Foundation HER2/neu License).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Mayo Foundation granted this license in exchange for an initial payment of $300,000. The Mayo Foundation assigned to us IND #14749, and we assumed all responsibility and liability for this investigational new drug application. In addition to the initial payment, we are to pay an annual license maintenance fee, milestone fees, royalty fees (which will be subject to a minimum annual royalty fee once royalty fees are due) and, if applicable, a percentage of sublicense income.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(1) the practice or exercise of any rights and assignments granted pursuant to the agreement by or on behalf of us or any sub-licensee; (2) research, development, design, manufacture, distribution, use, sale, importation, exportation or other disposition of Licensed Products; (3) our or any sub-licensee’s act or omission, including negligence or willful misconduct; and (4) third party suits for patent infringement involving a Licensed Product.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term of this agreement runs from May 4, 2016 until the date of our last obligation to make payments under the agreement, provided that Mayo Foundation may terminate the agreement if, among other matters, (1) 30 days after providing us with notice of a material breach of this agreement, we fail to cure such breach, (2) 90 days after providing us with written notice, we fail to meet either of the following diligence events (a) initiate a Phase 2 clinical trial for a Licensed Product prior to the second anniversary of the agreement and, once initiated, keep current on all of our Phase 2 funding obligations and</w:t>
      </w:r>
    </w:p>
    <w:p>
      <w:pPr>
        <w:spacing w:after="0" w:line="1" w:lineRule="exact"/>
        <w:rPr>
          <w:sz w:val="20"/>
          <w:szCs w:val="20"/>
          <w:color w:val="auto"/>
        </w:rPr>
      </w:pPr>
    </w:p>
    <w:p>
      <w:pPr>
        <w:jc w:val="both"/>
        <w:ind w:firstLine="8"/>
        <w:spacing w:after="0" w:line="255" w:lineRule="auto"/>
        <w:tabs>
          <w:tab w:leader="none" w:pos="2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initiate a Phase 2b or 3 clinical trial for a Licensed Product prior to the fifth anniversary of the agreement, (3) we fail to make a sale of a Licensed Product by May 4, 2026, and (4) we cease to conduct business in the normal event of operations or become insolvent or bankrupt. We may voluntarily terminate the agreement at any time upon written notice to Mayo Foundation.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Folate Receptor Alpha License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July 21, 2015, we entered into a License and Assignment Agreement with Mayo Foundation, or the Mayo Foundation FRa License, pursuant to which we licensed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FRa License resulted from our exercise of an option that we acquired from Ayer Special Situations Fund I, LP, or Ayer, that was issued pursuant to a Technology Option Agreement that Ayer entered into with the Mayo Foundation on March 19, 2014.</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other cancers that overexpress Folate Receptor Alpha. This license is an exclusive license for products that are based on the licensed intellectual property and non-exclusive for products that are based on Mayo Foundation know–how and materials. The intellectual property that is licensed includes US patents 8,486,412 (estimated expiration date April 3, 2029), 8,858,952 (estimated expiration date March 10, 2031), 9,243,033 (July 10, 2027) and 9,915,646 (estimated expiration date June 1, 2027).</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Mayo Foundation FRa License, and subject to certain exceptions, we are responsible for, among other things, developing the technology under the Patent Rights to bring Licensed Products (both as defined in the Mayo Foundation FRa License) to market and costs of filing, prosecution and maintenance of the Patent Rights. Mayo Foundation has sole control over the protection, defense, enforcement, maintenance abandonment and other handling of the Know-How (as defined in the Mayo Foundation FRa License) and Materials (as defined in the Mayo Foundation FRa License).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Mayo Foundation granted this license in exchange for an initial upfront payment of $350,000. The Mayo Foundation assigned to us IND # 14546, and we assumed all responsibility and liability for this investigational new drug application. In addition to the initial upfront payment, we are to pay additional upfront payments, an annual license maintenance fee, milestone fees, royalty fees (which will be subject to a minimum annual royalty fee once royalty fees are due), and, if applicable, a percentage of sublicense income.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spacing w:after="0" w:line="279" w:lineRule="auto"/>
        <w:rPr>
          <w:sz w:val="20"/>
          <w:szCs w:val="20"/>
          <w:color w:val="auto"/>
        </w:rPr>
      </w:pPr>
      <w:r>
        <w:rPr>
          <w:rFonts w:ascii="Arial" w:cs="Arial" w:eastAsia="Arial" w:hAnsi="Arial"/>
          <w:sz w:val="17"/>
          <w:szCs w:val="17"/>
          <w:color w:val="auto"/>
        </w:rPr>
        <w:t>We have agreed to indemnify and hold Mayo Foundation harmless from any damages caused as a result of (1) the practice or exercise of any rights and assignments granted by the Mayo Foundation FRa License by or on behalf of us or any sub-licensee; (2) research, development, design, manufacture, distribution, use, sale, importation, exportation or other disposition of Licensed Products; (3) our or any sub-licensee’s act or omission, including negligence or willful misconduct; and (4) third party suits for patent infringement involving a Licensed Product.</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term of this agreement runs from July 21, 2015 until the date of our last obligation to make payments under this agreement, provided that the Mayo Foundation may terminate this agreement if, among other matters, (1) 30 days after providing us with notice of a material breach of this agreement, we fail to cure such breach, (2) 90 days after providing us with written notice, we fail to meet either of the following diligence events (a) initiate a Phase 2 clinical trial for a Licensed Product prior to the 2nd anniversary of the Mayo Foundation FRa License and, once initiated, keep current on all of our Phase 2 funding obligations and (b) initiate a Phase 2b or 3 clinical trial for a Licensed Product prior to the 5th anniversary of the Mayo Foundation FRa License,</w:t>
      </w:r>
    </w:p>
    <w:p>
      <w:pPr>
        <w:spacing w:after="0" w:line="2" w:lineRule="exact"/>
        <w:rPr>
          <w:sz w:val="20"/>
          <w:szCs w:val="20"/>
          <w:color w:val="auto"/>
        </w:rPr>
      </w:pPr>
    </w:p>
    <w:p>
      <w:pPr>
        <w:ind w:right="20" w:firstLine="8"/>
        <w:spacing w:after="0" w:line="290" w:lineRule="auto"/>
        <w:tabs>
          <w:tab w:leader="none" w:pos="276"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fail to make a sale of a Licensed Product by July 21, 2025 and (4) we cease to conduct business in the normal event of operations or become insolvent or bankrupt. We may voluntarily terminate the Mayo Foundation FRa License at any time upon written notice to Mayo Foundation.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commercial success will depend in part on our ability to obtain and maintain patent and other proprietary protection for our technology, inventions, improvements, and know-how related to the business; to defend and enforce proprietary rights, including any patents that we may own in the future; to preserve the confidentiality of our trade secrets and other intellectual property; to obtain and maintain licenses to use intellectual property owned by third parties; and to operate without infringing the valid and enforceable patents and other proprietary rights of third parties. Our ability to stop third parties from making, using, selling, offering to sell, or importing our products may depend on the extent to which we have rights under valid and enforceable patents or trade secrets that cover these activities — in other words, the rights obtained under exclusive license arrangements such as those pursuant to our BCM License Agreement and our Mayo Foundation licenses. With respect to both licensed and company-owned intellectual property, we cannot be sure that patents will be granted with respect to any of our pending patent applications or with respect to any patent applications filed in the future, nor can we be sure that any of our existing patents or any patents that may be granted in the future will be commercially useful in protecting our commercial products and methods of manufacturing the same.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achieve this objective, a strategic focus for us has been to identify and license key patents and patent applications that serve to enhance our intellectual property and technology position. Currently, all of our MultiTAA-specific T cell intellectual property rights are licensed from BCM. Our intellectual property portfolio currently includes patent applications having: (1) claims directed to methods of generating multi-antigen specific T cell products; and (2) claims directed to therapeutic uses of such multi-antigen specific T cell products. We believe our patent portfolio, together with our efforts to develop and patent next-generation technologies, provides us with a substantial intellectual property position. However, the area of patent and other intellectual property rights in biotechnology is an evolving one with many risks and uncertainties.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 candidates.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We reassess the value of each patent at the time maintenance fees are due, and in cases where maintaining the patent is judged to be of no significant strategic value, we decline to pay the maintenance fee.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can be no assurance that our patents, and any patents that may be issued or licensed to us in the future, will afford protection against competitors with similar technology. In addition, no assurances can be given that the patents issued or licensed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We currently have a number of issued and pending patents covering composition of matter of our PolyStart technology including: U.S. 9,364,523 (estimated expiration date March 17, 2035); U.S. 9,655,956 (estimated expiration date March 17, 2035); U.S. 9,988,643 (estimated expiration date March 17, 2035); and U.S. 10,030,252 (estimated expiration date March 17, 2035)</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effect of the issued United States patents is that they provide us with patent protection for the claims covered by the patents. While the expiration of a product patent normally results in a loss of market exclusivity for the covered product or product candidate, commercial benefits may continue to be derived from: (1) later-granted patents on processes and intermediates related to the most economical method of manufacture of the active ingredient of such product; (2) patents relating to the use of such product; (3) patents relating to novel compositions and formulations; and (4) in the United States and certain other countries, market exclusivity that may be available under relevant law. The effect of patent expiration on our product candidates also depends upon many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Our pending patent applications cover a range of technologies, including specific embodiments and applications for treatment of various medical indications, improved application methods and adjunctive utilization with other therapeutic modalities. The coverage claimed in a patent application can be significantly reduced before the patent is issued. Accordingly, we do not know whether any of the applications we will acquire, or license will result in the issuance of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 in the scientific or patent literature often lags behind actual discoveries, we cannot be certain of the priority of inventions covered by pending patent applications. Moreover, we may have to participate in opposition proceedings in a foreign patent office, or for United States patent applications filed before March 16, 2013, in interference proceedings declared by the United States Patent and Trademark Office, or the USPTO, to determine priority of invention, or in United States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post-grant review procedures, any of which could result in substantial cost to us, even if the eventual outcome is favorable to us. There can be no assurance that the patents, if issued, would be held valid by a court of competent jurisdiction. An adverse outcome could subject us to significant liabilities to third parties, require disputed rights to be licensed from third parties or require us to cease using such technology.</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patents and patent applications in other countries, as well as in the European Patent Office that we believe provide equivalent or comparable protection for our product candidates in jurisdictions internationally that we consider to be key markets. Because of the differences in patent laws and laws concerning proprietary rights, the extent of protection provided by U.S. patents or proprietary rights owned by us may differ from that of their foreign counterparts.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rely on trade secrets and know-how relating to our proprietary technology and product candidates, continuing innovation, and in-licensing opportunities to develop, strengthen and maintain our proprietary position in the field of immuno-oncology. However, trade secrets can be difficult to protect. We also plan to rely on regulatory protection afforded through orphan drug designations, data exclusivity, market exclusivity and patent term extensions when available, as well as contractual agreements with our academic and commercial partners.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by an employee shall be our exclusive property.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have pending with the USPTO applications for registration of the trademarks POLYSTART and “Marker Therapeutics.” We currently have the trademark “TapImmune” registered with the USPTO. We also have rights to use other names essential to our business. Federally registered trademarks have a perpetual life if they are maintained and renewed on a timely basis and used properly as trademarks, subject to the rights of third parties to seek cancellation of the trademarks if they claim priority or confusion of usage. We regard our trademarks and other proprietary rights as valuable assets and believe they have significant value to us.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patents, the protection of discoveries in connection with our development activities, our proprietary products, technologies, processes and know-how and all our intellectual property are important to our business. There can be no assurance that any of our patents, licenses or other intellectual property rights will afford us any protection from competition.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Practices, or GLP, regulation;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or ethics committee at each clinical site before the trial is commenced;</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or BLA, after completion of all pivotal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25"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or GCP; and</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FDA review and approval of the BLA to permit commercial marketing of the product for particular indications for use in the United States.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225" w:lineRule="exact"/>
        <w:rPr>
          <w:sz w:val="20"/>
          <w:szCs w:val="20"/>
          <w:color w:val="auto"/>
        </w:rPr>
      </w:pPr>
    </w:p>
    <w:p>
      <w:pPr>
        <w:jc w:val="both"/>
        <w:ind w:left="660" w:hanging="328"/>
        <w:spacing w:after="0" w:line="28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spacing w:after="0" w:line="255" w:lineRule="auto"/>
        <w:rPr>
          <w:sz w:val="20"/>
          <w:szCs w:val="20"/>
          <w:color w:val="auto"/>
        </w:rPr>
      </w:pPr>
      <w:r>
        <w:rPr>
          <w:rFonts w:ascii="Arial" w:cs="Arial" w:eastAsia="Arial" w:hAnsi="Arial"/>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regenerative medicine advanced therapy, or RMAT, designation is intended to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Like breakthrough therapy designation,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 world evidence such as electronic health records; through the collection of larger confirmatory datasets; or through post-approval monitoring of all patients treated with the therapy prior to approval.</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Fast track designation, breakthrough therapy designation, priority review, accelerated approval, and RMAT designation do not change the standards for approval but may expedite the development or approval process.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3" w:name="page34"/>
    <w:bookmarkEnd w:id="33"/>
    <w:p>
      <w:pPr>
        <w:jc w:val="both"/>
        <w:spacing w:after="0" w:line="255"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8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spacing w:after="0" w:line="254"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which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federal civil and criminal false claims laws and civil monetary penalty laws, which prohibit, among other things, individuals or entities from knowingly presenting, or causing to be presented, claims for payment to the federal government, including federal healthcare programs, that are false or fraudulent; HIPAA, which created additional federal criminal statutes which prohibit, among other things, executing a scheme to defraud any healthcare benefit program and making false statements relating to healthcare matters, and which, as amended by HITECH, also imposes certain requirements on HIPAA covered entities and their business associates relating to the privacy, security and transmission of individually identifiable health information; the U.S. federal Physician Payments Sunshine Act, which requires certain manufacturers of drugs, devices, biologics and medical supplies for which payment is available under Medicare, Medicaid or the Children’s Health Insurance Program, with specific exceptions, to annually report to the federal government, information related to payments or other transfers of value made to physicians, as defined by such law, and teaching hospitals, as well as ownership and investment interests held by physicians and their immediate family members; and U.S. state and foreign law equivalents of each of the above federal laws, which, in some cases, differ from each other in significant ways, and may not have the same effect, thus complicating compliance efforts. In addition, certain states require pharmaceutical companies to comply with the pharmaceutical industry’s voluntary compliance guidelines and the relevant compliance guidance promulgated by the federal government and certain states and local jurisdictions require the registration of pharmaceutical sales representatives. If their operations are found to be in violation of any of such laws or any other governmental regulations that apply, they may be subject to penalties, including, without limitation, significant civil, criminal and administrative penalties, damages, fines, disgorgement, imprisonment,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No regulatory authority has granted approval for a personalized cancer immunotherapy based on a vaccine approach, and there is no model for reimbursement of this type of product.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March 2010, the ACA was signed into law, which substantially changed the way healthcare is financed by both governmental and private insurers in the United States, and significantly affected the pharmaceutical industry. The ACA contained a number of provisions of particular importance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There remain judicial and Congressional challenges to certain aspects of the ACA, and we expect there will be additional challenges and amendments to the ACA in the future. For example, the Tax Cuts and Jobs Act was enacted, which, among other things, removed penalties for not complying with ACA’s individual mandate to carry health insurance. In addition, the 2020 federal spending package permanently eliminated, effective January 1, 2020, the ACA-mandated “Cadillac” tax on high-cost employer-sponsored health coverage and medical device tax and, effective January 1, 2021, also eliminates the health insurer tax.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It is unclear how this decision, future decisions, subsequent appeals, and other efforts to repeal and replace the ACA will impact the ACA and our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spacing w:after="0" w:line="285" w:lineRule="auto"/>
        <w:rPr>
          <w:sz w:val="20"/>
          <w:szCs w:val="20"/>
          <w:color w:val="auto"/>
        </w:rPr>
      </w:pPr>
      <w:r>
        <w:rPr>
          <w:rFonts w:ascii="Arial" w:cs="Arial" w:eastAsia="Arial" w:hAnsi="Arial"/>
          <w:sz w:val="16"/>
          <w:szCs w:val="16"/>
          <w:color w:val="auto"/>
        </w:rPr>
        <w:t>Other legislative changes have been proposed and adopted since the ACA was enacted, including aggregate reductions of Medicare payments to providers of 2% per fiscal year and reduced payments to several types of Medicare providers. 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2020 contains further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solicited feedback on some of these measures and has implemented others under its existing authority. While some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We have not experienced any product liability claims to date. We currently carry products and clinical trial liability insurance policies. There can be no assurance that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we had 28 full-time employees. There were 18 in research, development and clinical and 10 were in finance, legal, human resources or administrative support. None of our employees is subject to a collective bargaining agreement. We consider our relationship with our employees to be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consulting agreements with a number of leading academic scientists, clinicians and regulatory experts. They serve as important contacts for us throughout the broader scientific and clinical communities. They are distinguished individuals with expertise in numerous fields, including cellular biology, molecular biology, oncology, clinical, manufacturing and regulatory.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separate award agreements. Our consultants may be employed by other entities and therefore may have commitments to their employer or may have other consulting or advisory agreements that may limit their availability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www.markertherapeutics.com</w:t>
      </w:r>
      <w:r>
        <w:rPr>
          <w:rFonts w:ascii="Arial" w:cs="Arial" w:eastAsia="Arial" w:hAnsi="Arial"/>
          <w:sz w:val="18"/>
          <w:szCs w:val="18"/>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An investment in our common stock involves a high degree of risk. You should carefully consider the risks described below before making an investment decision in our securities. These risk factors are effective as of the date of this Form 10-K and shall be deemed to be modified or superseded to the extent that a statement contained in our future filings modifies or replaces such statement. All of these risks may impair our business operations. The forward-looking statements in this Form 10-K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16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Risks Related to our Business and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with a history of operating losses.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financing.</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sustained losses from operations in each fiscal year since our inception, and we expect losses to continue for the indefinite future due to the substantial investment in research and development. As of December 31, 2019, we had an accumulated deficit of $327.5 million since inception.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is highly dependent upon our key personnel, and our ability to attract, retain, and motivate additional qualified personnel.</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and consultants, including Peter Hoang, our President and Chief Executive Officer, Juan Vera, M.D., our Chief Development Officer, and Mythili Koneru, M.D., Ph.D. our Chief Medical Officer as well as others. The loss of the services of any of our executive officers, other key employees, and other scientific and medical advisors, and our inability to find suitable replacements could result in delays in product development and harm to our business. We have a priority to quickly train additional qualified scientific and medical personnel to ensure the ability to maintain business continuity. Any delays in training such personnel could delay the development, manufacture, and clinical trials of our product candidates.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us.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development of our product candidates, and unable to adequately address our management needs.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strategic relationship with Baylor College of Medicine, or BCM, is dependent, in part, upon our relationship with key medical and scientific personnel and advisors.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MultiTAA-specific T cell therapy has been developed through our collaboration with the Center for Cell and Gene Therapy at BCM, founded by Malcolm K. Brenner, M.D., Ph.D., a recognized pioneer in immuno-oncology. In addition to Dr. Brenner, Our founders include Juan Vera, M.D., Ann Leen, Ph.D., Helen Heslop, M.D., DSc (Hon) and Cliona Rooney, Ph.D., who all have significant experience in this field and are all affiliated with the Center for Cell and Gene Therapy at BCM. Dr. Vera is our Chief Development Officer. In addition, Dr. Brenner, Dr. Heslop and Dr. Rooney have joined our Scientific Advisory Board.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strategic relationship with BCM is dependent, in part, on our relationship with these key employees and advisors, and in particular Dr. Vera, who is also employed with the Center for Cell and Gene Therapy at BCM. If we lose Dr. Vera, or if he leaves his position at BCM, our relationship with BCM may deteriorate, and our business could be harmed.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certain of our key medical and scientific personnel, will need additional agreements in place with BCM to expand our development, manufacture, and clinical trial efforts.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have an exclusive license agreement with BCM under which we received a worldwide, exclusive license to BCM’s rights in and to three patent families to develop and commercialize the MultiTAA-specific T cell product candidates, we will need to enter into additional agreements with BCM with respect to (i) a strategic alliance to advance pre-clinical research, early stage clinical trials, and Phase 2 clinical trials with respect to our product candidates, as well as continued access to our clinical data, and (ii) product manufacturing and support, including personnel and space at the institution for the foreseeable future. Any delays in entering into new strategic agreements with BCM related to our product candidates could delay the development, manufacture, and clinical trials of our product candidates.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multiple roles of certain of Dr. Vera, our Chief Development Officer, and John Wilson, our director, could limit their time and availability to us, and create, or appear to create, conflicts of interest.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 Vera is a co-founder and member of Allovir Inc., or Allovir. Allovir is owned by the same principal stockholder group as us prior to our merger with TapImmune, Inc. and has technology which is being developed under a license agreement with BCM by the same research group at BCM. Allovir is a clinical-stage biopharmaceutical company that is investigating and developing virus-specific T cell therapy technology for the prevention and/or treatment of viral infections. Accordingly, Dr. Vera may have other commitments that would, at times, limit his availability to us. Other research being conducted by Dr. Vera may, at times, receive higher priority than research on our programs, which may, in turn, delay the development or commercialization of our product candidates.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John Wilson is a co-founder, member and director of Allovir and is a director of our company. Both of these individuals have certain fiduciary or other obligations to us and certain fiduciary or other obligations to Allovir and, in the case of Dr. Vera to BCM. Such multiple obligations may in the future result in a conflict of interest with respect to presenting other potential business opportunities to us or to Allovir. A conflict of interest also may arise concerning the timing of the parties’ planned and ongoing clinical trials, investigational new drug application filings and the parties’ opportunities for marketing their respective product candidates. In addition, they may be faced with decisions that could have different implications for us than for Allovir. Consequently, there is no assurance that these members of our board and management will always act in our best interests in all situations should a conflict arise.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sold any products or received regulatory approval to sell any product candidates.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Without revenue, we can only finance our operations through debt and equity financings.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and clinical trials may not be predictive of future clinical trial results.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Clinical testing is expensive and generally takes many years to complete, and the outcome is inherently uncertain. Failure can occur at any time during the clinical trial process. The results of pre-clinical testing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a single academic clinical site for a limited number of indications. We will have to conduct larger, well-controlled trials in our proposed indications at multiple sites to verify the results obtained to date and to support any regulatory submissions for further clinical development of our product candidates. Our assumptions related to our product candidates, such as with respect to lack of toxicity and manufacturing cost estimates, are based on early limited clinical trials and current manufacturing processes at BCM and may prove to be incorrect. In addition, the initial estimates of the clinical cost of development may prove to be inadequate, particularly if clinical trial timing or outcome is different than predicted or regulatory agencies require further testing before approval. A number of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any Phase 2, Phase 3, or other clinical trials we may conduct will demonstrate consistent or adequate efficacy and safety with respect to the proposed indication for use sufficient to receive regulatory approval or market our product candidates.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competition comes from both biotechnology firms and from major pharmaceutical companies. Many of these companies have substantially greater financial, marketing, and human resources than us. We also experience competition in the development of our immunotherapies from universities, other research institutions and others in acquiring technology from such universities and institutions.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risks inherent in conducting clinical trials</w:t>
      </w:r>
      <w:r>
        <w:rPr>
          <w:rFonts w:ascii="Arial" w:cs="Arial" w:eastAsia="Arial" w:hAnsi="Arial"/>
          <w:sz w:val="18"/>
          <w:szCs w:val="18"/>
          <w:color w:val="auto"/>
        </w:rPr>
        <w: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our clinical trials.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253" w:lineRule="auto"/>
        <w:rPr>
          <w:sz w:val="20"/>
          <w:szCs w:val="20"/>
          <w:color w:val="auto"/>
        </w:rPr>
      </w:pPr>
      <w:r>
        <w:rPr>
          <w:rFonts w:ascii="Arial" w:cs="Arial" w:eastAsia="Arial" w:hAnsi="Arial"/>
          <w:sz w:val="18"/>
          <w:szCs w:val="18"/>
          <w:color w:val="auto"/>
        </w:rPr>
        <w:t>We, or our regulators, may suspend or terminate our clinical trials for a variety of reasons. For example, in the fourth quarter of 2019, the FDA placed a clinical hold on our IND with respect to our MultiTAA-specific T cell therapy for the treatment of patients with post-transplant AML. The FDA requested additional information regarding certain quality and technical specifications for two reagents supplied by third party vendors that are used in our manufacturing process but not present in the final product infused to patients. In February 2020, we announced that the FDA lifted the clinical hold, permitting us to initiate a Phase 2 clinical trial with a safety lead-in portion but placed a partial clinical hold on the trial for the use of the MultiTAA-specific T cell product manufactured using one of the reagents supplied by the alternative supplier until the final data and certificate of analysis for the reagent are reviewed and accepted by the FDA. We currently estimate that the alternative supplier will deliver the final reagent, along with the final data and certificate of analysis required by the FDA, by the end of the second quarter of 2020, thereby satisfying the requirements for lifting the partial hold on the clinical trial. However, FDA may not agree that our response addresses all of their concerns and the clinical hold may remain in place and further delay the initiation of the trial.</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voluntarily suspend or terminate our clinical trials at any time if we believe they present an unacceptable risk to the patients enrolled in our clinical trials or do not demonstrate clinical benefit. For example, in November 2019 we elected to suspend our Phase 2 clinical trial of TPIV200 for the treatment of platinum-sensitive advanced ovarian cancer based on an unblinded review of interim results conducted by an independent Data and Safety Monitoring Board, or DSMB. Although the DSMB did not express any safety concerns with respect to TPIV200, we elected to suspend the trial because it did not meet the threshold for probability of clinical benefit based upon our pre-specified criteria.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 The lengthy approval process, as well as the unpredictability of future clinical trial results, may result in us failing to obtain regulatory approval for our product candidates, which would materially harm our business,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Successful development of biopharmaceuticals is highly uncertain and depends on numerous factors, many of which are beyond our control.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211" w:lineRule="exact"/>
        <w:rPr>
          <w:sz w:val="20"/>
          <w:szCs w:val="20"/>
          <w:color w:val="auto"/>
        </w:rPr>
      </w:pPr>
    </w:p>
    <w:p>
      <w:pPr>
        <w:ind w:left="980" w:right="2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(e.g., the study failed to meet its primary endpoint) or to have unacceptable side effects;</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BLA preparation, discussions with the FDA, an FDA request for additional preclinical or clinical data, or unexpected safety or manufacturing issues;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left="980" w:hanging="324"/>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manufacturing costs, formulation issues, pricing or reimbursement issues, or other factors that make the immunotherapy uneconomical; and</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the immunotherapy from being commercialized.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trials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any of our products if approved, market acceptance and commercial success would be reduced.</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or cGMPs, and current Good Clinical Practices or cGCPs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take longer and cost more to complete our clinical trials than we project, or we may not be able to complete them at all.</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budgeting and planning purposes, we have projected the dates for the commencement, continuation, and completion of our various clinical trials. However, a number of factors, including scheduling conflicts with participating clinicians and clinical institutions, difficulties in identifying and enrolling patients who meet trial eligibility criteria, and competition for such eligible patents from other clinical trials, may cause significant delays. We may not commence or complete clinical trials involving any of our product candidates as projected or may not conduct them successfully.</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the FDA placed a partial clinical hold on our Phase 2 trial in post-transplant AML for the use of the MultiTAA-specific T cell product manufactured using one of the reagents supplied by the alternative supplier until the final data and certificate of analysis for the reagent are reviewed and accepted by the FDA. While we currently estimate that the alternative supplier will deliver the final reagent, along with the final data and certificate of analysis required by the FDA, by the end of the second quarter of 2020, and that we will complete enrollment of the first three patients and submission of the final technical specifications and comparability data of the new reagents to the FDA during the second half of 2020, thereby satisfying the requirements for lifting the partial hold on the clinical trial, we cannot guarantee that we will be timely, or successful, in doing so. If we are unable to satisfy the FDA’s requirements to lift the partial hold, we will be delayed in commencing our Phase 2 trial.</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spacing w:after="0" w:line="254" w:lineRule="auto"/>
        <w:rPr>
          <w:sz w:val="20"/>
          <w:szCs w:val="20"/>
          <w:color w:val="auto"/>
        </w:rPr>
      </w:pPr>
      <w:r>
        <w:rPr>
          <w:rFonts w:ascii="Arial" w:cs="Arial" w:eastAsia="Arial" w:hAnsi="Arial"/>
          <w:sz w:val="18"/>
          <w:szCs w:val="18"/>
          <w:color w:val="auto"/>
        </w:rPr>
        <w:t>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clinical trials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medical institutions, academic institutions, and clinical research organizations to conduct, supervise, or monitor some or all aspects of clinical trials involving our product candidates. We may have less control over the timing and other aspects of these clinical trials than if we conducted them entirely on our own. If we fail to commence or complete, or experiences delays in, any of our planned clinical trials, we may experience delays in our clinical development and/or commercialization plans.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particular, while BCM will continue to support our trials with production of MultiTAA-specific T cells under contract, we anticipate that we will have to rely on contract manufacturing organizations or CMOs or internal facilities yet to be developed for the commercial manufacture of our multi-antigen specific T cell therapy product candidates for clinical trials and eventual licensure. If they fail to commence or complete, or experience delays in, manufacturing our multi-antigen specific T cell therapy product candidates, our planned clinical trials with respect to such product candidates will be delayed, and we may experience delays in our clinical development and/or commercialization plans.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Clinical trials are expensive and difficult to design and implement, in part because they are subject to rigorous regulatory requirements. Because our product candidates are based on new technologies and manufactured on a patient-by-patient basis for our MultiTAA-specific T cell product candidates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may be significantly higher per patient than those of more conventional therapeutic technologies or drug products. In addition, our proposed personalized product candidates involve several complex manufacturing and processing steps, the costs of which will be borne by us. Depending on the number of patients we ultimately enroll in our trials, and the number of trials we may need to conduct, our overall clinical trial costs may be higher than for more conventional treatments.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clinical trials of our product candidates are, and the manufacturing and marketing of any approved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The results of studies in one set of patients or line of treatment may not be predictive of those obtained in another. In addition, we expect that there may be greater variability in results for products processed and administered on a patient-by-patient basis, as anticipated for our MultiTAA-specific T cell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Results of our trials could reveal a high and unacceptable severity and prevalence of side effects or unexpected characteristics.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unacceptable toxicities arise in the development of our product candidates, we or the FDA or comparable foreign regulatory authorities could order us to cease clinical trials or deny approval of our product candidates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as toxicities resulting from personalized cell therapy, as with our MultiTAA-specific T cell therapy products, are not normally encountered in the general patient population and by medical personnel. Any of these occurrences may harm our business, financial condition and prospects significantly.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MultiTAA-specific T cell therapy research and development efforts are to a large extent dependent upon BCM’s investigators.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will take time to fully develop our research and development infrastructure. While we are conducting some research and development activities internally, we currently depend upon and will continue to depend upon independent investigators and collaborators, such as BCM, and which in the future may include other universities, medical institutions, and strategic partners, to conduct our preclinical studies and clinical trials. If we need to enter into alternative arrangements, our product development activities would be delayed. Agreements with such third parties might terminate for a variety of reasons, including a failure to perform by the third parties.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use the results of BCM’s research to support the filing with the FDA of IND applications to conduct more advanced clinical trials of our product candidates. However, we have limited control over the nature or timing of BCM’s clinical trials and limited visibility into their day-to-day activities. The research we are funding constitutes only a small portion of BCM’s overall research. Other research being conducted by Dr. Ann Leen and Dr. Juan Vera may at times receive higher priority than research on our programs. These factors could adversely affect the timing of our IND filings and our ability to conduct future planned clinical trials.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We will be unable to seek regulatory approval of or commercialize our products if our trials are not successful.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84" w:lineRule="exact"/>
        <w:rPr>
          <w:sz w:val="20"/>
          <w:szCs w:val="20"/>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after reviewing trial results, we or our collaborators may abandon product candidates that we might previously have believed to be promising;</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our potential product candidates have may not be the desired effects or may include undesirable side effects or other characteristics that preclude regulatory approval or limit their commercial use if approved.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Clinical testing is very expensive, can take many years, and the outcome is uncertain. For example, it can take as much as 12 months or more before we learn the results from any clinical trial using our MultiTAA-specific T cell therapy. The data collected from our clinical trials may not be sufficient to support approval by the FDA of our MultiTAA-specific T cell therapy-based product candidates for the treatment of hematological malignancies. The clinical trials for our product candidates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 candidates, which would prevent us from generating revenues or achieving profitability.</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not be able to expand our manufacturing processes to other third-party manufacturing facilities or successfully create our own manufacturing infrastructure for supply of our requirements of product candidates for use in clinical trials and for commercial sale.</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own any facility that may be used as our clinical-scale manufacturing and processing facility. We currently rely on third-party Contract Manufacturing Organizations, or CMOs, for manufacture of our vaccine product candidates. For 2020, we anticipate that we will initially rely solely on the cGMP manufacturing facility within BCM for the manufacturing of our MultiTAA-specific T cell therapy-based product candidates. If the cGMP manufacturing facility of BCM, which does manufacture for itself and other parties, experiences capacity constraints, disruptions, or delays in manufacturing our MultiTAA-specific T cell therapy-based product candidates, our planned clinical trials and necessary manufacturing capabilities will be disrupted or delayed, which will adversely affect our ability to conduct and further develop our business as currently planned. Further, the cGMP manufacturing facility is most likely too small to conduct the pivotal clinical studies being planned by us, so we will need to develop our own cGMP manufacturing capacity that will be adequate for such clinical trials with respect to our MultiTAA-specific T cell therapy-based product candidates.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2020, we intend to begin developing additional cGMP manufacturing capacity of our own that would be capable of supporting our manufacturing needs with respect to our clinical trials, particularly with respect to pivotal studies. We intend to begin a process technology transfer to develop in-house manufacturing capabilities in 2021. Establishment of our own manufacturing facility is subject to many risks. For example, the establishment of a cell-therapy manufacturing facility is a complex endeavor requiring knowledgeable individuals. Creating an internal manufacturing infrastructure will rely upon building out a complex facility and finding personnel with an appropriate background and training to staff and operate the facility. Should we be unable to find these individuals, we may need to rely on external contractors or train additional personnel to fill needed roles. There are a small number of individuals with experience in cell therapy, and the competition for these individuals is high.</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that the development of our own manufacturing facility will provide us with enhanced control of material supply for both clinical trials and the commercial market, enable the more rapid implementation of process changes, and allow for better long-term margins. However, we do not have extensive experience in developing a manufacturing facility and may never be successful in developing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transportation difficulties and numerous other factors that could prevent us from realizing the intended benefits of our manufacturing strategy and have a material adverse effect on our clinical development and/or commercialization plans.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spacing w:after="0" w:line="270" w:lineRule="auto"/>
        <w:rPr>
          <w:sz w:val="20"/>
          <w:szCs w:val="20"/>
          <w:color w:val="auto"/>
        </w:rPr>
      </w:pPr>
      <w:r>
        <w:rPr>
          <w:rFonts w:ascii="Arial" w:cs="Arial" w:eastAsia="Arial" w:hAnsi="Arial"/>
          <w:sz w:val="17"/>
          <w:szCs w:val="17"/>
          <w:color w:val="auto"/>
        </w:rPr>
        <w:t>In addition, the manufacturing process for any product candidates that we may develop is subject to the FDA and foreign regulatory authority approval process, and we will need to contract with manufacturers who can meet all applicable FDA and foreign regulatory authority requirements on an ongoing basis. If we or our CMOs are unable to reliably produce products to specifications acceptable to the FDA, or other regulatory authorities, we may not obtain or maintain the approvals we need to commercialize any approved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clinical development and/or commercialization plans.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Whether we engage additional CMOs to manufacture our product candidates or establish our own manufacturing facility, in order to transfer our MultiTAA-specific T cell manufacturing from or expand our manufacturing capabilities beyond BCM pursuant to our development plans, we will need access to the standard operating procedures and the specific batch production records that are used to manufacture the product candidates. If BCM does not support the transfer of our manufacturing processes or impedes our ability to transfer the manufacturing processes of its product candidates to us, our planned clinical trials and additional necessary manufacturing capabilities will be delayed, which will adversely affect our ability to conduct and further develop our business as currently planned.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be dependent on third-party vendors to design, build, maintain and support our manufacturing and cell processing facilities.</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result of our strategy to outsource our manufacturing, we will rely very heavily on BCM and other third-party manufacturers to perform the manufacturing of our product candidates for our clinical trials. We license our technology from others. We intend to rely on our contract manufacturers to produce large quantities of materials needed for clinical trials and potential product commercialization. Third-party manufacturers may not be able to meet our needs concerning timing, quantity, or quality.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 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continue to enter into additional third-party agreements in the future. However, we may not be able to negotiate any additional agreements successfully. Even if established, these relationships may not be scientifically or commercially successful.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manufacturing process is reliant upon the specialized equipment, and other specialty materials, which may not be available to us on acceptable terms or at all. For some of this equipment and materials, we rely or may rely on sole-source vendors or a limited number of vendors, which could impair our ability to manufacture and supply our product candidates.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depend on a limited number of vendors for supply of certain materials and equipment used in the manufacture of our MultiTAA-specific T cell therapy-based product candidates. For example, we will purchase equipment and reagents critical for the manufacture of our product candidates from Wilson Wolf (a company controlled by our director John Wilson), JPT Peptide Technologies and other suppliers. Some of our suppliers may not have the capacity to support commercial products manufactured under cGMP by biopharmaceutical firms or may otherwise be ill-equipped to support our needs. We also may not have supply contracts with many of these suppliers and may not be able to obtain supply contracts with them on acceptable terms or at all. Accordingly, we may not be able to obtain key materials and equipment to support clinical or commercial manufacturing.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spacing w:after="0" w:line="257" w:lineRule="auto"/>
        <w:rPr>
          <w:sz w:val="20"/>
          <w:szCs w:val="20"/>
          <w:color w:val="auto"/>
        </w:rPr>
      </w:pPr>
      <w:r>
        <w:rPr>
          <w:rFonts w:ascii="Arial" w:cs="Arial" w:eastAsia="Arial" w:hAnsi="Arial"/>
          <w:sz w:val="18"/>
          <w:szCs w:val="18"/>
          <w:color w:val="auto"/>
        </w:rPr>
        <w:t>For some of this equipment and materials, we may rely, and may now and/or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operating results or our ability to conduct clinical trials, either of which could significantly harm our business.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continue to develop and scale our manufacturing process, we may need to obtain rights to and supplies of specific materials and equipment to be used as part of that process. For example, our MultiTAA-specific T cell manufacturing process is based, in part, upon the G-Rex® cell culture device manufactured by Wilson Wolf, which is used by many cell therapy developers, both in commercial and academic settings. Although we do hold the license to patents from BCM that could be used to prevent third parties from developing similar and competing processes, we do not own any exclusive rights to the G-Rex®. We may not be able to obtain rights to such materials and equipment on commercially reasonable terms, or at all, and if we are unable to alter our process in a commercially viable manner to avoid the use of such materials or find a suitable substitute, it would have a material adverse effect on our business.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manufacture of our product candidates is complex, and we may encounter difficulties in production, particularly with respect to process development or scaling up of our manufacturing capabilities. If we, or any of our third-party manufacturers encounter such difficulties, our ability to supply our product candidates for clinical trials, or our product candidates for patients, if approved, could be delayed or stopped, or we may be unable to maintain a commercially viable cost structure.</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product candidates are biologics, and the process of manufacturing our product candidates is complex, highly regulated and subject to multiple risks. For example, the manufacture of our MultiTAA-specific T cell therapy-based product candidates involves complex processes, including drawing blood from patients/donors, manufacturing the clinical product, and ultimately infusing the product into a patient. As a result of the complexities, the cost to manufacture biologics is generally higher than traditional small molecule chemical compounds, and the manufacturing process is less reliable and is more difficult to reproduce. Our manufacturing processes will be susceptible to product loss or failure due to any of the following: logistical issues associated with the collection of blood cells, or starting material, from the patient or a donor, shipping such material to the manufacturing site, shipping the final product back to the patient, and infusing the patient with the product; manufacturing issues associated with the variability in patients’ or donor’s starting cells;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or a donor’s cells, or later-developed product at any point in the process, the manufacturing process for that patient will need to be restarted and the resulting delay may adversely affect that patient’s outcome and/or the results of clinical trials.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our MultiTAA-specific T cell therapy-based product candidates are manufactured for each particular patient, we will be required to maintain a chain of identity with respect to the patient’s/donor’s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 candidates from the market. Further, as product candidates are developed through preclinical to late 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spacing w:after="0" w:line="273" w:lineRule="auto"/>
        <w:rPr>
          <w:sz w:val="20"/>
          <w:szCs w:val="20"/>
          <w:color w:val="auto"/>
        </w:rPr>
      </w:pPr>
      <w:r>
        <w:rPr>
          <w:rFonts w:ascii="Arial" w:cs="Arial" w:eastAsia="Arial" w:hAnsi="Arial"/>
          <w:sz w:val="17"/>
          <w:szCs w:val="17"/>
          <w:color w:val="auto"/>
        </w:rPr>
        <w:t>Currently, our product candidates are manufactured using processes developed by BCM, our third-party research institution collaborator. Although we are working to develop our own commercially viable processes,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No assurance can be given that we will be able to develop a new, FDA-compliant, more efficient, lower cost manufacturing process upon which our business plan to commercialize MultiTAA-based product candidates is dependent.</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cooperation with our current contract manufacturers, we intend to develop improved methods for generating and selecting T cells, and to develop methods for large-scale production of our current product candidates that are in accordance with current cGMP procedures. Developing a new, scaled-up, pharmaceutical manufacturing process that can more efficiently and cost effectively, and in a more automated manner produce, measure and control the physical and/or chemical attributes of our product candidates in a cGMP facility is subject to many uncertainties and difficulties. We have never manufactured our adoptive T cell therapy product candidate on a commercial scale. As a result, we cannot give any assurance that we will be able to establish a manufacturing process that can produce our product candidates at a cost or in quantities necessary to make them commercially viable. Moreover, we and our third-party manufacturers will have to continually adhere to current cGMP regulations enforced by the FDA through its facilities inspection program. If these facilities cannot pass a pre-approval plant inspection, the FDA premarket approval of our product candidates will not be granted. In complying with cGMP and foreign regulatory requirements, we and any of our third-party manufacturers will be obligated to expend time, money and effort in production, record-keeping and quality control to assure that our product candidates meet applicable specifications and other requirements. If we or any of our third-party manufacturers fail to comply with these requirements, we may be subject to regulatory action. No assurance can be given that we will be able to develop such manufacturing process, or that our partners will thereafter be able to establish and operate such a production facility.</w:t>
      </w:r>
    </w:p>
    <w:p>
      <w:pPr>
        <w:spacing w:after="0" w:line="1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deviations in our proposed new MultiTAA-based product candidates from existing products may require us to perform additional testing, which will increase the cost, and extend the time for obtaining approval.</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MultiTAA-specific T cell therapy platform is based on the adoptive T cell therapy technology that we licensed from BCM and that is presently available as a physician-sponsored investigational therapy at BCM for the treatment of lymphoma, AML/MDS, multiple myeloma and select solid tumors in the United States. The current method of treatment is labor intensive and expensive. We are performing process optimization that we anticipate will enable more efficient manufacturing of our product candidates. We may have difficulty demonstrating that the product candidates produced from our new processes are identical to the existing products. The FDA may require additional clinical testing before permitting a larger clinical trial with the new processes, and such drug substance may not be as efficacious in the new clinical trials. Cellular products are not considered to be well characterized products because there are hundreds of markers present on T cells, and even small changes in manufacturing processes could alter the cell subtypes. It is unclear at this time which of those markers are critical for success of T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 In addition to developing a multi-antigen T cell-based therapy on existing adoptive T cell therapy technology, we are currently evaluating the desirability of conducting clinical trials of our product candidates in combination with other existing drugs. These combination therapies will require additional testing, and clinical trials will require additional FDA regulatory approval and will increase our future cost of development.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 candidates successfully or on a timely basis.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disease indication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spacing w:after="0" w:line="268" w:lineRule="auto"/>
        <w:rPr>
          <w:sz w:val="20"/>
          <w:szCs w:val="20"/>
          <w:color w:val="auto"/>
        </w:rPr>
      </w:pPr>
      <w:r>
        <w:rPr>
          <w:rFonts w:ascii="Arial" w:cs="Arial" w:eastAsia="Arial" w:hAnsi="Arial"/>
          <w:sz w:val="17"/>
          <w:szCs w:val="17"/>
          <w:color w:val="auto"/>
        </w:rPr>
        <w:t>Immunotherapies that we may develop are not likely to be commercially available for at least five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BLA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delay in the development, approval, introduction or marketing of our product candidates could result either in such product candidates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 candidates,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24"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efficacy and safety of our product candidates as demonstrated in clinical trials and post-marketing experience;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indications for which our product candidates may be approved;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acceptance by physicians and patients of our product candidates as safe and effective;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and perceived advantages of our product candidates over alternative treatments;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safety of our product candidates seen in a broader patient group, including our use outside the approved indications should physicians choose to prescribe for such uses;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timing of market introduction of our product candidates as well as competitive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and government authorities;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establish or maintain the third-party relationships that are necessary to develop or potentially commercialize some or all of our product candidates.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it has generated, and the perceived risks specific to developing our product candidates. If we are unable to obtain or maintain these agreements, we may not be able to clinically develop, formulate, manufacture, obtain regulatory approvals for or commercialize our product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with the USPTO.</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we, our licensing partners, or any potential future collaborator initiates legal proceedings against a third party to enforce a patent directed to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non-obviousness or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are no longer directed to our product candidates. The outcome following legal assertions of invalidity and unenforceability is unpredictable, and prior art could render our patents or those of our licensors invalid or could prevent a patent from issuing from one or more of our pending patent applications. There is no assurance that all potentially relevant prior art relating to our patents and patent applications has been found.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If a defendant were to prevail on a legal assertion of invalidity and/or unenforceability, we would lose at least part, and perhaps all, of the patent protection on our product candidates. In addition, if the breadth or strength of protection provided by our patents and patent applications is threatened, it could dissuade companies from collaborating with us to license, develop or commercialize current or future product candidates. Such a loss of patent protection could have a material adverse impact on our business development.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commercial success is dependent in part on our ability to obtain, maintain, and enforce the patents and other proprietary rights that we have licensed and may develop, and on our ability to avoid infringing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are directed to the technology. There can be no assurance that our patent applications or those of our licensor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seek to protect our proprietary technology and processes, in part, by entering into confidentiality agreements with relevant employees, consultants, scientific advisors, and contractors. We also seek to preserve the integrity and confidentiality of our data and trade secrets by maintaining physical security of the premises and physical and electronic security of the information technology systems. While we have confidence in these individuals, organizations, and systems, agreements or security measures may be breached, and we may not have adequate remedies for any breach. In addition, trade secrets may otherwise become known or be independently discovered by competitors. To the extent that the consultants, contractors or collaborators use intellectual property owned by others in their work for us, disputes may arise as to the rights in related or resulting know-how and inventions.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patents and patent applications in other countries, we cannot be certain that the claims in other pending U.S. or European patent applications, international patent applications, and patent applications in certain other foreign territories directed to methods of generating multi-antigen specific T cell product candidates, or our other product candidates, will be considered patentable by the USPTO, courts in the United States or by the patent offices and courts in foreign countries, nor can we be certain that the claims in our issued European patent will not be found invalid or unenforceable if challenged.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Most of our intellectual property rights are currently licensed from BCM and the Mayo Foundation, so that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166" w:lineRule="exact"/>
        <w:rPr>
          <w:sz w:val="20"/>
          <w:szCs w:val="20"/>
          <w:color w:val="auto"/>
        </w:rPr>
      </w:pPr>
    </w:p>
    <w:p>
      <w:pPr>
        <w:jc w:val="both"/>
        <w:ind w:left="980" w:hanging="324"/>
        <w:spacing w:after="0" w:line="263"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otherwise may not provide any competitive advantage;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left="980" w:hanging="324"/>
        <w:spacing w:after="0" w:line="263"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us, and many of whom have made significant investments in competing technologies, may seek or may have already obtained patents that will limit, interfere with or eliminate our ability to make, use and sell our potential product candidates;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directed to technology that we license from third parties. We may also require the cooperation of one of our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identification of third-party patent rights that may be relevant to our technology is difficult because patent searching is imperfect due to differences in terminology among patents, incomplete databases and the difficulty in assessing the meaning of patent claims. The issuance of a patent is not conclusive as to its inventorship, scope, validity or enforceability and it is uncertain how much protection, if any, will be given to the patents we have licensed from a licensor if either the licensor or we attempt to enforce the patents and/or if they are challenged in court or in other proceedings, such as oppositions, which may be brought in foreign jurisdictions to challenge the validity of a patent. A third party may challenge our patents, if issued, or the patent rights that we license from others in the courts or patent offices in the United States and abroad. It is possible that a competitor may successfully challenge our patents or that a challenge will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them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 that its activities are not covered by, that is, do not infringe, our patents.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on any terms.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Our potential competitors or other entities may have or acquire patent or proprietary rights that they could enforce against our licensors.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and post-grant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If they do so, then they could limit our ability to make, use, sell, offer for sale or import our product candidates and products that may be approved in the future, or impair our competitive position by requiring us to alter our product candidates, pay licensing fees or cease activities.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later issue as patents that our product candidates may infringe. If our product candidates conflict with patent rights of others, third parties could bring legal actions against us or our collaborators, licensees, suppliers or customers, claiming damages and seeking to enjoin manufacturing and marketing of the affected product candidates. If these legal actions are successful, in addition to any potential liability for damages, we could be required to obtain a license in order to continue to manufacture or market the affected product candidates. We may not prevail in any legal action and a required license under the patent may not be available on acceptable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23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Changes in either the patent laws or in the interpretations of patent laws in the United States and other countries may diminish the value of our intellectual property. We cannot predict the breadth of claims that may be allowed or enforced in our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w:t>
      </w:r>
      <w:r>
        <w:rPr>
          <w:rFonts w:ascii="Arial" w:cs="Arial" w:eastAsia="Arial" w:hAnsi="Arial"/>
          <w:sz w:val="16"/>
          <w:szCs w:val="16"/>
          <w:i w:val="1"/>
          <w:iCs w:val="1"/>
          <w:color w:val="auto"/>
        </w:rPr>
        <w:t>inter-partes</w:t>
      </w:r>
      <w:r>
        <w:rPr>
          <w:rFonts w:ascii="Arial" w:cs="Arial" w:eastAsia="Arial" w:hAnsi="Arial"/>
          <w:sz w:val="16"/>
          <w:szCs w:val="16"/>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these decisions, we cannot predict how future decisions by the courts, the U.S. Congress or the USPTO may impact the value of our patents.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its inventions in all countries outside the United States, or from selling or importing products made using its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patents or other intellectual property rights may not be effective or sufficient to prevent them from competing.</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is common in the biotechnology and pharmaceutical industries, in addition to our employees, we engage the services of consultants to assist us in the development of our product candidates. We have received confidential and proprietary information from third parties. We employ individuals or engage consultants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any obligations under our existing license agreements or any future license agreements, or disputes arise with respect to those agreements, it could have a negative impact on our business and our intellectual property rights.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party to license agreements with BCM and the Mayo Foundation that impose, and we may enter into additional licensing arrangements with third parties that may impose, diligence, development and commercialization timelines, milestone payment, royalty, insurance and other obligations on us. Our rights to use the licensed intellectual property are subject to the continuation of and our compliance with the terms of these agreements. Disputes may arise regarding our rights to intellectual property licensed to us from a third party, including but not limited to:</w:t>
      </w:r>
    </w:p>
    <w:p>
      <w:pPr>
        <w:spacing w:after="0" w:line="171"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creation or use of intellectual property by us, alone or with our licensors and collaborators;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and duration of our payment obligations;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rights upon termination of such agreement;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and duration of exclusivity obligations of each party to the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sufficient rights to exclude others from commercializing products similar or identical to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technologies are in-licensed from third parties, and the protection of those technologies is not entirely within our control.</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world-wide exclusive licenses from the Mayo Foundation on (i) a novel set of Class II HER2/neu peptide antigens, (ii) a novel Class I HER2/neu antigen, and (iii) a novel set of Class II Folate Receptor Alpha peptide antigens. We have a world-wide exclusive license from BCM of the rights in and to three patent families to develop and commercialize MultiTAA-specific T cell product candidates in the field of oncology. As a result of these in-licenses, we could lose the right to develop each of the technologies if:</w:t>
      </w:r>
    </w:p>
    <w:p>
      <w:pPr>
        <w:spacing w:after="0" w:line="187" w:lineRule="exact"/>
        <w:rPr>
          <w:sz w:val="20"/>
          <w:szCs w:val="20"/>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Mayo Foundation or BCM seeks to terminate our license in contravention of the license agreements;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Foundation or BCM or others for other rights that are necessary to develop the technology that we have already in-licensed.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Mayo Foundation or BCM, or the exclusivity rights provided by such license agreements, could materially harm our financial condition and operating results.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upon patents and licensed technologies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ability to compete effectively depends on our ability to maintain the proprietary nature of our technologies and the proprietary technology of others with whom we have entered into collaboration and licensing agreements. 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Competitors may infringe our intellectual property rights or those of our licensors. To counter infringement or unauthorized use, we may be required to file infringement claims, which can be expensive and time-consuming. In addition, in a patent infringement proceeding, a court may decide that one or more of the patents which we own or in-license is not valid or is unenforceable, and/or is not infringed.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We may not prevail in any lawsuits that we initiate, and the damages or other remedies awarded, if any, may not be commercially meaningful.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governmental fees on any issued patent and/or pending patent applications will be due to the USPTO and foreign patent agencies in several stages over the lifetime of our patents and/or applications. The USPTO and various foreign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development.</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Should third parties file patent applications or be issued patents claiming technology also used or claimed by us, we may be required to participate in interference or derivation proceedings in the USPTO to determine priority of invention. We may be required to participate in interference or derivation proceedings involving our issued patents and pending applications. An unfavorable outcome could require us to cease using the related technology or to attempt to license rights from the prevailing party. Our business could be harmed if the prevailing party does not offer us a license on commercially acceptable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 candidates.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 candidates developed by us are based on licensed technology, royalty payments on the licenses will reduce our gross profit from such product sales and may render the sales of such product candidates uneconomical. In addition, the loss of any current or future licenses or the exclusivity rights provided therein could materially harm our business financial condition and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legal claims; litigation is expensive and we may not be able to afford the costs.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We may initiate or become subject to infringement claims or litigation arising out of patents and pending applications of our competitors, or we may become subject to proceedings initiated by our competitors or other third parties or the USPTO or applicable foreign bodies to reexamine the patentability of our licensed or owned patents. In addition, litigation may be necessary to enforce our issued patents, to protect our trade secrets and know-how, or to determine the enforceability, scope, and validity of the proprietary rights of others.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lawsuit for infringement or contractual breaches, even if frivolous, we will require considerable time commitments on the part of management, our attorneys and consultants. Defending these types of proceedings or legal actions involve considerable expense and could negatively affect our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programs are subject to uncertainty.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225"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limited financial resources from which to budget and allocate among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need for acceptance of our immunotherapies;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relating to expansion of our business, operations and infrastructure;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need to rely on multiple levels of outside funding due to the length of drug development cycles and governmental approved protocols associated with the pharmaceutical industry;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dependence upon key personnel including key independent consultants and advisors.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currently have an organization for the sale, marketing and distribution of any approved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establish or manage strategic collaborations in the future, our revenue and drug development may be limited.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strategy includes eventual substantial reliance upon strategic collaborations for marketing and commercialization of our product candidates, and we may rely even more on strategic collaborations for research, development, marketing and commercialization of our other immunotherapies. If we are unsuccessful in securing such strategic collaborations, we may be unable to commercialize any approved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225"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their research and development programs or the commercialization, marketing or distribution of their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milestones or royalty payments to our collaborators or to observe other obligations in our agreements with them, our collaborators may have the right to terminate those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license newly developed MultiTAA-specific T cell technology from BCM and others.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important element of our intellectual property portfolio is to license additional rights and technologies from BCM. Our inability to license the rights and technologies that we have identified, or newly developed MultiTAA-specific T cell technology that we may in the future identify, could have a material adverse impact on our ability to complete the development of our product candidates or to develop additional product candidates. No assurance can be given that we will be successful in licensing any additional rights or technologies from BCM and others. Failure to obtain additional rights and licenses may detrimentally affect our planned development of additional product candidates and could increase the cost, and extend the timelines associated with our development of such other product candidates.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FDA often approves new oncology therapies initially only for use in patients with relapsed or refractory metastatic disease. We expect to initially seek approval of our product candidates in this setting. Subsequently, for those product candidates that prove to be sufficiently beneficial, if any, we would expect to seek approval in earlier lines of treatment and potentially as a first line therapy. There is no guarantee, however, that our product candidates, even if approved, would be approved for earlier lines of therapy, and, prior to any such approvals, we may have to conduct additional clinical trials.</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in a position to receive second or third-line therapy, and who have the potential to benefit from treatment with our product candidates, are based on our research and estimates. These estimates have been derived from a variety of sources, including scientific literature, surveys of clinics, patient foundations, or market research by third parties, and may prove to be incorrect. Further, new studies may change the estimated incidence or prevalence of these cancers. The number of treatable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to initially target a small patient population that suffers from AML. Even if we obtain significant market share for our product candidates, because the potential target populations are small, we may never achieve profitability without obtaining regulatory approval for additional indications.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required to pay substantial royalties and lump sum milestone payments under our license agreements with BCM and the Mayo Foundation, and we must meet certain milestones to maintain our license rights.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our license agreement with BCM for our MultiTAA-specific T cell therapy technologies, we are currently required to pay both substantial milestone payments and royalties to BCM based on our revenues from sales of any approved products utilizing the licensed technologies, and these payments could adversely affect the overall profitability for us of any products that we may seek to commercialize. In order to maintain our license rights under the BCM license agreement, we will need to meet certain specified milestones, subject to certain cure provisions, in the development of our product candidates. Similarly, we are also required to pay both substantial milestone payments and royalties to the Mayo Foundation based on our revenues from sales of our products utilizing those licensed technologies. There is no assurance that we will be successful in meeting all of the milestones in our licenses in the future on a timely basis or at all.</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upon a liquidity event (as defined in our BCM license agreement with BCM) of the licensee under the BCM license agreement (which, the licensee shall be the Company), BCM will receive a liquidity incentive payment of 0.5% of the liquidity event proceeds (as defined in the BCM license agreement) received by such licensee or its stockholders in the liquidity event, thereby diluting the amount of proceeds available to the licensee or its stockholders in a liquidity event.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Because our current product candidates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is no assurance that the approaches offered by our product candidates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Since our current product candidates and any future product candidates will represent new approaches to treating various conditions, it may be difficult, in any event, to accurately estimate the potential revenues from these product candidates. Accordingly, we may spend large amounts of money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Our MultiTAA-specific T cell therapy may be provided to patients in combination with other agents provided by third parties. The cost of such combination therapy may increase the overall cost of MultiTAA-specific T cell therapy and may result in issues regarding the allocation of reimbursements between our therapy and the other agents, all of which may adversely affect our ability to obtain reimbursement coverage for the combination therapy from third-party medical insurers.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7"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inhibit or prevent the commercialization of products we develop, alone or with collaborators. Our insurance policies may also have various exclusions, and we may be subject to a product liability claim for which we have no insurance coverage. While we obtained clinical trial insurance for our Phase II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from non-profit institutions.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that may render our product candidates obsolete even before they generate any revenue. There are products currently under development by others that could compete with the product candidates that we are developing. Many of our potential competitors have substantially greater research and development capabilities and manufacturing, marketing, financial and managerial resources than we have. Our competitors may:</w:t>
      </w:r>
    </w:p>
    <w:p>
      <w:pPr>
        <w:spacing w:after="0" w:line="157"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 safer or more effective immunotherapies and other therapeutic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Potential competitors in the market for treating hematological malignancies are companies such as Juno Therapeutics/Celgene/Bristol-Myers Squibb, Roche/Genentech, Merck, Novartis, Kite Pharma/Gilead, Amgen, Pfizer, and GlaxoSmithKline, which already have products on the market or in development. Other companies, such as Cellectis Bluebird Bio, and AdaptImmune, which are focused on genetically engineered T cell technologies to treat cancer, may also be competitors. Furthermore, companies such as Iovance, Immatics, WindMIL Therapeutics, Mana Therapeutics, Tessa Therapeutics and Torque Therapeutics are developing non-genetically modified T cell therapies such as tumor infiltrating lymphocytes and marrow infiltrating lymphocytes therapies that may compete with our product candidates. All these companies, and most of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Universities and public and private research institutions in the U.S. and around the world are also potential competitors.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 candidates.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lead product candidate is a therapy for the treatment of refractory AML. Currently, there are numerous companies that are developing various alternate treatments for AML. Accordingly, we face significant competition in the AML treatment space from multiple companies. Even if we obtain regulatory approval for our lead product candidate, the availability and price of competitors’ products could limit the demand and the price we will be able to charge for our therapy. We may not be able to implement our business plan if the acceptance of our product candidates is inhibited by price competition or the reluctance of physicians to switch from other methods of treatment to our product, or if physicians switch to other new therapies, drugs or biologic products or choose to reserve our product candidates for use in limited circumstances.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required, pursuant to Section 404 of the Sarbanes-Oxley Act, or Section 404, to furnish a report by management on, among other things, the effectiveness of our internal control over financial reporting. This report by management is included in Part II, Item 9A of this Form 10-K. In addition, our independent registered public accounting firm is required to attest to the effectiveness of our internal control over financial reporting in this Form 10-K. We are also required to disclose significant changes made in our internal control procedures on a quarterly basis.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spacing w:after="0" w:line="257" w:lineRule="auto"/>
        <w:rPr>
          <w:sz w:val="20"/>
          <w:szCs w:val="20"/>
          <w:color w:val="auto"/>
        </w:rPr>
      </w:pPr>
      <w:r>
        <w:rPr>
          <w:rFonts w:ascii="Arial" w:cs="Arial" w:eastAsia="Arial" w:hAnsi="Arial"/>
          <w:sz w:val="18"/>
          <w:szCs w:val="18"/>
          <w:color w:val="auto"/>
        </w:rPr>
        <w:t>To comply with Section 404, we have engaged in the costly and challenging process of compiling the system and processing documentation necessary to perform the evaluation needed to comply with Section 404. Our compliance with Section 404 requires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cybersecurity/information systems risk.</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manufacturers and other third parties on which we rely, are vulnerable to damage from computer viruses, unauthorized access, natural disasters, fire, terrorism, successful breaches, employee malfeasance, or human or technological error, war and telecommunication and electrical failures. In addition, our systems safeguard important confidential personal data regarding our subjects.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maintain cybersecurity insurance, however, an incident may exceed our coverage premiums.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cybersecurity insurance for a breach event covering expenses for notification, credit monitoring, investigation, crisis management, public relations and legal advice. We also maintain property and casualty insurance that may cover restoration of data, certain physical damage or third-party injuries caused by potential cybersecurity incidents. However, damage and claims arising from such incidents may not be covered or may exceed the amount of any insurance available.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costs of addressing a cybersecurity incident.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Cybersecurity incidents have increased in number and severity recently and it is expected that these trends will continue. Should we be affected by such an incident, we may incur substantial costs and suffer other negative consequences, which may include:</w:t>
      </w:r>
    </w:p>
    <w:p>
      <w:pPr>
        <w:spacing w:after="0" w:line="170"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investigation costs and costs to engage specialized consultants;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remediation costs, such as liability for stolen assets or information, repairs of system damage, and incentives to customers or business partners in an effort to maintain relationships after an attack;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litigation and legal risks, including regulatory actions by state and federal regulators.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Our ability to use net operating losses and certain other tax attributes to offset future taxable income may be subject to limitation.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net operating loss, or NOL, carryforwards could expire unused and be unavailable to offset future income tax liabilities because of their limited duration or because of restrictions under U.S. tax law. Our NOLs generated in tax years ending on or prior to December 31, 2017 are only permitted to be carried forward for 20 years under applicable U.S. tax law. Under H.R. 1, “An Act to provide for reconciliation pursuant to titles II and V of the concurrent resolution on the budget for fiscal year 2018”, informally titled the Tax Cuts and Jobs Act, or, the Tax Act, our federal NOLs generated in tax years ending after December 31, 2017 may be carried forward indefinitely, but the deductibility of federal NOLs generated in tax years beginning after December 31, 2017 is limited. It is uncertain if and to what extent various states will conform to the Tax Act.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under Section 382 and Section 383 of the Internal Revenue Code of 1986, as amended, (or,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(such as research tax credits) to offset its post-change income or taxes may be limited. We may have experienced ownership changes in the past and may experience ownership changes in the future as a result of shifts in our stock ownership (some of which shifts are outside our control). As a result, if we earn net taxable income, our ability to use our pre-change NOLs to offset such taxable income will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Consequently, even if we achieve profitability, we may not be able to utilize a material portion of our net operating loss carryforwards and certain other tax attributes, which could have a material adverse effect on cash flow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materially adversely affect our company.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22, 2017, President Trump signed into law the Tax Act, which significantly revises the Code. The Tax Act, among other things, reduces the corporate tax rate from a top marginal rate of 35% to a flat rate of 21%, repeals the alternative minimum tax for corporations, limits the tax deduction for interest expense to 30% of adjusted taxable income (except for certain small businesses), limits the deduction for net operating losses carried forward from taxable years beginning after December 31, 2017 to 80% of current year taxable income, eliminates net operating loss carrybacks, imposes a one-time tax on offshore earnings at reduced rates regardless of whether they are repatriated, eliminates U.S. tax on foreign earnings (subject to certain important exceptions), allows immediate deductions for certain new investments instead of deductions for depreciation expense over time, and modifies or repeals many business deductions and credits. Notwithstanding the reduction in the corporate income tax rate, the overall impact of the Tax Act is uncertain and our business and financial condition could be adversely affected. In addition, it is uncertain if and to what extent various states will conform to the Tax Act. The impact of the Tax Act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coronavirus could adversely impact our business, including our clinical trials and development activities conducted by us or BCM.</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December 2019, a novel strain of coronavirus, COVID-19, was reported to have surfaced in Wuhan, China. Since then, the COVID-19 coronavirus has spread to multiple countries, including the United States and several European countries. If the COVID-19 coronavirus continues to spread in the United States, we may experience disruptions that could severely impact our business and clinical trials conducted by us or BCM, including:</w:t>
      </w:r>
    </w:p>
    <w:p>
      <w:pPr>
        <w:spacing w:after="0" w:line="16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delays or difficulties in enrolling patients in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clinical trial sites and hospital staff supporting the conduct of our clinical trials;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clinical trials, including because of sickness of employees or their families or the desire of employees to avoid contact with large groups of people.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limitations and/or interruptions may also affect BCM's ability to conduct research and development activities on our behalf.</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global outbreak of the COVID-19 coronavirus continues to rapidly evolve. The extent to which the COVID-19 coronavirus may impact our business and clinical trials and development activities, whether conducted by us or BCM,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extensive regulation, which can be costly, time consuming and can subject us to unanticipated delays; even if we obtain regulatory approval for some of our products, those product candidates may still face regulatory difficulties.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of our current and future product candidates,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 candidates, which may lengthen the regulatory review process, increase our development costs and delay or prevent their commercialization. No adoptive T cell therapy using MultiTAA-specific T cells has been approved for marketing in the U.S.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T cell therapy product. We will not be able to commercialize any of our potential product candidates until we obtain FDA approval, and so any delay in obtaining, or inability to obtain, FDA approval would harm our proposed business.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violate regulatory requirements at any stage, whether before or after marketing approval is obtained, we may be fined, forced to remove a product from the market and experience other adverse consequences including delay, which could materially harm our business development. Additionally, we may not be able to obtain the labeling claims necessary or desirable for the promotion of our products. We may also be required to undertake post-marketing trials. Prescription drugs may be promoted only for the approved indications in accordance with the approved label.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In addition, if we or others identify side effects after any of our adoptive T cell therapy products are on the market, or if manufacturing problems occur, regulatory approval may be withdrawn, and reformulation of our products may be required.</w:t>
      </w:r>
    </w:p>
    <w:p>
      <w:pPr>
        <w:spacing w:after="0" w:line="3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CMC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 We may also experience delays in completing planned clinical trials for a variety of reasons, including delays related to:</w:t>
      </w:r>
    </w:p>
    <w:p>
      <w:pPr>
        <w:spacing w:after="0" w:line="178"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obtaining approval by an independent IRB at each clinical trial site;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 by subject basis for use in clinical trials.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spacing w:after="0" w:line="288" w:lineRule="auto"/>
        <w:rPr>
          <w:sz w:val="20"/>
          <w:szCs w:val="20"/>
          <w:color w:val="auto"/>
        </w:rPr>
      </w:pPr>
      <w:r>
        <w:rPr>
          <w:rFonts w:ascii="Arial" w:cs="Arial" w:eastAsia="Arial" w:hAnsi="Arial"/>
          <w:sz w:val="16"/>
          <w:szCs w:val="16"/>
          <w:color w:val="auto"/>
        </w:rPr>
        <w:t>We could also encounter delays if physicians face unresolved ethical issues associated with enrolling patients in clinical trials of our product candidates in lieu of prescribing existing treatments that have established safety and efficacy profiles. Further, a clinical trial may be suspended or terminated by us, the IRB for the institutions in which such trials are being conducted, the Data and Safety Monitoring Board or Committee for such trial, or by the FDA or other regulatory authorities due to a number of factors. Those factors could include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any approved product candidates will be harmed.</w:t>
      </w:r>
    </w:p>
    <w:p>
      <w:pPr>
        <w:spacing w:after="0" w:line="200" w:lineRule="exact"/>
        <w:rPr>
          <w:sz w:val="20"/>
          <w:szCs w:val="20"/>
          <w:color w:val="auto"/>
        </w:r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left="980" w:right="2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 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Such laws include:</w:t>
      </w:r>
    </w:p>
    <w:p>
      <w:pPr>
        <w:spacing w:after="0" w:line="225" w:lineRule="exact"/>
        <w:rPr>
          <w:sz w:val="20"/>
          <w:szCs w:val="20"/>
          <w:color w:val="auto"/>
        </w:rPr>
      </w:pPr>
    </w:p>
    <w:p>
      <w:pPr>
        <w:jc w:val="both"/>
        <w:ind w:left="520" w:hanging="256"/>
        <w:spacing w:after="0" w:line="259"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05" w:lineRule="exact"/>
        <w:rPr>
          <w:rFonts w:ascii="Arial" w:cs="Arial" w:eastAsia="Arial" w:hAnsi="Arial"/>
          <w:sz w:val="18"/>
          <w:szCs w:val="18"/>
          <w:color w:val="auto"/>
        </w:rPr>
      </w:pPr>
    </w:p>
    <w:p>
      <w:pPr>
        <w:jc w:val="both"/>
        <w:ind w:left="520" w:hanging="256"/>
        <w:spacing w:after="0" w:line="259"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05" w:lineRule="exact"/>
        <w:rPr>
          <w:rFonts w:ascii="Arial" w:cs="Arial" w:eastAsia="Arial" w:hAnsi="Arial"/>
          <w:sz w:val="18"/>
          <w:szCs w:val="18"/>
          <w:color w:val="auto"/>
        </w:rPr>
      </w:pPr>
    </w:p>
    <w:p>
      <w:pPr>
        <w:ind w:left="520" w:hanging="256"/>
        <w:spacing w:after="0" w:line="27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w:t>
      </w:r>
    </w:p>
    <w:p>
      <w:pPr>
        <w:spacing w:after="0" w:line="89" w:lineRule="exact"/>
        <w:rPr>
          <w:rFonts w:ascii="Arial" w:cs="Arial" w:eastAsia="Arial" w:hAnsi="Arial"/>
          <w:sz w:val="18"/>
          <w:szCs w:val="18"/>
          <w:color w:val="auto"/>
        </w:rPr>
      </w:pPr>
    </w:p>
    <w:p>
      <w:pPr>
        <w:jc w:val="both"/>
        <w:ind w:left="520" w:hanging="256"/>
        <w:spacing w:after="0" w:line="25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which also imposes obligations, including mandatory contractual terms,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106" w:lineRule="exact"/>
        <w:rPr>
          <w:rFonts w:ascii="Arial" w:cs="Arial" w:eastAsia="Arial" w:hAnsi="Arial"/>
          <w:sz w:val="18"/>
          <w:szCs w:val="18"/>
          <w:color w:val="auto"/>
        </w:rPr>
      </w:pPr>
    </w:p>
    <w:p>
      <w:pPr>
        <w:jc w:val="both"/>
        <w:ind w:left="520" w:hanging="256"/>
        <w:spacing w:after="0" w:line="275"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as defined by such law, and teaching hospitals, and applicable manufacturers and applicable group purchasing organizations to report annually to CMS ownership and investment interests held by physicians and their immediate family members; and</w:t>
      </w:r>
    </w:p>
    <w:p>
      <w:pPr>
        <w:spacing w:after="0" w:line="95" w:lineRule="exact"/>
        <w:rPr>
          <w:rFonts w:ascii="Arial" w:cs="Arial" w:eastAsia="Arial" w:hAnsi="Arial"/>
          <w:sz w:val="17"/>
          <w:szCs w:val="17"/>
          <w:color w:val="auto"/>
        </w:rPr>
      </w:pPr>
    </w:p>
    <w:p>
      <w:pPr>
        <w:jc w:val="both"/>
        <w:ind w:left="520" w:hanging="256"/>
        <w:spacing w:after="0" w:line="271"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analogous state, local, and foreign laws and regulations, such as state anti-kickback and false claims laws, which may apply to sales or marketing arrangements and claims involving healthcare items or services reimbursed by non-governmental third 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or drug pricing; state and local laws that require the registration of pharmaceutical sales representatives; state and local “drug takeback” laws and regulations; and state and foreign laws governing the privacy and security of health information in some circumstances, many of which differ from each other in significant ways and often are not preempted by HIPAA, thus complicating compliance efforts.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091" w:gutter="0" w:footer="0" w:header="0"/>
        </w:sectPr>
      </w:pPr>
    </w:p>
    <w:bookmarkStart w:id="67" w:name="page68"/>
    <w:bookmarkEnd w:id="67"/>
    <w:p>
      <w:pPr>
        <w:jc w:val="both"/>
        <w:spacing w:after="0" w:line="270" w:lineRule="auto"/>
        <w:rPr>
          <w:sz w:val="20"/>
          <w:szCs w:val="20"/>
          <w:color w:val="auto"/>
        </w:rPr>
      </w:pPr>
      <w:r>
        <w:rPr>
          <w:rFonts w:ascii="Arial" w:cs="Arial" w:eastAsia="Arial" w:hAnsi="Arial"/>
          <w:sz w:val="17"/>
          <w:szCs w:val="17"/>
          <w:color w:val="auto"/>
        </w:rPr>
        <w:t>Efforts to ensure that our business arrangements will comply with applicable healthcare laws may involve substantial costs. While our interactions with healthcare professionals have been structured to comply with these laws and related guidance, it is possible that governmental and enforcement authorities will conclude that our business practices may not comply with current or future statutes, regulations or case law interpreting applicable fraud and abuse or other healthcare laws. If our operations or activities are found to be in violation of any of the laws described above or any other governmental regulations that apply to us, we may be subject to, without limitation, significant civil, criminal and administrative penalties, damages, monetary fines, disgorgement,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any sales of our product once commercialized outside the U.S. will also likely subject us to foreign equivalents of the healthcare laws mentioned above, among other foreign laws.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in the United States and other countries may affect the prices we may obtain for our product candidates and increase the difficulty and cost to commercialize our product candidates.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our ability to profitably sell any product candidates for which we have obtained marketing approval.</w:t>
      </w:r>
    </w:p>
    <w:p>
      <w:pPr>
        <w:spacing w:after="0" w:line="14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 example, the Patient Protection and Affordable Care Act, as amended by the Health Care and Education Reconciliation Act, or the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repeal legislation, two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eliminates,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On December 14, 2018, a Texas U.S. District Court Judge ruled that the ACA is unconstitutional in its entirety because the “individual mandate” was repealed by Congress as part of the Tax Cuts and Jobs Act. Further, on December 18, 2019, the U.S. Court of Appeals for the 5th Circuit upheld the District Court ruling that the individual mandate was unconstitutional and remanded the case back to the District Court to determine whether the remaining provisions of the ACA are invalid as well. It is unclear how this decision, future decisions, subsequent appeals, and other efforts to repeal and replace the ACA will impact the ACA and our business. Congress may consider other legislation to repeal or replace elements of the ACA. These actions may result in increased health insurance premiums and reduce the number of people with health insurance in the United States and have other effects that could adversely affect U.S. health insurance markets and the ability of patients to have access to therapies that our product candidates can provide.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spacing w:after="0" w:line="287" w:lineRule="auto"/>
        <w:rPr>
          <w:sz w:val="20"/>
          <w:szCs w:val="20"/>
          <w:color w:val="auto"/>
        </w:rPr>
      </w:pPr>
      <w:r>
        <w:rPr>
          <w:rFonts w:ascii="Arial" w:cs="Arial" w:eastAsia="Arial" w:hAnsi="Arial"/>
          <w:sz w:val="16"/>
          <w:szCs w:val="16"/>
          <w:color w:val="auto"/>
        </w:rPr>
        <w:t>In addition, other federal health reform measures have been proposed and adopted in the United States. For example, as a result of the Budget Control Act of 2011 and subsequent legislative amendments thereto, providers are subject to Medicare payment reductions of 2% per fiscal year through 2029 unless additional Congressional action is taken.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ended the use of the statutory formula, also referred to as the Sustainable Growth Rate, for clinician payment and also introduced a quality payment program under which certain individual Medicare providers will be subject to certain incentives or penalties based on new program quality standards also referred to as the Quality Payment Program. Payment adjustments for the Medicare quality payment program was set to begin in 2019.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2020 contain further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Resources has solicited feedback on some of these measures and, at the same, has implemented others under its existing authority. For example, in May 2019, CMS issued a final rule to allow Medicare Advantage Plans the option of using step therapy for Part B drugs beginning January 1, 2020. This final rule codified CMS’s policy change that was effective January 1, 2019. Although a number of these, and other measures may require additional authorization to become effective, Congress and the executive branch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our ability to commercialize our products, generate revenue or attain profitability.</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spacing w:after="0" w:line="290" w:lineRule="auto"/>
        <w:rPr>
          <w:sz w:val="20"/>
          <w:szCs w:val="20"/>
          <w:color w:val="auto"/>
        </w:rPr>
      </w:pPr>
      <w:r>
        <w:rPr>
          <w:rFonts w:ascii="Arial" w:cs="Arial" w:eastAsia="Arial" w:hAnsi="Arial"/>
          <w:sz w:val="16"/>
          <w:szCs w:val="16"/>
          <w:color w:val="auto"/>
        </w:rPr>
        <w:t>Efforts to ensure that our business arrangements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in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develop our business. In addition, the approval and commercialization of any of our product candidates outside the United States will also likely subject us to foreign equivalents of the healthcare laws mentioned above, among other foreign laws.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Generally, a product that has orphan drug designation and subsequently receives the first FDA approval for the disease for which it has such designation is entitled to orphan drug exclusive approval (or exclusivity), which means that the FDA may not approve any other applications to market the same drug or biologic for the same indication for seven years, except in limited circumstances, such as a showing of clinical superiority to the product with orphan drug exclusivity. A designated orphan drug may not receive orphan drug exclusivity if it is approved for a use that is broader than the indication for which it received orphan designation.</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or European Medicines Agency (“EMA”)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regulatory pathways for biosimilar competition could reduce the duration of market exclusivity for our products.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federal ACA enacted in 2010, there is an abbreviated path in the United States for regulatory approval of products that are demonstrated to be “biosimilar” or “interchangeable” with an FDA-approved biological product. The 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A number of jurisdictions outside of the United States have also established abbreviated pathways for regulatory approval of biological products that are biosimilar to earlier versions of biological products. For example, the European Union has had an established regulatory pathway for biosimilars since 2005.</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one of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described above, the 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jc w:val="both"/>
        <w:spacing w:after="0" w:line="253" w:lineRule="auto"/>
        <w:rPr>
          <w:sz w:val="20"/>
          <w:szCs w:val="20"/>
          <w:color w:val="auto"/>
        </w:rPr>
      </w:pPr>
      <w:r>
        <w:rPr>
          <w:rFonts w:ascii="Arial" w:cs="Arial" w:eastAsia="Arial" w:hAnsi="Arial"/>
          <w:sz w:val="18"/>
          <w:szCs w:val="18"/>
          <w:color w:val="auto"/>
        </w:rPr>
        <w:t>The current U.S. administration and Congress could carry out significant changes in legislation, regulation, and government policy (including with respect to the possible repeal of all or portions of the ACA, possible changes in the existing treaty and trade relationships with other countries, and tax reform).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operating performance. These fluctuations could cause you to lose part or all of your investment in our common stock. Those factors that could cause fluctuations include, but are not limited to, the following:</w:t>
      </w:r>
    </w:p>
    <w:p>
      <w:pPr>
        <w:spacing w:after="0" w:line="187"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of our preclinical studies and clinical trials or delays in anticipated timing;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of new collaboration agreements with strategic partners or developments by our existing collaboration partners;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of acquisitions, mergers or business combinations;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failures of products or product candidates, or progress toward commercialization by our competitors or peers;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positive and negative events relating to healthcare and the overall pharmaceutical and biotechnology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of large blocks of our stock and sales by insiders and our institutional investors;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events affecting BCM, Mayo Clinic, Mayo Foundation for Medical Education and Research or any future collaborators;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of new product candidates or technologies, commercial relationships or other events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of our common stock to maintain listing requirements on Nasdaq;</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outcome of any litigation to which we are a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discussion of the Company or our stock price by the financial and scientific press and in online investor communities.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our common stock.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listing of our common stock on Nasdaq does not assure that a meaningful, consistent and liquid trading market currently exists or will exist in the future. In recent years, the stock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stockholders could suffer losses or be unable to liquidate their holdings. Our stock is thinly traded due to the limited number of shares available for trading thus causing large swings in price. There is no established trading market for our warrants.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The market prices for our common stock may be adversely impacted by future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 prices for our common stock will be influenced by a number of factors, including:</w:t>
      </w:r>
    </w:p>
    <w:p>
      <w:pPr>
        <w:spacing w:after="0" w:line="225" w:lineRule="exact"/>
        <w:rPr>
          <w:sz w:val="20"/>
          <w:szCs w:val="20"/>
          <w:color w:val="auto"/>
        </w:rPr>
      </w:pPr>
    </w:p>
    <w:p>
      <w:pPr>
        <w:ind w:left="98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shares upon the exercise of outstanding warrants or the issuance of preferred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investor perceptions of us and the pharmaceutical and biotech industries generally;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equity securities may adversely affect the market price of our common stock and your rights may be reduced.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continue to incur drug development and sale, general and administrative costs. Until such time, if ever, as we can generate substantial product revenue, we expect to fund our cash requirements through a combination of equity offerings, debt financings and potential collaboration, license and development agreements. We do not currently have a committed external source of funds. To the extent that we sell equity securities or convertible debt securities, your ownership interest will be diluted, and the terms of these securities may include liquidation or other preferences that adversely affect your rights as a common stockholder. The sale or the proposed sale of substantial amounts of our common stock or other equity securities in the public markets may adversely affect the market price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Because we have a significant number of additional authorized shares of common stock available for issuance and outstanding warrants to purchase our common stock, our stockholders may experience dilution in the future and it may adversely affect the market price of our securities.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currently authorized to issue 150 million shares of our common stock. As of December 31, 2019, we had 45.7 million shares of our common stock issued and outstanding. Those outstanding shares represent a minority of our authorized shares, meaning that the ownership position of the current stockholders could be diluted significantly were we to issue a large number of additional shares. In addition, as of December 31, 2019, there were outstanding warrants to purchase up to approximately 22.7 million shares of our common stock at a weighted average exercise price of $4.71 per share, and options exercisable for an aggregate of approximately 5.0 million shares of common stock at a weighted average exercise price of $7.79 per share. We have registered the resale of the shares issuable upon exercise of our outstanding warrants, and as a result the shares issued upon exercise will be tradable by the exercising party. Upon such registration, the holders may sell these shares in the public markets from time to time, without limitations on the timing, amount, or method of sale. If our stock price rises, the holders may exercise their warrants and options and sell a large number of shares. This could cause the market price of our common stock to decline and cause existing stockholders to experience significant further dilution.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spacing w:after="0" w:line="263"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of our outstanding warrants contain or contained prior to being amended, or may be deemed to contain from time to time, embedded derivative rights in accordance with U.S. Generally Accepted Accounting Principles (“GAAP”).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December 31, 2019, the fair value of the derivative liability-warrants was $31,000.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own any real estate or other properties. We lease office space at 3200 Southwest Freeway, Suite 2240, Houston, Texas 77027 on a three-year agreement set to expire in November 2021 (the “Houston Office”), which is our principal business office. We also lease office space at 5 West Forsyth Street, Suite 200, Jacksonville, Florida 32202 on a five-year agreement due to expire on June 30, 2022.</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2019, we leased a dedicated portion of an existing laboratory located at the Texas Medical Center in Houston for the purpose of conducting laboratory research and other laboratory related activities. The laboratory, referred to as JLABS, was established by Johnson &amp; Johnson at the Texas Medical Center to provide space for research and development stage entities. We signed an 11-month lease, which renews for 3-month successive periods for two dedicated suites and access to common space of approximately 20,000 square feet of the JLABS premises located at the Texas Medical Center.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were not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listed for trading on the Nasdaq Capital Market under the symbol “MRKR”. As of February 28, 2020, we had 465 stockholders of record whom are holding shares. The price of our common stock on February 28, 2020 was $2.47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dividends have been declared or paid on our common stock. We have incurred recurring losses and do not currently intend to pay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record any issuances of unregistered securities during the fourth quarter of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of our financial condition, changes in financial condition, plan of operations and results of operations should be read in conjunction with (i) our audited consolidated financial statements as at December 31, 2019 and December 31, 2018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MultiTAA-specific T cell program: the autologous T cells for the treatment of lymphoma, multiple myeloma, or MM, and selected solid tumors and the allogeneic T cells for the treatment of acute myeloid leukemia, or AML, and acute lymphoblastic leukemia, or ALL. Because we do not genetically engineer the MultiTAA-specific T cell therapies, we believe that our product candidates are easier and less expensive to manufacture, with reduced toxicities, than current engineered chimeric antigen receptor, or CAR-T, and T cell receptor-based therapies and may provide patients with meaningful clinical benefit. We are also developing innovative peptide-based immunotherapeutic vaccines for the treatment of metastatic solid tumors.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pursuing post-transplant AML as the lead indication for our first company-sponsored MultiTAA-specific T cell program. The MultiTAA-specific T cell therapy has been well tolerated in an ongoing Phase 1/2 clinical trial conducted by our strategic partner Baylor College of Medicine, or BCM. As reported in March 2019, eleven of the thirteen patients in the adjuvant disease setting dosed with the MultiTAA-specific T cell therapy after receiving an allogeneic stem cell transplant survived, ranging from 6 weeks to 2.5 years post-infusion, with nine of these remaining patients in continuing complete remission, or CCR. Survival of the six patients with active disease ranged from 4 to 21 months, as compared to a historical survival rate of approximately 4.5 months for patients who receive the standard of care post-transplant.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submitted an investigational new drug, or IND, application to the United States Food and Drug Administration, or the FDA to initiate a Phase 2 clinical trial of MultiTAA-specific T cell therapy, which we refer to as MT-401, in post-allogeneic hematopoietic stem cell transplant patients with AML in both the adjuvant and active disease setting, which may become pivotal pending the results of the interim analysis. The dose administered in this multicenter trial is the current maximum tolerated dose from the ongoing Phase 1/2 trial. In the adjuvant setting, patients will be randomized to either MultiTAA-specific T cell therapy at approximately 90 days post-transplant versus standard of care observation, while the active disease patients will receive MT-401 following relapse post-transplant as part of a single-arm group. In February 2020, we announced that the FDA has permitted us to initiate our Phase 2 clinical trial beginning with a safety lead-in portion of the trial.</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recently reported interim data for an ongoing Phase 1/2 clinical trial of the MultiTAA-specific T cell therapy for the treatment of pancreatic adenocarcinoma being conducted by BCM. In this trial, we have observed a clinical benefit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cytokine release syndrome or neurotoxicity in this trial.</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evaluating the MultiTAA-specific T cell therapies in a Phase 2 clinical trial for the treatment of breast cancer and in Phase 1 clinical trials for the treatment of ALL, lymphoma, MM and sarcoma, all of which are being conducted by BCM. As of December 2019, the MultiTAA-specific T cell therapies have been generally well tolerated by all of the patients enrolled in clinical trials in hematological and solid tumor indications with no incidents of cytokine release syndrome or neurotoxicity, which are frequently associated with CD19 CAR-T therapies. Based on our observations in clinical trials in AML, pancreatic cancer, lymphoma, ALL and MM, we believe that the MultiTAA-specific T cell therapies have the potential to mediate a meaningful anti-tumor effect, as well as significant in vivo expansion of T cells. We may initiate additional Phase 2 clinical trials investigating other indications in 2020 in addition to our planned Phase 2 trial in post-transplant AML patients.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Note 3 in the Notes to Consolidated Financial Statements in this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date, our research and development expenses have related primarily to the development of our clinical platform and the identification and development of our product candidates. Clinical and research and development expenses consist of expenses incurred in performing research and development activities, cost of our clinical trials, including compensation, share-based compensation expense and benefits for research and development employees and consultants, facilities expenses, overhead expenses, cost of supplies, manufacturing expenses, fees paid to third parties and other outside expenses.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Clinical costs are expensed as incurred. Costs and timing of clinical trials and development of our product candidates will depend on a variety of factors that include, but are not limited to, the following:</w:t>
      </w:r>
    </w:p>
    <w:p>
      <w:pPr>
        <w:spacing w:after="0" w:line="170" w:lineRule="exact"/>
        <w:rPr>
          <w:sz w:val="20"/>
          <w:szCs w:val="20"/>
          <w:color w:val="auto"/>
        </w:rPr>
      </w:pPr>
    </w:p>
    <w:p>
      <w:pPr>
        <w:ind w:left="920" w:hanging="912"/>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 patient clinical trial costs;</w:t>
      </w:r>
    </w:p>
    <w:p>
      <w:pPr>
        <w:spacing w:after="0" w:line="225" w:lineRule="exact"/>
        <w:rPr>
          <w:rFonts w:ascii="Arial" w:cs="Arial" w:eastAsia="Arial" w:hAnsi="Arial"/>
          <w:sz w:val="18"/>
          <w:szCs w:val="18"/>
          <w:color w:val="auto"/>
        </w:rPr>
      </w:pPr>
    </w:p>
    <w:p>
      <w:pPr>
        <w:ind w:left="920" w:hanging="912"/>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patients that participate in the clinical trials;</w:t>
      </w:r>
    </w:p>
    <w:p>
      <w:pPr>
        <w:spacing w:after="0" w:line="225" w:lineRule="exact"/>
        <w:rPr>
          <w:rFonts w:ascii="Arial" w:cs="Arial" w:eastAsia="Arial" w:hAnsi="Arial"/>
          <w:sz w:val="18"/>
          <w:szCs w:val="18"/>
          <w:color w:val="auto"/>
        </w:rPr>
      </w:pPr>
    </w:p>
    <w:p>
      <w:pPr>
        <w:ind w:left="920" w:hanging="912"/>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sites included in the clinical trials;</w:t>
      </w:r>
    </w:p>
    <w:p>
      <w:pPr>
        <w:spacing w:after="0" w:line="225" w:lineRule="exact"/>
        <w:rPr>
          <w:rFonts w:ascii="Arial" w:cs="Arial" w:eastAsia="Arial" w:hAnsi="Arial"/>
          <w:sz w:val="18"/>
          <w:szCs w:val="18"/>
          <w:color w:val="auto"/>
        </w:rPr>
      </w:pPr>
    </w:p>
    <w:p>
      <w:pPr>
        <w:ind w:left="920" w:hanging="912"/>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225" w:lineRule="exact"/>
        <w:rPr>
          <w:rFonts w:ascii="Arial" w:cs="Arial" w:eastAsia="Arial" w:hAnsi="Arial"/>
          <w:sz w:val="18"/>
          <w:szCs w:val="18"/>
          <w:color w:val="auto"/>
        </w:rPr>
      </w:pPr>
    </w:p>
    <w:p>
      <w:pPr>
        <w:ind w:left="920" w:hanging="912"/>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225" w:lineRule="exact"/>
        <w:rPr>
          <w:rFonts w:ascii="Arial" w:cs="Arial" w:eastAsia="Arial" w:hAnsi="Arial"/>
          <w:sz w:val="18"/>
          <w:szCs w:val="18"/>
          <w:color w:val="auto"/>
        </w:rPr>
      </w:pPr>
    </w:p>
    <w:p>
      <w:pPr>
        <w:ind w:left="920" w:hanging="912"/>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225" w:lineRule="exact"/>
        <w:rPr>
          <w:rFonts w:ascii="Arial" w:cs="Arial" w:eastAsia="Arial" w:hAnsi="Arial"/>
          <w:sz w:val="18"/>
          <w:szCs w:val="18"/>
          <w:color w:val="auto"/>
        </w:rPr>
      </w:pPr>
    </w:p>
    <w:p>
      <w:pPr>
        <w:ind w:left="920" w:hanging="912"/>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225" w:lineRule="exact"/>
        <w:rPr>
          <w:rFonts w:ascii="Arial" w:cs="Arial" w:eastAsia="Arial" w:hAnsi="Arial"/>
          <w:sz w:val="18"/>
          <w:szCs w:val="18"/>
          <w:color w:val="auto"/>
        </w:rPr>
      </w:pPr>
    </w:p>
    <w:p>
      <w:pPr>
        <w:ind w:left="920" w:hanging="912"/>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225" w:lineRule="exact"/>
        <w:rPr>
          <w:rFonts w:ascii="Arial" w:cs="Arial" w:eastAsia="Arial" w:hAnsi="Arial"/>
          <w:sz w:val="18"/>
          <w:szCs w:val="18"/>
          <w:color w:val="auto"/>
        </w:rPr>
      </w:pPr>
    </w:p>
    <w:p>
      <w:pPr>
        <w:ind w:left="920" w:hanging="912"/>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225" w:lineRule="exact"/>
        <w:rPr>
          <w:rFonts w:ascii="Arial" w:cs="Arial" w:eastAsia="Arial" w:hAnsi="Arial"/>
          <w:sz w:val="18"/>
          <w:szCs w:val="18"/>
          <w:color w:val="auto"/>
        </w:rPr>
      </w:pPr>
    </w:p>
    <w:p>
      <w:pPr>
        <w:ind w:left="920" w:hanging="912"/>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to successfully manufacture patient doses.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potential for success of each product candidate will depend on numerous factors, including clinical trial outcomes, acceptance by regulatory authorities, competition, manufacturing capability and commercial viability. We determine which programs to pursue and how much to fund each program in response to ongoing scientific assessments, competitive developments, clinical trial results, as well as an assessment of each product candidate's commercial potential. We anticipate our research and development costs will continue to increase over the next several years due to increased spending on the clinical development and manufacturing of our product candidates.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share-based compensation, for personnel in executive, finance, accounting, business development, legal and human resources functions. Other significant costs include facility costs not otherwise included in research and development expenses, legal fees relating to patent and corporate matters, insurance costs and professional fees for consultancy, accounting, audit and investor relations.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the potential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recognize any income tax expense for the years ended December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interest income and change in fair value of warrant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2019 and 2018</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the results of our operations (rounded to the thousand except for per share amounts) for the years ended December 31, 2019 and 2018, together with the changes to those items: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6"/>
          </w:tcPr>
          <w:p>
            <w:pPr>
              <w:jc w:val="right"/>
              <w:ind w:right="681"/>
              <w:spacing w:after="0"/>
              <w:rPr>
                <w:sz w:val="20"/>
                <w:szCs w:val="20"/>
                <w:color w:val="auto"/>
              </w:rPr>
            </w:pPr>
            <w:r>
              <w:rPr>
                <w:rFonts w:ascii="Arial" w:cs="Arial" w:eastAsia="Arial" w:hAnsi="Arial"/>
                <w:sz w:val="18"/>
                <w:szCs w:val="18"/>
                <w:b w:val="1"/>
                <w:bCs w:val="1"/>
                <w:color w:val="auto"/>
              </w:rPr>
              <w:t>For the Years Ended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6"/>
          </w:tcPr>
          <w:p>
            <w:pPr>
              <w:jc w:val="right"/>
              <w:ind w:right="941"/>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0"/>
                <w:szCs w:val="20"/>
                <w:color w:val="auto"/>
              </w:rPr>
            </w:pPr>
          </w:p>
        </w:tc>
        <w:tc>
          <w:tcPr>
            <w:tcW w:w="1820" w:type="dxa"/>
            <w:vAlign w:val="bottom"/>
            <w:gridSpan w:val="3"/>
            <w:vMerge w:val="restart"/>
          </w:tcPr>
          <w:p>
            <w:pPr>
              <w:ind w:left="860"/>
              <w:spacing w:after="0"/>
              <w:rPr>
                <w:sz w:val="20"/>
                <w:szCs w:val="20"/>
                <w:color w:val="auto"/>
              </w:rPr>
            </w:pPr>
            <w:r>
              <w:rPr>
                <w:rFonts w:ascii="Arial" w:cs="Arial" w:eastAsia="Arial" w:hAnsi="Arial"/>
                <w:sz w:val="18"/>
                <w:szCs w:val="18"/>
                <w:b w:val="1"/>
                <w:bCs w:val="1"/>
                <w:color w:val="auto"/>
              </w:rPr>
              <w:t>Change</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Grant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213,000</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206,000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7,000</w:t>
            </w:r>
          </w:p>
        </w:tc>
        <w:tc>
          <w:tcPr>
            <w:tcW w:w="5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213,000</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206,000</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0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 intellectual property acquired</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116,045,000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(116,045,000)</w:t>
            </w:r>
          </w:p>
        </w:tc>
        <w:tc>
          <w:tcPr>
            <w:tcW w:w="5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12,765,000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7,953,000</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4,812,000</w:t>
            </w:r>
          </w:p>
        </w:tc>
        <w:tc>
          <w:tcPr>
            <w:tcW w:w="5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9,977,000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24,380,000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(14,403,000)</w:t>
            </w:r>
          </w:p>
        </w:tc>
        <w:tc>
          <w:tcPr>
            <w:tcW w:w="5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22,742,000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148,378,000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(125,636,000)</w:t>
            </w:r>
          </w:p>
        </w:tc>
        <w:tc>
          <w:tcPr>
            <w:tcW w:w="2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(22,529,000)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(148,172,000)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125,643,000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58,000</w:t>
            </w:r>
          </w:p>
        </w:tc>
        <w:tc>
          <w:tcPr>
            <w:tcW w:w="5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1,083,000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254,000</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829,000</w:t>
            </w:r>
          </w:p>
        </w:tc>
        <w:tc>
          <w:tcPr>
            <w:tcW w:w="5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(21,428,000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(147,958,000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126,530,000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(0.47)</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w:t>
            </w:r>
          </w:p>
        </w:tc>
        <w:tc>
          <w:tcPr>
            <w:tcW w:w="5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45,588,000</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19,092,000</w:t>
            </w:r>
          </w:p>
        </w:tc>
        <w:tc>
          <w:tcPr>
            <w:tcW w:w="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26,496,000</w:t>
            </w:r>
          </w:p>
        </w:tc>
        <w:tc>
          <w:tcPr>
            <w:tcW w:w="2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c>
          <w:tcPr>
            <w:tcW w:w="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did not generate any revenue during the years ended December 31, 2019 and 2018, respectively from the sales or licensing of our product candidates. During the year ended December 31, 2019, we recognized $213,000 of revenue associated with a grant awarded to Mayo Foundation from the US Department of Defense for the Phase 2 Clinical Trial of TPIV200 which Mayo paid to us for clinical supplies manufactured by us and provided for the clinical trial funded by the grant. We refer to this grant as the Mayo Grant. During the year ended December 31, 2018, we also recognized $206,000 of grant income from the Mayo Grant.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fiscal year ended December 31, 2019 were $22.7 million compared to $148.4 million in the prior year. Significant changes and expenditures in operating expenses are outlined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Expense-Intellectual Property Acquired</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 Intellectual Property Acquired, decreased $116.0 million in the year ended December 31, 2018 to $0 in the year ended December 31, 2019, representing the fair market value of assets acquired by us in connection with the merger we completed in October 2018, or the Merger. Because the Merger was accounted for as an asset acquisition and the assets acquired consisted of intellectual property that had not received regulatory approval, the total purchase price was immediately expensed as in process research and development or intellectual property acquired.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increased by 61% to $12.8 million for the year ended December 31, 2019, compared to $8.0 million for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$4.8 million in 2019 was primarily attributable to the following:</w:t>
      </w:r>
    </w:p>
    <w:p>
      <w:pPr>
        <w:spacing w:after="0" w:line="225" w:lineRule="exact"/>
        <w:rPr>
          <w:sz w:val="20"/>
          <w:szCs w:val="20"/>
          <w:color w:val="auto"/>
        </w:rPr>
      </w:pPr>
    </w:p>
    <w:p>
      <w:pPr>
        <w:ind w:left="1240" w:hanging="328"/>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 of $1.9 million in headcount-related expenses as we increased the number of research and development personnel,</w:t>
      </w:r>
    </w:p>
    <w:p>
      <w:pPr>
        <w:spacing w:after="0" w:line="225" w:lineRule="exact"/>
        <w:rPr>
          <w:rFonts w:ascii="Arial" w:cs="Arial" w:eastAsia="Arial" w:hAnsi="Arial"/>
          <w:sz w:val="18"/>
          <w:szCs w:val="18"/>
          <w:color w:val="auto"/>
        </w:rPr>
      </w:pPr>
    </w:p>
    <w:p>
      <w:pPr>
        <w:ind w:left="1240" w:hanging="328"/>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 of $1.9 million in clinical consulting and professional expenses,</w:t>
      </w:r>
    </w:p>
    <w:p>
      <w:pPr>
        <w:spacing w:after="0" w:line="225" w:lineRule="exact"/>
        <w:rPr>
          <w:rFonts w:ascii="Arial" w:cs="Arial" w:eastAsia="Arial" w:hAnsi="Arial"/>
          <w:sz w:val="18"/>
          <w:szCs w:val="18"/>
          <w:color w:val="auto"/>
        </w:rPr>
      </w:pPr>
    </w:p>
    <w:p>
      <w:pPr>
        <w:ind w:left="1240" w:hanging="328"/>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 of $1.4 million in research and development stock-based compensation expenses,</w:t>
      </w:r>
    </w:p>
    <w:p>
      <w:pPr>
        <w:spacing w:after="0" w:line="225" w:lineRule="exact"/>
        <w:rPr>
          <w:rFonts w:ascii="Arial" w:cs="Arial" w:eastAsia="Arial" w:hAnsi="Arial"/>
          <w:sz w:val="18"/>
          <w:szCs w:val="18"/>
          <w:color w:val="auto"/>
        </w:rPr>
      </w:pPr>
    </w:p>
    <w:p>
      <w:pPr>
        <w:ind w:left="1240" w:hanging="328"/>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 of $1.1 million in process development expenses,</w:t>
      </w:r>
    </w:p>
    <w:p>
      <w:pPr>
        <w:spacing w:after="0" w:line="225" w:lineRule="exact"/>
        <w:rPr>
          <w:rFonts w:ascii="Arial" w:cs="Arial" w:eastAsia="Arial" w:hAnsi="Arial"/>
          <w:sz w:val="18"/>
          <w:szCs w:val="18"/>
          <w:color w:val="auto"/>
        </w:rPr>
      </w:pPr>
    </w:p>
    <w:p>
      <w:pPr>
        <w:ind w:left="1240" w:hanging="328"/>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 of $0.1 million in other expenses, and</w:t>
      </w:r>
    </w:p>
    <w:p>
      <w:pPr>
        <w:spacing w:after="0" w:line="225" w:lineRule="exact"/>
        <w:rPr>
          <w:rFonts w:ascii="Arial" w:cs="Arial" w:eastAsia="Arial" w:hAnsi="Arial"/>
          <w:sz w:val="18"/>
          <w:szCs w:val="18"/>
          <w:color w:val="auto"/>
        </w:rPr>
      </w:pPr>
    </w:p>
    <w:p>
      <w:pPr>
        <w:ind w:left="1240" w:right="20" w:hanging="328"/>
        <w:spacing w:after="0" w:line="277" w:lineRule="auto"/>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decrease of $1.6 million in clinical trial expenses due to the stages of ongoing clinical trials and the decreased number of active patients in such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decreased by 59% to $10.0 million for the year ended December 31, 2019 from $24.4 million during the prior period. The decrease of $14.4 million was primarily attributable to a decrease of $12.8 million in stock-based compensation expenses due to executive stock option grants issued in fiscal year 2018, as well as the following:</w:t>
      </w:r>
    </w:p>
    <w:p>
      <w:pPr>
        <w:spacing w:after="0" w:line="184" w:lineRule="exact"/>
        <w:rPr>
          <w:sz w:val="20"/>
          <w:szCs w:val="20"/>
          <w:color w:val="auto"/>
        </w:rPr>
      </w:pPr>
    </w:p>
    <w:p>
      <w:pPr>
        <w:ind w:left="1300" w:hanging="320"/>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 of $0.8 million in headcount-related expenses as we increased the number of administrative personnel and also incurred a full year of expenses during fiscal year 2019 for personnel hired during the second half of fiscal year 2018,</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 of $1.0 million in legal and professional fees,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 of $0.3 million in office-related expenses, insurance and other general and administrative expenses,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decrease of $3.7 million in merger-related expenses during fiscal year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 in fair value of warrant liabilities for the year ended December 31, 2019 was $18,000 as compared to ($40,000) for the fiscal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was approximately $1.1 million for the year ended December 31, 2019 and was attributable to interest income relating to funds that are held in U.S. Treasury notes and U.S. government agency-backed securities. Interest income for the year ended December 31, 2018 was approximately $0.3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recorded a net loss of $21.4 million, or a net loss per share, basic and diluted of ($0.47) during the year ended December 31, 2019 compared to a net loss of $148.0 million, or a net loss per share, basic and diluted of ($7.75) during the year ended December 31, 2018. The weighted average number of shares outstanding, basic and diluted, was 45.6 million for the year ended December 31, 2019 compared to 19.1 million for the year ended December 31, 2018. The decrease in our net loss in 2019, as compared to 2018, was due to research and development intellectual property acquired in 2018 in connection with the Merger and a decrease in stock-based compensation in 2019, offset in 2019 by increased spending due to the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including our clinical development of MultiTAA-specific T cell product candidates. In addition, our general and administrative expenses decreased in 2019 mainly due to the decrease in stock-based equity awards related to existing and new executives and key consultants.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generated any revenues from the sales or licensing of our product candidates since inception and only have limited revenue associated with grants. We have financed our operations primarily through public and private offerings of our stock and debt including warrants and the exercise thereof.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working capital as of December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720" w:type="dxa"/>
            <w:vAlign w:val="bottom"/>
            <w:tcBorders>
              <w:bottom w:val="single" w:sz="8" w:color="CCEEFF"/>
            </w:tcBorders>
          </w:tcPr>
          <w:p>
            <w:pPr>
              <w:spacing w:after="0"/>
              <w:rPr>
                <w:sz w:val="20"/>
                <w:szCs w:val="20"/>
                <w:color w:val="auto"/>
              </w:rPr>
            </w:pPr>
          </w:p>
        </w:tc>
        <w:tc>
          <w:tcPr>
            <w:tcW w:w="47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43,904,000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61,747,000</w:t>
            </w:r>
          </w:p>
        </w:tc>
        <w:tc>
          <w:tcPr>
            <w:tcW w:w="100" w:type="dxa"/>
            <w:vAlign w:val="bottom"/>
            <w:shd w:val="clear" w:color="auto" w:fill="CCEEFF"/>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Working capital</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w w:val="99"/>
              </w:rPr>
              <w:t>43,494,000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w w:val="99"/>
              </w:rPr>
              <w:t>59,193,000</w:t>
            </w:r>
          </w:p>
        </w:tc>
      </w:tr>
      <w:tr>
        <w:trPr>
          <w:trHeight w:val="634"/>
        </w:trPr>
        <w:tc>
          <w:tcPr>
            <w:tcW w:w="37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jc w:val="right"/>
              <w:ind w:right="26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60" w:type="dxa"/>
            <w:vAlign w:val="bottom"/>
          </w:tcPr>
          <w:p>
            <w:pPr>
              <w:spacing w:after="0"/>
              <w:rPr>
                <w:sz w:val="20"/>
                <w:szCs w:val="20"/>
                <w:color w:val="auto"/>
              </w:rPr>
            </w:pPr>
            <w:r>
              <w:rPr>
                <w:rFonts w:ascii="Arial" w:cs="Arial" w:eastAsia="Arial" w:hAnsi="Arial"/>
                <w:sz w:val="18"/>
                <w:szCs w:val="18"/>
                <w:color w:val="auto"/>
                <w:w w:val="99"/>
              </w:rPr>
              <w:t>The following table summarizes our cash flows for the years ended December 31, 2019 and 2018:</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For the Years Ended</w:t>
            </w:r>
          </w:p>
        </w:tc>
      </w:tr>
      <w:tr>
        <w:trPr>
          <w:trHeight w:val="234"/>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77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8"/>
                <w:szCs w:val="18"/>
                <w:color w:val="auto"/>
              </w:rPr>
            </w:pPr>
          </w:p>
        </w:tc>
      </w:tr>
      <w:tr>
        <w:trPr>
          <w:trHeight w:val="20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(18,284,000)</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(14,480,000)</w:t>
            </w:r>
          </w:p>
        </w:tc>
      </w:tr>
      <w:tr>
        <w:trPr>
          <w:trHeight w:val="216"/>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(148,000)</w:t>
            </w:r>
          </w:p>
        </w:tc>
      </w:tr>
      <w:tr>
        <w:trPr>
          <w:trHeight w:val="216"/>
        </w:trPr>
        <w:tc>
          <w:tcPr>
            <w:tcW w:w="776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816,000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71,245,000</w:t>
            </w:r>
          </w:p>
        </w:tc>
      </w:tr>
      <w:tr>
        <w:trPr>
          <w:trHeight w:val="210"/>
        </w:trPr>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(17,843,000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56,617,000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during the year ended December 31, 2019 was $18.3 million. The use of cash primarily related to our net loss of $21.4 million, in addition to the effect of changes in asset and liability accounts, including an increase in prepaid expenses and deposits of $1.4 million, a decrease in accounts payable and accrued liabilities of $1.0 million, a decrease in interest receivable of $52,000 and a net increase in lease liabilities of $0.2 million.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during the year ended December 31, 2018 was $14.5 million. The use of cash primarily related to our net loss of $148.0 million, in addition to the effect of changes in asset and liability accounts, including an increase in prepaid expenses and deposits of $0.1 million, an increase in accounts payable and accrued liabilities of $1.2 million and an increase in interest receivable of $0.1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was $0.4 million and $0.1 million for the purchase of property and equipment during the years ended December 31,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was $816,000 during the year December 31, 2019, due primarily to the exercise of stock warrants and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was $71.2 million during the year December 31, 2018, due primarily to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May 2018 Private Placement Transaction Common Stock Purchase Agreement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May 18, 2018, we closed on the sale of 1,300,000 shares of common stock for $2.40 per share pursuant to a common stock purchase agreement with an existing accredited investor in a private placement under Rule 506 of Regulation D. Aggregate gross proceeds were approximately $3.1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May 2018 Exercise of Warrants Held by Existing Institutional Investors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18, 2018, certain existing institutional investors agreed to exercise existing warrants for which we agreed to reduce the exercise price for a portion of such warrants from $6.00, $9.00, $15.00 and $7.20, respectively, per share to $2.50 per share, provided that the investors exercise such warrants for cash immediately. Such investors exercised warrants to purchase 782,506 shares. Aggregate proceeds of approximately $2.0 million.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u w:val="single" w:color="auto"/>
          <w:color w:val="auto"/>
        </w:rPr>
        <w:t>October 2018 Private Placement Transaction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17, 2018, concurrent with the completion of the Merger, we issued to certain accredited investors in a private placement transaction an aggregate of 17,500,000 shares of our common stock and warrants to purchase 13,437,500 shares of common stock at an exercise price of $5.00 per share with a five-year term. Aggregate proceeds were approximately $70.0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2019, we had cash and cash equivalents of approximately $43.9 million. Based on our revised clinical and research and development plans and our revised timing expectations related to the progress of our programs, we expect that our cash and cash equivalents as of December 31, 2019 will enable us to fund our operating expenses and capital expenditure requirements into the second quarter of 2021.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81" w:lineRule="exact"/>
        <w:rPr>
          <w:sz w:val="20"/>
          <w:szCs w:val="20"/>
          <w:color w:val="auto"/>
        </w:rPr>
      </w:pPr>
    </w:p>
    <w:p>
      <w:pPr>
        <w:ind w:left="920" w:hanging="912"/>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initiate or continue clinical trials of our product candidates;</w:t>
      </w:r>
    </w:p>
    <w:p>
      <w:pPr>
        <w:spacing w:after="0" w:line="23" w:lineRule="exact"/>
        <w:rPr>
          <w:rFonts w:ascii="Arial" w:cs="Arial" w:eastAsia="Arial" w:hAnsi="Arial"/>
          <w:sz w:val="18"/>
          <w:szCs w:val="18"/>
          <w:color w:val="auto"/>
        </w:rPr>
      </w:pPr>
    </w:p>
    <w:p>
      <w:pPr>
        <w:ind w:left="920" w:hanging="912"/>
        <w:spacing w:after="0" w:line="250"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 seek to discover additional product candidates; seek regulatory approvals for our product candidates if they successfully complete clinical trials;</w:t>
      </w:r>
    </w:p>
    <w:p>
      <w:pPr>
        <w:ind w:left="920" w:hanging="912"/>
        <w:spacing w:after="0" w:line="250"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scale-up manufacturing capabilities to commercialize any product candidates that may receive regulatory approval;</w:t>
      </w:r>
    </w:p>
    <w:p>
      <w:pPr>
        <w:ind w:left="920" w:hanging="912"/>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evaluate strategic transactions we may undertake; and</w:t>
      </w:r>
    </w:p>
    <w:p>
      <w:pPr>
        <w:spacing w:after="0" w:line="9" w:lineRule="exact"/>
        <w:rPr>
          <w:rFonts w:ascii="Arial" w:cs="Arial" w:eastAsia="Arial" w:hAnsi="Arial"/>
          <w:sz w:val="18"/>
          <w:szCs w:val="18"/>
          <w:color w:val="auto"/>
        </w:rPr>
      </w:pPr>
    </w:p>
    <w:p>
      <w:pPr>
        <w:ind w:left="920" w:hanging="912"/>
        <w:spacing w:after="0" w:line="260"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in financial condition, revenues,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Loss and Credit Carryforwards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2019, we have approximately $73.8 million of federal and $47.4 million of state net operating loss carryforwards that may be available to offset future taxable income, if any. The federal net operating loss carryforwards of $41.9 million, if not utilized, will expire between 2029 and 2037. The federal net operating loss carryforwards of $31.9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$25.5 million generated in 2018 and thereafter are subject to an 80% limitation on taxable income, do not expire and will carry forward indefinitely. Any change in ownership greater than 50% under Section 382 of the Internal Revenue Code places significant annual limitations on the use of such net operating loss carryforwards.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and 2018, we recorded a 100% valuation allowance against our deferred tax assets of approximately $24.6 million and $20.0 million, respectively, as our management believes it is uncertain that they will be fully realized. If we determine in the future that we will be able to realize all or a portion of our net operating loss carryforwards, an adjustment to valuation allowance against our deferred tax assets would increase net income in the period in which we make such a determination.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future revenues and operating results will not be significant. We do not believe that inflation has had a material impact on our results of operations for the periods presented, except with respect to payroll-related costs and other costs arising from or related to government-imposed regulations.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are incorporated herein by reference to pages F-1 to F-27 at the end of this report and the supplementary data is not applicable.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had no changes in, or disagreements with our principal independent accountants.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December 31, 2019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December 31, 2019. Based on that evaluation, our principal executive officer and principal financial officer concluded that our disclosure controls and procedures were effective as of December 31, 2019 to provide reasonable assurance that the information required to be disclosed by us in this Annual Report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 and Report of Independent Registered Public Accounting Firm</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financial and accounting officer, we conducted an evaluation of the effectiveness of our internal control over financial reporting as of December 31, 2019 based on the framework in Internal Control—Integrated Framework 2013 issued by the Committee of Sponsoring Organizations of the Treadway Commission (COSO). Based on that evaluation, our management concluded that our internal control over financial reporting was effective as of December 31, 2019.</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registered public accounting firm, Marcum LLP, has issued an attestation report on our internal control over financial reporting. The report on the audit of internal control over financial reporting is included in Part II, Item 8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information technology for internal and external communications with vendors, clinical sites, banks, investors and shareholders. Loss, disruption or compromise of these systems could significantly impact operations and results.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not aware of any material cybersecurity violation or occurrence. We believe our efforts toward prevention of such violation or occurrence, including system design and controls, processes and procedures, training and monitoring of system access, limit, but may not prevent unauthorized access to our systems.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than temporary disruption to operations that may be caused by a cybersecurity breach, we consider cash transactions to be the primary risk for potential loss. We and our financial institution take steps to minimize the risk by requiring multiple levels of authorization and other controls.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during the fiscal quarter ended December 31, 2019 that materially affected, or are reasonably likely to materially affect, our internal control over financial reporting.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Inherent Limitations on Effectiveness of Internal Controls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 of 2019 Performance Bonuses and 2020 Equity Incentive Awards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10, 2020, upon the recommendation of the compensation committee and pursuant to our 2014 Omnibus Stock Ownership Plan, our board of directors approved options to purchase our common stock as (i) performance bonuses for 2019 performance and (ii) equity-based incentive awards to our executive officers,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Number of Shares of Common</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 of Shares of Common</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Stock Underlying 2019</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Stock Underlying 2020 Equity</w:t>
            </w:r>
          </w:p>
        </w:tc>
      </w:t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Name and Title</w:t>
            </w:r>
          </w:p>
        </w:tc>
        <w:tc>
          <w:tcPr>
            <w:tcW w:w="2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Performance Bonus Award</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Incentive Award</w:t>
            </w:r>
          </w:p>
        </w:tc>
      </w:tr>
      <w:tr>
        <w:trPr>
          <w:trHeight w:val="195"/>
        </w:trPr>
        <w:tc>
          <w:tcPr>
            <w:tcW w:w="5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Peter L. Hoang</w:t>
            </w:r>
          </w:p>
        </w:tc>
        <w:tc>
          <w:tcPr>
            <w:tcW w:w="220" w:type="dxa"/>
            <w:vAlign w:val="bottom"/>
            <w:tcBorders>
              <w:top w:val="single" w:sz="8" w:color="CCEEFF"/>
            </w:tcBorders>
            <w:shd w:val="clear" w:color="auto" w:fill="CCEEFF"/>
          </w:tcPr>
          <w:p>
            <w:pPr>
              <w:spacing w:after="0"/>
              <w:rPr>
                <w:sz w:val="16"/>
                <w:szCs w:val="16"/>
                <w:color w:val="auto"/>
              </w:rPr>
            </w:pPr>
          </w:p>
        </w:tc>
        <w:tc>
          <w:tcPr>
            <w:tcW w:w="2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2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41,200</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388,800</w:t>
            </w:r>
          </w:p>
        </w:tc>
      </w:tr>
      <w:tr>
        <w:trPr>
          <w:trHeight w:val="202"/>
        </w:trPr>
        <w:tc>
          <w:tcPr>
            <w:tcW w:w="6080" w:type="dxa"/>
            <w:vAlign w:val="bottom"/>
            <w:gridSpan w:val="2"/>
          </w:tcPr>
          <w:p>
            <w:pPr>
              <w:spacing w:after="0" w:line="201" w:lineRule="exact"/>
              <w:rPr>
                <w:sz w:val="20"/>
                <w:szCs w:val="20"/>
                <w:color w:val="auto"/>
              </w:rPr>
            </w:pPr>
            <w:r>
              <w:rPr>
                <w:rFonts w:ascii="Arial" w:cs="Arial" w:eastAsia="Arial" w:hAnsi="Arial"/>
                <w:sz w:val="18"/>
                <w:szCs w:val="18"/>
                <w:color w:val="auto"/>
              </w:rPr>
              <w:t>Anthony Kim</w:t>
            </w:r>
          </w:p>
        </w:tc>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2700" w:type="dxa"/>
            <w:vAlign w:val="bottom"/>
            <w:gridSpan w:val="2"/>
          </w:tcPr>
          <w:p>
            <w:pPr>
              <w:jc w:val="right"/>
              <w:ind w:right="320"/>
              <w:spacing w:after="0"/>
              <w:rPr>
                <w:sz w:val="20"/>
                <w:szCs w:val="20"/>
                <w:color w:val="auto"/>
              </w:rPr>
            </w:pPr>
            <w:r>
              <w:rPr>
                <w:rFonts w:ascii="Arial" w:cs="Arial" w:eastAsia="Arial" w:hAnsi="Arial"/>
                <w:sz w:val="18"/>
                <w:szCs w:val="18"/>
                <w:color w:val="auto"/>
              </w:rPr>
              <w:t>32,500</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127,500</w:t>
            </w:r>
          </w:p>
        </w:tc>
      </w:tr>
      <w:tr>
        <w:trPr>
          <w:trHeight w:val="202"/>
        </w:trPr>
        <w:tc>
          <w:tcPr>
            <w:tcW w:w="6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Juan Vera</w:t>
            </w:r>
          </w:p>
        </w:tc>
        <w:tc>
          <w:tcPr>
            <w:tcW w:w="2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Development Officer</w:t>
            </w:r>
          </w:p>
        </w:tc>
        <w:tc>
          <w:tcPr>
            <w:tcW w:w="2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26,600</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113,400</w:t>
            </w:r>
          </w:p>
        </w:tc>
      </w:tr>
      <w:tr>
        <w:trPr>
          <w:trHeight w:val="202"/>
        </w:trPr>
        <w:tc>
          <w:tcPr>
            <w:tcW w:w="6080" w:type="dxa"/>
            <w:vAlign w:val="bottom"/>
            <w:gridSpan w:val="2"/>
          </w:tcPr>
          <w:p>
            <w:pPr>
              <w:spacing w:after="0" w:line="201" w:lineRule="exact"/>
              <w:rPr>
                <w:sz w:val="20"/>
                <w:szCs w:val="20"/>
                <w:color w:val="auto"/>
              </w:rPr>
            </w:pPr>
            <w:r>
              <w:rPr>
                <w:rFonts w:ascii="Arial" w:cs="Arial" w:eastAsia="Arial" w:hAnsi="Arial"/>
                <w:sz w:val="18"/>
                <w:szCs w:val="18"/>
                <w:color w:val="auto"/>
              </w:rPr>
              <w:t>Mythili Koneru</w:t>
            </w:r>
          </w:p>
        </w:tc>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i w:val="1"/>
                <w:iCs w:val="1"/>
                <w:color w:val="auto"/>
              </w:rPr>
              <w:t>Chief Medical Officer</w:t>
            </w:r>
          </w:p>
        </w:tc>
        <w:tc>
          <w:tcPr>
            <w:tcW w:w="2700" w:type="dxa"/>
            <w:vAlign w:val="bottom"/>
            <w:gridSpan w:val="2"/>
          </w:tcPr>
          <w:p>
            <w:pPr>
              <w:jc w:val="right"/>
              <w:ind w:right="320"/>
              <w:spacing w:after="0"/>
              <w:rPr>
                <w:sz w:val="20"/>
                <w:szCs w:val="20"/>
                <w:color w:val="auto"/>
              </w:rPr>
            </w:pPr>
            <w:r>
              <w:rPr>
                <w:rFonts w:ascii="Arial" w:cs="Arial" w:eastAsia="Arial" w:hAnsi="Arial"/>
                <w:sz w:val="18"/>
                <w:szCs w:val="18"/>
                <w:color w:val="auto"/>
              </w:rPr>
              <w:t>23,900</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116,100</w:t>
            </w:r>
          </w:p>
        </w:tc>
      </w:tr>
      <w:tr>
        <w:trPr>
          <w:trHeight w:val="202"/>
        </w:trPr>
        <w:tc>
          <w:tcPr>
            <w:tcW w:w="6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Michael Loiacono</w:t>
            </w:r>
          </w:p>
        </w:tc>
        <w:tc>
          <w:tcPr>
            <w:tcW w:w="2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Accounting Officer</w:t>
            </w:r>
          </w:p>
        </w:tc>
        <w:tc>
          <w:tcPr>
            <w:tcW w:w="2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20,900</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119,100</w:t>
            </w:r>
          </w:p>
        </w:tc>
      </w:tr>
      <w:tr>
        <w:trPr>
          <w:trHeight w:val="202"/>
        </w:trPr>
        <w:tc>
          <w:tcPr>
            <w:tcW w:w="6080" w:type="dxa"/>
            <w:vAlign w:val="bottom"/>
            <w:gridSpan w:val="2"/>
          </w:tcPr>
          <w:p>
            <w:pPr>
              <w:spacing w:after="0" w:line="201" w:lineRule="exact"/>
              <w:rPr>
                <w:sz w:val="20"/>
                <w:szCs w:val="20"/>
                <w:color w:val="auto"/>
              </w:rPr>
            </w:pPr>
            <w:r>
              <w:rPr>
                <w:rFonts w:ascii="Arial" w:cs="Arial" w:eastAsia="Arial" w:hAnsi="Arial"/>
                <w:sz w:val="18"/>
                <w:szCs w:val="18"/>
                <w:color w:val="auto"/>
              </w:rPr>
              <w:t>Nadia Agopyan</w:t>
            </w:r>
          </w:p>
        </w:tc>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i w:val="1"/>
                <w:iCs w:val="1"/>
                <w:color w:val="auto"/>
              </w:rPr>
              <w:t>Vice President, Regulatory Affairs</w:t>
            </w:r>
          </w:p>
        </w:tc>
        <w:tc>
          <w:tcPr>
            <w:tcW w:w="2700" w:type="dxa"/>
            <w:vAlign w:val="bottom"/>
            <w:gridSpan w:val="2"/>
          </w:tcPr>
          <w:p>
            <w:pPr>
              <w:jc w:val="right"/>
              <w:ind w:right="320"/>
              <w:spacing w:after="0"/>
              <w:rPr>
                <w:sz w:val="20"/>
                <w:szCs w:val="20"/>
                <w:color w:val="auto"/>
              </w:rPr>
            </w:pPr>
            <w:r>
              <w:rPr>
                <w:rFonts w:ascii="Arial" w:cs="Arial" w:eastAsia="Arial" w:hAnsi="Arial"/>
                <w:sz w:val="18"/>
                <w:szCs w:val="18"/>
                <w:color w:val="auto"/>
              </w:rPr>
              <w:t>7,300</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32,700</w:t>
            </w:r>
          </w:p>
        </w:tc>
      </w:tr>
      <w:tr>
        <w:trPr>
          <w:trHeight w:val="202"/>
        </w:trPr>
        <w:tc>
          <w:tcPr>
            <w:tcW w:w="6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Gerald Garrett</w:t>
            </w:r>
          </w:p>
        </w:tc>
        <w:tc>
          <w:tcPr>
            <w:tcW w:w="2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Vice President, Clinical Operations</w:t>
            </w:r>
          </w:p>
        </w:tc>
        <w:tc>
          <w:tcPr>
            <w:tcW w:w="2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1,700</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38,300</w:t>
            </w:r>
          </w:p>
        </w:tc>
      </w:tr>
      <w:tr>
        <w:trPr>
          <w:trHeight w:val="202"/>
        </w:trPr>
        <w:tc>
          <w:tcPr>
            <w:tcW w:w="6080" w:type="dxa"/>
            <w:vAlign w:val="bottom"/>
            <w:gridSpan w:val="2"/>
          </w:tcPr>
          <w:p>
            <w:pPr>
              <w:spacing w:after="0" w:line="201" w:lineRule="exact"/>
              <w:rPr>
                <w:sz w:val="20"/>
                <w:szCs w:val="20"/>
                <w:color w:val="auto"/>
              </w:rPr>
            </w:pPr>
            <w:r>
              <w:rPr>
                <w:rFonts w:ascii="Arial" w:cs="Arial" w:eastAsia="Arial" w:hAnsi="Arial"/>
                <w:sz w:val="18"/>
                <w:szCs w:val="18"/>
                <w:color w:val="auto"/>
              </w:rPr>
              <w:t>Lina Hoang</w:t>
            </w:r>
          </w:p>
        </w:tc>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i w:val="1"/>
                <w:iCs w:val="1"/>
                <w:color w:val="auto"/>
              </w:rPr>
              <w:t>Vice President, Research &amp; Development</w:t>
            </w:r>
          </w:p>
        </w:tc>
        <w:tc>
          <w:tcPr>
            <w:tcW w:w="2700" w:type="dxa"/>
            <w:vAlign w:val="bottom"/>
            <w:gridSpan w:val="2"/>
          </w:tcPr>
          <w:p>
            <w:pPr>
              <w:jc w:val="right"/>
              <w:ind w:right="320"/>
              <w:spacing w:after="0"/>
              <w:rPr>
                <w:sz w:val="20"/>
                <w:szCs w:val="20"/>
                <w:color w:val="auto"/>
              </w:rPr>
            </w:pPr>
            <w:r>
              <w:rPr>
                <w:rFonts w:ascii="Arial" w:cs="Arial" w:eastAsia="Arial" w:hAnsi="Arial"/>
                <w:sz w:val="18"/>
                <w:szCs w:val="18"/>
                <w:color w:val="auto"/>
              </w:rPr>
              <w:t>14,600</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25,400</w:t>
            </w:r>
          </w:p>
        </w:tc>
      </w:tr>
      <w:tr>
        <w:trPr>
          <w:trHeight w:val="202"/>
        </w:trPr>
        <w:tc>
          <w:tcPr>
            <w:tcW w:w="6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Anna Szymanska</w:t>
            </w:r>
          </w:p>
        </w:tc>
        <w:tc>
          <w:tcPr>
            <w:tcW w:w="2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Vice President, Quality</w:t>
            </w:r>
          </w:p>
        </w:tc>
        <w:tc>
          <w:tcPr>
            <w:tcW w:w="2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option award was granted with an exercise price of $2.12 per share, the closing price of our common stock on the Nasdaq Global Market on March 10, 2020, with the option award vesting in 48 equal monthly installments over a four-year period, subject to such executive officer’s continued service on the applicable vesting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and not set forth below will be set forth in the sections headed “Election of Directors,” “Management and Named Executive Officers” and “Section 16(a) Beneficial Ownership Reporting Compliance” in our definitive proxy statement for our 2019 Annual Meeting of Stockholders, or our Proxy Statement, to be filed with the SEC within 120 days after the end of the fiscal year ended December 31, 2019, and is incorporated herein by reference.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adopted a written code of business conduct and ethics that applies to our directors, officers and employees, including our principal executive officer, principal financial and accounting officer or controller, or persons performing similar functions, known as the Code of Ethics and Business Conduct. The Code of Ethics and Business Conduct is available on our website at www.markertherapeutics.com under the Corporate Governance section of our Investors page.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“Executive Compensation-Compensation Discussion and Analysis” in our Proxy Statement and is incorporated herein by reference.</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“Equity Compensation Plan Information” and “Security Ownership of Management and Certain Beneficial Owners” in our Proxy Statement and is incorporated herein by reference.</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information required by Item 201(d) of Regulation S-K will be set forth in the section headed “Executive Compensation-Compensation Discussion and Analysis” and “Board of Directors and Corporate Governance” in our Proxy Statement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“Certain Relationships and Related Transactions” and “Board of Directors and Corporate Governance” in our Proxy Statement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“Independent Auditors’ Fees and Services” in our Proxy Statement and is incorporated herein by reference.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documents filed as part of this report are as follows:</w:t>
      </w:r>
    </w:p>
    <w:p>
      <w:pPr>
        <w:spacing w:after="0" w:line="225" w:lineRule="exact"/>
        <w:rPr>
          <w:sz w:val="20"/>
          <w:szCs w:val="20"/>
          <w:color w:val="auto"/>
        </w:rPr>
      </w:pPr>
    </w:p>
    <w:p>
      <w:pPr>
        <w:ind w:right="640" w:firstLine="8"/>
        <w:spacing w:after="0" w:line="277" w:lineRule="auto"/>
        <w:tabs>
          <w:tab w:leader="none" w:pos="53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financial statements and accompanying report of independent registered public accounting firm are set forth immediately following the signature page of this report on pages F-1 through F-27.</w:t>
      </w:r>
    </w:p>
    <w:p>
      <w:pPr>
        <w:spacing w:after="0" w:line="170" w:lineRule="exact"/>
        <w:rPr>
          <w:rFonts w:ascii="Arial" w:cs="Arial" w:eastAsia="Arial" w:hAnsi="Arial"/>
          <w:sz w:val="18"/>
          <w:szCs w:val="18"/>
          <w:color w:val="auto"/>
        </w:rPr>
      </w:pPr>
    </w:p>
    <w:p>
      <w:pPr>
        <w:ind w:right="260" w:firstLine="8"/>
        <w:spacing w:after="0" w:line="277" w:lineRule="auto"/>
        <w:tabs>
          <w:tab w:leader="none" w:pos="5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inapplicable, not required or the information is included elsewhere in the financial statements or the notes thereto.</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following is a list of exhibits filed as part of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EXHIBIT INDEX</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Exhibit</w:t>
            </w: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3"/>
          </w:tcPr>
          <w:p>
            <w:pPr>
              <w:spacing w:after="0"/>
              <w:rPr>
                <w:sz w:val="20"/>
                <w:szCs w:val="20"/>
                <w:color w:val="auto"/>
              </w:rPr>
            </w:pPr>
            <w:r>
              <w:rPr>
                <w:rFonts w:ascii="Arial" w:cs="Arial" w:eastAsia="Arial" w:hAnsi="Arial"/>
                <w:sz w:val="18"/>
                <w:szCs w:val="18"/>
                <w:b w:val="1"/>
                <w:bCs w:val="1"/>
                <w:color w:val="auto"/>
                <w:w w:val="97"/>
              </w:rPr>
              <w:t>Incorporated by Reference</w:t>
            </w:r>
          </w:p>
        </w:tc>
        <w:tc>
          <w:tcPr>
            <w:tcW w:w="118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1"/>
              </w:rPr>
              <w:t>Filing</w:t>
            </w:r>
          </w:p>
        </w:tc>
        <w:tc>
          <w:tcPr>
            <w:tcW w:w="126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218"/>
        </w:trPr>
        <w:tc>
          <w:tcPr>
            <w:tcW w:w="114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ind w:left="200"/>
              <w:spacing w:after="0"/>
              <w:rPr>
                <w:sz w:val="20"/>
                <w:szCs w:val="20"/>
                <w:color w:val="auto"/>
              </w:rPr>
            </w:pPr>
            <w:r>
              <w:rPr>
                <w:rFonts w:ascii="Arial" w:cs="Arial" w:eastAsia="Arial" w:hAnsi="Arial"/>
                <w:sz w:val="18"/>
                <w:szCs w:val="18"/>
                <w:b w:val="1"/>
                <w:bCs w:val="1"/>
                <w:color w:val="auto"/>
              </w:rPr>
              <w:t>number</w:t>
            </w:r>
          </w:p>
        </w:tc>
        <w:tc>
          <w:tcPr>
            <w:tcW w:w="3720" w:type="dxa"/>
            <w:vAlign w:val="bottom"/>
            <w:gridSpan w:val="13"/>
          </w:tcPr>
          <w:p>
            <w:pPr>
              <w:ind w:left="1240"/>
              <w:spacing w:after="0"/>
              <w:rPr>
                <w:sz w:val="20"/>
                <w:szCs w:val="20"/>
                <w:color w:val="auto"/>
              </w:rPr>
            </w:pPr>
            <w:r>
              <w:rPr>
                <w:rFonts w:ascii="Arial" w:cs="Arial" w:eastAsia="Arial" w:hAnsi="Arial"/>
                <w:sz w:val="18"/>
                <w:szCs w:val="18"/>
                <w:b w:val="1"/>
                <w:bCs w:val="1"/>
                <w:color w:val="auto"/>
              </w:rPr>
              <w:t>Exhibit description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10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8"/>
              </w:rPr>
              <w:t>File no.</w:t>
            </w: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w:t>
            </w: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date</w:t>
            </w:r>
          </w:p>
        </w:tc>
        <w:tc>
          <w:tcPr>
            <w:tcW w:w="126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391"/>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720" w:type="dxa"/>
            <w:vAlign w:val="bottom"/>
            <w:gridSpan w:val="13"/>
          </w:tcPr>
          <w:p>
            <w:pPr>
              <w:spacing w:after="0"/>
              <w:rPr>
                <w:rFonts w:ascii="Arial" w:cs="Arial" w:eastAsia="Arial" w:hAnsi="Arial"/>
                <w:sz w:val="18"/>
                <w:szCs w:val="18"/>
                <w:color w:val="0000EE"/>
              </w:rPr>
            </w:pPr>
            <w:hyperlink r:id="rId105">
              <w:r>
                <w:rPr>
                  <w:rFonts w:ascii="Arial" w:cs="Arial" w:eastAsia="Arial" w:hAnsi="Arial"/>
                  <w:sz w:val="18"/>
                  <w:szCs w:val="18"/>
                  <w:color w:val="0000EE"/>
                </w:rPr>
                <w:t>Certificate of Incorporation</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001-37939</w:t>
            </w:r>
          </w:p>
        </w:tc>
        <w:tc>
          <w:tcPr>
            <w:tcW w:w="1260" w:type="dxa"/>
            <w:vAlign w:val="bottom"/>
          </w:tcPr>
          <w:p>
            <w:pPr>
              <w:jc w:val="center"/>
              <w:ind w:right="150"/>
              <w:spacing w:after="0"/>
              <w:rPr>
                <w:sz w:val="20"/>
                <w:szCs w:val="20"/>
                <w:color w:val="auto"/>
              </w:rPr>
            </w:pPr>
            <w:r>
              <w:rPr>
                <w:rFonts w:ascii="Arial" w:cs="Arial" w:eastAsia="Arial" w:hAnsi="Arial"/>
                <w:sz w:val="18"/>
                <w:szCs w:val="18"/>
                <w:color w:val="auto"/>
                <w:w w:val="87"/>
              </w:rPr>
              <w:t>3.4</w:t>
            </w:r>
          </w:p>
        </w:tc>
        <w:tc>
          <w:tcPr>
            <w:tcW w:w="160" w:type="dxa"/>
            <w:vAlign w:val="bottom"/>
          </w:tcPr>
          <w:p>
            <w:pPr>
              <w:spacing w:after="0"/>
              <w:rPr>
                <w:sz w:val="24"/>
                <w:szCs w:val="24"/>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10/17/18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660" w:type="dxa"/>
            <w:vAlign w:val="bottom"/>
            <w:tcBorders>
              <w:bottom w:val="single" w:sz="8" w:color="0000EE"/>
            </w:tcBorders>
            <w:gridSpan w:val="9"/>
          </w:tcPr>
          <w:p>
            <w:pPr>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Bylaws of Marker Therapeutics, Inc.</w:t>
              </w:r>
            </w:hyperlink>
          </w:p>
        </w:tc>
        <w:tc>
          <w:tcPr>
            <w:tcW w:w="1060" w:type="dxa"/>
            <w:vAlign w:val="bottom"/>
            <w:gridSpan w:val="4"/>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000-37939</w:t>
            </w:r>
          </w:p>
        </w:tc>
        <w:tc>
          <w:tcPr>
            <w:tcW w:w="1260" w:type="dxa"/>
            <w:vAlign w:val="bottom"/>
          </w:tcPr>
          <w:p>
            <w:pPr>
              <w:jc w:val="center"/>
              <w:ind w:right="150"/>
              <w:spacing w:after="0"/>
              <w:rPr>
                <w:sz w:val="20"/>
                <w:szCs w:val="20"/>
                <w:color w:val="auto"/>
              </w:rPr>
            </w:pPr>
            <w:r>
              <w:rPr>
                <w:rFonts w:ascii="Arial" w:cs="Arial" w:eastAsia="Arial" w:hAnsi="Arial"/>
                <w:sz w:val="18"/>
                <w:szCs w:val="18"/>
                <w:color w:val="auto"/>
                <w:w w:val="87"/>
              </w:rPr>
              <w:t>3.6</w:t>
            </w:r>
          </w:p>
        </w:tc>
        <w:tc>
          <w:tcPr>
            <w:tcW w:w="160" w:type="dxa"/>
            <w:vAlign w:val="bottom"/>
          </w:tcPr>
          <w:p>
            <w:pPr>
              <w:spacing w:after="0"/>
              <w:rPr>
                <w:sz w:val="24"/>
                <w:szCs w:val="24"/>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10/17/18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4.0</w:t>
            </w:r>
          </w:p>
        </w:tc>
        <w:tc>
          <w:tcPr>
            <w:tcW w:w="3720" w:type="dxa"/>
            <w:vAlign w:val="bottom"/>
            <w:gridSpan w:val="13"/>
          </w:tcPr>
          <w:p>
            <w:pPr>
              <w:spacing w:after="0"/>
              <w:rPr>
                <w:rFonts w:ascii="Arial" w:cs="Arial" w:eastAsia="Arial" w:hAnsi="Arial"/>
                <w:sz w:val="18"/>
                <w:szCs w:val="18"/>
                <w:color w:val="0000EE"/>
              </w:rPr>
            </w:pPr>
            <w:hyperlink r:id="rId107">
              <w:r>
                <w:rPr>
                  <w:rFonts w:ascii="Arial" w:cs="Arial" w:eastAsia="Arial" w:hAnsi="Arial"/>
                  <w:sz w:val="18"/>
                  <w:szCs w:val="18"/>
                  <w:color w:val="0000EE"/>
                </w:rPr>
                <w:t>Form of Common Stock Certificate of Marker</w:t>
              </w:r>
            </w:hyperlink>
          </w:p>
        </w:tc>
        <w:tc>
          <w:tcPr>
            <w:tcW w:w="1480" w:type="dxa"/>
            <w:vAlign w:val="bottom"/>
          </w:tcPr>
          <w:p>
            <w:pPr>
              <w:jc w:val="center"/>
              <w:ind w:left="10"/>
              <w:spacing w:after="0"/>
              <w:rPr>
                <w:sz w:val="20"/>
                <w:szCs w:val="20"/>
                <w:color w:val="auto"/>
              </w:rPr>
            </w:pPr>
            <w:r>
              <w:rPr>
                <w:rFonts w:ascii="Arial" w:cs="Arial" w:eastAsia="Arial" w:hAnsi="Arial"/>
                <w:sz w:val="18"/>
                <w:szCs w:val="18"/>
                <w:color w:val="auto"/>
              </w:rPr>
              <w:t>8-A/A</w:t>
            </w:r>
          </w:p>
        </w:tc>
        <w:tc>
          <w:tcPr>
            <w:tcW w:w="104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000-37939</w:t>
            </w:r>
          </w:p>
        </w:tc>
        <w:tc>
          <w:tcPr>
            <w:tcW w:w="1260" w:type="dxa"/>
            <w:vAlign w:val="bottom"/>
          </w:tcPr>
          <w:p>
            <w:pPr>
              <w:jc w:val="center"/>
              <w:ind w:right="150"/>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4"/>
                <w:szCs w:val="24"/>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10/17/18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3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Therapeutics, Inc.</w:t>
              </w:r>
            </w:hyperlink>
          </w:p>
        </w:tc>
        <w:tc>
          <w:tcPr>
            <w:tcW w:w="2020" w:type="dxa"/>
            <w:vAlign w:val="bottom"/>
            <w:tcBorders>
              <w:top w:val="single" w:sz="8" w:color="0000EE"/>
            </w:tcBorders>
            <w:gridSpan w:val="10"/>
          </w:tcPr>
          <w:p>
            <w:pPr>
              <w:spacing w:after="0"/>
              <w:rPr>
                <w:sz w:val="17"/>
                <w:szCs w:val="17"/>
                <w:color w:val="auto"/>
              </w:rPr>
            </w:pPr>
          </w:p>
        </w:tc>
        <w:tc>
          <w:tcPr>
            <w:tcW w:w="400" w:type="dxa"/>
            <w:vAlign w:val="bottom"/>
            <w:gridSpan w:val="2"/>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080" w:type="dxa"/>
            <w:vAlign w:val="bottom"/>
            <w:tcBorders>
              <w:bottom w:val="single" w:sz="8" w:color="0000EE"/>
            </w:tcBorders>
            <w:gridSpan w:val="10"/>
          </w:tcPr>
          <w:p>
            <w:pPr>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Form of Common Stock Purchase Warrant</w:t>
              </w:r>
            </w:hyperlink>
          </w:p>
        </w:tc>
        <w:tc>
          <w:tcPr>
            <w:tcW w:w="640" w:type="dxa"/>
            <w:vAlign w:val="bottom"/>
            <w:gridSpan w:val="3"/>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000-27239</w:t>
            </w:r>
          </w:p>
        </w:tc>
        <w:tc>
          <w:tcPr>
            <w:tcW w:w="1260" w:type="dxa"/>
            <w:vAlign w:val="bottom"/>
          </w:tcPr>
          <w:p>
            <w:pPr>
              <w:jc w:val="center"/>
              <w:ind w:right="150"/>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4"/>
                <w:szCs w:val="24"/>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3"/>
              </w:rPr>
              <w:t>8/14/14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660" w:type="dxa"/>
            <w:vAlign w:val="bottom"/>
            <w:tcBorders>
              <w:bottom w:val="single" w:sz="8" w:color="0000EE"/>
            </w:tcBorders>
            <w:gridSpan w:val="12"/>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Form of Placement Agent Warrant Common Stock</w:t>
              </w:r>
            </w:hyperlink>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000-27239</w:t>
            </w:r>
          </w:p>
        </w:tc>
        <w:tc>
          <w:tcPr>
            <w:tcW w:w="1260" w:type="dxa"/>
            <w:vAlign w:val="bottom"/>
          </w:tcPr>
          <w:p>
            <w:pPr>
              <w:jc w:val="center"/>
              <w:ind w:right="150"/>
              <w:spacing w:after="0"/>
              <w:rPr>
                <w:sz w:val="20"/>
                <w:szCs w:val="20"/>
                <w:color w:val="auto"/>
              </w:rPr>
            </w:pPr>
            <w:r>
              <w:rPr>
                <w:rFonts w:ascii="Arial" w:cs="Arial" w:eastAsia="Arial" w:hAnsi="Arial"/>
                <w:sz w:val="18"/>
                <w:szCs w:val="18"/>
                <w:color w:val="auto"/>
                <w:w w:val="87"/>
              </w:rPr>
              <w:t>4.6</w:t>
            </w:r>
          </w:p>
        </w:tc>
        <w:tc>
          <w:tcPr>
            <w:tcW w:w="160" w:type="dxa"/>
            <w:vAlign w:val="bottom"/>
          </w:tcPr>
          <w:p>
            <w:pPr>
              <w:spacing w:after="0"/>
              <w:rPr>
                <w:sz w:val="24"/>
                <w:szCs w:val="24"/>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3"/>
              </w:rPr>
              <w:t>1/12/15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09">
              <w:r>
                <w:rPr>
                  <w:rFonts w:ascii="Arial" w:cs="Arial" w:eastAsia="Arial" w:hAnsi="Arial"/>
                  <w:sz w:val="18"/>
                  <w:szCs w:val="18"/>
                  <w:color w:val="0000EE"/>
                  <w:w w:val="88"/>
                </w:rPr>
                <w:t>Purchase Warrants-Series A</w:t>
              </w:r>
            </w:hyperlink>
          </w:p>
        </w:tc>
        <w:tc>
          <w:tcPr>
            <w:tcW w:w="1680" w:type="dxa"/>
            <w:vAlign w:val="bottom"/>
            <w:gridSpan w:val="8"/>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3660" w:type="dxa"/>
            <w:vAlign w:val="bottom"/>
            <w:tcBorders>
              <w:bottom w:val="single" w:sz="8" w:color="0000EE"/>
            </w:tcBorders>
            <w:gridSpan w:val="12"/>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Form of Placement Agent Warrant Common Stock</w:t>
              </w:r>
            </w:hyperlink>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000-27239</w:t>
            </w:r>
          </w:p>
        </w:tc>
        <w:tc>
          <w:tcPr>
            <w:tcW w:w="1260" w:type="dxa"/>
            <w:vAlign w:val="bottom"/>
          </w:tcPr>
          <w:p>
            <w:pPr>
              <w:jc w:val="center"/>
              <w:ind w:right="150"/>
              <w:spacing w:after="0"/>
              <w:rPr>
                <w:sz w:val="20"/>
                <w:szCs w:val="20"/>
                <w:color w:val="auto"/>
              </w:rPr>
            </w:pPr>
            <w:r>
              <w:rPr>
                <w:rFonts w:ascii="Arial" w:cs="Arial" w:eastAsia="Arial" w:hAnsi="Arial"/>
                <w:sz w:val="18"/>
                <w:szCs w:val="18"/>
                <w:color w:val="auto"/>
                <w:w w:val="87"/>
              </w:rPr>
              <w:t>4.8</w:t>
            </w:r>
          </w:p>
        </w:tc>
        <w:tc>
          <w:tcPr>
            <w:tcW w:w="160" w:type="dxa"/>
            <w:vAlign w:val="bottom"/>
          </w:tcPr>
          <w:p>
            <w:pPr>
              <w:spacing w:after="0"/>
              <w:rPr>
                <w:sz w:val="24"/>
                <w:szCs w:val="24"/>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3"/>
              </w:rPr>
              <w:t>1/12/15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2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110">
              <w:r>
                <w:rPr>
                  <w:rFonts w:ascii="Arial" w:cs="Arial" w:eastAsia="Arial" w:hAnsi="Arial"/>
                  <w:sz w:val="18"/>
                  <w:szCs w:val="18"/>
                  <w:color w:val="0000EE"/>
                  <w:w w:val="87"/>
                </w:rPr>
                <w:t>Purchase Warrants-Series C</w:t>
              </w:r>
            </w:hyperlink>
          </w:p>
        </w:tc>
        <w:tc>
          <w:tcPr>
            <w:tcW w:w="1700" w:type="dxa"/>
            <w:vAlign w:val="bottom"/>
            <w:gridSpan w:val="9"/>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3660" w:type="dxa"/>
            <w:vAlign w:val="bottom"/>
            <w:tcBorders>
              <w:bottom w:val="single" w:sz="8" w:color="0000EE"/>
            </w:tcBorders>
            <w:gridSpan w:val="12"/>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Form of Placement Agent Warrant Common Stock</w:t>
              </w:r>
            </w:hyperlink>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000-27239</w:t>
            </w:r>
          </w:p>
        </w:tc>
        <w:tc>
          <w:tcPr>
            <w:tcW w:w="1260" w:type="dxa"/>
            <w:vAlign w:val="bottom"/>
          </w:tcPr>
          <w:p>
            <w:pPr>
              <w:jc w:val="center"/>
              <w:ind w:right="150"/>
              <w:spacing w:after="0"/>
              <w:rPr>
                <w:sz w:val="20"/>
                <w:szCs w:val="20"/>
                <w:color w:val="auto"/>
              </w:rPr>
            </w:pPr>
            <w:r>
              <w:rPr>
                <w:rFonts w:ascii="Arial" w:cs="Arial" w:eastAsia="Arial" w:hAnsi="Arial"/>
                <w:sz w:val="18"/>
                <w:szCs w:val="18"/>
                <w:color w:val="auto"/>
                <w:w w:val="87"/>
              </w:rPr>
              <w:t>4.9</w:t>
            </w:r>
          </w:p>
        </w:tc>
        <w:tc>
          <w:tcPr>
            <w:tcW w:w="160" w:type="dxa"/>
            <w:vAlign w:val="bottom"/>
          </w:tcPr>
          <w:p>
            <w:pPr>
              <w:spacing w:after="0"/>
              <w:rPr>
                <w:sz w:val="24"/>
                <w:szCs w:val="24"/>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3"/>
              </w:rPr>
              <w:t>1/12/15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11">
              <w:r>
                <w:rPr>
                  <w:rFonts w:ascii="Arial" w:cs="Arial" w:eastAsia="Arial" w:hAnsi="Arial"/>
                  <w:sz w:val="18"/>
                  <w:szCs w:val="18"/>
                  <w:color w:val="0000EE"/>
                  <w:w w:val="88"/>
                </w:rPr>
                <w:t>Purchase Warrants-Series D</w:t>
              </w:r>
            </w:hyperlink>
          </w:p>
        </w:tc>
        <w:tc>
          <w:tcPr>
            <w:tcW w:w="1680" w:type="dxa"/>
            <w:vAlign w:val="bottom"/>
            <w:gridSpan w:val="8"/>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3660" w:type="dxa"/>
            <w:vAlign w:val="bottom"/>
            <w:tcBorders>
              <w:bottom w:val="single" w:sz="8" w:color="0000EE"/>
            </w:tcBorders>
            <w:gridSpan w:val="12"/>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Form of Placement Agent Warrant Common Stock</w:t>
              </w:r>
            </w:hyperlink>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000-27239</w:t>
            </w:r>
          </w:p>
        </w:tc>
        <w:tc>
          <w:tcPr>
            <w:tcW w:w="1260" w:type="dxa"/>
            <w:vAlign w:val="bottom"/>
          </w:tcPr>
          <w:p>
            <w:pPr>
              <w:jc w:val="center"/>
              <w:ind w:right="170"/>
              <w:spacing w:after="0"/>
              <w:rPr>
                <w:sz w:val="20"/>
                <w:szCs w:val="20"/>
                <w:color w:val="auto"/>
              </w:rPr>
            </w:pPr>
            <w:r>
              <w:rPr>
                <w:rFonts w:ascii="Arial" w:cs="Arial" w:eastAsia="Arial" w:hAnsi="Arial"/>
                <w:sz w:val="18"/>
                <w:szCs w:val="18"/>
                <w:color w:val="auto"/>
                <w:w w:val="91"/>
              </w:rPr>
              <w:t>4.10</w:t>
            </w:r>
          </w:p>
        </w:tc>
        <w:tc>
          <w:tcPr>
            <w:tcW w:w="160" w:type="dxa"/>
            <w:vAlign w:val="bottom"/>
          </w:tcPr>
          <w:p>
            <w:pPr>
              <w:spacing w:after="0"/>
              <w:rPr>
                <w:sz w:val="24"/>
                <w:szCs w:val="24"/>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3"/>
              </w:rPr>
              <w:t>1/12/15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r:id="rId112">
              <w:r>
                <w:rPr>
                  <w:rFonts w:ascii="Arial" w:cs="Arial" w:eastAsia="Arial" w:hAnsi="Arial"/>
                  <w:sz w:val="18"/>
                  <w:szCs w:val="18"/>
                  <w:color w:val="0000EE"/>
                  <w:w w:val="86"/>
                </w:rPr>
                <w:t>Purchase Warrants-Series E</w:t>
              </w:r>
            </w:hyperlink>
          </w:p>
        </w:tc>
        <w:tc>
          <w:tcPr>
            <w:tcW w:w="1720" w:type="dxa"/>
            <w:vAlign w:val="bottom"/>
            <w:gridSpan w:val="10"/>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3660" w:type="dxa"/>
            <w:vAlign w:val="bottom"/>
            <w:tcBorders>
              <w:bottom w:val="single" w:sz="8" w:color="0000EE"/>
            </w:tcBorders>
            <w:gridSpan w:val="12"/>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Form of Placement Agent Warrant Common Stock</w:t>
              </w:r>
            </w:hyperlink>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000-27239</w:t>
            </w:r>
          </w:p>
        </w:tc>
        <w:tc>
          <w:tcPr>
            <w:tcW w:w="1260" w:type="dxa"/>
            <w:vAlign w:val="bottom"/>
          </w:tcPr>
          <w:p>
            <w:pPr>
              <w:jc w:val="center"/>
              <w:ind w:right="150"/>
              <w:spacing w:after="0"/>
              <w:rPr>
                <w:sz w:val="20"/>
                <w:szCs w:val="20"/>
                <w:color w:val="auto"/>
              </w:rPr>
            </w:pPr>
            <w:r>
              <w:rPr>
                <w:rFonts w:ascii="Arial" w:cs="Arial" w:eastAsia="Arial" w:hAnsi="Arial"/>
                <w:sz w:val="18"/>
                <w:szCs w:val="18"/>
                <w:color w:val="auto"/>
                <w:w w:val="87"/>
              </w:rPr>
              <w:t>4.6</w:t>
            </w:r>
          </w:p>
        </w:tc>
        <w:tc>
          <w:tcPr>
            <w:tcW w:w="160" w:type="dxa"/>
            <w:vAlign w:val="bottom"/>
          </w:tcPr>
          <w:p>
            <w:pPr>
              <w:spacing w:after="0"/>
              <w:rPr>
                <w:sz w:val="24"/>
                <w:szCs w:val="24"/>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3"/>
              </w:rPr>
              <w:t>3/10/15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20" w:type="dxa"/>
            <w:vAlign w:val="bottom"/>
            <w:gridSpan w:val="13"/>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Purchase Warrants-Series A-1</w:t>
              </w:r>
            </w:hyperlink>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3660" w:type="dxa"/>
            <w:vAlign w:val="bottom"/>
            <w:tcBorders>
              <w:bottom w:val="single" w:sz="8" w:color="0000EE"/>
            </w:tcBorders>
            <w:gridSpan w:val="12"/>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Form of Placement Agent Warrant Common Stock</w:t>
              </w:r>
            </w:hyperlink>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000-27239</w:t>
            </w:r>
          </w:p>
        </w:tc>
        <w:tc>
          <w:tcPr>
            <w:tcW w:w="1260" w:type="dxa"/>
            <w:vAlign w:val="bottom"/>
          </w:tcPr>
          <w:p>
            <w:pPr>
              <w:jc w:val="center"/>
              <w:ind w:right="170"/>
              <w:spacing w:after="0"/>
              <w:rPr>
                <w:sz w:val="20"/>
                <w:szCs w:val="20"/>
                <w:color w:val="auto"/>
              </w:rPr>
            </w:pPr>
            <w:r>
              <w:rPr>
                <w:rFonts w:ascii="Arial" w:cs="Arial" w:eastAsia="Arial" w:hAnsi="Arial"/>
                <w:sz w:val="18"/>
                <w:szCs w:val="18"/>
                <w:color w:val="auto"/>
                <w:w w:val="91"/>
              </w:rPr>
              <w:t>4.10</w:t>
            </w:r>
          </w:p>
        </w:tc>
        <w:tc>
          <w:tcPr>
            <w:tcW w:w="160" w:type="dxa"/>
            <w:vAlign w:val="bottom"/>
          </w:tcPr>
          <w:p>
            <w:pPr>
              <w:spacing w:after="0"/>
              <w:rPr>
                <w:sz w:val="24"/>
                <w:szCs w:val="24"/>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3"/>
              </w:rPr>
              <w:t>3/10/15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20" w:type="dxa"/>
            <w:vAlign w:val="bottom"/>
            <w:gridSpan w:val="13"/>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Purchase Warrants-Series E-1</w:t>
              </w:r>
            </w:hyperlink>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2620" w:type="dxa"/>
            <w:vAlign w:val="bottom"/>
            <w:tcBorders>
              <w:bottom w:val="single" w:sz="8" w:color="0000EE"/>
            </w:tcBorders>
            <w:gridSpan w:val="8"/>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Form of Amended Series A Warrant</w:t>
              </w:r>
            </w:hyperlink>
          </w:p>
        </w:tc>
        <w:tc>
          <w:tcPr>
            <w:tcW w:w="1100" w:type="dxa"/>
            <w:vAlign w:val="bottom"/>
            <w:gridSpan w:val="5"/>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000-27239</w:t>
            </w:r>
          </w:p>
        </w:tc>
        <w:tc>
          <w:tcPr>
            <w:tcW w:w="1260" w:type="dxa"/>
            <w:vAlign w:val="bottom"/>
          </w:tcPr>
          <w:p>
            <w:pPr>
              <w:jc w:val="center"/>
              <w:ind w:right="150"/>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4"/>
                <w:szCs w:val="24"/>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89"/>
              </w:rPr>
              <w:t>8/11/16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3720" w:type="dxa"/>
            <w:vAlign w:val="bottom"/>
            <w:gridSpan w:val="13"/>
          </w:tcPr>
          <w:p>
            <w:pPr>
              <w:spacing w:after="0"/>
              <w:rPr>
                <w:rFonts w:ascii="Arial" w:cs="Arial" w:eastAsia="Arial" w:hAnsi="Arial"/>
                <w:sz w:val="18"/>
                <w:szCs w:val="18"/>
                <w:color w:val="0000EE"/>
              </w:rPr>
            </w:pPr>
            <w:hyperlink r:id="rId116">
              <w:r>
                <w:rPr>
                  <w:rFonts w:ascii="Arial" w:cs="Arial" w:eastAsia="Arial" w:hAnsi="Arial"/>
                  <w:sz w:val="18"/>
                  <w:szCs w:val="18"/>
                  <w:color w:val="0000EE"/>
                </w:rPr>
                <w:t>Form of Amended Series C Warrant</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000-27239</w:t>
            </w:r>
          </w:p>
        </w:tc>
        <w:tc>
          <w:tcPr>
            <w:tcW w:w="1260" w:type="dxa"/>
            <w:vAlign w:val="bottom"/>
          </w:tcPr>
          <w:p>
            <w:pPr>
              <w:jc w:val="center"/>
              <w:ind w:right="150"/>
              <w:spacing w:after="0"/>
              <w:rPr>
                <w:sz w:val="20"/>
                <w:szCs w:val="20"/>
                <w:color w:val="auto"/>
              </w:rPr>
            </w:pPr>
            <w:r>
              <w:rPr>
                <w:rFonts w:ascii="Arial" w:cs="Arial" w:eastAsia="Arial" w:hAnsi="Arial"/>
                <w:sz w:val="18"/>
                <w:szCs w:val="18"/>
                <w:color w:val="auto"/>
                <w:w w:val="87"/>
              </w:rPr>
              <w:t>4.3</w:t>
            </w:r>
          </w:p>
        </w:tc>
        <w:tc>
          <w:tcPr>
            <w:tcW w:w="160" w:type="dxa"/>
            <w:vAlign w:val="bottom"/>
          </w:tcPr>
          <w:p>
            <w:pPr>
              <w:spacing w:after="0"/>
              <w:rPr>
                <w:sz w:val="24"/>
                <w:szCs w:val="24"/>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89"/>
              </w:rPr>
              <w:t>8/11/16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00" w:type="dxa"/>
            <w:vAlign w:val="bottom"/>
            <w:gridSpan w:val="7"/>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3720" w:type="dxa"/>
            <w:vAlign w:val="bottom"/>
            <w:gridSpan w:val="13"/>
          </w:tcPr>
          <w:p>
            <w:pPr>
              <w:spacing w:after="0"/>
              <w:rPr>
                <w:rFonts w:ascii="Arial" w:cs="Arial" w:eastAsia="Arial" w:hAnsi="Arial"/>
                <w:sz w:val="18"/>
                <w:szCs w:val="18"/>
                <w:color w:val="0000EE"/>
              </w:rPr>
            </w:pPr>
            <w:hyperlink r:id="rId117">
              <w:r>
                <w:rPr>
                  <w:rFonts w:ascii="Arial" w:cs="Arial" w:eastAsia="Arial" w:hAnsi="Arial"/>
                  <w:sz w:val="18"/>
                  <w:szCs w:val="18"/>
                  <w:color w:val="0000EE"/>
                </w:rPr>
                <w:t>Form of Amended Series D Warrant</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000-27239</w:t>
            </w:r>
          </w:p>
        </w:tc>
        <w:tc>
          <w:tcPr>
            <w:tcW w:w="1260" w:type="dxa"/>
            <w:vAlign w:val="bottom"/>
          </w:tcPr>
          <w:p>
            <w:pPr>
              <w:jc w:val="center"/>
              <w:ind w:right="150"/>
              <w:spacing w:after="0"/>
              <w:rPr>
                <w:sz w:val="20"/>
                <w:szCs w:val="20"/>
                <w:color w:val="auto"/>
              </w:rPr>
            </w:pPr>
            <w:r>
              <w:rPr>
                <w:rFonts w:ascii="Arial" w:cs="Arial" w:eastAsia="Arial" w:hAnsi="Arial"/>
                <w:sz w:val="18"/>
                <w:szCs w:val="18"/>
                <w:color w:val="auto"/>
                <w:w w:val="87"/>
              </w:rPr>
              <w:t>4.4</w:t>
            </w:r>
          </w:p>
        </w:tc>
        <w:tc>
          <w:tcPr>
            <w:tcW w:w="160" w:type="dxa"/>
            <w:vAlign w:val="bottom"/>
          </w:tcPr>
          <w:p>
            <w:pPr>
              <w:spacing w:after="0"/>
              <w:rPr>
                <w:sz w:val="24"/>
                <w:szCs w:val="24"/>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89"/>
              </w:rPr>
              <w:t>8/11/16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1140" w:type="dxa"/>
            <w:vAlign w:val="bottom"/>
            <w:tcBorders>
              <w:bottom w:val="single" w:sz="8" w:color="auto"/>
            </w:tcBorders>
          </w:tcPr>
          <w:p>
            <w:pPr>
              <w:spacing w:after="0"/>
              <w:rPr>
                <w:sz w:val="24"/>
                <w:szCs w:val="24"/>
                <w:color w:val="auto"/>
              </w:rPr>
            </w:pPr>
          </w:p>
        </w:tc>
        <w:tc>
          <w:tcPr>
            <w:tcW w:w="130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82</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Incorporated by Reference</w:t>
            </w: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Exhibit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Filing</w:t>
            </w:r>
          </w:p>
        </w:tc>
        <w:tc>
          <w:tcPr>
            <w:tcW w:w="1260" w:type="dxa"/>
            <w:vAlign w:val="bottom"/>
          </w:tcPr>
          <w:p>
            <w:pPr>
              <w:jc w:val="center"/>
              <w:ind w:left="50"/>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234"/>
        </w:trPr>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w:t>
            </w:r>
          </w:p>
        </w:tc>
        <w:tc>
          <w:tcPr>
            <w:tcW w:w="1180" w:type="dxa"/>
            <w:vAlign w:val="bottom"/>
          </w:tcPr>
          <w:p>
            <w:pPr>
              <w:spacing w:after="0"/>
              <w:rPr>
                <w:sz w:val="20"/>
                <w:szCs w:val="20"/>
                <w:color w:val="auto"/>
              </w:rPr>
            </w:pPr>
          </w:p>
        </w:tc>
        <w:tc>
          <w:tcPr>
            <w:tcW w:w="2940" w:type="dxa"/>
            <w:vAlign w:val="bottom"/>
            <w:gridSpan w:val="27"/>
          </w:tcPr>
          <w:p>
            <w:pPr>
              <w:ind w:left="60"/>
              <w:spacing w:after="0"/>
              <w:rPr>
                <w:sz w:val="20"/>
                <w:szCs w:val="20"/>
                <w:color w:val="auto"/>
              </w:rPr>
            </w:pPr>
            <w:r>
              <w:rPr>
                <w:rFonts w:ascii="Arial" w:cs="Arial" w:eastAsia="Arial" w:hAnsi="Arial"/>
                <w:sz w:val="18"/>
                <w:szCs w:val="18"/>
                <w:b w:val="1"/>
                <w:bCs w:val="1"/>
                <w:color w:val="auto"/>
              </w:rPr>
              <w:t>Exhibit description</w:t>
            </w: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Form</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File no.</w:t>
            </w:r>
          </w:p>
        </w:tc>
        <w:tc>
          <w:tcPr>
            <w:tcW w:w="118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date</w:t>
            </w:r>
          </w:p>
        </w:tc>
        <w:tc>
          <w:tcPr>
            <w:tcW w:w="126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392"/>
        </w:trPr>
        <w:tc>
          <w:tcPr>
            <w:tcW w:w="1140" w:type="dxa"/>
            <w:vAlign w:val="bottom"/>
          </w:tcPr>
          <w:p>
            <w:pPr>
              <w:jc w:val="right"/>
              <w:ind w:right="330"/>
              <w:spacing w:after="0"/>
              <w:rPr>
                <w:sz w:val="20"/>
                <w:szCs w:val="20"/>
                <w:color w:val="auto"/>
              </w:rPr>
            </w:pPr>
            <w:r>
              <w:rPr>
                <w:rFonts w:ascii="Arial" w:cs="Arial" w:eastAsia="Arial" w:hAnsi="Arial"/>
                <w:sz w:val="18"/>
                <w:szCs w:val="18"/>
                <w:color w:val="auto"/>
              </w:rPr>
              <w:t>4.11</w:t>
            </w:r>
          </w:p>
        </w:tc>
        <w:tc>
          <w:tcPr>
            <w:tcW w:w="2600" w:type="dxa"/>
            <w:vAlign w:val="bottom"/>
            <w:tcBorders>
              <w:bottom w:val="single" w:sz="8" w:color="0000EE"/>
            </w:tcBorders>
            <w:gridSpan w:val="12"/>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Form of Amended Series E Warrant</w:t>
              </w:r>
            </w:hyperlink>
          </w:p>
        </w:tc>
        <w:tc>
          <w:tcPr>
            <w:tcW w:w="1520" w:type="dxa"/>
            <w:vAlign w:val="bottom"/>
            <w:gridSpan w:val="16"/>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000-27239</w:t>
            </w: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87"/>
              </w:rPr>
              <w:t>4.5</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9"/>
              </w:rPr>
              <w:t>8/11/16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4.12</w:t>
            </w:r>
          </w:p>
        </w:tc>
        <w:tc>
          <w:tcPr>
            <w:tcW w:w="2780" w:type="dxa"/>
            <w:vAlign w:val="bottom"/>
            <w:tcBorders>
              <w:bottom w:val="single" w:sz="8" w:color="0000EE"/>
            </w:tcBorders>
            <w:gridSpan w:val="15"/>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Form of Amended Series A-1 Warrant</w:t>
              </w:r>
            </w:hyperlink>
          </w:p>
        </w:tc>
        <w:tc>
          <w:tcPr>
            <w:tcW w:w="1340" w:type="dxa"/>
            <w:vAlign w:val="bottom"/>
            <w:gridSpan w:val="13"/>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000-27239</w:t>
            </w: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87"/>
              </w:rPr>
              <w:t>4.6</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9"/>
              </w:rPr>
              <w:t>8/11/16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4.13</w:t>
            </w:r>
          </w:p>
        </w:tc>
        <w:tc>
          <w:tcPr>
            <w:tcW w:w="4120" w:type="dxa"/>
            <w:vAlign w:val="bottom"/>
            <w:gridSpan w:val="28"/>
          </w:tcPr>
          <w:p>
            <w:pPr>
              <w:spacing w:after="0"/>
              <w:rPr>
                <w:rFonts w:ascii="Arial" w:cs="Arial" w:eastAsia="Arial" w:hAnsi="Arial"/>
                <w:sz w:val="18"/>
                <w:szCs w:val="18"/>
                <w:color w:val="0000EE"/>
              </w:rPr>
            </w:pPr>
            <w:hyperlink r:id="rId120">
              <w:r>
                <w:rPr>
                  <w:rFonts w:ascii="Arial" w:cs="Arial" w:eastAsia="Arial" w:hAnsi="Arial"/>
                  <w:sz w:val="18"/>
                  <w:szCs w:val="18"/>
                  <w:color w:val="0000EE"/>
                </w:rPr>
                <w:t>Form of Amended Series D-1 Warrant</w:t>
              </w:r>
            </w:hyperlink>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000-27239</w:t>
            </w: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87"/>
              </w:rPr>
              <w:t>4.7</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9"/>
              </w:rPr>
              <w:t>8/11/16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4.14</w:t>
            </w:r>
          </w:p>
        </w:tc>
        <w:tc>
          <w:tcPr>
            <w:tcW w:w="18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r:id="rId121">
              <w:r>
                <w:rPr>
                  <w:rFonts w:ascii="Arial" w:cs="Arial" w:eastAsia="Arial" w:hAnsi="Arial"/>
                  <w:sz w:val="18"/>
                  <w:szCs w:val="18"/>
                  <w:color w:val="0000EE"/>
                  <w:w w:val="89"/>
                </w:rPr>
                <w:t>Form of Series F Warrant</w:t>
              </w:r>
            </w:hyperlink>
          </w:p>
        </w:tc>
        <w:tc>
          <w:tcPr>
            <w:tcW w:w="920" w:type="dxa"/>
            <w:vAlign w:val="bottom"/>
            <w:tcBorders>
              <w:top w:val="single" w:sz="8" w:color="0000EE"/>
            </w:tcBorders>
            <w:gridSpan w:val="7"/>
          </w:tcPr>
          <w:p>
            <w:pPr>
              <w:spacing w:after="0"/>
              <w:rPr>
                <w:sz w:val="24"/>
                <w:szCs w:val="24"/>
                <w:color w:val="auto"/>
              </w:rPr>
            </w:pPr>
          </w:p>
        </w:tc>
        <w:tc>
          <w:tcPr>
            <w:tcW w:w="1360" w:type="dxa"/>
            <w:vAlign w:val="bottom"/>
            <w:gridSpan w:val="14"/>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000-27239</w:t>
            </w: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87"/>
              </w:rPr>
              <w:t>4.9</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9"/>
              </w:rPr>
              <w:t>8/11/16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4.15</w:t>
            </w:r>
          </w:p>
        </w:tc>
        <w:tc>
          <w:tcPr>
            <w:tcW w:w="4120" w:type="dxa"/>
            <w:vAlign w:val="bottom"/>
            <w:gridSpan w:val="28"/>
          </w:tcPr>
          <w:p>
            <w:pPr>
              <w:spacing w:after="0"/>
              <w:rPr>
                <w:rFonts w:ascii="Arial" w:cs="Arial" w:eastAsia="Arial" w:hAnsi="Arial"/>
                <w:sz w:val="18"/>
                <w:szCs w:val="18"/>
                <w:color w:val="0000EE"/>
              </w:rPr>
            </w:pPr>
            <w:hyperlink r:id="rId122">
              <w:r>
                <w:rPr>
                  <w:rFonts w:ascii="Arial" w:cs="Arial" w:eastAsia="Arial" w:hAnsi="Arial"/>
                  <w:sz w:val="18"/>
                  <w:szCs w:val="18"/>
                  <w:color w:val="0000EE"/>
                </w:rPr>
                <w:t>Form of Series F-1 Warrant</w:t>
              </w:r>
            </w:hyperlink>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000-27239</w:t>
            </w: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4.10</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9"/>
              </w:rPr>
              <w:t>8/11/16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4.16</w:t>
            </w:r>
          </w:p>
        </w:tc>
        <w:tc>
          <w:tcPr>
            <w:tcW w:w="4120" w:type="dxa"/>
            <w:vAlign w:val="bottom"/>
            <w:gridSpan w:val="28"/>
          </w:tcPr>
          <w:p>
            <w:pPr>
              <w:spacing w:after="0"/>
              <w:rPr>
                <w:rFonts w:ascii="Arial" w:cs="Arial" w:eastAsia="Arial" w:hAnsi="Arial"/>
                <w:sz w:val="18"/>
                <w:szCs w:val="18"/>
                <w:color w:val="0000EE"/>
              </w:rPr>
            </w:pPr>
            <w:hyperlink r:id="rId123">
              <w:r>
                <w:rPr>
                  <w:rFonts w:ascii="Arial" w:cs="Arial" w:eastAsia="Arial" w:hAnsi="Arial"/>
                  <w:sz w:val="18"/>
                  <w:szCs w:val="18"/>
                  <w:color w:val="0000EE"/>
                </w:rPr>
                <w:t>Form of August 2016 Private Placement Warrant</w:t>
              </w:r>
            </w:hyperlink>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000-27239</w:t>
            </w: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87"/>
              </w:rPr>
              <w:t>4.1</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9"/>
              </w:rPr>
              <w:t>8/11/16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4.17</w:t>
            </w:r>
          </w:p>
        </w:tc>
        <w:tc>
          <w:tcPr>
            <w:tcW w:w="346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Form of 2016 Private Placement Agent Warrant</w:t>
              </w:r>
            </w:hyperlink>
          </w:p>
        </w:tc>
        <w:tc>
          <w:tcPr>
            <w:tcW w:w="60" w:type="dxa"/>
            <w:vAlign w:val="bottom"/>
            <w:tcBorders>
              <w:top w:val="single" w:sz="8" w:color="0000EE"/>
            </w:tcBorders>
          </w:tcPr>
          <w:p>
            <w:pPr>
              <w:spacing w:after="0"/>
              <w:rPr>
                <w:sz w:val="24"/>
                <w:szCs w:val="24"/>
                <w:color w:val="auto"/>
              </w:rPr>
            </w:pPr>
          </w:p>
        </w:tc>
        <w:tc>
          <w:tcPr>
            <w:tcW w:w="600" w:type="dxa"/>
            <w:vAlign w:val="bottom"/>
            <w:gridSpan w:val="7"/>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000-27239</w:t>
            </w: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85"/>
              </w:rPr>
              <w:t>4.11</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9"/>
              </w:rPr>
              <w:t>8/11/16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4.18</w:t>
            </w:r>
          </w:p>
        </w:tc>
        <w:tc>
          <w:tcPr>
            <w:tcW w:w="3340" w:type="dxa"/>
            <w:vAlign w:val="bottom"/>
            <w:tcBorders>
              <w:bottom w:val="single" w:sz="8" w:color="0000EE"/>
            </w:tcBorders>
            <w:gridSpan w:val="18"/>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Form of June 2017 Private Placement Warrant</w:t>
              </w:r>
            </w:hyperlink>
          </w:p>
        </w:tc>
        <w:tc>
          <w:tcPr>
            <w:tcW w:w="780" w:type="dxa"/>
            <w:vAlign w:val="bottom"/>
            <w:gridSpan w:val="10"/>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87"/>
              </w:rPr>
              <w:t>4.1</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3"/>
              </w:rPr>
              <w:t>6/22/17</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4.19</w:t>
            </w:r>
          </w:p>
        </w:tc>
        <w:tc>
          <w:tcPr>
            <w:tcW w:w="3460" w:type="dxa"/>
            <w:vAlign w:val="bottom"/>
            <w:tcBorders>
              <w:bottom w:val="single" w:sz="8" w:color="0000EE"/>
            </w:tcBorders>
            <w:gridSpan w:val="20"/>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Form of 2017 Private Placement Agent Warrant</w:t>
              </w:r>
            </w:hyperlink>
          </w:p>
        </w:tc>
        <w:tc>
          <w:tcPr>
            <w:tcW w:w="660" w:type="dxa"/>
            <w:vAlign w:val="bottom"/>
            <w:gridSpan w:val="8"/>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87"/>
              </w:rPr>
              <w:t>4.2</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3"/>
              </w:rPr>
              <w:t>6/22/17</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4.20</w:t>
            </w:r>
          </w:p>
        </w:tc>
        <w:tc>
          <w:tcPr>
            <w:tcW w:w="3560" w:type="dxa"/>
            <w:vAlign w:val="bottom"/>
            <w:tcBorders>
              <w:bottom w:val="single" w:sz="8" w:color="0000EE"/>
            </w:tcBorders>
            <w:gridSpan w:val="22"/>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Form of Warrant Amendment Agreement August</w:t>
              </w:r>
            </w:hyperlink>
          </w:p>
        </w:tc>
        <w:tc>
          <w:tcPr>
            <w:tcW w:w="560" w:type="dxa"/>
            <w:vAlign w:val="bottom"/>
            <w:gridSpan w:val="6"/>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000-27239</w:t>
            </w: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10.3</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9"/>
              </w:rPr>
              <w:t>8/11/16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72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27">
              <w:r>
                <w:rPr>
                  <w:rFonts w:ascii="Arial" w:cs="Arial" w:eastAsia="Arial" w:hAnsi="Arial"/>
                  <w:sz w:val="18"/>
                  <w:szCs w:val="18"/>
                  <w:color w:val="0000EE"/>
                  <w:w w:val="88"/>
                </w:rPr>
                <w:t>2016 Private Placement</w:t>
              </w:r>
            </w:hyperlink>
          </w:p>
        </w:tc>
        <w:tc>
          <w:tcPr>
            <w:tcW w:w="2400" w:type="dxa"/>
            <w:vAlign w:val="bottom"/>
            <w:gridSpan w:val="23"/>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4.21</w:t>
            </w:r>
          </w:p>
        </w:tc>
        <w:tc>
          <w:tcPr>
            <w:tcW w:w="2720" w:type="dxa"/>
            <w:vAlign w:val="bottom"/>
            <w:tcBorders>
              <w:bottom w:val="single" w:sz="8" w:color="0000EE"/>
            </w:tcBorders>
            <w:gridSpan w:val="13"/>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Form of Warrant Exercise Agreement</w:t>
              </w:r>
            </w:hyperlink>
          </w:p>
        </w:tc>
        <w:tc>
          <w:tcPr>
            <w:tcW w:w="1400" w:type="dxa"/>
            <w:vAlign w:val="bottom"/>
            <w:gridSpan w:val="15"/>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10.3</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3"/>
              </w:rPr>
              <w:t>6/22/17</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4.22</w:t>
            </w:r>
          </w:p>
        </w:tc>
        <w:tc>
          <w:tcPr>
            <w:tcW w:w="2580" w:type="dxa"/>
            <w:vAlign w:val="bottom"/>
            <w:tcBorders>
              <w:bottom w:val="single" w:sz="8" w:color="0000EE"/>
            </w:tcBorders>
            <w:gridSpan w:val="11"/>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Form of Private Placement Warrant</w:t>
              </w:r>
            </w:hyperlink>
          </w:p>
        </w:tc>
        <w:tc>
          <w:tcPr>
            <w:tcW w:w="1540" w:type="dxa"/>
            <w:vAlign w:val="bottom"/>
            <w:gridSpan w:val="17"/>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87"/>
              </w:rPr>
              <w:t>4.1</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1"/>
              </w:rPr>
              <w:t>6/8/18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4.23</w:t>
            </w:r>
          </w:p>
        </w:tc>
        <w:tc>
          <w:tcPr>
            <w:tcW w:w="2560" w:type="dxa"/>
            <w:vAlign w:val="bottom"/>
            <w:tcBorders>
              <w:bottom w:val="single" w:sz="8" w:color="0000EE"/>
            </w:tcBorders>
            <w:gridSpan w:val="10"/>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Form of Private Placement Warrant</w:t>
              </w:r>
            </w:hyperlink>
          </w:p>
        </w:tc>
        <w:tc>
          <w:tcPr>
            <w:tcW w:w="1560" w:type="dxa"/>
            <w:vAlign w:val="bottom"/>
            <w:gridSpan w:val="18"/>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001-37393</w:t>
            </w: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87"/>
              </w:rPr>
              <w:t>4.2</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1"/>
              </w:rPr>
              <w:t>6/8/18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4.24</w:t>
            </w:r>
          </w:p>
        </w:tc>
        <w:tc>
          <w:tcPr>
            <w:tcW w:w="4120" w:type="dxa"/>
            <w:vAlign w:val="bottom"/>
            <w:gridSpan w:val="28"/>
          </w:tcPr>
          <w:p>
            <w:pPr>
              <w:spacing w:after="0"/>
              <w:rPr>
                <w:rFonts w:ascii="Arial" w:cs="Arial" w:eastAsia="Arial" w:hAnsi="Arial"/>
                <w:sz w:val="18"/>
                <w:szCs w:val="18"/>
                <w:color w:val="0000EE"/>
              </w:rPr>
            </w:pPr>
            <w:hyperlink r:id="rId131">
              <w:r>
                <w:rPr>
                  <w:rFonts w:ascii="Arial" w:cs="Arial" w:eastAsia="Arial" w:hAnsi="Arial"/>
                  <w:sz w:val="18"/>
                  <w:szCs w:val="18"/>
                  <w:color w:val="0000EE"/>
                </w:rPr>
                <w:t>Form of Marker Warrant</w:t>
              </w:r>
            </w:hyperlink>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87"/>
              </w:rPr>
              <w:t>2.1</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3"/>
              </w:rPr>
              <w:t>5/15/18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4.25</w:t>
            </w:r>
          </w:p>
        </w:tc>
        <w:tc>
          <w:tcPr>
            <w:tcW w:w="298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20">
              <w:r>
                <w:rPr>
                  <w:rFonts w:ascii="Arial" w:cs="Arial" w:eastAsia="Arial" w:hAnsi="Arial"/>
                  <w:sz w:val="18"/>
                  <w:szCs w:val="18"/>
                  <w:color w:val="0000EE"/>
                  <w:w w:val="92"/>
                </w:rPr>
                <w:t>Description of Common Stock of Marker</w:t>
              </w:r>
            </w:hyperlink>
          </w:p>
        </w:tc>
        <w:tc>
          <w:tcPr>
            <w:tcW w:w="114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vMerge w:val="restart"/>
          </w:tcPr>
          <w:p>
            <w:pPr>
              <w:jc w:val="center"/>
              <w:ind w:left="5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300" w:type="dxa"/>
            <w:vAlign w:val="bottom"/>
            <w:gridSpan w:val="2"/>
            <w:vMerge w:val="restart"/>
          </w:tcPr>
          <w:p>
            <w:pPr>
              <w:spacing w:after="0" w:line="196" w:lineRule="exact"/>
              <w:rPr>
                <w:rFonts w:ascii="Arial" w:cs="Arial" w:eastAsia="Arial" w:hAnsi="Arial"/>
                <w:sz w:val="18"/>
                <w:szCs w:val="18"/>
                <w:color w:val="0000EE"/>
                <w:w w:val="89"/>
              </w:rPr>
            </w:pPr>
            <w:hyperlink w:anchor="page120">
              <w:r>
                <w:rPr>
                  <w:rFonts w:ascii="Arial" w:cs="Arial" w:eastAsia="Arial" w:hAnsi="Arial"/>
                  <w:sz w:val="18"/>
                  <w:szCs w:val="18"/>
                  <w:color w:val="0000EE"/>
                  <w:w w:val="89"/>
                </w:rPr>
                <w:t>Therapeutics, Inc.</w:t>
              </w:r>
            </w:hyperlink>
          </w:p>
        </w:tc>
        <w:tc>
          <w:tcPr>
            <w:tcW w:w="2820" w:type="dxa"/>
            <w:vAlign w:val="bottom"/>
            <w:gridSpan w:val="26"/>
            <w:vMerge w:val="restart"/>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40" w:type="dxa"/>
            <w:vAlign w:val="bottom"/>
          </w:tcPr>
          <w:p>
            <w:pPr>
              <w:spacing w:after="0"/>
              <w:rPr>
                <w:sz w:val="5"/>
                <w:szCs w:val="5"/>
                <w:color w:val="auto"/>
              </w:rPr>
            </w:pPr>
          </w:p>
        </w:tc>
        <w:tc>
          <w:tcPr>
            <w:tcW w:w="1300" w:type="dxa"/>
            <w:vAlign w:val="bottom"/>
            <w:tcBorders>
              <w:bottom w:val="single" w:sz="8" w:color="0000EE"/>
            </w:tcBorders>
            <w:gridSpan w:val="2"/>
            <w:vMerge w:val="continue"/>
          </w:tcPr>
          <w:p>
            <w:pPr>
              <w:spacing w:after="0"/>
              <w:rPr>
                <w:sz w:val="5"/>
                <w:szCs w:val="5"/>
                <w:color w:val="auto"/>
              </w:rPr>
            </w:pPr>
          </w:p>
        </w:tc>
        <w:tc>
          <w:tcPr>
            <w:tcW w:w="2820" w:type="dxa"/>
            <w:vAlign w:val="bottom"/>
            <w:gridSpan w:val="26"/>
            <w:vMerge w:val="continue"/>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5"/>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3940" w:type="dxa"/>
            <w:vAlign w:val="bottom"/>
            <w:tcBorders>
              <w:bottom w:val="single" w:sz="8" w:color="0000EE"/>
            </w:tcBorders>
            <w:gridSpan w:val="27"/>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Form of Restructuring Agreement dated May 28, 2015</w:t>
              </w:r>
            </w:hyperlink>
          </w:p>
        </w:tc>
        <w:tc>
          <w:tcPr>
            <w:tcW w:w="180" w:type="dxa"/>
            <w:vAlign w:val="bottom"/>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000-27239</w:t>
            </w: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10.1</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1"/>
              </w:rPr>
              <w:t>6/3/15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10.2</w:t>
            </w:r>
          </w:p>
        </w:tc>
        <w:tc>
          <w:tcPr>
            <w:tcW w:w="4120" w:type="dxa"/>
            <w:vAlign w:val="bottom"/>
            <w:gridSpan w:val="28"/>
          </w:tcPr>
          <w:p>
            <w:pPr>
              <w:spacing w:after="0"/>
              <w:rPr>
                <w:rFonts w:ascii="Arial" w:cs="Arial" w:eastAsia="Arial" w:hAnsi="Arial"/>
                <w:sz w:val="18"/>
                <w:szCs w:val="18"/>
                <w:color w:val="0000EE"/>
              </w:rPr>
            </w:pPr>
            <w:hyperlink r:id="rId133">
              <w:r>
                <w:rPr>
                  <w:rFonts w:ascii="Arial" w:cs="Arial" w:eastAsia="Arial" w:hAnsi="Arial"/>
                  <w:sz w:val="18"/>
                  <w:szCs w:val="18"/>
                  <w:color w:val="0000EE"/>
                </w:rPr>
                <w:t>Amended and Restated Restructuring Agreement,</w:t>
              </w:r>
            </w:hyperlink>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000-27239</w:t>
            </w: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10.1</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1"/>
              </w:rPr>
              <w:t>6/5/15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5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dated as of June 2, 2015</w:t>
              </w:r>
            </w:hyperlink>
          </w:p>
        </w:tc>
        <w:tc>
          <w:tcPr>
            <w:tcW w:w="54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10.3</w:t>
            </w:r>
          </w:p>
        </w:tc>
        <w:tc>
          <w:tcPr>
            <w:tcW w:w="4120" w:type="dxa"/>
            <w:vAlign w:val="bottom"/>
            <w:gridSpan w:val="28"/>
          </w:tcPr>
          <w:p>
            <w:pPr>
              <w:spacing w:after="0"/>
              <w:rPr>
                <w:rFonts w:ascii="Arial" w:cs="Arial" w:eastAsia="Arial" w:hAnsi="Arial"/>
                <w:sz w:val="18"/>
                <w:szCs w:val="18"/>
                <w:color w:val="0000EE"/>
              </w:rPr>
            </w:pPr>
            <w:hyperlink r:id="rId134">
              <w:r>
                <w:rPr>
                  <w:rFonts w:ascii="Arial" w:cs="Arial" w:eastAsia="Arial" w:hAnsi="Arial"/>
                  <w:sz w:val="18"/>
                  <w:szCs w:val="18"/>
                  <w:color w:val="0000EE"/>
                </w:rPr>
                <w:t>Form of Securities Purchase Agreement (including</w:t>
              </w:r>
            </w:hyperlink>
          </w:p>
        </w:tc>
        <w:tc>
          <w:tcPr>
            <w:tcW w:w="860" w:type="dxa"/>
            <w:vAlign w:val="bottom"/>
          </w:tcPr>
          <w:p>
            <w:pPr>
              <w:ind w:left="300"/>
              <w:spacing w:after="0"/>
              <w:rPr>
                <w:sz w:val="20"/>
                <w:szCs w:val="20"/>
                <w:color w:val="auto"/>
              </w:rPr>
            </w:pPr>
            <w:r>
              <w:rPr>
                <w:rFonts w:ascii="Arial" w:cs="Arial" w:eastAsia="Arial" w:hAnsi="Arial"/>
                <w:sz w:val="18"/>
                <w:szCs w:val="18"/>
                <w:color w:val="auto"/>
              </w:rPr>
              <w:t>8-K</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001-37939</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6/8/18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registration rights)</w:t>
              </w:r>
            </w:hyperlink>
          </w:p>
        </w:tc>
        <w:tc>
          <w:tcPr>
            <w:tcW w:w="2320" w:type="dxa"/>
            <w:vAlign w:val="bottom"/>
            <w:tcBorders>
              <w:top w:val="single" w:sz="8" w:color="0000EE"/>
            </w:tcBorders>
            <w:gridSpan w:val="21"/>
          </w:tcPr>
          <w:p>
            <w:pPr>
              <w:spacing w:after="0"/>
              <w:rPr>
                <w:sz w:val="17"/>
                <w:szCs w:val="17"/>
                <w:color w:val="auto"/>
              </w:rPr>
            </w:pPr>
          </w:p>
        </w:tc>
        <w:tc>
          <w:tcPr>
            <w:tcW w:w="46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10.4</w:t>
            </w:r>
          </w:p>
        </w:tc>
        <w:tc>
          <w:tcPr>
            <w:tcW w:w="4120" w:type="dxa"/>
            <w:vAlign w:val="bottom"/>
            <w:gridSpan w:val="28"/>
          </w:tcPr>
          <w:p>
            <w:pPr>
              <w:spacing w:after="0"/>
              <w:rPr>
                <w:rFonts w:ascii="Arial" w:cs="Arial" w:eastAsia="Arial" w:hAnsi="Arial"/>
                <w:sz w:val="18"/>
                <w:szCs w:val="18"/>
                <w:color w:val="0000EE"/>
              </w:rPr>
            </w:pPr>
            <w:hyperlink r:id="rId131">
              <w:r>
                <w:rPr>
                  <w:rFonts w:ascii="Arial" w:cs="Arial" w:eastAsia="Arial" w:hAnsi="Arial"/>
                  <w:sz w:val="18"/>
                  <w:szCs w:val="18"/>
                  <w:color w:val="0000EE"/>
                </w:rPr>
                <w:t>Registration Rights Agreement</w:t>
              </w:r>
            </w:hyperlink>
          </w:p>
        </w:tc>
        <w:tc>
          <w:tcPr>
            <w:tcW w:w="860" w:type="dxa"/>
            <w:vAlign w:val="bottom"/>
          </w:tcPr>
          <w:p>
            <w:pPr>
              <w:ind w:left="300"/>
              <w:spacing w:after="0"/>
              <w:rPr>
                <w:sz w:val="20"/>
                <w:szCs w:val="20"/>
                <w:color w:val="auto"/>
              </w:rPr>
            </w:pPr>
            <w:r>
              <w:rPr>
                <w:rFonts w:ascii="Arial" w:cs="Arial" w:eastAsia="Arial" w:hAnsi="Arial"/>
                <w:sz w:val="18"/>
                <w:szCs w:val="18"/>
                <w:color w:val="auto"/>
              </w:rPr>
              <w:t>8-K</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001-37939</w:t>
            </w: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2.1</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5/15/18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10.5</w:t>
            </w:r>
          </w:p>
        </w:tc>
        <w:tc>
          <w:tcPr>
            <w:tcW w:w="4120" w:type="dxa"/>
            <w:vAlign w:val="bottom"/>
            <w:gridSpan w:val="28"/>
          </w:tcPr>
          <w:p>
            <w:pPr>
              <w:spacing w:after="0"/>
              <w:rPr>
                <w:rFonts w:ascii="Arial" w:cs="Arial" w:eastAsia="Arial" w:hAnsi="Arial"/>
                <w:sz w:val="18"/>
                <w:szCs w:val="18"/>
                <w:color w:val="0000EE"/>
                <w:w w:val="99"/>
              </w:rPr>
            </w:pPr>
            <w:hyperlink r:id="rId135">
              <w:r>
                <w:rPr>
                  <w:rFonts w:ascii="Arial" w:cs="Arial" w:eastAsia="Arial" w:hAnsi="Arial"/>
                  <w:sz w:val="18"/>
                  <w:szCs w:val="18"/>
                  <w:color w:val="0000EE"/>
                  <w:w w:val="99"/>
                </w:rPr>
                <w:t>License and Assignment Agreement, dated July 21,</w:t>
              </w:r>
            </w:hyperlink>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9"/>
              </w:rPr>
              <w:t>10-Q</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000-27239</w:t>
            </w: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10.1</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3"/>
              </w:rPr>
              <w:t>8/14/15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2015, with The Mayo Foundation for Medical</w:t>
              </w:r>
            </w:hyperlink>
          </w:p>
        </w:tc>
        <w:tc>
          <w:tcPr>
            <w:tcW w:w="380" w:type="dxa"/>
            <w:vAlign w:val="bottom"/>
            <w:tcBorders>
              <w:top w:val="single" w:sz="8" w:color="0000EE"/>
            </w:tcBorders>
            <w:gridSpan w:val="8"/>
          </w:tcPr>
          <w:p>
            <w:pPr>
              <w:spacing w:after="0"/>
              <w:rPr>
                <w:sz w:val="17"/>
                <w:szCs w:val="17"/>
                <w:color w:val="auto"/>
              </w:rPr>
            </w:pPr>
          </w:p>
        </w:tc>
        <w:tc>
          <w:tcPr>
            <w:tcW w:w="42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120" w:type="dxa"/>
            <w:vAlign w:val="bottom"/>
            <w:gridSpan w:val="28"/>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Education and Research**</w:t>
              </w:r>
            </w:hyperlink>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52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10.6</w:t>
            </w:r>
          </w:p>
        </w:tc>
        <w:tc>
          <w:tcPr>
            <w:tcW w:w="4120" w:type="dxa"/>
            <w:vAlign w:val="bottom"/>
            <w:gridSpan w:val="28"/>
          </w:tcPr>
          <w:p>
            <w:pPr>
              <w:spacing w:after="0"/>
              <w:rPr>
                <w:rFonts w:ascii="Arial" w:cs="Arial" w:eastAsia="Arial" w:hAnsi="Arial"/>
                <w:sz w:val="18"/>
                <w:szCs w:val="18"/>
                <w:color w:val="0000EE"/>
              </w:rPr>
            </w:pPr>
            <w:hyperlink r:id="rId136">
              <w:r>
                <w:rPr>
                  <w:rFonts w:ascii="Arial" w:cs="Arial" w:eastAsia="Arial" w:hAnsi="Arial"/>
                  <w:sz w:val="18"/>
                  <w:szCs w:val="18"/>
                  <w:color w:val="0000EE"/>
                </w:rPr>
                <w:t>License and Assignment Agreement with Mayo</w:t>
              </w:r>
            </w:hyperlink>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9"/>
              </w:rPr>
              <w:t>10-Q</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000-27239</w:t>
            </w: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10.1</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3"/>
              </w:rPr>
              <w:t>8/15/16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20" w:type="dxa"/>
            <w:vAlign w:val="bottom"/>
            <w:gridSpan w:val="1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120" w:type="dxa"/>
            <w:vAlign w:val="bottom"/>
            <w:gridSpan w:val="28"/>
          </w:tcPr>
          <w:p>
            <w:pPr>
              <w:spacing w:after="0" w:line="196" w:lineRule="exact"/>
              <w:rPr>
                <w:rFonts w:ascii="Arial" w:cs="Arial" w:eastAsia="Arial" w:hAnsi="Arial"/>
                <w:sz w:val="18"/>
                <w:szCs w:val="18"/>
                <w:color w:val="0000EE"/>
                <w:w w:val="94"/>
              </w:rPr>
            </w:pPr>
            <w:hyperlink r:id="rId136">
              <w:r>
                <w:rPr>
                  <w:rFonts w:ascii="Arial" w:cs="Arial" w:eastAsia="Arial" w:hAnsi="Arial"/>
                  <w:sz w:val="18"/>
                  <w:szCs w:val="18"/>
                  <w:color w:val="0000EE"/>
                  <w:w w:val="94"/>
                </w:rPr>
                <w:t>Foundation for Medical Education and Research dated</w:t>
              </w:r>
            </w:hyperlink>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May 19, 2016**</w:t>
              </w:r>
            </w:hyperlink>
          </w:p>
        </w:tc>
        <w:tc>
          <w:tcPr>
            <w:tcW w:w="2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100" w:type="dxa"/>
            <w:vAlign w:val="bottom"/>
            <w:gridSpan w:val="17"/>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right"/>
              <w:ind w:right="310"/>
              <w:spacing w:after="0"/>
              <w:rPr>
                <w:sz w:val="20"/>
                <w:szCs w:val="20"/>
                <w:color w:val="auto"/>
              </w:rPr>
            </w:pPr>
            <w:r>
              <w:rPr>
                <w:rFonts w:ascii="Arial" w:cs="Arial" w:eastAsia="Arial" w:hAnsi="Arial"/>
                <w:sz w:val="18"/>
                <w:szCs w:val="18"/>
                <w:color w:val="auto"/>
              </w:rPr>
              <w:t>10.7</w:t>
            </w:r>
          </w:p>
        </w:tc>
        <w:tc>
          <w:tcPr>
            <w:tcW w:w="4120" w:type="dxa"/>
            <w:vAlign w:val="bottom"/>
            <w:gridSpan w:val="28"/>
          </w:tcPr>
          <w:p>
            <w:pPr>
              <w:spacing w:after="0"/>
              <w:rPr>
                <w:rFonts w:ascii="Arial" w:cs="Arial" w:eastAsia="Arial" w:hAnsi="Arial"/>
                <w:sz w:val="18"/>
                <w:szCs w:val="18"/>
                <w:color w:val="0000EE"/>
                <w:w w:val="95"/>
              </w:rPr>
            </w:pPr>
            <w:hyperlink r:id="rId137">
              <w:r>
                <w:rPr>
                  <w:rFonts w:ascii="Arial" w:cs="Arial" w:eastAsia="Arial" w:hAnsi="Arial"/>
                  <w:sz w:val="18"/>
                  <w:szCs w:val="18"/>
                  <w:color w:val="0000EE"/>
                  <w:w w:val="95"/>
                </w:rPr>
                <w:t>Exclusive License Agreement between Baylor College</w:t>
              </w:r>
            </w:hyperlink>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4"/>
              </w:rPr>
              <w:t>10-K</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88"/>
              </w:rPr>
              <w:t>10.21</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3"/>
              </w:rPr>
              <w:t>3/15/19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of Medicine and Marker Therapeutics, Inc. dated</w:t>
              </w:r>
            </w:hyperlink>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5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March 16, 2018***</w:t>
              </w:r>
            </w:hyperlink>
          </w:p>
        </w:tc>
        <w:tc>
          <w:tcPr>
            <w:tcW w:w="60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140" w:type="dxa"/>
            <w:vAlign w:val="bottom"/>
            <w:tcBorders>
              <w:bottom w:val="single" w:sz="8" w:color="auto"/>
            </w:tcBorders>
          </w:tcPr>
          <w:p>
            <w:pPr>
              <w:spacing w:after="0"/>
              <w:rPr>
                <w:sz w:val="24"/>
                <w:szCs w:val="24"/>
                <w:color w:val="auto"/>
              </w:rPr>
            </w:pPr>
          </w:p>
        </w:tc>
        <w:tc>
          <w:tcPr>
            <w:tcW w:w="1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83</w:t>
            </w: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Incorporated by Reference</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8"/>
        </w:trPr>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b w:val="1"/>
                <w:bCs w:val="1"/>
                <w:color w:val="auto"/>
              </w:rPr>
              <w:t>Filing</w:t>
            </w:r>
          </w:p>
        </w:tc>
        <w:tc>
          <w:tcPr>
            <w:tcW w:w="124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Filed</w:t>
            </w:r>
          </w:p>
        </w:tc>
      </w:tr>
      <w:tr>
        <w:trPr>
          <w:trHeight w:val="234"/>
        </w:trPr>
        <w:tc>
          <w:tcPr>
            <w:tcW w:w="1140" w:type="dxa"/>
            <w:vAlign w:val="bottom"/>
          </w:tcPr>
          <w:p>
            <w:pPr>
              <w:ind w:left="200"/>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27"/>
          </w:tcPr>
          <w:p>
            <w:pPr>
              <w:ind w:left="40"/>
              <w:spacing w:after="0"/>
              <w:rPr>
                <w:sz w:val="20"/>
                <w:szCs w:val="20"/>
                <w:color w:val="auto"/>
              </w:rPr>
            </w:pPr>
            <w:r>
              <w:rPr>
                <w:rFonts w:ascii="Arial" w:cs="Arial" w:eastAsia="Arial" w:hAnsi="Arial"/>
                <w:sz w:val="18"/>
                <w:szCs w:val="18"/>
                <w:b w:val="1"/>
                <w:bCs w:val="1"/>
                <w:color w:val="auto"/>
              </w:rPr>
              <w:t>Exhibit description</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12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File no.</w:t>
            </w: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Exhibit</w:t>
            </w:r>
          </w:p>
        </w:tc>
        <w:tc>
          <w:tcPr>
            <w:tcW w:w="1460" w:type="dxa"/>
            <w:vAlign w:val="bottom"/>
            <w:gridSpan w:val="2"/>
          </w:tcPr>
          <w:p>
            <w:pPr>
              <w:ind w:left="580"/>
              <w:spacing w:after="0"/>
              <w:rPr>
                <w:sz w:val="20"/>
                <w:szCs w:val="20"/>
                <w:color w:val="auto"/>
              </w:rPr>
            </w:pPr>
            <w:r>
              <w:rPr>
                <w:rFonts w:ascii="Arial" w:cs="Arial" w:eastAsia="Arial" w:hAnsi="Arial"/>
                <w:sz w:val="18"/>
                <w:szCs w:val="18"/>
                <w:b w:val="1"/>
                <w:bCs w:val="1"/>
                <w:color w:val="auto"/>
              </w:rPr>
              <w:t>date</w:t>
            </w:r>
          </w:p>
        </w:tc>
        <w:tc>
          <w:tcPr>
            <w:tcW w:w="124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herewith</w:t>
            </w:r>
          </w:p>
        </w:tc>
      </w:tr>
      <w:tr>
        <w:trPr>
          <w:trHeight w:val="392"/>
        </w:trPr>
        <w:tc>
          <w:tcPr>
            <w:tcW w:w="11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3920" w:type="dxa"/>
            <w:vAlign w:val="bottom"/>
            <w:tcBorders>
              <w:bottom w:val="single" w:sz="8" w:color="0000EE"/>
            </w:tcBorders>
            <w:gridSpan w:val="31"/>
          </w:tcPr>
          <w:p>
            <w:pPr>
              <w:spacing w:after="0"/>
              <w:rPr>
                <w:rFonts w:ascii="Arial" w:cs="Arial" w:eastAsia="Arial" w:hAnsi="Arial"/>
                <w:sz w:val="18"/>
                <w:szCs w:val="18"/>
                <w:color w:val="0000EE"/>
                <w:w w:val="89"/>
              </w:rPr>
            </w:pPr>
            <w:hyperlink r:id="rId138">
              <w:r>
                <w:rPr>
                  <w:rFonts w:ascii="Arial" w:cs="Arial" w:eastAsia="Arial" w:hAnsi="Arial"/>
                  <w:sz w:val="18"/>
                  <w:szCs w:val="18"/>
                  <w:color w:val="0000EE"/>
                  <w:w w:val="89"/>
                </w:rPr>
                <w:t>Sponsored Research Contract between Baylor College</w:t>
              </w:r>
            </w:hyperlink>
          </w:p>
        </w:tc>
        <w:tc>
          <w:tcPr>
            <w:tcW w:w="120" w:type="dxa"/>
            <w:vAlign w:val="bottom"/>
            <w:gridSpan w:val="2"/>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88"/>
              </w:rPr>
              <w:t>10.22</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3"/>
              </w:rPr>
              <w:t>3/15/19</w:t>
            </w:r>
          </w:p>
        </w:tc>
        <w:tc>
          <w:tcPr>
            <w:tcW w:w="12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040" w:type="dxa"/>
            <w:vAlign w:val="bottom"/>
            <w:gridSpan w:val="33"/>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of Medicine and Marker Therapeutics, Inc. dated</w:t>
              </w:r>
            </w:hyperlink>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5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November 16, 2018***</w:t>
              </w:r>
            </w:hyperlink>
          </w:p>
        </w:tc>
        <w:tc>
          <w:tcPr>
            <w:tcW w:w="520" w:type="dxa"/>
            <w:vAlign w:val="bottom"/>
            <w:gridSpan w:val="13"/>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4040" w:type="dxa"/>
            <w:vAlign w:val="bottom"/>
            <w:gridSpan w:val="33"/>
          </w:tcPr>
          <w:p>
            <w:pPr>
              <w:spacing w:after="0"/>
              <w:rPr>
                <w:rFonts w:ascii="Arial" w:cs="Arial" w:eastAsia="Arial" w:hAnsi="Arial"/>
                <w:sz w:val="18"/>
                <w:szCs w:val="18"/>
                <w:color w:val="0000EE"/>
              </w:rPr>
            </w:pPr>
            <w:hyperlink r:id="rId139">
              <w:r>
                <w:rPr>
                  <w:rFonts w:ascii="Arial" w:cs="Arial" w:eastAsia="Arial" w:hAnsi="Arial"/>
                  <w:sz w:val="18"/>
                  <w:szCs w:val="18"/>
                  <w:color w:val="0000EE"/>
                </w:rPr>
                <w:t>2009 Stock Incentive Plan*</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3"/>
              </w:rPr>
              <w:t>DEF14-C</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000-27239</w:t>
            </w: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9"/>
              </w:rPr>
              <w:t>B</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3"/>
              </w:rPr>
              <w:t>1/29/10</w:t>
            </w:r>
          </w:p>
        </w:tc>
        <w:tc>
          <w:tcPr>
            <w:tcW w:w="12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3680" w:type="dxa"/>
            <w:vAlign w:val="bottom"/>
            <w:tcBorders>
              <w:bottom w:val="single" w:sz="8" w:color="0000EE"/>
            </w:tcBorders>
            <w:gridSpan w:val="25"/>
          </w:tcPr>
          <w:p>
            <w:pPr>
              <w:spacing w:after="0"/>
              <w:rPr>
                <w:rFonts w:ascii="Arial" w:cs="Arial" w:eastAsia="Arial" w:hAnsi="Arial"/>
                <w:sz w:val="18"/>
                <w:szCs w:val="18"/>
                <w:color w:val="0000EE"/>
                <w:w w:val="89"/>
              </w:rPr>
            </w:pPr>
            <w:hyperlink r:id="rId140">
              <w:r>
                <w:rPr>
                  <w:rFonts w:ascii="Arial" w:cs="Arial" w:eastAsia="Arial" w:hAnsi="Arial"/>
                  <w:sz w:val="18"/>
                  <w:szCs w:val="18"/>
                  <w:color w:val="0000EE"/>
                  <w:w w:val="89"/>
                </w:rPr>
                <w:t>2014 Omnibus Stock Ownership Plan, as amended</w:t>
              </w:r>
            </w:hyperlink>
          </w:p>
        </w:tc>
        <w:tc>
          <w:tcPr>
            <w:tcW w:w="360" w:type="dxa"/>
            <w:vAlign w:val="bottom"/>
            <w:gridSpan w:val="8"/>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1"/>
              </w:rPr>
              <w:t>10.1</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1"/>
              </w:rPr>
              <w:t>9/5/17</w:t>
            </w:r>
          </w:p>
        </w:tc>
        <w:tc>
          <w:tcPr>
            <w:tcW w:w="12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9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through August 29, 2017*</w:t>
              </w:r>
            </w:hyperlink>
          </w:p>
        </w:tc>
        <w:tc>
          <w:tcPr>
            <w:tcW w:w="2140" w:type="dxa"/>
            <w:vAlign w:val="bottom"/>
            <w:gridSpan w:val="22"/>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4040" w:type="dxa"/>
            <w:vAlign w:val="bottom"/>
            <w:gridSpan w:val="33"/>
          </w:tcPr>
          <w:p>
            <w:pPr>
              <w:spacing w:after="0"/>
              <w:rPr>
                <w:rFonts w:ascii="Arial" w:cs="Arial" w:eastAsia="Arial" w:hAnsi="Arial"/>
                <w:sz w:val="18"/>
                <w:szCs w:val="18"/>
                <w:color w:val="0000EE"/>
                <w:w w:val="94"/>
              </w:rPr>
            </w:pPr>
            <w:hyperlink r:id="rId141">
              <w:r>
                <w:rPr>
                  <w:rFonts w:ascii="Arial" w:cs="Arial" w:eastAsia="Arial" w:hAnsi="Arial"/>
                  <w:sz w:val="18"/>
                  <w:szCs w:val="18"/>
                  <w:color w:val="0000EE"/>
                  <w:w w:val="94"/>
                </w:rPr>
                <w:t>Amendment to 2014 Omnibus Stock Ownership Plan,</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40" w:type="dxa"/>
            <w:vAlign w:val="bottom"/>
          </w:tcPr>
          <w:p>
            <w:pPr>
              <w:jc w:val="center"/>
              <w:ind w:right="70"/>
              <w:spacing w:after="0"/>
              <w:rPr>
                <w:sz w:val="20"/>
                <w:szCs w:val="20"/>
                <w:color w:val="auto"/>
              </w:rPr>
            </w:pPr>
            <w:r>
              <w:rPr>
                <w:rFonts w:ascii="Arial" w:cs="Arial" w:eastAsia="Arial" w:hAnsi="Arial"/>
                <w:sz w:val="18"/>
                <w:szCs w:val="18"/>
                <w:color w:val="auto"/>
                <w:w w:val="87"/>
              </w:rPr>
              <w:t>4.4</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1"/>
              </w:rPr>
              <w:t>10/17/18</w:t>
            </w:r>
          </w:p>
        </w:tc>
        <w:tc>
          <w:tcPr>
            <w:tcW w:w="12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8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as amended *</w:t>
              </w:r>
            </w:hyperlink>
          </w:p>
        </w:tc>
        <w:tc>
          <w:tcPr>
            <w:tcW w:w="16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4040" w:type="dxa"/>
            <w:vAlign w:val="bottom"/>
            <w:gridSpan w:val="33"/>
          </w:tcPr>
          <w:p>
            <w:pPr>
              <w:spacing w:after="0"/>
              <w:rPr>
                <w:rFonts w:ascii="Arial" w:cs="Arial" w:eastAsia="Arial" w:hAnsi="Arial"/>
                <w:sz w:val="18"/>
                <w:szCs w:val="18"/>
                <w:color w:val="0000EE"/>
                <w:w w:val="95"/>
              </w:rPr>
            </w:pPr>
            <w:hyperlink r:id="rId142">
              <w:r>
                <w:rPr>
                  <w:rFonts w:ascii="Arial" w:cs="Arial" w:eastAsia="Arial" w:hAnsi="Arial"/>
                  <w:sz w:val="18"/>
                  <w:szCs w:val="18"/>
                  <w:color w:val="0000EE"/>
                  <w:w w:val="95"/>
                </w:rPr>
                <w:t>Form of Stock Option Award Agreement –Employee*</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1"/>
              </w:rPr>
              <w:t>10.3</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1"/>
              </w:rPr>
              <w:t>10/23/18</w:t>
            </w:r>
          </w:p>
        </w:tc>
        <w:tc>
          <w:tcPr>
            <w:tcW w:w="1240" w:type="dxa"/>
            <w:vAlign w:val="bottom"/>
          </w:tcPr>
          <w:p>
            <w:pPr>
              <w:spacing w:after="0"/>
              <w:rPr>
                <w:sz w:val="24"/>
                <w:szCs w:val="24"/>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350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Form of Stock Option Award Agreement – Non-</w:t>
              </w:r>
            </w:hyperlink>
          </w:p>
        </w:tc>
        <w:tc>
          <w:tcPr>
            <w:tcW w:w="400" w:type="dxa"/>
            <w:vAlign w:val="bottom"/>
            <w:tcBorders>
              <w:top w:val="single" w:sz="8" w:color="0000EE"/>
            </w:tcBorders>
            <w:gridSpan w:val="11"/>
          </w:tcPr>
          <w:p>
            <w:pPr>
              <w:spacing w:after="0"/>
              <w:rPr>
                <w:sz w:val="24"/>
                <w:szCs w:val="24"/>
                <w:color w:val="auto"/>
              </w:rPr>
            </w:pPr>
          </w:p>
        </w:tc>
        <w:tc>
          <w:tcPr>
            <w:tcW w:w="140" w:type="dxa"/>
            <w:vAlign w:val="bottom"/>
            <w:gridSpan w:val="3"/>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9"/>
              </w:rPr>
              <w:t>333-228056</w:t>
            </w: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1"/>
              </w:rPr>
              <w:t>10.1</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1"/>
              </w:rPr>
              <w:t>10/30/18</w:t>
            </w:r>
          </w:p>
        </w:tc>
        <w:tc>
          <w:tcPr>
            <w:tcW w:w="12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040" w:type="dxa"/>
            <w:vAlign w:val="bottom"/>
            <w:gridSpan w:val="33"/>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Employee Director*</w:t>
              </w:r>
            </w:hyperlink>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4040" w:type="dxa"/>
            <w:vAlign w:val="bottom"/>
            <w:gridSpan w:val="33"/>
          </w:tcPr>
          <w:p>
            <w:pPr>
              <w:spacing w:after="0"/>
              <w:rPr>
                <w:rFonts w:ascii="Arial" w:cs="Arial" w:eastAsia="Arial" w:hAnsi="Arial"/>
                <w:sz w:val="18"/>
                <w:szCs w:val="18"/>
                <w:color w:val="0000EE"/>
              </w:rPr>
            </w:pPr>
            <w:hyperlink r:id="rId144">
              <w:r>
                <w:rPr>
                  <w:rFonts w:ascii="Arial" w:cs="Arial" w:eastAsia="Arial" w:hAnsi="Arial"/>
                  <w:sz w:val="18"/>
                  <w:szCs w:val="18"/>
                  <w:color w:val="0000EE"/>
                </w:rPr>
                <w:t>Form of Stock Option Award Agreement –</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1"/>
              </w:rPr>
              <w:t>10.2</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1"/>
              </w:rPr>
              <w:t>10/23/18</w:t>
            </w:r>
          </w:p>
        </w:tc>
        <w:tc>
          <w:tcPr>
            <w:tcW w:w="12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Consultant*</w:t>
              </w:r>
            </w:hyperlink>
          </w:p>
        </w:tc>
        <w:tc>
          <w:tcPr>
            <w:tcW w:w="2200" w:type="dxa"/>
            <w:vAlign w:val="bottom"/>
            <w:tcBorders>
              <w:top w:val="single" w:sz="8" w:color="0000EE"/>
            </w:tcBorders>
            <w:gridSpan w:val="12"/>
          </w:tcPr>
          <w:p>
            <w:pPr>
              <w:spacing w:after="0"/>
              <w:rPr>
                <w:sz w:val="17"/>
                <w:szCs w:val="17"/>
                <w:color w:val="auto"/>
              </w:rPr>
            </w:pPr>
          </w:p>
        </w:tc>
        <w:tc>
          <w:tcPr>
            <w:tcW w:w="960" w:type="dxa"/>
            <w:vAlign w:val="bottom"/>
            <w:gridSpan w:val="18"/>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3320" w:type="dxa"/>
            <w:vAlign w:val="bottom"/>
            <w:tcBorders>
              <w:bottom w:val="single" w:sz="8" w:color="0000EE"/>
            </w:tcBorders>
            <w:gridSpan w:val="17"/>
          </w:tcPr>
          <w:p>
            <w:pPr>
              <w:spacing w:after="0"/>
              <w:rPr>
                <w:rFonts w:ascii="Arial" w:cs="Arial" w:eastAsia="Arial" w:hAnsi="Arial"/>
                <w:sz w:val="18"/>
                <w:szCs w:val="18"/>
                <w:color w:val="0000EE"/>
                <w:w w:val="91"/>
              </w:rPr>
            </w:pPr>
            <w:hyperlink r:id="rId145">
              <w:r>
                <w:rPr>
                  <w:rFonts w:ascii="Arial" w:cs="Arial" w:eastAsia="Arial" w:hAnsi="Arial"/>
                  <w:sz w:val="18"/>
                  <w:szCs w:val="18"/>
                  <w:color w:val="0000EE"/>
                  <w:w w:val="91"/>
                </w:rPr>
                <w:t>Form of Restricted Stock Award Agreement –</w:t>
              </w:r>
            </w:hyperlink>
          </w:p>
        </w:tc>
        <w:tc>
          <w:tcPr>
            <w:tcW w:w="720" w:type="dxa"/>
            <w:vAlign w:val="bottom"/>
            <w:gridSpan w:val="16"/>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000-27239</w:t>
            </w: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1"/>
              </w:rPr>
              <w:t>10.7</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1"/>
              </w:rPr>
              <w:t>11/16/15</w:t>
            </w:r>
          </w:p>
        </w:tc>
        <w:tc>
          <w:tcPr>
            <w:tcW w:w="12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Consultant*</w:t>
              </w:r>
            </w:hyperlink>
          </w:p>
        </w:tc>
        <w:tc>
          <w:tcPr>
            <w:tcW w:w="3160" w:type="dxa"/>
            <w:vAlign w:val="bottom"/>
            <w:gridSpan w:val="30"/>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3660" w:type="dxa"/>
            <w:vAlign w:val="bottom"/>
            <w:tcBorders>
              <w:bottom w:val="single" w:sz="8" w:color="0000EE"/>
            </w:tcBorders>
            <w:gridSpan w:val="24"/>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Employment Agreement between TapImmune Inc.</w:t>
              </w:r>
            </w:hyperlink>
          </w:p>
        </w:tc>
        <w:tc>
          <w:tcPr>
            <w:tcW w:w="380" w:type="dxa"/>
            <w:vAlign w:val="bottom"/>
            <w:gridSpan w:val="9"/>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8"/>
                <w:szCs w:val="18"/>
                <w:color w:val="auto"/>
              </w:rPr>
              <w:t>8-K</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001-37939</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9/25/17</w:t>
            </w:r>
          </w:p>
        </w:tc>
        <w:tc>
          <w:tcPr>
            <w:tcW w:w="12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62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r:id="rId146">
              <w:r>
                <w:rPr>
                  <w:rFonts w:ascii="Arial" w:cs="Arial" w:eastAsia="Arial" w:hAnsi="Arial"/>
                  <w:sz w:val="18"/>
                  <w:szCs w:val="18"/>
                  <w:color w:val="0000EE"/>
                  <w:w w:val="88"/>
                </w:rPr>
                <w:t>and Peter Hoang dated as of September 22, 2017*</w:t>
              </w:r>
            </w:hyperlink>
          </w:p>
        </w:tc>
        <w:tc>
          <w:tcPr>
            <w:tcW w:w="420" w:type="dxa"/>
            <w:vAlign w:val="bottom"/>
            <w:gridSpan w:val="10"/>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4040" w:type="dxa"/>
            <w:vAlign w:val="bottom"/>
            <w:gridSpan w:val="33"/>
          </w:tcPr>
          <w:p>
            <w:pPr>
              <w:spacing w:after="0"/>
              <w:rPr>
                <w:rFonts w:ascii="Arial" w:cs="Arial" w:eastAsia="Arial" w:hAnsi="Arial"/>
                <w:sz w:val="18"/>
                <w:szCs w:val="18"/>
                <w:color w:val="0000EE"/>
                <w:w w:val="94"/>
              </w:rPr>
            </w:pPr>
            <w:hyperlink r:id="rId147">
              <w:r>
                <w:rPr>
                  <w:rFonts w:ascii="Arial" w:cs="Arial" w:eastAsia="Arial" w:hAnsi="Arial"/>
                  <w:sz w:val="18"/>
                  <w:szCs w:val="18"/>
                  <w:color w:val="0000EE"/>
                  <w:w w:val="94"/>
                </w:rPr>
                <w:t>Employment Agreement by and between TapImmune</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000-27239</w:t>
            </w: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1"/>
              </w:rPr>
              <w:t>10.1</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3"/>
              </w:rPr>
              <w:t>8/25/16</w:t>
            </w:r>
          </w:p>
        </w:tc>
        <w:tc>
          <w:tcPr>
            <w:tcW w:w="12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860" w:type="dxa"/>
            <w:vAlign w:val="bottom"/>
            <w:tcBorders>
              <w:top w:val="single" w:sz="8" w:color="0000EE"/>
            </w:tcBorders>
            <w:gridSpan w:val="28"/>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Inc. and Michael J. Loiacono dated as of August 25,</w:t>
              </w:r>
            </w:hyperlink>
          </w:p>
        </w:tc>
        <w:tc>
          <w:tcPr>
            <w:tcW w:w="18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r:id="rId147">
              <w:r>
                <w:rPr>
                  <w:rFonts w:ascii="Arial" w:cs="Arial" w:eastAsia="Arial" w:hAnsi="Arial"/>
                  <w:sz w:val="18"/>
                  <w:szCs w:val="18"/>
                  <w:color w:val="0000EE"/>
                  <w:w w:val="93"/>
                </w:rPr>
                <w:t>2016*</w:t>
              </w:r>
            </w:hyperlink>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3540" w:type="dxa"/>
            <w:vAlign w:val="bottom"/>
            <w:tcBorders>
              <w:bottom w:val="single" w:sz="8" w:color="0000EE"/>
            </w:tcBorders>
            <w:gridSpan w:val="21"/>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Amendment to Employment Agreement between</w:t>
              </w:r>
            </w:hyperlink>
          </w:p>
        </w:tc>
        <w:tc>
          <w:tcPr>
            <w:tcW w:w="500" w:type="dxa"/>
            <w:vAlign w:val="bottom"/>
            <w:gridSpan w:val="12"/>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1"/>
              </w:rPr>
              <w:t>10.2</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3"/>
              </w:rPr>
              <w:t>12/3/18</w:t>
            </w:r>
          </w:p>
        </w:tc>
        <w:tc>
          <w:tcPr>
            <w:tcW w:w="12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7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Marker Therapeutics, Inc. and Michael J. Loiacono</w:t>
              </w:r>
            </w:hyperlink>
          </w:p>
        </w:tc>
        <w:tc>
          <w:tcPr>
            <w:tcW w:w="340" w:type="dxa"/>
            <w:vAlign w:val="bottom"/>
            <w:gridSpan w:val="7"/>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3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dated as of November 27, 2018*</w:t>
              </w:r>
            </w:hyperlink>
          </w:p>
        </w:tc>
        <w:tc>
          <w:tcPr>
            <w:tcW w:w="1680" w:type="dxa"/>
            <w:vAlign w:val="bottom"/>
            <w:gridSpan w:val="20"/>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3000" w:type="dxa"/>
            <w:vAlign w:val="bottom"/>
            <w:tcBorders>
              <w:bottom w:val="single" w:sz="8" w:color="0000EE"/>
            </w:tcBorders>
            <w:gridSpan w:val="14"/>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Employment Agreement between Marker</w:t>
              </w:r>
            </w:hyperlink>
          </w:p>
        </w:tc>
        <w:tc>
          <w:tcPr>
            <w:tcW w:w="1040" w:type="dxa"/>
            <w:vAlign w:val="bottom"/>
            <w:gridSpan w:val="19"/>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1"/>
              </w:rPr>
              <w:t>10.3</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3"/>
              </w:rPr>
              <w:t>12/3/18</w:t>
            </w:r>
          </w:p>
        </w:tc>
        <w:tc>
          <w:tcPr>
            <w:tcW w:w="12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040" w:type="dxa"/>
            <w:vAlign w:val="bottom"/>
            <w:gridSpan w:val="33"/>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Therapeutics, Inc. and Anthony Kim dated as of</w:t>
              </w:r>
            </w:hyperlink>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November 27, 2018*</w:t>
              </w:r>
            </w:hyperlink>
          </w:p>
        </w:tc>
        <w:tc>
          <w:tcPr>
            <w:tcW w:w="580" w:type="dxa"/>
            <w:vAlign w:val="bottom"/>
            <w:gridSpan w:val="15"/>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3620" w:type="dxa"/>
            <w:vAlign w:val="bottom"/>
            <w:tcBorders>
              <w:bottom w:val="single" w:sz="8" w:color="0000EE"/>
            </w:tcBorders>
            <w:gridSpan w:val="23"/>
          </w:tcPr>
          <w:p>
            <w:pPr>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Consulting Agreement between Dr. Juan Vera and</w:t>
              </w:r>
            </w:hyperlink>
          </w:p>
        </w:tc>
        <w:tc>
          <w:tcPr>
            <w:tcW w:w="420" w:type="dxa"/>
            <w:vAlign w:val="bottom"/>
            <w:gridSpan w:val="10"/>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1"/>
              </w:rPr>
              <w:t>10.1</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1"/>
              </w:rPr>
              <w:t>10/23/18</w:t>
            </w:r>
          </w:p>
        </w:tc>
        <w:tc>
          <w:tcPr>
            <w:tcW w:w="12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7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Marker Therapeutics, Inc. dated October 19, 2018*</w:t>
              </w:r>
            </w:hyperlink>
          </w:p>
        </w:tc>
        <w:tc>
          <w:tcPr>
            <w:tcW w:w="340" w:type="dxa"/>
            <w:vAlign w:val="bottom"/>
            <w:gridSpan w:val="7"/>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3300" w:type="dxa"/>
            <w:vAlign w:val="bottom"/>
            <w:tcBorders>
              <w:bottom w:val="single" w:sz="8" w:color="0000EE"/>
            </w:tcBorders>
            <w:gridSpan w:val="16"/>
          </w:tcPr>
          <w:p>
            <w:pPr>
              <w:spacing w:after="0"/>
              <w:rPr>
                <w:rFonts w:ascii="Arial" w:cs="Arial" w:eastAsia="Arial" w:hAnsi="Arial"/>
                <w:sz w:val="18"/>
                <w:szCs w:val="18"/>
                <w:color w:val="0000EE"/>
                <w:w w:val="93"/>
              </w:rPr>
            </w:pPr>
            <w:hyperlink r:id="rId151">
              <w:r>
                <w:rPr>
                  <w:rFonts w:ascii="Arial" w:cs="Arial" w:eastAsia="Arial" w:hAnsi="Arial"/>
                  <w:sz w:val="18"/>
                  <w:szCs w:val="18"/>
                  <w:color w:val="0000EE"/>
                  <w:w w:val="93"/>
                </w:rPr>
                <w:t>Form of Director and Officer Indemnification</w:t>
              </w:r>
            </w:hyperlink>
          </w:p>
        </w:tc>
        <w:tc>
          <w:tcPr>
            <w:tcW w:w="740" w:type="dxa"/>
            <w:vAlign w:val="bottom"/>
            <w:gridSpan w:val="17"/>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88"/>
              </w:rPr>
              <w:t>10.39</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3"/>
              </w:rPr>
              <w:t>3/15/19</w:t>
            </w:r>
          </w:p>
        </w:tc>
        <w:tc>
          <w:tcPr>
            <w:tcW w:w="12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Agreement*</w:t>
              </w:r>
            </w:hyperlink>
          </w:p>
        </w:tc>
        <w:tc>
          <w:tcPr>
            <w:tcW w:w="3140" w:type="dxa"/>
            <w:vAlign w:val="bottom"/>
            <w:gridSpan w:val="29"/>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3540" w:type="dxa"/>
            <w:vAlign w:val="bottom"/>
            <w:tcBorders>
              <w:bottom w:val="single" w:sz="8" w:color="0000EE"/>
            </w:tcBorders>
            <w:gridSpan w:val="21"/>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Amendment to Employment Agreement between</w:t>
              </w:r>
            </w:hyperlink>
          </w:p>
        </w:tc>
        <w:tc>
          <w:tcPr>
            <w:tcW w:w="500" w:type="dxa"/>
            <w:vAlign w:val="bottom"/>
            <w:gridSpan w:val="12"/>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88"/>
              </w:rPr>
              <w:t>10.40</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3"/>
              </w:rPr>
              <w:t>3/15/19</w:t>
            </w:r>
          </w:p>
        </w:tc>
        <w:tc>
          <w:tcPr>
            <w:tcW w:w="12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6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52">
              <w:r>
                <w:rPr>
                  <w:rFonts w:ascii="Arial" w:cs="Arial" w:eastAsia="Arial" w:hAnsi="Arial"/>
                  <w:sz w:val="18"/>
                  <w:szCs w:val="18"/>
                  <w:color w:val="0000EE"/>
                  <w:w w:val="89"/>
                </w:rPr>
                <w:t>Marker Therapeutics, Inc. and Peter Hoang, dated</w:t>
              </w:r>
            </w:hyperlink>
          </w:p>
        </w:tc>
        <w:tc>
          <w:tcPr>
            <w:tcW w:w="440" w:type="dxa"/>
            <w:vAlign w:val="bottom"/>
            <w:gridSpan w:val="11"/>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March 14, 2019*</w:t>
              </w:r>
            </w:hyperlink>
          </w:p>
        </w:tc>
        <w:tc>
          <w:tcPr>
            <w:tcW w:w="2800" w:type="dxa"/>
            <w:vAlign w:val="bottom"/>
            <w:gridSpan w:val="26"/>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3000" w:type="dxa"/>
            <w:vAlign w:val="bottom"/>
            <w:tcBorders>
              <w:bottom w:val="single" w:sz="8" w:color="0000EE"/>
            </w:tcBorders>
            <w:gridSpan w:val="14"/>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Employment Agreement between Marker</w:t>
              </w:r>
            </w:hyperlink>
          </w:p>
        </w:tc>
        <w:tc>
          <w:tcPr>
            <w:tcW w:w="1040" w:type="dxa"/>
            <w:vAlign w:val="bottom"/>
            <w:gridSpan w:val="19"/>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001-37939</w:t>
            </w: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1"/>
              </w:rPr>
              <w:t>10.3</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9"/>
              </w:rPr>
              <w:t>5/10/2019</w:t>
            </w:r>
          </w:p>
        </w:tc>
        <w:tc>
          <w:tcPr>
            <w:tcW w:w="12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040" w:type="dxa"/>
            <w:vAlign w:val="bottom"/>
            <w:gridSpan w:val="33"/>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Therapeutics, Inc. and Mythili Koneru, dated February</w:t>
              </w:r>
            </w:hyperlink>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6, 2019.*</w:t>
              </w:r>
            </w:hyperlink>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4040" w:type="dxa"/>
            <w:vAlign w:val="bottom"/>
            <w:gridSpan w:val="33"/>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List of Subsidiaries</w:t>
              </w:r>
            </w:hyperlink>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99"/>
              </w:rPr>
              <w:t>X</w:t>
            </w:r>
          </w:p>
        </w:tc>
      </w:tr>
      <w:tr>
        <w:trPr>
          <w:trHeight w:val="20"/>
        </w:trPr>
        <w:tc>
          <w:tcPr>
            <w:tcW w:w="1140" w:type="dxa"/>
            <w:vAlign w:val="bottom"/>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58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4040" w:type="dxa"/>
            <w:vAlign w:val="bottom"/>
            <w:gridSpan w:val="33"/>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Consent of Marcum LLP, an independent public</w:t>
              </w:r>
            </w:hyperlink>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accounting firm.</w:t>
              </w:r>
            </w:hyperlink>
          </w:p>
        </w:tc>
        <w:tc>
          <w:tcPr>
            <w:tcW w:w="580" w:type="dxa"/>
            <w:vAlign w:val="bottom"/>
            <w:gridSpan w:val="15"/>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X</w:t>
            </w:r>
          </w:p>
        </w:tc>
      </w:tr>
      <w:tr>
        <w:trPr>
          <w:trHeight w:val="668"/>
        </w:trPr>
        <w:tc>
          <w:tcPr>
            <w:tcW w:w="114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84</w:t>
            </w: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89" w:name="page90"/>
    <w:bookmarkEnd w:id="89"/>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Exhibit</w:t>
            </w:r>
          </w:p>
        </w:tc>
        <w:tc>
          <w:tcPr>
            <w:tcW w:w="7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Incorporated by Reference</w:t>
            </w:r>
          </w:p>
        </w:tc>
        <w:tc>
          <w:tcPr>
            <w:tcW w:w="720" w:type="dxa"/>
            <w:vAlign w:val="bottom"/>
          </w:tcPr>
          <w:p>
            <w:pPr>
              <w:spacing w:after="0"/>
              <w:rPr>
                <w:sz w:val="17"/>
                <w:szCs w:val="17"/>
                <w:color w:val="auto"/>
              </w:rPr>
            </w:pPr>
          </w:p>
        </w:tc>
        <w:tc>
          <w:tcPr>
            <w:tcW w:w="1100" w:type="dxa"/>
            <w:vAlign w:val="bottom"/>
            <w:vMerge w:val="restart"/>
          </w:tcPr>
          <w:p>
            <w:pPr>
              <w:jc w:val="center"/>
              <w:ind w:left="330"/>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218"/>
        </w:trPr>
        <w:tc>
          <w:tcPr>
            <w:tcW w:w="9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rPr>
              <w:t>Filing</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760" w:type="dxa"/>
            <w:vAlign w:val="bottom"/>
          </w:tcPr>
          <w:p>
            <w:pPr>
              <w:spacing w:after="0"/>
              <w:rPr>
                <w:sz w:val="20"/>
                <w:szCs w:val="20"/>
                <w:color w:val="auto"/>
              </w:rPr>
            </w:pPr>
          </w:p>
        </w:tc>
        <w:tc>
          <w:tcPr>
            <w:tcW w:w="3340" w:type="dxa"/>
            <w:vAlign w:val="bottom"/>
            <w:gridSpan w:val="9"/>
          </w:tcPr>
          <w:p>
            <w:pPr>
              <w:ind w:left="480"/>
              <w:spacing w:after="0"/>
              <w:rPr>
                <w:sz w:val="20"/>
                <w:szCs w:val="20"/>
                <w:color w:val="auto"/>
              </w:rPr>
            </w:pPr>
            <w:r>
              <w:rPr>
                <w:rFonts w:ascii="Arial" w:cs="Arial" w:eastAsia="Arial" w:hAnsi="Arial"/>
                <w:sz w:val="18"/>
                <w:szCs w:val="18"/>
                <w:b w:val="1"/>
                <w:bCs w:val="1"/>
                <w:color w:val="auto"/>
              </w:rPr>
              <w:t>Exhibit description</w:t>
            </w:r>
          </w:p>
        </w:tc>
        <w:tc>
          <w:tcPr>
            <w:tcW w:w="920" w:type="dxa"/>
            <w:vAlign w:val="bottom"/>
          </w:tcPr>
          <w:p>
            <w:pPr>
              <w:ind w:left="180"/>
              <w:spacing w:after="0"/>
              <w:rPr>
                <w:sz w:val="20"/>
                <w:szCs w:val="20"/>
                <w:color w:val="auto"/>
              </w:rPr>
            </w:pPr>
            <w:r>
              <w:rPr>
                <w:rFonts w:ascii="Arial" w:cs="Arial" w:eastAsia="Arial" w:hAnsi="Arial"/>
                <w:sz w:val="18"/>
                <w:szCs w:val="18"/>
                <w:b w:val="1"/>
                <w:bCs w:val="1"/>
                <w:color w:val="auto"/>
              </w:rPr>
              <w:t>Form</w:t>
            </w:r>
          </w:p>
        </w:tc>
        <w:tc>
          <w:tcPr>
            <w:tcW w:w="920" w:type="dxa"/>
            <w:vAlign w:val="bottom"/>
          </w:tcPr>
          <w:p>
            <w:pPr>
              <w:ind w:left="320"/>
              <w:spacing w:after="0"/>
              <w:rPr>
                <w:sz w:val="20"/>
                <w:szCs w:val="20"/>
                <w:color w:val="auto"/>
              </w:rPr>
            </w:pPr>
            <w:r>
              <w:rPr>
                <w:rFonts w:ascii="Arial" w:cs="Arial" w:eastAsia="Arial" w:hAnsi="Arial"/>
                <w:sz w:val="18"/>
                <w:szCs w:val="18"/>
                <w:b w:val="1"/>
                <w:bCs w:val="1"/>
                <w:color w:val="auto"/>
                <w:w w:val="91"/>
              </w:rPr>
              <w:t>File no.</w:t>
            </w:r>
          </w:p>
        </w:tc>
        <w:tc>
          <w:tcPr>
            <w:tcW w:w="40" w:type="dxa"/>
            <w:vAlign w:val="bottom"/>
          </w:tcPr>
          <w:p>
            <w:pPr>
              <w:spacing w:after="0"/>
              <w:rPr>
                <w:sz w:val="20"/>
                <w:szCs w:val="20"/>
                <w:color w:val="auto"/>
              </w:rPr>
            </w:pPr>
          </w:p>
        </w:tc>
        <w:tc>
          <w:tcPr>
            <w:tcW w:w="1500" w:type="dxa"/>
            <w:vAlign w:val="bottom"/>
          </w:tcPr>
          <w:p>
            <w:pPr>
              <w:ind w:left="480"/>
              <w:spacing w:after="0"/>
              <w:rPr>
                <w:sz w:val="20"/>
                <w:szCs w:val="20"/>
                <w:color w:val="auto"/>
              </w:rPr>
            </w:pPr>
            <w:r>
              <w:rPr>
                <w:rFonts w:ascii="Arial" w:cs="Arial" w:eastAsia="Arial" w:hAnsi="Arial"/>
                <w:sz w:val="18"/>
                <w:szCs w:val="18"/>
                <w:b w:val="1"/>
                <w:bCs w:val="1"/>
                <w:color w:val="auto"/>
              </w:rPr>
              <w:t>Exhibit</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5"/>
              </w:rPr>
              <w:t>date</w:t>
            </w:r>
          </w:p>
        </w:tc>
        <w:tc>
          <w:tcPr>
            <w:tcW w:w="110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392"/>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24.1</w:t>
            </w:r>
          </w:p>
        </w:tc>
        <w:tc>
          <w:tcPr>
            <w:tcW w:w="35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Powers of Attorney (included on signature page).</w:t>
              </w:r>
            </w:hyperlink>
          </w:p>
        </w:tc>
        <w:tc>
          <w:tcPr>
            <w:tcW w:w="540" w:type="dxa"/>
            <w:vAlign w:val="bottom"/>
            <w:gridSpan w:val="6"/>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jc w:val="center"/>
              <w:ind w:left="33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2"/>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31.1</w:t>
            </w:r>
          </w:p>
        </w:tc>
        <w:tc>
          <w:tcPr>
            <w:tcW w:w="4100" w:type="dxa"/>
            <w:vAlign w:val="bottom"/>
            <w:gridSpan w:val="10"/>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Certification of Chief Executive Officer pursuant to</w:t>
              </w:r>
            </w:hyperlink>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25">
              <w:r>
                <w:rPr>
                  <w:rFonts w:ascii="Arial" w:cs="Arial" w:eastAsia="Arial" w:hAnsi="Arial"/>
                  <w:sz w:val="18"/>
                  <w:szCs w:val="18"/>
                  <w:color w:val="0000EE"/>
                  <w:w w:val="90"/>
                </w:rPr>
                <w:t>Securities Exchange Act of 1934 Rule 13a-14(a) or</w:t>
              </w:r>
            </w:hyperlink>
          </w:p>
        </w:tc>
        <w:tc>
          <w:tcPr>
            <w:tcW w:w="20" w:type="dxa"/>
            <w:vAlign w:val="bottom"/>
            <w:tcBorders>
              <w:top w:val="single" w:sz="8" w:color="0000EE"/>
            </w:tcBorders>
          </w:tcPr>
          <w:p>
            <w:pPr>
              <w:spacing w:after="0"/>
              <w:rPr>
                <w:sz w:val="17"/>
                <w:szCs w:val="17"/>
                <w:color w:val="auto"/>
              </w:rPr>
            </w:pPr>
          </w:p>
        </w:tc>
        <w:tc>
          <w:tcPr>
            <w:tcW w:w="38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15d-14(a).</w:t>
              </w:r>
            </w:hyperlink>
          </w:p>
        </w:tc>
        <w:tc>
          <w:tcPr>
            <w:tcW w:w="334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2"/>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31.2</w:t>
            </w:r>
          </w:p>
        </w:tc>
        <w:tc>
          <w:tcPr>
            <w:tcW w:w="36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26">
              <w:r>
                <w:rPr>
                  <w:rFonts w:ascii="Arial" w:cs="Arial" w:eastAsia="Arial" w:hAnsi="Arial"/>
                  <w:sz w:val="18"/>
                  <w:szCs w:val="18"/>
                  <w:color w:val="0000EE"/>
                  <w:w w:val="93"/>
                </w:rPr>
                <w:t>Certification of Chief Financial Officer pursuant to</w:t>
              </w:r>
            </w:hyperlink>
          </w:p>
        </w:tc>
        <w:tc>
          <w:tcPr>
            <w:tcW w:w="42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7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Securities Exchange Act of 1934 Rule 13a-14(a) or</w:t>
              </w:r>
            </w:hyperlink>
          </w:p>
        </w:tc>
        <w:tc>
          <w:tcPr>
            <w:tcW w:w="40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26">
              <w:r>
                <w:rPr>
                  <w:rFonts w:ascii="Arial" w:cs="Arial" w:eastAsia="Arial" w:hAnsi="Arial"/>
                  <w:sz w:val="18"/>
                  <w:szCs w:val="18"/>
                  <w:color w:val="0000EE"/>
                  <w:w w:val="89"/>
                </w:rPr>
                <w:t>15d-14(a).</w:t>
              </w:r>
            </w:hyperlink>
          </w:p>
        </w:tc>
        <w:tc>
          <w:tcPr>
            <w:tcW w:w="334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2"/>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32.1</w:t>
            </w:r>
          </w:p>
        </w:tc>
        <w:tc>
          <w:tcPr>
            <w:tcW w:w="4100" w:type="dxa"/>
            <w:vAlign w:val="bottom"/>
            <w:gridSpan w:val="10"/>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Certification of Chief Executive Officer pursuant to</w:t>
              </w:r>
            </w:hyperlink>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27">
              <w:r>
                <w:rPr>
                  <w:rFonts w:ascii="Arial" w:cs="Arial" w:eastAsia="Arial" w:hAnsi="Arial"/>
                  <w:sz w:val="18"/>
                  <w:szCs w:val="18"/>
                  <w:color w:val="0000EE"/>
                  <w:w w:val="88"/>
                </w:rPr>
                <w:t>18 U. S. C. Section 1350 as adopted pursuant to</w:t>
              </w:r>
            </w:hyperlink>
          </w:p>
        </w:tc>
        <w:tc>
          <w:tcPr>
            <w:tcW w:w="260" w:type="dxa"/>
            <w:vAlign w:val="bottom"/>
            <w:tcBorders>
              <w:top w:val="single" w:sz="8" w:color="0000EE"/>
            </w:tcBorders>
            <w:gridSpan w:val="4"/>
          </w:tcPr>
          <w:p>
            <w:pPr>
              <w:spacing w:after="0"/>
              <w:rPr>
                <w:sz w:val="17"/>
                <w:szCs w:val="17"/>
                <w:color w:val="auto"/>
              </w:rPr>
            </w:pPr>
          </w:p>
        </w:tc>
        <w:tc>
          <w:tcPr>
            <w:tcW w:w="38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4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27">
              <w:r>
                <w:rPr>
                  <w:rFonts w:ascii="Arial" w:cs="Arial" w:eastAsia="Arial" w:hAnsi="Arial"/>
                  <w:sz w:val="18"/>
                  <w:szCs w:val="18"/>
                  <w:color w:val="0000EE"/>
                  <w:w w:val="90"/>
                </w:rPr>
                <w:t>Section 906 of the Sarbanes-Oxley Act of 2002.</w:t>
              </w:r>
            </w:hyperlink>
          </w:p>
        </w:tc>
        <w:tc>
          <w:tcPr>
            <w:tcW w:w="6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2"/>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32.2</w:t>
            </w:r>
          </w:p>
        </w:tc>
        <w:tc>
          <w:tcPr>
            <w:tcW w:w="4100" w:type="dxa"/>
            <w:vAlign w:val="bottom"/>
            <w:gridSpan w:val="10"/>
          </w:tcPr>
          <w:p>
            <w:pPr>
              <w:spacing w:after="0"/>
              <w:rPr>
                <w:rFonts w:ascii="Arial" w:cs="Arial" w:eastAsia="Arial" w:hAnsi="Arial"/>
                <w:sz w:val="18"/>
                <w:szCs w:val="18"/>
                <w:color w:val="0000EE"/>
                <w:w w:val="97"/>
              </w:rPr>
            </w:pPr>
            <w:hyperlink w:anchor="page128">
              <w:r>
                <w:rPr>
                  <w:rFonts w:ascii="Arial" w:cs="Arial" w:eastAsia="Arial" w:hAnsi="Arial"/>
                  <w:sz w:val="18"/>
                  <w:szCs w:val="18"/>
                  <w:color w:val="0000EE"/>
                  <w:w w:val="97"/>
                </w:rPr>
                <w:t>Certification of Chief Financial Officer pursuant to 18</w:t>
              </w:r>
            </w:hyperlink>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128">
              <w:r>
                <w:rPr>
                  <w:rFonts w:ascii="Arial" w:cs="Arial" w:eastAsia="Arial" w:hAnsi="Arial"/>
                  <w:sz w:val="18"/>
                  <w:szCs w:val="18"/>
                  <w:color w:val="0000EE"/>
                  <w:w w:val="88"/>
                </w:rPr>
                <w:t>U. S. C. Section 1350 as adopted pursuant to Section</w:t>
              </w:r>
            </w:hyperlink>
          </w:p>
        </w:tc>
        <w:tc>
          <w:tcPr>
            <w:tcW w:w="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28">
              <w:r>
                <w:rPr>
                  <w:rFonts w:ascii="Arial" w:cs="Arial" w:eastAsia="Arial" w:hAnsi="Arial"/>
                  <w:sz w:val="18"/>
                  <w:szCs w:val="18"/>
                  <w:color w:val="0000EE"/>
                  <w:w w:val="90"/>
                </w:rPr>
                <w:t>906 of the Sarbanes-Oxley Act of 2002.</w:t>
              </w:r>
            </w:hyperlink>
          </w:p>
        </w:tc>
        <w:tc>
          <w:tcPr>
            <w:tcW w:w="122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53"/>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92"/>
              </w:rPr>
              <w:t>101.INS</w:t>
            </w:r>
          </w:p>
        </w:tc>
        <w:tc>
          <w:tcPr>
            <w:tcW w:w="410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jc w:val="center"/>
              <w:ind w:left="33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940" w:type="dxa"/>
            <w:vAlign w:val="bottom"/>
          </w:tcPr>
          <w:p>
            <w:pPr>
              <w:jc w:val="center"/>
              <w:ind w:right="110"/>
              <w:spacing w:after="0"/>
              <w:rPr>
                <w:sz w:val="20"/>
                <w:szCs w:val="20"/>
                <w:color w:val="auto"/>
              </w:rPr>
            </w:pPr>
            <w:r>
              <w:rPr>
                <w:rFonts w:ascii="Arial" w:cs="Arial" w:eastAsia="Arial" w:hAnsi="Arial"/>
                <w:sz w:val="18"/>
                <w:szCs w:val="18"/>
                <w:color w:val="auto"/>
                <w:w w:val="90"/>
              </w:rPr>
              <w:t>101.SCH</w:t>
            </w:r>
          </w:p>
        </w:tc>
        <w:tc>
          <w:tcPr>
            <w:tcW w:w="410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jc w:val="center"/>
              <w:ind w:left="33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8"/>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97"/>
              </w:rPr>
              <w:t>101.CAL</w:t>
            </w:r>
          </w:p>
        </w:tc>
        <w:tc>
          <w:tcPr>
            <w:tcW w:w="410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jc w:val="center"/>
              <w:ind w:left="33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10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tcPr>
          <w:p>
            <w:pPr>
              <w:jc w:val="center"/>
              <w:ind w:right="110"/>
              <w:spacing w:after="0"/>
              <w:rPr>
                <w:sz w:val="20"/>
                <w:szCs w:val="20"/>
                <w:color w:val="auto"/>
              </w:rPr>
            </w:pPr>
            <w:r>
              <w:rPr>
                <w:rFonts w:ascii="Arial" w:cs="Arial" w:eastAsia="Arial" w:hAnsi="Arial"/>
                <w:sz w:val="18"/>
                <w:szCs w:val="18"/>
                <w:color w:val="auto"/>
                <w:w w:val="92"/>
              </w:rPr>
              <w:t>101.DEF</w:t>
            </w:r>
          </w:p>
        </w:tc>
        <w:tc>
          <w:tcPr>
            <w:tcW w:w="410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jc w:val="center"/>
              <w:ind w:left="33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10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410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jc w:val="center"/>
              <w:ind w:left="33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10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tcPr>
          <w:p>
            <w:pPr>
              <w:jc w:val="center"/>
              <w:ind w:right="90"/>
              <w:spacing w:after="0"/>
              <w:rPr>
                <w:sz w:val="20"/>
                <w:szCs w:val="20"/>
                <w:color w:val="auto"/>
              </w:rPr>
            </w:pPr>
            <w:r>
              <w:rPr>
                <w:rFonts w:ascii="Arial" w:cs="Arial" w:eastAsia="Arial" w:hAnsi="Arial"/>
                <w:sz w:val="18"/>
                <w:szCs w:val="18"/>
                <w:color w:val="auto"/>
                <w:w w:val="88"/>
              </w:rPr>
              <w:t>101.PRE</w:t>
            </w:r>
          </w:p>
        </w:tc>
        <w:tc>
          <w:tcPr>
            <w:tcW w:w="410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jc w:val="center"/>
              <w:ind w:left="33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10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*Executive management contract or compensatory plan or arrangement.</w:t>
      </w:r>
    </w:p>
    <w:p>
      <w:pPr>
        <w:spacing w:after="0" w:line="23" w:lineRule="exact"/>
        <w:rPr>
          <w:sz w:val="20"/>
          <w:szCs w:val="20"/>
          <w:color w:val="auto"/>
        </w:rPr>
      </w:pPr>
    </w:p>
    <w:p>
      <w:pPr>
        <w:ind w:left="240" w:hanging="231"/>
        <w:spacing w:after="0"/>
        <w:tabs>
          <w:tab w:leader="none" w:pos="2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Confidential treatment has been granted as to certain portions of this exhibit pursuant to Rule 406 of the Securities Act of 1933, as amended, or Rule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24b-2 of the Securities Exchange Act of 1934, as amended.</w:t>
      </w:r>
    </w:p>
    <w:p>
      <w:pPr>
        <w:spacing w:after="0" w:line="9"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***Portions of this exhibit (indicated by asterisks) have been omitted pursuant to a request for conditional treatment and this exhibit has been submitted separately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Section 13 and 15 (d)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2020</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Marker Therapeutics, Inc.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Hoang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Anthony Kim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officers and directors of Marker Therapeutics, Inc., hereby constitutes and appoints Peter Hoang and Anthony Kim,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March 12, 2020 on behalf of the registrant and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w:t>
            </w:r>
          </w:p>
        </w:tc>
        <w:tc>
          <w:tcPr>
            <w:tcW w:w="360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195"/>
        </w:trPr>
        <w:tc>
          <w:tcPr>
            <w:tcW w:w="3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95"/>
              </w:rPr>
              <w:t>President, Chief Executive Officer and Director</w:t>
            </w:r>
          </w:p>
        </w:tc>
        <w:tc>
          <w:tcPr>
            <w:tcW w:w="10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March 12, 2020</w:t>
            </w:r>
          </w:p>
        </w:tc>
      </w:tr>
      <w:tr>
        <w:trPr>
          <w:trHeight w:val="230"/>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Hoang</w:t>
            </w:r>
          </w:p>
        </w:tc>
        <w:tc>
          <w:tcPr>
            <w:tcW w:w="1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20"/>
                <w:szCs w:val="20"/>
                <w:color w:val="auto"/>
              </w:rPr>
            </w:pP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Peter Hoang</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Frederick Wasserman</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600" w:type="dxa"/>
            <w:vAlign w:val="bottom"/>
          </w:tcPr>
          <w:p>
            <w:pPr>
              <w:spacing w:after="0"/>
              <w:rPr>
                <w:sz w:val="20"/>
                <w:szCs w:val="20"/>
                <w:color w:val="auto"/>
              </w:rPr>
            </w:pPr>
            <w:r>
              <w:rPr>
                <w:rFonts w:ascii="Arial" w:cs="Arial" w:eastAsia="Arial" w:hAnsi="Arial"/>
                <w:sz w:val="18"/>
                <w:szCs w:val="18"/>
                <w:color w:val="auto"/>
              </w:rPr>
              <w:t>March 12, 2020</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Frederick Wasserman</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Laskow-Pooley</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600" w:type="dxa"/>
            <w:vAlign w:val="bottom"/>
          </w:tcPr>
          <w:p>
            <w:pPr>
              <w:spacing w:after="0"/>
              <w:rPr>
                <w:sz w:val="20"/>
                <w:szCs w:val="20"/>
                <w:color w:val="auto"/>
              </w:rPr>
            </w:pPr>
            <w:r>
              <w:rPr>
                <w:rFonts w:ascii="Arial" w:cs="Arial" w:eastAsia="Arial" w:hAnsi="Arial"/>
                <w:sz w:val="18"/>
                <w:szCs w:val="18"/>
                <w:color w:val="auto"/>
              </w:rPr>
              <w:t>March 12, 2020</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David Laskow-Pooley</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Wilson</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600" w:type="dxa"/>
            <w:vAlign w:val="bottom"/>
          </w:tcPr>
          <w:p>
            <w:pPr>
              <w:spacing w:after="0"/>
              <w:rPr>
                <w:sz w:val="20"/>
                <w:szCs w:val="20"/>
                <w:color w:val="auto"/>
              </w:rPr>
            </w:pPr>
            <w:r>
              <w:rPr>
                <w:rFonts w:ascii="Arial" w:cs="Arial" w:eastAsia="Arial" w:hAnsi="Arial"/>
                <w:sz w:val="18"/>
                <w:szCs w:val="18"/>
                <w:color w:val="auto"/>
              </w:rPr>
              <w:t>March 12, 2020</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John Wilson</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Vera</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600" w:type="dxa"/>
            <w:vAlign w:val="bottom"/>
          </w:tcPr>
          <w:p>
            <w:pPr>
              <w:spacing w:after="0"/>
              <w:rPr>
                <w:sz w:val="20"/>
                <w:szCs w:val="20"/>
                <w:color w:val="auto"/>
              </w:rPr>
            </w:pPr>
            <w:r>
              <w:rPr>
                <w:rFonts w:ascii="Arial" w:cs="Arial" w:eastAsia="Arial" w:hAnsi="Arial"/>
                <w:sz w:val="18"/>
                <w:szCs w:val="18"/>
                <w:color w:val="auto"/>
              </w:rPr>
              <w:t>March 12, 2020</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Juan Vera</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 David Eansor</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600" w:type="dxa"/>
            <w:vAlign w:val="bottom"/>
          </w:tcPr>
          <w:p>
            <w:pPr>
              <w:spacing w:after="0"/>
              <w:rPr>
                <w:sz w:val="20"/>
                <w:szCs w:val="20"/>
                <w:color w:val="auto"/>
              </w:rPr>
            </w:pPr>
            <w:r>
              <w:rPr>
                <w:rFonts w:ascii="Arial" w:cs="Arial" w:eastAsia="Arial" w:hAnsi="Arial"/>
                <w:sz w:val="18"/>
                <w:szCs w:val="18"/>
                <w:color w:val="auto"/>
              </w:rPr>
              <w:t>March 12, 2020</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N. David Eansor</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Elms</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600" w:type="dxa"/>
            <w:vAlign w:val="bottom"/>
          </w:tcPr>
          <w:p>
            <w:pPr>
              <w:spacing w:after="0"/>
              <w:rPr>
                <w:sz w:val="20"/>
                <w:szCs w:val="20"/>
                <w:color w:val="auto"/>
              </w:rPr>
            </w:pPr>
            <w:r>
              <w:rPr>
                <w:rFonts w:ascii="Arial" w:cs="Arial" w:eastAsia="Arial" w:hAnsi="Arial"/>
                <w:sz w:val="18"/>
                <w:szCs w:val="18"/>
                <w:color w:val="auto"/>
              </w:rPr>
              <w:t>March 12, 2020</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Steve Elms</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03"/>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w w:val="99"/>
              </w:rPr>
              <w:t>Chief Financial Officer (Principal Financial and</w:t>
            </w:r>
          </w:p>
        </w:tc>
        <w:tc>
          <w:tcPr>
            <w:tcW w:w="3600" w:type="dxa"/>
            <w:vAlign w:val="bottom"/>
          </w:tcPr>
          <w:p>
            <w:pPr>
              <w:spacing w:after="0"/>
              <w:rPr>
                <w:sz w:val="20"/>
                <w:szCs w:val="20"/>
                <w:color w:val="auto"/>
              </w:rPr>
            </w:pPr>
            <w:r>
              <w:rPr>
                <w:rFonts w:ascii="Arial" w:cs="Arial" w:eastAsia="Arial" w:hAnsi="Arial"/>
                <w:sz w:val="18"/>
                <w:szCs w:val="18"/>
                <w:color w:val="auto"/>
              </w:rPr>
              <w:t>March 12, 2020</w:t>
            </w:r>
          </w:p>
        </w:tc>
      </w:tr>
      <w:tr>
        <w:trPr>
          <w:trHeight w:val="230"/>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Kim</w:t>
            </w:r>
          </w:p>
        </w:tc>
        <w:tc>
          <w:tcPr>
            <w:tcW w:w="1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Accounting Officer)</w:t>
            </w:r>
          </w:p>
        </w:tc>
        <w:tc>
          <w:tcPr>
            <w:tcW w:w="3600" w:type="dxa"/>
            <w:vAlign w:val="bottom"/>
          </w:tcPr>
          <w:p>
            <w:pPr>
              <w:spacing w:after="0"/>
              <w:rPr>
                <w:sz w:val="20"/>
                <w:szCs w:val="20"/>
                <w:color w:val="auto"/>
              </w:rPr>
            </w:pP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Anthony Kim</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634"/>
        </w:trPr>
        <w:tc>
          <w:tcPr>
            <w:tcW w:w="3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2"/>
          </w:tcPr>
          <w:p>
            <w:pPr>
              <w:ind w:left="1580"/>
              <w:spacing w:after="0"/>
              <w:rPr>
                <w:sz w:val="20"/>
                <w:szCs w:val="20"/>
                <w:color w:val="auto"/>
              </w:rPr>
            </w:pPr>
            <w:r>
              <w:rPr>
                <w:rFonts w:ascii="Arial" w:cs="Arial" w:eastAsia="Arial" w:hAnsi="Arial"/>
                <w:sz w:val="18"/>
                <w:szCs w:val="18"/>
                <w:color w:val="auto"/>
              </w:rPr>
              <w:t>S-2</w:t>
            </w: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92" w:name="page93"/>
    <w:bookmarkEnd w:id="92"/>
    <w:p>
      <w:pPr>
        <w:jc w:val="center"/>
        <w:ind w:right="-1100"/>
        <w:spacing w:after="0"/>
        <w:rPr>
          <w:sz w:val="20"/>
          <w:szCs w:val="20"/>
          <w:color w:val="auto"/>
        </w:rPr>
      </w:pPr>
      <w:r>
        <w:rPr>
          <w:rFonts w:ascii="Arial" w:cs="Arial" w:eastAsia="Arial" w:hAnsi="Arial"/>
          <w:sz w:val="18"/>
          <w:szCs w:val="18"/>
          <w:b w:val="1"/>
          <w:bCs w:val="1"/>
          <w:color w:val="auto"/>
        </w:rPr>
        <w:t>MARKER THERAPETUICS,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FINANCIAL STATEMENTS</w:t>
      </w:r>
    </w:p>
    <w:p>
      <w:pPr>
        <w:spacing w:after="0" w:line="20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2019</w:t>
      </w:r>
    </w:p>
    <w:p>
      <w:pPr>
        <w:spacing w:after="0" w:line="22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Report of Independent Registered Public Accounting Firm</w:t>
        </w:r>
      </w:hyperlink>
    </w:p>
    <w:p>
      <w:pPr>
        <w:spacing w:after="0" w:line="2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96">
        <w:r>
          <w:rPr>
            <w:rFonts w:ascii="Arial" w:cs="Arial" w:eastAsia="Arial" w:hAnsi="Arial"/>
            <w:sz w:val="18"/>
            <w:szCs w:val="18"/>
            <w:b w:val="1"/>
            <w:bCs w:val="1"/>
            <w:u w:val="single" w:color="auto"/>
            <w:color w:val="0000EE"/>
          </w:rPr>
          <w:t>Consolidated Balance Sheets</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97">
        <w:r>
          <w:rPr>
            <w:rFonts w:ascii="Arial" w:cs="Arial" w:eastAsia="Arial" w:hAnsi="Arial"/>
            <w:sz w:val="18"/>
            <w:szCs w:val="18"/>
            <w:b w:val="1"/>
            <w:bCs w:val="1"/>
            <w:u w:val="single" w:color="auto"/>
            <w:color w:val="0000EE"/>
          </w:rPr>
          <w:t>Consolidated Statements of Operations</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98">
        <w:r>
          <w:rPr>
            <w:rFonts w:ascii="Arial" w:cs="Arial" w:eastAsia="Arial" w:hAnsi="Arial"/>
            <w:sz w:val="18"/>
            <w:szCs w:val="18"/>
            <w:b w:val="1"/>
            <w:bCs w:val="1"/>
            <w:u w:val="single" w:color="auto"/>
            <w:color w:val="0000EE"/>
          </w:rPr>
          <w:t>Consolidated Statements of Stockholders’ Equity (Deficit)</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99">
        <w:r>
          <w:rPr>
            <w:rFonts w:ascii="Arial" w:cs="Arial" w:eastAsia="Arial" w:hAnsi="Arial"/>
            <w:sz w:val="18"/>
            <w:szCs w:val="18"/>
            <w:b w:val="1"/>
            <w:bCs w:val="1"/>
            <w:u w:val="single" w:color="auto"/>
            <w:color w:val="0000EE"/>
          </w:rPr>
          <w:t>Consolidated Statements of Cash Flows</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00">
        <w:r>
          <w:rPr>
            <w:rFonts w:ascii="Arial" w:cs="Arial" w:eastAsia="Arial" w:hAnsi="Arial"/>
            <w:sz w:val="18"/>
            <w:szCs w:val="18"/>
            <w:b w:val="1"/>
            <w:bCs w:val="1"/>
            <w:u w:val="single" w:color="auto"/>
            <w:color w:val="0000EE"/>
          </w:rPr>
          <w:t>Notes to the Consolidated Financial Statements</w:t>
        </w:r>
      </w:hyperlink>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93" w:name="page94"/>
    <w:bookmarkEnd w:id="93"/>
    <w:p>
      <w:pPr>
        <w:ind w:left="25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audited the accompanying consolidated balance sheet</w:t>
      </w:r>
      <w:r>
        <w:rPr>
          <w:rFonts w:ascii="Arial" w:cs="Arial" w:eastAsia="Arial" w:hAnsi="Arial"/>
          <w:sz w:val="16"/>
          <w:szCs w:val="16"/>
          <w:b w:val="1"/>
          <w:bCs w:val="1"/>
          <w:color w:val="auto"/>
        </w:rPr>
        <w:t>s</w:t>
      </w:r>
      <w:r>
        <w:rPr>
          <w:rFonts w:ascii="Arial" w:cs="Arial" w:eastAsia="Arial" w:hAnsi="Arial"/>
          <w:sz w:val="16"/>
          <w:szCs w:val="16"/>
          <w:color w:val="auto"/>
        </w:rPr>
        <w:t xml:space="preserve"> of Marker Therapeutics, Inc. (the “Company”) as of December 31, 2019 and 2018, the related consolidated statements of operations, stockholders’ equity (deficit)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the criteria established in Internal Control - Integrated Framework issued by the Committee of Sponsoring Organizations of the Treadway Commission (COSO) in 2013 and our report dated March 12, 2020</w:t>
      </w:r>
      <w:r>
        <w:rPr>
          <w:rFonts w:ascii="Arial" w:cs="Arial" w:eastAsia="Arial" w:hAnsi="Arial"/>
          <w:sz w:val="18"/>
          <w:szCs w:val="18"/>
          <w:i w:val="1"/>
          <w:iCs w:val="1"/>
          <w:color w:val="auto"/>
        </w:rPr>
        <w:t>,</w:t>
      </w:r>
      <w:r>
        <w:rPr>
          <w:rFonts w:ascii="Arial" w:cs="Arial" w:eastAsia="Arial" w:hAnsi="Arial"/>
          <w:sz w:val="18"/>
          <w:szCs w:val="18"/>
          <w:color w:val="auto"/>
        </w:rPr>
        <w:t xml:space="preserve"> expressed an unqualified opinion on the effectiveness of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conducted our audit</w:t>
      </w:r>
      <w:r>
        <w:rPr>
          <w:rFonts w:ascii="Arial" w:cs="Arial" w:eastAsia="Arial" w:hAnsi="Arial"/>
          <w:sz w:val="17"/>
          <w:szCs w:val="17"/>
          <w:b w:val="1"/>
          <w:bCs w:val="1"/>
          <w:color w:val="auto"/>
        </w:rPr>
        <w:t>s</w:t>
      </w:r>
      <w:r>
        <w:rPr>
          <w:rFonts w:ascii="Arial" w:cs="Arial" w:eastAsia="Arial" w:hAnsi="Arial"/>
          <w:sz w:val="17"/>
          <w:szCs w:val="17"/>
          <w:color w:val="auto"/>
        </w:rPr>
        <w:t xml:space="preserve"> in accordance with the standards of the PCAOB. Those standards require that we plan and perform the audit</w:t>
      </w:r>
      <w:r>
        <w:rPr>
          <w:rFonts w:ascii="Arial" w:cs="Arial" w:eastAsia="Arial" w:hAnsi="Arial"/>
          <w:sz w:val="17"/>
          <w:szCs w:val="17"/>
          <w:b w:val="1"/>
          <w:bCs w:val="1"/>
          <w:color w:val="auto"/>
        </w:rPr>
        <w:t>s</w:t>
      </w:r>
      <w:r>
        <w:rPr>
          <w:rFonts w:ascii="Arial" w:cs="Arial" w:eastAsia="Arial" w:hAnsi="Arial"/>
          <w:sz w:val="17"/>
          <w:szCs w:val="17"/>
          <w:color w:val="auto"/>
        </w:rPr>
        <w:t xml:space="preserve"> to obtain reasonable assurance about whether the financial statements are free of material misstatement, whether due to error or fraud. Our audit</w:t>
      </w:r>
      <w:r>
        <w:rPr>
          <w:rFonts w:ascii="Arial" w:cs="Arial" w:eastAsia="Arial" w:hAnsi="Arial"/>
          <w:sz w:val="17"/>
          <w:szCs w:val="17"/>
          <w:b w:val="1"/>
          <w:bCs w:val="1"/>
          <w:color w:val="auto"/>
        </w:rPr>
        <w:t>s</w:t>
      </w:r>
      <w:r>
        <w:rPr>
          <w:rFonts w:ascii="Arial" w:cs="Arial" w:eastAsia="Arial" w:hAnsi="Arial"/>
          <w:sz w:val="17"/>
          <w:szCs w:val="17"/>
          <w:color w:val="auto"/>
        </w:rPr>
        <w:t xml:space="preserve">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Arial" w:cs="Arial" w:eastAsia="Arial" w:hAnsi="Arial"/>
          <w:sz w:val="17"/>
          <w:szCs w:val="17"/>
          <w:b w:val="1"/>
          <w:bCs w:val="1"/>
          <w:color w:val="auto"/>
        </w:rPr>
        <w:t>s</w:t>
      </w:r>
      <w:r>
        <w:rPr>
          <w:rFonts w:ascii="Arial" w:cs="Arial" w:eastAsia="Arial" w:hAnsi="Arial"/>
          <w:sz w:val="17"/>
          <w:szCs w:val="17"/>
          <w:color w:val="auto"/>
        </w:rPr>
        <w:t xml:space="preserve"> also included evaluating the accounting principles used and significant estimates made by management, as well as evaluating the overall presentation of the financial statements. We believe that our audit</w:t>
      </w:r>
      <w:r>
        <w:rPr>
          <w:rFonts w:ascii="Arial" w:cs="Arial" w:eastAsia="Arial" w:hAnsi="Arial"/>
          <w:sz w:val="17"/>
          <w:szCs w:val="17"/>
          <w:b w:val="1"/>
          <w:bCs w:val="1"/>
          <w:color w:val="auto"/>
        </w:rPr>
        <w:t>s</w:t>
      </w:r>
      <w:r>
        <w:rPr>
          <w:rFonts w:ascii="Arial" w:cs="Arial" w:eastAsia="Arial" w:hAnsi="Arial"/>
          <w:sz w:val="17"/>
          <w:szCs w:val="17"/>
          <w:color w:val="auto"/>
        </w:rPr>
        <w:t xml:space="preserve">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left="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have audited Marker Therapeutics, Inc.'s (the “Company”) internal control over financial reporting as of December 31, 2019,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balance sheet</w:t>
      </w:r>
      <w:r>
        <w:rPr>
          <w:rFonts w:ascii="Arial" w:cs="Arial" w:eastAsia="Arial" w:hAnsi="Arial"/>
          <w:sz w:val="18"/>
          <w:szCs w:val="18"/>
          <w:b w:val="1"/>
          <w:bCs w:val="1"/>
          <w:color w:val="auto"/>
        </w:rPr>
        <w:t>s</w:t>
      </w:r>
      <w:r>
        <w:rPr>
          <w:rFonts w:ascii="Arial" w:cs="Arial" w:eastAsia="Arial" w:hAnsi="Arial"/>
          <w:sz w:val="18"/>
          <w:szCs w:val="18"/>
          <w:color w:val="auto"/>
        </w:rPr>
        <w:t xml:space="preserve"> as of December 31, 2019 and 2018 and the related consolidated statements of operations, stockholders’ equity (deficit), and cash flows and the related notes for each of the two years in the period ended December 31, 2019 of the Company, and our report dated March 12, 2020 expressed an unqualified opinion on those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43"/>
        </w:trPr>
        <w:tc>
          <w:tcPr>
            <w:tcW w:w="83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09"/>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43,903,949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61,746,748</w:t>
            </w:r>
          </w:p>
        </w:tc>
        <w:tc>
          <w:tcPr>
            <w:tcW w:w="80" w:type="dxa"/>
            <w:vAlign w:val="bottom"/>
            <w:shd w:val="clear" w:color="auto" w:fill="CCEEFF"/>
          </w:tcPr>
          <w:p>
            <w:pPr>
              <w:spacing w:after="0"/>
              <w:rPr>
                <w:sz w:val="18"/>
                <w:szCs w:val="18"/>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Prepaid expenses and deposits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1,526,442</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141,717</w:t>
            </w:r>
          </w:p>
        </w:tc>
        <w:tc>
          <w:tcPr>
            <w:tcW w:w="80" w:type="dxa"/>
            <w:vAlign w:val="bottom"/>
          </w:tcPr>
          <w:p>
            <w:pPr>
              <w:spacing w:after="0"/>
              <w:rPr>
                <w:sz w:val="18"/>
                <w:szCs w:val="18"/>
                <w:color w:val="auto"/>
              </w:rPr>
            </w:pPr>
          </w:p>
        </w:tc>
      </w:tr>
      <w:tr>
        <w:trPr>
          <w:trHeight w:val="229"/>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receivable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56,189</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108,177</w:t>
            </w:r>
          </w:p>
        </w:tc>
        <w:tc>
          <w:tcPr>
            <w:tcW w:w="80" w:type="dxa"/>
            <w:vAlign w:val="bottom"/>
            <w:shd w:val="clear" w:color="auto" w:fill="CCEEFF"/>
          </w:tcPr>
          <w:p>
            <w:pPr>
              <w:spacing w:after="0"/>
              <w:rPr>
                <w:sz w:val="19"/>
                <w:szCs w:val="19"/>
                <w:color w:val="auto"/>
              </w:rPr>
            </w:pPr>
          </w:p>
        </w:tc>
      </w:tr>
      <w:tr>
        <w:trPr>
          <w:trHeight w:val="210"/>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45,486,580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61,996,642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417,528</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147,668</w:t>
            </w:r>
          </w:p>
        </w:tc>
        <w:tc>
          <w:tcPr>
            <w:tcW w:w="80" w:type="dxa"/>
            <w:vAlign w:val="bottom"/>
          </w:tcPr>
          <w:p>
            <w:pPr>
              <w:spacing w:after="0"/>
              <w:rPr>
                <w:sz w:val="18"/>
                <w:szCs w:val="18"/>
                <w:color w:val="auto"/>
              </w:rPr>
            </w:pPr>
          </w:p>
        </w:tc>
      </w:tr>
      <w:tr>
        <w:trPr>
          <w:trHeight w:val="229"/>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 net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455,174</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non-current assets</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872,702</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147,668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46,359,282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62,144,310</w:t>
            </w:r>
          </w:p>
        </w:tc>
        <w:tc>
          <w:tcPr>
            <w:tcW w:w="80" w:type="dxa"/>
            <w:vAlign w:val="bottom"/>
          </w:tcPr>
          <w:p>
            <w:pPr>
              <w:spacing w:after="0"/>
              <w:rPr>
                <w:sz w:val="24"/>
                <w:szCs w:val="24"/>
                <w:color w:val="auto"/>
              </w:rPr>
            </w:pPr>
          </w:p>
        </w:tc>
      </w:tr>
      <w:tr>
        <w:trPr>
          <w:trHeight w:val="197"/>
        </w:trPr>
        <w:tc>
          <w:tcPr>
            <w:tcW w:w="8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1,757,680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2,754,572</w:t>
            </w:r>
          </w:p>
        </w:tc>
        <w:tc>
          <w:tcPr>
            <w:tcW w:w="80" w:type="dxa"/>
            <w:vAlign w:val="bottom"/>
            <w:shd w:val="clear" w:color="auto" w:fill="CCEEFF"/>
          </w:tcPr>
          <w:p>
            <w:pPr>
              <w:spacing w:after="0"/>
              <w:rPr>
                <w:sz w:val="18"/>
                <w:szCs w:val="18"/>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Lease liability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204,132</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31,000</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49,000</w:t>
            </w:r>
          </w:p>
        </w:tc>
        <w:tc>
          <w:tcPr>
            <w:tcW w:w="80" w:type="dxa"/>
            <w:vAlign w:val="bottom"/>
            <w:shd w:val="clear" w:color="auto" w:fill="CCEEFF"/>
          </w:tcPr>
          <w:p>
            <w:pPr>
              <w:spacing w:after="0"/>
              <w:rPr>
                <w:sz w:val="19"/>
                <w:szCs w:val="19"/>
                <w:color w:val="auto"/>
              </w:rPr>
            </w:pPr>
          </w:p>
        </w:tc>
      </w:tr>
      <w:tr>
        <w:trPr>
          <w:trHeight w:val="209"/>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1,992,812</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2,803,572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Lease liability, net of current portion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280,247</w:t>
            </w: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0"/>
        </w:trPr>
        <w:tc>
          <w:tcPr>
            <w:tcW w:w="83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2,273,059</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2,803,572</w:t>
            </w:r>
          </w:p>
        </w:tc>
        <w:tc>
          <w:tcPr>
            <w:tcW w:w="80" w:type="dxa"/>
            <w:vAlign w:val="bottom"/>
            <w:shd w:val="clear" w:color="auto" w:fill="CCEEFF"/>
          </w:tcPr>
          <w:p>
            <w:pPr>
              <w:spacing w:after="0"/>
              <w:rPr>
                <w:sz w:val="19"/>
                <w:szCs w:val="19"/>
                <w:color w:val="auto"/>
              </w:rPr>
            </w:pPr>
          </w:p>
        </w:tc>
      </w:tr>
      <w:tr>
        <w:trPr>
          <w:trHeight w:val="210"/>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360" w:type="dxa"/>
            <w:vAlign w:val="bottom"/>
          </w:tcPr>
          <w:p>
            <w:pPr>
              <w:ind w:left="180"/>
              <w:spacing w:after="0" w:line="201" w:lineRule="exact"/>
              <w:rPr>
                <w:sz w:val="20"/>
                <w:szCs w:val="20"/>
                <w:color w:val="auto"/>
              </w:rPr>
            </w:pPr>
            <w:r>
              <w:rPr>
                <w:rFonts w:ascii="Arial" w:cs="Arial" w:eastAsia="Arial" w:hAnsi="Arial"/>
                <w:sz w:val="18"/>
                <w:szCs w:val="18"/>
                <w:color w:val="auto"/>
                <w:w w:val="90"/>
              </w:rPr>
              <w:t>Preferred stock - $0.001 par value, 5 million shares authorized and 0 shares issued and outstanding at December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31, 2019 and 2018, respectively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02"/>
        </w:trPr>
        <w:tc>
          <w:tcPr>
            <w:tcW w:w="8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$0.001 par value, 150 million shares authorized, 45.7 million and 45.4 million shares issued and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as of December 31, 2019 and 2018, respectively</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45,728</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45,440</w:t>
            </w:r>
          </w:p>
        </w:tc>
        <w:tc>
          <w:tcPr>
            <w:tcW w:w="80" w:type="dxa"/>
            <w:vAlign w:val="bottom"/>
            <w:shd w:val="clear" w:color="auto" w:fill="CCEEFF"/>
          </w:tcPr>
          <w:p>
            <w:pPr>
              <w:spacing w:after="0"/>
              <w:rPr>
                <w:sz w:val="20"/>
                <w:szCs w:val="20"/>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371,573,909</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365,400,748</w:t>
            </w:r>
          </w:p>
        </w:tc>
        <w:tc>
          <w:tcPr>
            <w:tcW w:w="80" w:type="dxa"/>
            <w:vAlign w:val="bottom"/>
          </w:tcPr>
          <w:p>
            <w:pPr>
              <w:spacing w:after="0"/>
              <w:rPr>
                <w:sz w:val="18"/>
                <w:szCs w:val="18"/>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(327,533,414)</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(306,105,450)</w:t>
            </w:r>
          </w:p>
        </w:tc>
      </w:tr>
      <w:tr>
        <w:trPr>
          <w:trHeight w:val="209"/>
        </w:trPr>
        <w:tc>
          <w:tcPr>
            <w:tcW w:w="8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44,086,223</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59,340,738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46,359,282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62,144,310</w:t>
            </w:r>
          </w:p>
        </w:tc>
        <w:tc>
          <w:tcPr>
            <w:tcW w:w="80" w:type="dxa"/>
            <w:vAlign w:val="bottom"/>
          </w:tcPr>
          <w:p>
            <w:pPr>
              <w:spacing w:after="0"/>
              <w:rPr>
                <w:sz w:val="21"/>
                <w:szCs w:val="2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180"/>
              <w:spacing w:after="0"/>
              <w:rPr>
                <w:sz w:val="20"/>
                <w:szCs w:val="20"/>
                <w:color w:val="auto"/>
              </w:rPr>
            </w:pPr>
            <w:r>
              <w:rPr>
                <w:rFonts w:ascii="Arial" w:cs="Arial" w:eastAsia="Arial" w:hAnsi="Arial"/>
                <w:sz w:val="18"/>
                <w:szCs w:val="18"/>
                <w:color w:val="auto"/>
              </w:rPr>
              <w:t>Grant income</w:t>
            </w:r>
          </w:p>
        </w:tc>
        <w:tc>
          <w:tcPr>
            <w:tcW w:w="2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213,194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205,994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213,194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 intellectual property acquired</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116,044,886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12,764,804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7,952,870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9,977,196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24,379,871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0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22,742,000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148,377,627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(22,528,806)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(148,171,633)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9"/>
        </w:trPr>
        <w:tc>
          <w:tcPr>
            <w:tcW w:w="64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1,082,842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253,723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(21,427,964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(147,957,910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45,587,734</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19,091,926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8"/>
              </w:rPr>
              <w:t>Total</w:t>
            </w:r>
          </w:p>
        </w:tc>
      </w:tr>
      <w:tr>
        <w:trPr>
          <w:trHeight w:val="224"/>
        </w:trPr>
        <w:tc>
          <w:tcPr>
            <w:tcW w:w="5120" w:type="dxa"/>
            <w:vAlign w:val="bottom"/>
          </w:tcPr>
          <w:p>
            <w:pPr>
              <w:spacing w:after="0"/>
              <w:rPr>
                <w:sz w:val="19"/>
                <w:szCs w:val="19"/>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6"/>
                <w:szCs w:val="16"/>
                <w:b w:val="1"/>
                <w:bCs w:val="1"/>
                <w:color w:val="auto"/>
              </w:rPr>
              <w:t>Common Stock</w:t>
            </w:r>
          </w:p>
        </w:tc>
        <w:tc>
          <w:tcPr>
            <w:tcW w:w="1440" w:type="dxa"/>
            <w:vAlign w:val="bottom"/>
            <w:gridSpan w:val="4"/>
          </w:tcPr>
          <w:p>
            <w:pPr>
              <w:ind w:left="80"/>
              <w:spacing w:after="0"/>
              <w:rPr>
                <w:sz w:val="20"/>
                <w:szCs w:val="20"/>
                <w:color w:val="auto"/>
              </w:rPr>
            </w:pPr>
            <w:r>
              <w:rPr>
                <w:rFonts w:ascii="Arial" w:cs="Arial" w:eastAsia="Arial" w:hAnsi="Arial"/>
                <w:sz w:val="16"/>
                <w:szCs w:val="16"/>
                <w:b w:val="1"/>
                <w:bCs w:val="1"/>
                <w:color w:val="auto"/>
              </w:rPr>
              <w:t>Additional Paid-</w:t>
            </w:r>
          </w:p>
        </w:tc>
        <w:tc>
          <w:tcPr>
            <w:tcW w:w="122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w w:val="93"/>
              </w:rPr>
              <w:t>Accumulated</w:t>
            </w:r>
          </w:p>
        </w:tc>
        <w:tc>
          <w:tcPr>
            <w:tcW w:w="11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Stockholders'</w:t>
            </w:r>
          </w:p>
        </w:tc>
      </w:tr>
      <w:tr>
        <w:trPr>
          <w:trHeight w:val="213"/>
        </w:trPr>
        <w:tc>
          <w:tcPr>
            <w:tcW w:w="5120" w:type="dxa"/>
            <w:vAlign w:val="bottom"/>
          </w:tcPr>
          <w:p>
            <w:pPr>
              <w:spacing w:after="0"/>
              <w:rPr>
                <w:sz w:val="18"/>
                <w:szCs w:val="18"/>
                <w:color w:val="auto"/>
              </w:rPr>
            </w:pPr>
          </w:p>
        </w:tc>
        <w:tc>
          <w:tcPr>
            <w:tcW w:w="11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Par value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in Capital</w:t>
            </w:r>
          </w:p>
        </w:tc>
        <w:tc>
          <w:tcPr>
            <w:tcW w:w="122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Equity</w:t>
            </w:r>
          </w:p>
        </w:tc>
      </w:tr>
      <w:tr>
        <w:trPr>
          <w:trHeight w:val="199"/>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January 1, 2018</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10,615,724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10,616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161,067,538</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 (157,420,027)</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3,658,127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3"/>
        </w:trPr>
        <w:tc>
          <w:tcPr>
            <w:tcW w:w="5120" w:type="dxa"/>
            <w:vAlign w:val="bottom"/>
          </w:tcPr>
          <w:p>
            <w:pPr>
              <w:ind w:left="180"/>
              <w:spacing w:after="0"/>
              <w:rPr>
                <w:sz w:val="20"/>
                <w:szCs w:val="20"/>
                <w:color w:val="auto"/>
              </w:rPr>
            </w:pPr>
            <w:r>
              <w:rPr>
                <w:rFonts w:ascii="Arial" w:cs="Arial" w:eastAsia="Arial" w:hAnsi="Arial"/>
                <w:sz w:val="16"/>
                <w:szCs w:val="16"/>
                <w:color w:val="auto"/>
              </w:rPr>
              <w:t>Issuance of common stock for research and development intellectual</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5120" w:type="dxa"/>
            <w:vAlign w:val="bottom"/>
          </w:tcPr>
          <w:p>
            <w:pPr>
              <w:ind w:left="340"/>
              <w:spacing w:after="0"/>
              <w:rPr>
                <w:sz w:val="20"/>
                <w:szCs w:val="20"/>
                <w:color w:val="auto"/>
              </w:rPr>
            </w:pPr>
            <w:r>
              <w:rPr>
                <w:rFonts w:ascii="Arial" w:cs="Arial" w:eastAsia="Arial" w:hAnsi="Arial"/>
                <w:sz w:val="16"/>
                <w:szCs w:val="16"/>
                <w:color w:val="auto"/>
              </w:rPr>
              <w:t>property</w:t>
            </w:r>
          </w:p>
        </w:tc>
        <w:tc>
          <w:tcPr>
            <w:tcW w:w="1000" w:type="dxa"/>
            <w:vAlign w:val="bottom"/>
          </w:tcPr>
          <w:p>
            <w:pPr>
              <w:jc w:val="right"/>
              <w:spacing w:after="0"/>
              <w:rPr>
                <w:sz w:val="20"/>
                <w:szCs w:val="20"/>
                <w:color w:val="auto"/>
              </w:rPr>
            </w:pPr>
            <w:r>
              <w:rPr>
                <w:rFonts w:ascii="Arial" w:cs="Arial" w:eastAsia="Arial" w:hAnsi="Arial"/>
                <w:sz w:val="16"/>
                <w:szCs w:val="16"/>
                <w:color w:val="auto"/>
              </w:rPr>
              <w:t>13,914,255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116,030,972</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w w:val="98"/>
              </w:rPr>
              <w:t>116,044,886</w:t>
            </w:r>
          </w:p>
        </w:tc>
      </w:tr>
      <w:tr>
        <w:trPr>
          <w:trHeight w:val="205"/>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 of common stock and warrants in private placement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18,800,000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73,101,200</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73,120,000</w:t>
            </w:r>
          </w:p>
        </w:tc>
        <w:tc>
          <w:tcPr>
            <w:tcW w:w="80" w:type="dxa"/>
            <w:vAlign w:val="bottom"/>
            <w:shd w:val="clear" w:color="auto" w:fill="CCEEFF"/>
          </w:tcPr>
          <w:p>
            <w:pPr>
              <w:spacing w:after="0"/>
              <w:rPr>
                <w:sz w:val="17"/>
                <w:szCs w:val="17"/>
                <w:color w:val="auto"/>
              </w:rPr>
            </w:pPr>
          </w:p>
        </w:tc>
      </w:tr>
      <w:tr>
        <w:trPr>
          <w:trHeight w:val="203"/>
        </w:trPr>
        <w:tc>
          <w:tcPr>
            <w:tcW w:w="5120" w:type="dxa"/>
            <w:vAlign w:val="bottom"/>
          </w:tcPr>
          <w:p>
            <w:pPr>
              <w:ind w:left="180"/>
              <w:spacing w:after="0"/>
              <w:rPr>
                <w:sz w:val="20"/>
                <w:szCs w:val="20"/>
                <w:color w:val="auto"/>
              </w:rPr>
            </w:pPr>
            <w:r>
              <w:rPr>
                <w:rFonts w:ascii="Arial" w:cs="Arial" w:eastAsia="Arial" w:hAnsi="Arial"/>
                <w:sz w:val="16"/>
                <w:szCs w:val="16"/>
                <w:color w:val="auto"/>
              </w:rPr>
              <w:t>Fees and legal costs relating to private placement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(6,175,000)</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(6,175,000)</w:t>
            </w:r>
          </w:p>
        </w:tc>
      </w:tr>
      <w:tr>
        <w:trPr>
          <w:trHeight w:val="203"/>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options exercised for cash</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18,115</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18,125</w:t>
            </w:r>
          </w:p>
        </w:tc>
        <w:tc>
          <w:tcPr>
            <w:tcW w:w="80" w:type="dxa"/>
            <w:vAlign w:val="bottom"/>
            <w:shd w:val="clear" w:color="auto" w:fill="CCEEFF"/>
          </w:tcPr>
          <w:p>
            <w:pPr>
              <w:spacing w:after="0"/>
              <w:rPr>
                <w:sz w:val="17"/>
                <w:szCs w:val="17"/>
                <w:color w:val="auto"/>
              </w:rPr>
            </w:pPr>
          </w:p>
        </w:tc>
      </w:tr>
      <w:tr>
        <w:trPr>
          <w:trHeight w:val="203"/>
        </w:trPr>
        <w:tc>
          <w:tcPr>
            <w:tcW w:w="5120" w:type="dxa"/>
            <w:vAlign w:val="bottom"/>
          </w:tcPr>
          <w:p>
            <w:pPr>
              <w:ind w:left="180"/>
              <w:spacing w:after="0"/>
              <w:rPr>
                <w:sz w:val="20"/>
                <w:szCs w:val="20"/>
                <w:color w:val="auto"/>
              </w:rPr>
            </w:pPr>
            <w:r>
              <w:rPr>
                <w:rFonts w:ascii="Arial" w:cs="Arial" w:eastAsia="Arial" w:hAnsi="Arial"/>
                <w:sz w:val="16"/>
                <w:szCs w:val="16"/>
                <w:color w:val="auto"/>
              </w:rPr>
              <w:t>Stock warrants exercised for cash</w:t>
            </w:r>
          </w:p>
        </w:tc>
        <w:tc>
          <w:tcPr>
            <w:tcW w:w="1000" w:type="dxa"/>
            <w:vAlign w:val="bottom"/>
          </w:tcPr>
          <w:p>
            <w:pPr>
              <w:jc w:val="right"/>
              <w:spacing w:after="0"/>
              <w:rPr>
                <w:sz w:val="20"/>
                <w:szCs w:val="20"/>
                <w:color w:val="auto"/>
              </w:rPr>
            </w:pPr>
            <w:r>
              <w:rPr>
                <w:rFonts w:ascii="Arial" w:cs="Arial" w:eastAsia="Arial" w:hAnsi="Arial"/>
                <w:sz w:val="16"/>
                <w:szCs w:val="16"/>
                <w:color w:val="auto"/>
              </w:rPr>
              <w:t>1,499,324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4,352,129</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4,353,628</w:t>
            </w:r>
          </w:p>
        </w:tc>
        <w:tc>
          <w:tcPr>
            <w:tcW w:w="80" w:type="dxa"/>
            <w:vAlign w:val="bottom"/>
          </w:tcPr>
          <w:p>
            <w:pPr>
              <w:spacing w:after="0"/>
              <w:rPr>
                <w:sz w:val="17"/>
                <w:szCs w:val="17"/>
                <w:color w:val="auto"/>
              </w:rPr>
            </w:pPr>
          </w:p>
        </w:tc>
      </w:tr>
      <w:tr>
        <w:trPr>
          <w:trHeight w:val="203"/>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warrants cashless exercised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(280)</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12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6"/>
                <w:szCs w:val="16"/>
                <w:color w:val="auto"/>
              </w:rPr>
              <w:t>327,786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16,350,263</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16,350,592</w:t>
            </w:r>
          </w:p>
        </w:tc>
        <w:tc>
          <w:tcPr>
            <w:tcW w:w="80" w:type="dxa"/>
            <w:vAlign w:val="bottom"/>
          </w:tcPr>
          <w:p>
            <w:pPr>
              <w:spacing w:after="0"/>
              <w:rPr>
                <w:sz w:val="17"/>
                <w:szCs w:val="17"/>
                <w:color w:val="auto"/>
              </w:rPr>
            </w:pPr>
          </w:p>
        </w:tc>
      </w:tr>
      <w:tr>
        <w:trPr>
          <w:trHeight w:val="203"/>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 of common stock to pay for employee withholding taxes</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(71,702)</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(71,710)</w:t>
            </w:r>
          </w:p>
        </w:tc>
      </w:tr>
      <w:tr>
        <w:trPr>
          <w:trHeight w:val="203"/>
        </w:trPr>
        <w:tc>
          <w:tcPr>
            <w:tcW w:w="5120" w:type="dxa"/>
            <w:vAlign w:val="bottom"/>
          </w:tcPr>
          <w:p>
            <w:pPr>
              <w:ind w:left="180"/>
              <w:spacing w:after="0"/>
              <w:rPr>
                <w:sz w:val="20"/>
                <w:szCs w:val="20"/>
                <w:color w:val="auto"/>
              </w:rPr>
            </w:pPr>
            <w:r>
              <w:rPr>
                <w:rFonts w:ascii="Arial" w:cs="Arial" w:eastAsia="Arial" w:hAnsi="Arial"/>
                <w:sz w:val="16"/>
                <w:szCs w:val="16"/>
                <w:color w:val="auto"/>
              </w:rPr>
              <w:t>Fair value of repriced warrants as inducement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727,513</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(727,513)</w:t>
            </w:r>
          </w:p>
        </w:tc>
        <w:tc>
          <w:tcPr>
            <w:tcW w:w="10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(147,957,910)</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92"/>
              </w:rPr>
              <w:t>(147,957,910)</w:t>
            </w:r>
          </w:p>
        </w:tc>
      </w:tr>
      <w:tr>
        <w:trPr>
          <w:trHeight w:val="196"/>
        </w:trPr>
        <w:tc>
          <w:tcPr>
            <w:tcW w:w="5120" w:type="dxa"/>
            <w:vAlign w:val="bottom"/>
          </w:tcPr>
          <w:p>
            <w:pPr>
              <w:spacing w:after="0"/>
              <w:rPr>
                <w:sz w:val="20"/>
                <w:szCs w:val="20"/>
                <w:color w:val="auto"/>
              </w:rPr>
            </w:pPr>
            <w:r>
              <w:rPr>
                <w:rFonts w:ascii="Arial" w:cs="Arial" w:eastAsia="Arial" w:hAnsi="Arial"/>
                <w:sz w:val="16"/>
                <w:szCs w:val="16"/>
                <w:b w:val="1"/>
                <w:bCs w:val="1"/>
                <w:color w:val="auto"/>
              </w:rPr>
              <w:t>Balance at December 31, 2018</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45,440,704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45,440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365,400,748</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(306,105,450)</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59,340,738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options exercised for cash</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11,980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57,732</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57,744</w:t>
            </w:r>
          </w:p>
        </w:tc>
        <w:tc>
          <w:tcPr>
            <w:tcW w:w="80" w:type="dxa"/>
            <w:vAlign w:val="bottom"/>
            <w:shd w:val="clear" w:color="auto" w:fill="CCEEFF"/>
          </w:tcPr>
          <w:p>
            <w:pPr>
              <w:spacing w:after="0"/>
              <w:rPr>
                <w:sz w:val="17"/>
                <w:szCs w:val="17"/>
                <w:color w:val="auto"/>
              </w:rPr>
            </w:pPr>
          </w:p>
        </w:tc>
      </w:tr>
      <w:tr>
        <w:trPr>
          <w:trHeight w:val="203"/>
        </w:trPr>
        <w:tc>
          <w:tcPr>
            <w:tcW w:w="5120" w:type="dxa"/>
            <w:vAlign w:val="bottom"/>
          </w:tcPr>
          <w:p>
            <w:pPr>
              <w:ind w:left="180"/>
              <w:spacing w:after="0"/>
              <w:rPr>
                <w:sz w:val="20"/>
                <w:szCs w:val="20"/>
                <w:color w:val="auto"/>
              </w:rPr>
            </w:pPr>
            <w:r>
              <w:rPr>
                <w:rFonts w:ascii="Arial" w:cs="Arial" w:eastAsia="Arial" w:hAnsi="Arial"/>
                <w:sz w:val="16"/>
                <w:szCs w:val="16"/>
                <w:color w:val="auto"/>
              </w:rPr>
              <w:t>Warrants exercised for cash</w:t>
            </w:r>
          </w:p>
        </w:tc>
        <w:tc>
          <w:tcPr>
            <w:tcW w:w="1000" w:type="dxa"/>
            <w:vAlign w:val="bottom"/>
          </w:tcPr>
          <w:p>
            <w:pPr>
              <w:jc w:val="right"/>
              <w:spacing w:after="0"/>
              <w:rPr>
                <w:sz w:val="20"/>
                <w:szCs w:val="20"/>
                <w:color w:val="auto"/>
              </w:rPr>
            </w:pPr>
            <w:r>
              <w:rPr>
                <w:rFonts w:ascii="Arial" w:cs="Arial" w:eastAsia="Arial" w:hAnsi="Arial"/>
                <w:sz w:val="16"/>
                <w:szCs w:val="16"/>
                <w:color w:val="auto"/>
              </w:rPr>
              <w:t>190,258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758,543</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758,733</w:t>
            </w:r>
          </w:p>
        </w:tc>
        <w:tc>
          <w:tcPr>
            <w:tcW w:w="80" w:type="dxa"/>
            <w:vAlign w:val="bottom"/>
          </w:tcPr>
          <w:p>
            <w:pPr>
              <w:spacing w:after="0"/>
              <w:rPr>
                <w:sz w:val="17"/>
                <w:szCs w:val="17"/>
                <w:color w:val="auto"/>
              </w:rPr>
            </w:pPr>
          </w:p>
        </w:tc>
      </w:tr>
      <w:tr>
        <w:trPr>
          <w:trHeight w:val="203"/>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warrants cashless exercised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12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6"/>
                <w:szCs w:val="16"/>
                <w:color w:val="auto"/>
              </w:rPr>
              <w:t>76,440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5,356,895</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5,356,972</w:t>
            </w:r>
          </w:p>
        </w:tc>
        <w:tc>
          <w:tcPr>
            <w:tcW w:w="80" w:type="dxa"/>
            <w:vAlign w:val="bottom"/>
          </w:tcPr>
          <w:p>
            <w:pPr>
              <w:spacing w:after="0"/>
              <w:rPr>
                <w:sz w:val="17"/>
                <w:szCs w:val="17"/>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(21,427,964)</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(21,427,964)</w:t>
            </w:r>
          </w:p>
        </w:tc>
      </w:tr>
      <w:tr>
        <w:trPr>
          <w:trHeight w:val="207"/>
        </w:trPr>
        <w:tc>
          <w:tcPr>
            <w:tcW w:w="5120" w:type="dxa"/>
            <w:vAlign w:val="bottom"/>
          </w:tcPr>
          <w:p>
            <w:pPr>
              <w:spacing w:after="0"/>
              <w:rPr>
                <w:sz w:val="20"/>
                <w:szCs w:val="20"/>
                <w:color w:val="auto"/>
              </w:rPr>
            </w:pPr>
            <w:r>
              <w:rPr>
                <w:rFonts w:ascii="Arial" w:cs="Arial" w:eastAsia="Arial" w:hAnsi="Arial"/>
                <w:sz w:val="16"/>
                <w:szCs w:val="16"/>
                <w:b w:val="1"/>
                <w:bCs w:val="1"/>
                <w:color w:val="auto"/>
              </w:rPr>
              <w:t>Balance at December 31,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45,728,831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45,728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371,573,909</w:t>
            </w:r>
          </w:p>
        </w:tc>
        <w:tc>
          <w:tcPr>
            <w:tcW w:w="2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 (327,533,414</w:t>
            </w:r>
          </w:p>
        </w:tc>
        <w:tc>
          <w:tcPr>
            <w:tcW w:w="220" w:type="dxa"/>
            <w:vAlign w:val="bottom"/>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44,086,223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For the Years Ended</w:t>
            </w:r>
          </w:p>
        </w:tc>
      </w:tr>
      <w:tr>
        <w:trPr>
          <w:trHeight w:val="234"/>
        </w:trPr>
        <w:tc>
          <w:tcPr>
            <w:tcW w:w="7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79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8"/>
                <w:szCs w:val="18"/>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(21,427,964)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(147,957,910)</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105,123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 of warrant liabilities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5,356,972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16,350,592</w:t>
            </w: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on right-of-use assets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181,459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Research and development - intellectual property acquired</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116,044,886</w:t>
            </w: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Changes in operating assets and liabilities: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500"/>
              <w:spacing w:after="0"/>
              <w:rPr>
                <w:sz w:val="20"/>
                <w:szCs w:val="20"/>
                <w:color w:val="auto"/>
              </w:rPr>
            </w:pPr>
            <w:r>
              <w:rPr>
                <w:rFonts w:ascii="Arial" w:cs="Arial" w:eastAsia="Arial" w:hAnsi="Arial"/>
                <w:sz w:val="18"/>
                <w:szCs w:val="18"/>
                <w:color w:val="auto"/>
              </w:rPr>
              <w:t>Prepaid expenses and deposits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(1,384,725)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(90,567)</w:t>
            </w:r>
          </w:p>
        </w:tc>
      </w:tr>
      <w:tr>
        <w:trPr>
          <w:trHeight w:val="216"/>
        </w:trPr>
        <w:tc>
          <w:tcPr>
            <w:tcW w:w="7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 receivable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(108,177)</w:t>
            </w:r>
          </w:p>
        </w:tc>
      </w:tr>
      <w:tr>
        <w:trPr>
          <w:trHeight w:val="216"/>
        </w:trPr>
        <w:tc>
          <w:tcPr>
            <w:tcW w:w="790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(963,967)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1,241,260</w:t>
            </w:r>
          </w:p>
        </w:tc>
      </w:tr>
      <w:tr>
        <w:trPr>
          <w:trHeight w:val="216"/>
        </w:trPr>
        <w:tc>
          <w:tcPr>
            <w:tcW w:w="7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Lease liability</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(185,179)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79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(18,284,293)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(14,479,916)</w:t>
            </w:r>
          </w:p>
        </w:tc>
        <w:tc>
          <w:tcPr>
            <w:tcW w:w="100" w:type="dxa"/>
            <w:vAlign w:val="bottom"/>
            <w:tcBorders>
              <w:bottom w:val="single" w:sz="8" w:color="CCEEFF"/>
            </w:tcBorders>
          </w:tcPr>
          <w:p>
            <w:pPr>
              <w:spacing w:after="0"/>
              <w:rPr>
                <w:sz w:val="18"/>
                <w:szCs w:val="18"/>
                <w:color w:val="auto"/>
              </w:rPr>
            </w:pP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Purchase of property and equipment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(374,983)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(147,668)</w:t>
            </w:r>
          </w:p>
        </w:tc>
      </w:tr>
      <w:tr>
        <w:trPr>
          <w:trHeight w:val="209"/>
        </w:trPr>
        <w:tc>
          <w:tcPr>
            <w:tcW w:w="79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(374,983)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9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Proceeds from issuance of common stock and warrants in private placement, net of offering costs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66,945,000</w:t>
            </w: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57,744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18,125</w:t>
            </w: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warrants, net of offering costs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758,733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4,353,628</w:t>
            </w: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Repurchase of common stock to pay for employee withholding taxes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(71,710)</w:t>
            </w:r>
          </w:p>
        </w:tc>
      </w:tr>
      <w:tr>
        <w:trPr>
          <w:trHeight w:val="210"/>
        </w:trPr>
        <w:tc>
          <w:tcPr>
            <w:tcW w:w="79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71,245,043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Net (decrease) increase in cash</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(17,842,799)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56,617,459</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61,746,748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5,129,289</w:t>
            </w:r>
          </w:p>
        </w:tc>
      </w:tr>
      <w:tr>
        <w:trPr>
          <w:trHeight w:val="210"/>
        </w:trPr>
        <w:tc>
          <w:tcPr>
            <w:tcW w:w="7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43,903,949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61,746,748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800" w:type="dxa"/>
            <w:vAlign w:val="bottom"/>
            <w:gridSpan w:val="7"/>
          </w:tcPr>
          <w:p>
            <w:pPr>
              <w:ind w:left="560"/>
              <w:spacing w:after="0"/>
              <w:rPr>
                <w:sz w:val="20"/>
                <w:szCs w:val="20"/>
                <w:color w:val="auto"/>
              </w:rPr>
            </w:pPr>
            <w:r>
              <w:rPr>
                <w:rFonts w:ascii="Arial" w:cs="Arial" w:eastAsia="Arial" w:hAnsi="Arial"/>
                <w:sz w:val="18"/>
                <w:szCs w:val="18"/>
                <w:b w:val="1"/>
                <w:bCs w:val="1"/>
                <w:color w:val="auto"/>
              </w:rPr>
              <w:t>For the Years Ended</w:t>
            </w:r>
          </w:p>
        </w:tc>
      </w:tr>
      <w:tr>
        <w:trPr>
          <w:trHeight w:val="234"/>
        </w:trPr>
        <w:tc>
          <w:tcPr>
            <w:tcW w:w="63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34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2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Fair value of repriced warrants as inducement</w:t>
            </w:r>
          </w:p>
        </w:tc>
        <w:tc>
          <w:tcPr>
            <w:tcW w:w="29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727,513</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Stock warrants cashless exercised</w:t>
            </w:r>
          </w:p>
        </w:tc>
        <w:tc>
          <w:tcPr>
            <w:tcW w:w="2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DECEMBER 31, 2019 AND 2018</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Marker Therapeutics, Inc., a Delaware corporation (the “Company” or “we”), is a clinical-stage immuno-oncology company specializing in the development and commercialization of novel T cell-based immunotherapies and innovative peptide-based vaccines for the treatment of hematological malignancies and solid tumor indications. The Company’s MultiTAA-specific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The Company was incorporated in Nevada in 1992 and reincorporated in Delaware in October 2018.</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PRESENTATION AND MANAGEMENT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Any reference in these footnotes to applicable guidance is meant to refer to the authoritative U.S. generally accepted accounting principles (“GAAP”) as found in the Accounting Standards Codification (“ASC”) and Accounting Standards Update (“ASU”) of the Financial Accounting Standards Board (“FASB”).</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generated any revenue from product sales to date and, if the Company does not successfully obtain regulatory approval and commercialize any of its product candidates, the Company will not be able to generate product revenue or achieve profitability.</w:t>
      </w:r>
    </w:p>
    <w:p>
      <w:pPr>
        <w:spacing w:after="0" w:line="170"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Company is subject to risks common to companies in the biotechnology industry and the future success of the Company is dependent on its ability to successfully complete the development of, and obtain regulatory approval for its product candidates, manage the growth of the organization, obtain additional financing necessary in order to develop, launch and commercialize its product candidates, and compete successfully with other companies in its industry. These financial statements are presented in United States dollars and have been prepared in accordance with accounting principles generally accepted in the United States of America (“GAAP”). In the opinion of management, the accompanying consolidated financial statements reflect all adjustments, consisting of normal recurring adjustments, considered necessary for a fair presentation of such annual results.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Preparation of the Company’s consolidated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valuation allowance on deferred tax assets, determining the fair value of stock-based compensation and stock-based transactions, the fair value of the components of the warrant liabilities and accrued liabilities.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Liquidity, Financial Condition and Management’s Plans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2019, the Company had cash and cash equivalents of approximately $43.9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Based on the Company’s revised clinical and research and development plans and its revised timing expectations related to the progress of its programs, the Company expects that its cash and cash equivalents as of December 31, 2019 will enable the Company to fund its operating expenses and capital expenditure requirements into the second quarter of 2021. 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81" w:lineRule="exact"/>
        <w:rPr>
          <w:sz w:val="20"/>
          <w:szCs w:val="20"/>
          <w:color w:val="auto"/>
        </w:rPr>
      </w:pPr>
    </w:p>
    <w:p>
      <w:pPr>
        <w:ind w:left="980" w:hanging="972"/>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initiates or continues clinical trials of its product candidates;</w:t>
      </w:r>
    </w:p>
    <w:p>
      <w:pPr>
        <w:spacing w:after="0" w:line="23" w:lineRule="exact"/>
        <w:rPr>
          <w:rFonts w:ascii="Arial" w:cs="Arial" w:eastAsia="Arial" w:hAnsi="Arial"/>
          <w:sz w:val="18"/>
          <w:szCs w:val="18"/>
          <w:color w:val="auto"/>
        </w:rPr>
      </w:pPr>
    </w:p>
    <w:p>
      <w:pPr>
        <w:ind w:left="980" w:hanging="972"/>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continues the research and development of its product candidates and seeks to discover additional product candidates;</w:t>
      </w:r>
    </w:p>
    <w:p>
      <w:pPr>
        <w:spacing w:after="0" w:line="9" w:lineRule="exact"/>
        <w:rPr>
          <w:rFonts w:ascii="Arial" w:cs="Arial" w:eastAsia="Arial" w:hAnsi="Arial"/>
          <w:sz w:val="18"/>
          <w:szCs w:val="18"/>
          <w:color w:val="auto"/>
        </w:rPr>
      </w:pPr>
    </w:p>
    <w:p>
      <w:pPr>
        <w:ind w:left="980" w:hanging="972"/>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seeks regulatory approvals for any product candidates that successfully complete clinical trials;</w:t>
      </w:r>
    </w:p>
    <w:p>
      <w:pPr>
        <w:spacing w:after="0" w:line="9" w:lineRule="exact"/>
        <w:rPr>
          <w:rFonts w:ascii="Arial" w:cs="Arial" w:eastAsia="Arial" w:hAnsi="Arial"/>
          <w:sz w:val="18"/>
          <w:szCs w:val="18"/>
          <w:color w:val="auto"/>
        </w:rPr>
      </w:pPr>
    </w:p>
    <w:p>
      <w:pPr>
        <w:ind w:left="980" w:hanging="972"/>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maintains and enforces intellectual property rights;</w:t>
      </w:r>
    </w:p>
    <w:p>
      <w:pPr>
        <w:spacing w:after="0" w:line="9" w:lineRule="exact"/>
        <w:rPr>
          <w:rFonts w:ascii="Arial" w:cs="Arial" w:eastAsia="Arial" w:hAnsi="Arial"/>
          <w:sz w:val="18"/>
          <w:szCs w:val="18"/>
          <w:color w:val="auto"/>
        </w:rPr>
      </w:pPr>
    </w:p>
    <w:p>
      <w:pPr>
        <w:ind w:left="980" w:right="20" w:hanging="972"/>
        <w:spacing w:after="0" w:line="250"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establishes sales, marketing and distribution infrastructure and scale-up manufacturing capabilities to commercialize any product candidates that may receive regulatory approval;</w:t>
      </w:r>
    </w:p>
    <w:p>
      <w:pPr>
        <w:ind w:left="980" w:hanging="972"/>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evaluates strategic transactions the Company may undertake; and</w:t>
      </w:r>
    </w:p>
    <w:p>
      <w:pPr>
        <w:spacing w:after="0" w:line="9" w:lineRule="exact"/>
        <w:rPr>
          <w:rFonts w:ascii="Arial" w:cs="Arial" w:eastAsia="Arial" w:hAnsi="Arial"/>
          <w:sz w:val="18"/>
          <w:szCs w:val="18"/>
          <w:color w:val="auto"/>
        </w:rPr>
      </w:pPr>
    </w:p>
    <w:p>
      <w:pPr>
        <w:ind w:left="980" w:hanging="972"/>
        <w:spacing w:after="0"/>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enhances operational, financial and information management systems and hires additional personnel, including personnel to support</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development of product candidates and, if a product candidate is approved, commercialization efforts.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 Intellectual Property Acquired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whether acquired intangible assets are a business under applicable accounting standards. Additionally, the Company evaluates whether the acquired assets have an alternative future use. Intangible assets that do not have alternative future use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Cash, Cash Equivalents and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highly liquid investments with a maturity of three months or less when purchased to be cash equivalents. Cash and cash equivalents at December 31, 2019 consisted of cash and certificates of deposit in institutions in the United States. Balances at certain institutions have exceeded Federal Deposit Insurance Corporation insured limits and U.S. government agency securities.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cash in accounts which are in excess of the Federal Deposit Insurance Corporation (“FDIC”) insured limits of $250,000. As of December 31, 2019, approximately $0.1 million in cash was uninsured based upon the FDIC insurance coverage limits.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Leasehold improvements, furniture, equipment and software are recorded at cost and are depreciated using the straight-line method over the estimated useful lives of the related assets, which range from three to five years. Leasehold improvements are amortized over the shorter of the estimated useful life or the remaining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follows Accounting Standards Codification (“ASC”) 820, “Fair Value Measurements and Disclosures,” (“ASC 820”) for the Company’s financial assets and liabilities that are re-measured and reported at fair value at each reporting period and are re-measured and reported at fair value at least annually using a fair value hierarchy that is broken down into three levels. Level inputs are defined as follows:</w:t>
      </w:r>
    </w:p>
    <w:p>
      <w:pPr>
        <w:spacing w:after="0" w:line="184" w:lineRule="exact"/>
        <w:rPr>
          <w:sz w:val="20"/>
          <w:szCs w:val="20"/>
          <w:color w:val="auto"/>
        </w:rPr>
      </w:pPr>
    </w:p>
    <w:p>
      <w:pPr>
        <w:ind w:left="1500" w:hanging="286"/>
        <w:spacing w:after="0"/>
        <w:tabs>
          <w:tab w:leader="none" w:pos="1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1500" w:right="60" w:hanging="286"/>
        <w:spacing w:after="0" w:line="263" w:lineRule="auto"/>
        <w:tabs>
          <w:tab w:leader="none" w:pos="1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3" w:lineRule="exact"/>
        <w:rPr>
          <w:rFonts w:ascii="Arial" w:cs="Arial" w:eastAsia="Arial" w:hAnsi="Arial"/>
          <w:sz w:val="18"/>
          <w:szCs w:val="18"/>
          <w:color w:val="auto"/>
        </w:rPr>
      </w:pPr>
    </w:p>
    <w:p>
      <w:pPr>
        <w:ind w:left="1500" w:right="100" w:hanging="286"/>
        <w:spacing w:after="0" w:line="277" w:lineRule="auto"/>
        <w:tabs>
          <w:tab w:leader="none" w:pos="1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 financial instruments and concentration of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Company believes that its patents and underlying technology have continuing value, the amount of future benefits to be derived from the patents is uncertain. Patent costs are, therefore,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incurs stock-based compensation expense related to the issuance of common stock and stock options. The Company estimates the fair value of stock options granted using the Black-Scholes option 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and expected option life. The Company amortizes the fair value of the awards expected to vest on a straight-line basis over the requisite service period of the awards. Expected volatility is based on historical volatility. The expected life of options granted is based on historical expected life. The risk-free interest rate is based on the U.S. Treasury yield in effect at the time of grant. The forfeiture rate is based on historical data. The dividend yield is based on the fact that no dividends have been paid historically and none are currently expected to be paid in the foreseeable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both"/>
        <w:ind w:left="660"/>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the Company’s stock-based awards are expected to be outstanding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simplified method, which is the half-life from vesting to the end of its contractual term.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The Company computes stock price volatility over expected terms based on its historical common stock trading prices.</w:t>
      </w:r>
    </w:p>
    <w:p>
      <w:pPr>
        <w:spacing w:after="0" w:line="23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Company bases the risk-free interest rate on the implied yield available on U. S. Treasury zero-coupon issues with</w:t>
      </w:r>
      <w:r>
        <w:rPr>
          <w:rFonts w:ascii="Arial" w:cs="Arial" w:eastAsia="Arial" w:hAnsi="Arial"/>
          <w:sz w:val="18"/>
          <w:szCs w:val="18"/>
          <w:i w:val="1"/>
          <w:iCs w:val="1"/>
          <w:color w:val="auto"/>
        </w:rPr>
        <w:t xml:space="preserve"> </w:t>
      </w:r>
      <w:r>
        <w:rPr>
          <w:rFonts w:ascii="Arial" w:cs="Arial" w:eastAsia="Arial" w:hAnsi="Arial"/>
          <w:sz w:val="18"/>
          <w:szCs w:val="18"/>
          <w:color w:val="auto"/>
        </w:rPr>
        <w:t>an equivalent remaining term.</w:t>
      </w:r>
    </w:p>
    <w:p>
      <w:pPr>
        <w:spacing w:after="0" w:line="170"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i w:val="1"/>
          <w:iCs w:val="1"/>
          <w:color w:val="auto"/>
        </w:rPr>
        <w:t xml:space="preserve">Expected Dividend </w:t>
      </w:r>
      <w:r>
        <w:rPr>
          <w:rFonts w:ascii="Arial" w:cs="Arial" w:eastAsia="Arial" w:hAnsi="Arial"/>
          <w:sz w:val="16"/>
          <w:szCs w:val="16"/>
          <w:color w:val="auto"/>
        </w:rPr>
        <w:t>— The Company has never declared or paid any cash dividends on its common shares and does not plan to pay cash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foreseeable future, and, therefore, uses an expected dividend yield of zero in its valuation models. The Company recognizes fair value of stock options granted to nonemployees as stock-based compensation expense over the period in which the related services are received.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of expenses incurred in performing research and development activities, including compensation and benefits for research and development employees and consultants, facilities expenses, overhead expenses, cost of laboratory supplies, manufacturing expenses, fees paid to third parties and other outside expenses.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costs are expensed as incurred. Clinical trial and other development costs incurred by third parties are expensed as the contracted work is performed. The Company accrues for costs incurred as the services are being provided by monitoring the status of the clinical trial or project and the invoices received from its external service providers. The Company estimates depend on the timeliness and accuracy of the data provided by the vendors regarding the status of each project and total project spending. The Company adjusts its accrual as actual costs become known. Where contingent milestone payments are due to third parties under research and development arrangements, the milestone payment obligations are expensed when the milestone events are achieved.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the statement of operations in the period that includes the date of allowances against deferred tax assets.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2019, and 2018,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2019 and 2018.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evaluates options, warrants or other contracts to determine if those contracts or embedded components of those contracts qualify as derivatives to be separately accounted for. This accounting treatment requires that the carrying amounts of embedded derivatives be marked-to-market at each balance sheet date and carried at fair value. If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spacing w:after="0" w:line="279" w:lineRule="auto"/>
        <w:rPr>
          <w:sz w:val="20"/>
          <w:szCs w:val="20"/>
          <w:color w:val="auto"/>
        </w:rPr>
      </w:pPr>
      <w:r>
        <w:rPr>
          <w:rFonts w:ascii="Arial" w:cs="Arial" w:eastAsia="Arial" w:hAnsi="Arial"/>
          <w:sz w:val="17"/>
          <w:szCs w:val="17"/>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must determine whether an instrument (or an embedded feature) is indexed to the Company’s own stock. An entity should use a two-step approach to evaluate whether an equity-linked financial instrument (or embedded feature) is indexed to its own stock, including evaluating the instrument’s contingent exercise and settlement provisions. This exercise affects the accounting for (i) certain freestanding warrants that contain exercise price adjustment features and (ii) convertible notes containing full-ratchet and anti-dilution protections (iii) certain free-standing warrants that contain contingently putable cash settlement.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recognizes grant income in accordance with the terms stipulated under the grant awarded to the Company’s collaborators at the Mayo Foundation from the U. S. Department of Defense. In various situations, the Company receives certain payments from the U.S. Department of Defense for reimbursement of clinical supplies. These payments are non-refundable and are not dependent on the Company’s ongoing future performance. The Company has adopted a policy of recognizing these payments when received and as revenue in accordance with Accounting Standards Update No. 2014-09, “Revenue from Contracts with Customers (Topic 606)” issued by the Financial Accounting Standards Board.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Basic loss per share includes only the weighted average common shares outstanding, without consideration of potentially dilutive securities. Diluted loss per share includes the weighted average common shares outstanding and any potentially dilutive common stock equivalent shares in the calculation.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we adopt as of the specified effective date. Unless otherwise discussed, the Company does not believe that the impact of recently issued standards that are not yet effective will have a material impact on its financial position or results of operations upon adoption.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Adopted in the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February 2016, the FASB issued ASU 2016-02, Leases (Topic 842) in order to increase transparency and comparability among organizations by, among other provisions, recognizing lease assets and lease liabilities on the balance sheet for those leases classified as operating leases under previous GAAP. For public companies, ASU 2016-02 is effective for fiscal years beginning after December 15, 2018 (including interim periods within those periods) using a modified retrospective approach and early adoption is permitted. In transition, entities may also elect a package of practical expedients that must be applied in its entirety to all leases commencing before the adoption date, unless the lease is modified, and permits entities to not reassess (a) the existence of a lease, (b) lease classification or (c) determination of initial direct costs, as of the adoption date, which effectively allows entities to carryforward accounting conclusions under previous U.S. GAAP. In July 2018, the FASB issued ASU 2018-11, Leases (Topic 842): Targeted Improvements, which provides entities an optional transition method to apply the guidance under Topic 842 as of the adoption date, rather than as of the earliest period presented. The Company adopted Topic 842 on January 1, 2019, using the optional transition method to apply the new guidance as of January 1, 2019, rather than as of the earliest period presented, and elected the package of practical expedients described above. Based on the analysis, on January 1, 2019, the Company recorded right of use assets of approximately $637,000, lease liability of approximately $670,000 and eliminated deferred rent of approximately $33,000.</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i w:val="1"/>
          <w:iCs w:val="1"/>
          <w:u w:val="single" w:color="auto"/>
          <w:color w:val="auto"/>
        </w:rPr>
        <w:t>Improvements to Non-Employee Share-Based Payment Accounting</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2018, the FASB issued ASU 2018-07 “Improvements to Non-employee Share-Based Payment Accounting”, which simplifies the accounting for share-based payments granted to non-employees for goods and services. Under the ASU, most of the guidance on such payments to non-employees would be aligned with the requirements for share-based payments granted to employees. The amendments are effective for fiscal years beginning after December 15, 2019, and interim periods within fiscal years beginning after December 15, 2020. The Company has early adopted the new standard effective January 1, 2019 and the adoption of this standard did not have a material impact on the Company’s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Not Yet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is currently evaluating the impact of this standard on its consolidated financial statements and related disclosures.</w:t>
      </w:r>
    </w:p>
    <w:p>
      <w:pPr>
        <w:spacing w:after="0" w:line="4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ASSET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Asset Acquisition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17, 2018, the Company completed its acquisition with Marker Cell Therapy, Inc., formerly known as Marker Therapeutics, Inc., a privately-held Delaware corporation (“Marker Cell”), in accordance with the terms of an Agreement and Plan of Merger and Reorganization dated as of May 15, 2018 (the “Merger Agreement”) by and among the Company, Timberwolf Merger Sub, Inc., a Delaware corporation and wholly-owned subsidiary of the Company (“Merger Sub”), and Marker. On October 17, 2018, pursuant to the Merger Agreement, Merger Sub was merged with and into Marker Cell (the “Merger”), with Marker Cell being the surviving corporation and becoming a wholly-owned subsidiary of the Company. In connection with the Merger, the Company changed its name to Marker Therapeutics, Inc. and Marker Cell changed its name to Marker Cell Therapy, Inc. At the effective time of the Merger, the former Marker Cell stockholders received (i) an aggregate of 13,914,255 shares of the Company’s common stock which equaled the number of shares of the Company’s common stock issued and outstanding immediately prior to the effective time of the Merger, and (ii) an aggregate of 5,046,003 warrants which equaled the number of the Company’s warrants and stock options issued and outstanding immediately prior to the effective time of the Merger.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17, 2018, concurrent with the completion of the Merger, the Company issued to certain accredited investors in a private placement transaction (the “Financing”), an aggregate of 17,500,000 shares of its common stock, and warrants to purchase 13,437,500 shares of common stock at an exercise price of $5.00 per share with a five-year term, for gross proceeds of $70 million pursuant to the terms of the Securities Purchase Agreements, dated June 8, 2018, by and among the Company and certain accredited investors (the “Securities Purchase Agreements”).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Marker’s intellectual property had not yet received regulatory approval, the $116.0 million purchase price paid for these assets was expensed in the Company’s statement of operations for the fiscal year ended December 31, 2018. The Common Stock issued for the asset acquisition was valued at $116.0 million which is equal to the 13,914,255 common shares issued to Marker multiplied by $8.34, the closing price of the Company’s Common Stock as of October 17, 2018.</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NET LOSS PER SHARE APPLICABLE TO COMMON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Applicable to Common Stockholders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loss per share for the years ended December 31, 2019 and 2018,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For the Years Ended</w:t>
            </w:r>
          </w:p>
        </w:tc>
      </w:tr>
      <w:tr>
        <w:trPr>
          <w:trHeight w:val="234"/>
        </w:trPr>
        <w:tc>
          <w:tcPr>
            <w:tcW w:w="59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590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8"/>
                <w:szCs w:val="18"/>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loss</w:t>
            </w:r>
          </w:p>
        </w:tc>
        <w:tc>
          <w:tcPr>
            <w:tcW w:w="2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(21,427,964)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(147,957,910)</w:t>
            </w:r>
          </w:p>
        </w:tc>
      </w:tr>
      <w:tr>
        <w:trPr>
          <w:trHeight w:val="210"/>
        </w:trPr>
        <w:tc>
          <w:tcPr>
            <w:tcW w:w="59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45,587,734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19,091,926</w:t>
            </w:r>
          </w:p>
        </w:tc>
        <w:tc>
          <w:tcPr>
            <w:tcW w:w="100" w:type="dxa"/>
            <w:vAlign w:val="bottom"/>
            <w:shd w:val="clear" w:color="auto" w:fill="CCEEFF"/>
          </w:tcPr>
          <w:p>
            <w:pPr>
              <w:spacing w:after="0"/>
              <w:rPr>
                <w:sz w:val="18"/>
                <w:szCs w:val="18"/>
                <w:color w:val="auto"/>
              </w:rPr>
            </w:pPr>
          </w:p>
        </w:tc>
      </w:tr>
      <w:tr>
        <w:trPr>
          <w:trHeight w:val="209"/>
        </w:trPr>
        <w:tc>
          <w:tcPr>
            <w:tcW w:w="59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data:</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Basic and diluted</w:t>
            </w:r>
          </w:p>
        </w:tc>
        <w:tc>
          <w:tcPr>
            <w:tcW w:w="2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(0.47)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r>
      <w:tr>
        <w:trPr>
          <w:trHeight w:val="20"/>
        </w:trPr>
        <w:tc>
          <w:tcPr>
            <w:tcW w:w="5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securities, rounded to the thousand, were not included in the diluted net loss per share calculation because their effect was anti-dilutive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8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For the Years Ended</w:t>
            </w:r>
          </w:p>
        </w:tc>
      </w:tr>
      <w:tr>
        <w:trPr>
          <w:trHeight w:val="234"/>
        </w:trPr>
        <w:tc>
          <w:tcPr>
            <w:tcW w:w="43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0"/>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20" w:type="dxa"/>
            <w:vAlign w:val="bottom"/>
            <w:tcBorders>
              <w:bottom w:val="single" w:sz="8" w:color="CCEEFF"/>
            </w:tcBorders>
          </w:tcPr>
          <w:p>
            <w:pPr>
              <w:spacing w:after="0"/>
              <w:rPr>
                <w:sz w:val="18"/>
                <w:szCs w:val="18"/>
                <w:color w:val="auto"/>
              </w:rPr>
            </w:pPr>
          </w:p>
        </w:tc>
        <w:tc>
          <w:tcPr>
            <w:tcW w:w="4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8"/>
                <w:szCs w:val="18"/>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4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4,120,000</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Common stock purchase warrants</w:t>
            </w:r>
          </w:p>
        </w:tc>
        <w:tc>
          <w:tcPr>
            <w:tcW w:w="5580" w:type="dxa"/>
            <w:vAlign w:val="bottom"/>
            <w:gridSpan w:val="3"/>
          </w:tcPr>
          <w:p>
            <w:pPr>
              <w:jc w:val="right"/>
              <w:ind w:right="220"/>
              <w:spacing w:after="0"/>
              <w:rPr>
                <w:sz w:val="20"/>
                <w:szCs w:val="20"/>
                <w:color w:val="auto"/>
              </w:rPr>
            </w:pPr>
            <w:r>
              <w:rPr>
                <w:rFonts w:ascii="Arial" w:cs="Arial" w:eastAsia="Arial" w:hAnsi="Arial"/>
                <w:sz w:val="18"/>
                <w:szCs w:val="18"/>
                <w:color w:val="auto"/>
              </w:rPr>
              <w:t>22,605,000</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22,989,000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 liability treatment</w:t>
            </w:r>
          </w:p>
        </w:tc>
        <w:tc>
          <w:tcPr>
            <w:tcW w:w="5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59,000</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27,000</w:t>
            </w: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4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27,647,000</w:t>
            </w: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27,136,000</w:t>
            </w:r>
          </w:p>
        </w:tc>
        <w:tc>
          <w:tcPr>
            <w:tcW w:w="10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3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4"/>
          </w:tcPr>
          <w:p>
            <w:pPr>
              <w:ind w:left="1140"/>
              <w:spacing w:after="0"/>
              <w:rPr>
                <w:sz w:val="20"/>
                <w:szCs w:val="20"/>
                <w:color w:val="auto"/>
              </w:rPr>
            </w:pPr>
            <w:r>
              <w:rPr>
                <w:rFonts w:ascii="Arial" w:cs="Arial" w:eastAsia="Arial" w:hAnsi="Arial"/>
                <w:sz w:val="18"/>
                <w:szCs w:val="18"/>
                <w:color w:val="auto"/>
              </w:rPr>
              <w:t>F-14</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PROPERTY AND EQUIPMENT</w:t>
            </w:r>
          </w:p>
        </w:tc>
        <w:tc>
          <w:tcPr>
            <w:tcW w:w="1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40" w:type="dxa"/>
            <w:vAlign w:val="bottom"/>
            <w:gridSpan w:val="5"/>
          </w:tcPr>
          <w:p>
            <w:pPr>
              <w:spacing w:after="0"/>
              <w:rPr>
                <w:sz w:val="20"/>
                <w:szCs w:val="20"/>
                <w:color w:val="auto"/>
              </w:rPr>
            </w:pPr>
            <w:r>
              <w:rPr>
                <w:rFonts w:ascii="Arial" w:cs="Arial" w:eastAsia="Arial" w:hAnsi="Arial"/>
                <w:sz w:val="18"/>
                <w:szCs w:val="18"/>
                <w:color w:val="auto"/>
                <w:w w:val="98"/>
              </w:rPr>
              <w:t>Property and equipment consist of the following as of December 31, 2019 and 2018, respectively:</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gridSpan w:val="2"/>
          </w:tcPr>
          <w:p>
            <w:pPr>
              <w:ind w:left="3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1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Estimated Useful Lives</w:t>
            </w:r>
          </w:p>
        </w:tc>
        <w:tc>
          <w:tcPr>
            <w:tcW w:w="1880" w:type="dxa"/>
            <w:vAlign w:val="bottom"/>
          </w:tcPr>
          <w:p>
            <w:pPr>
              <w:jc w:val="right"/>
              <w:ind w:right="338"/>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6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09"/>
        </w:trPr>
        <w:tc>
          <w:tcPr>
            <w:tcW w:w="13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Lab equipment</w:t>
            </w:r>
          </w:p>
        </w:tc>
        <w:tc>
          <w:tcPr>
            <w:tcW w:w="166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 Years</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171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w w:val="95"/>
              </w:rPr>
              <w:t>Computers, equipment and software</w:t>
            </w:r>
          </w:p>
        </w:tc>
        <w:tc>
          <w:tcPr>
            <w:tcW w:w="28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3-5 Years</w:t>
            </w:r>
          </w:p>
        </w:tc>
        <w:tc>
          <w:tcPr>
            <w:tcW w:w="18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211,000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66,000</w:t>
            </w: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Office furniture</w:t>
            </w:r>
          </w:p>
        </w:tc>
        <w:tc>
          <w:tcPr>
            <w:tcW w:w="166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6"/>
              </w:rPr>
              <w:t>5 Years</w:t>
            </w:r>
          </w:p>
        </w:tc>
        <w:tc>
          <w:tcPr>
            <w:tcW w:w="18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178,000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82,000</w:t>
            </w:r>
          </w:p>
        </w:tc>
      </w:tr>
      <w:tr>
        <w:trPr>
          <w:trHeight w:val="202"/>
        </w:trPr>
        <w:tc>
          <w:tcPr>
            <w:tcW w:w="1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9"/>
              </w:rPr>
              <w:t>Lesser of lease term or estimated</w:t>
            </w:r>
          </w:p>
        </w:tc>
        <w:tc>
          <w:tcPr>
            <w:tcW w:w="1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Leasehold improvements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useful life</w:t>
            </w:r>
          </w:p>
        </w:tc>
        <w:tc>
          <w:tcPr>
            <w:tcW w:w="18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23,000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1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2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2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accumulated depreciation</w:t>
            </w:r>
          </w:p>
        </w:tc>
        <w:tc>
          <w:tcPr>
            <w:tcW w:w="2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(105,000)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09"/>
        </w:trPr>
        <w:tc>
          <w:tcPr>
            <w:tcW w:w="2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ind w:right="171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Depreciation expense for the year ended December 31, 2019 was $105,000. Furniture and computer equipment were placed in use on January 1, 2019 therefore no depreciation expense was recorded during the year ended December 31, 2018.</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LEASES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leases office space under agreements classified as operating leases that expire on various dates through 2022. All of the Company’s lease liabilities result from the lease of its corporate headquarters in Houston, Texas, which expires in 2021, and its Jacksonville, Florida office space, which expires in 2022. 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 of use assets as the Company is not reasonably certain to exercise the options. Variable expenses generally represent the Company’s share of the landlord’s operating expenses. The Company does not act as a lessor or have any leases classified as financing leases.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excludes short-term leases having initial terms of 12 months or less from the new accounting guidance as an accounting policy election and recognizes rent expense on a straight-line basis over the lease term. During the fiscal year ended December 31, 2019, the Company had two lease agreements, an office at the Florida Atlantic Research and Development Authority and laboratory space located at the Texas Medical Center in Houston, which are included in short-term lease expense below.</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2019, the Company had operating lease liabilities of approximately $484,000 and right of use assets of approximately $455,000, which were included in the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quantitative information about the Company’s operating leases: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center"/>
        <w:ind w:left="7540"/>
        <w:spacing w:after="0"/>
        <w:rPr>
          <w:sz w:val="20"/>
          <w:szCs w:val="20"/>
          <w:color w:val="auto"/>
        </w:rPr>
      </w:pPr>
      <w:r>
        <w:rPr>
          <w:rFonts w:ascii="Arial" w:cs="Arial" w:eastAsia="Arial" w:hAnsi="Arial"/>
          <w:sz w:val="17"/>
          <w:szCs w:val="17"/>
          <w:b w:val="1"/>
          <w:bCs w:val="1"/>
          <w:color w:val="auto"/>
        </w:rPr>
        <w:t>For the Year</w:t>
      </w:r>
    </w:p>
    <w:p>
      <w:pPr>
        <w:spacing w:after="0" w:line="39" w:lineRule="exact"/>
        <w:rPr>
          <w:sz w:val="20"/>
          <w:szCs w:val="20"/>
          <w:color w:val="auto"/>
        </w:rPr>
      </w:pPr>
    </w:p>
    <w:p>
      <w:pPr>
        <w:jc w:val="center"/>
        <w:ind w:left="754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7540"/>
        <w:spacing w:after="0"/>
        <w:rPr>
          <w:sz w:val="20"/>
          <w:szCs w:val="20"/>
          <w:color w:val="auto"/>
        </w:rPr>
      </w:pPr>
      <w:r>
        <w:rPr>
          <w:rFonts w:ascii="Arial" w:cs="Arial" w:eastAsia="Arial" w:hAnsi="Arial"/>
          <w:sz w:val="15"/>
          <w:szCs w:val="15"/>
          <w:b w:val="1"/>
          <w:bCs w:val="1"/>
          <w:color w:val="auto"/>
        </w:rPr>
        <w:t>December 31,</w:t>
      </w:r>
    </w:p>
    <w:p>
      <w:pPr>
        <w:spacing w:after="0" w:line="44" w:lineRule="exact"/>
        <w:rPr>
          <w:sz w:val="20"/>
          <w:szCs w:val="20"/>
          <w:color w:val="auto"/>
        </w:rPr>
      </w:pPr>
    </w:p>
    <w:p>
      <w:pPr>
        <w:jc w:val="center"/>
        <w:ind w:left="7540"/>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41223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2">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Operating lease expense summary: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41223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Short-term lease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Variable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41223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510" w:hanging="510"/>
        <w:spacing w:after="0"/>
        <w:tabs>
          <w:tab w:leader="none" w:pos="510" w:val="left"/>
        </w:tabs>
        <w:numPr>
          <w:ilvl w:val="0"/>
          <w:numId w:val="63"/>
        </w:numPr>
        <w:rPr>
          <w:rFonts w:ascii="Arial" w:cs="Arial" w:eastAsia="Arial" w:hAnsi="Arial"/>
          <w:sz w:val="16"/>
          <w:szCs w:val="16"/>
          <w:color w:val="auto"/>
        </w:rPr>
      </w:pPr>
      <w:r>
        <w:rPr>
          <w:rFonts w:ascii="Arial" w:cs="Arial" w:eastAsia="Arial" w:hAnsi="Arial"/>
          <w:sz w:val="16"/>
          <w:szCs w:val="16"/>
          <w:color w:val="auto"/>
        </w:rPr>
        <w:t>220,000</w:t>
      </w:r>
    </w:p>
    <w:p>
      <w:pPr>
        <w:spacing w:after="0" w:line="46" w:lineRule="exact"/>
        <w:rPr>
          <w:rFonts w:ascii="Arial" w:cs="Arial" w:eastAsia="Arial" w:hAnsi="Arial"/>
          <w:sz w:val="16"/>
          <w:szCs w:val="16"/>
          <w:color w:val="auto"/>
        </w:rPr>
      </w:pPr>
    </w:p>
    <w:p>
      <w:pPr>
        <w:ind w:left="510"/>
        <w:spacing w:after="0"/>
        <w:rPr>
          <w:rFonts w:ascii="Arial" w:cs="Arial" w:eastAsia="Arial" w:hAnsi="Arial"/>
          <w:sz w:val="16"/>
          <w:szCs w:val="16"/>
          <w:color w:val="auto"/>
        </w:rPr>
      </w:pPr>
      <w:r>
        <w:rPr>
          <w:rFonts w:ascii="Arial" w:cs="Arial" w:eastAsia="Arial" w:hAnsi="Arial"/>
          <w:sz w:val="16"/>
          <w:szCs w:val="16"/>
          <w:color w:val="auto"/>
        </w:rPr>
        <w:t>100,000</w:t>
      </w:r>
    </w:p>
    <w:p>
      <w:pPr>
        <w:spacing w:after="0" w:line="32" w:lineRule="exact"/>
        <w:rPr>
          <w:rFonts w:ascii="Arial" w:cs="Arial" w:eastAsia="Arial" w:hAnsi="Arial"/>
          <w:sz w:val="16"/>
          <w:szCs w:val="16"/>
          <w:color w:val="auto"/>
        </w:rPr>
      </w:pPr>
    </w:p>
    <w:p>
      <w:pPr>
        <w:ind w:left="590"/>
        <w:spacing w:after="0"/>
        <w:rPr>
          <w:rFonts w:ascii="Arial" w:cs="Arial" w:eastAsia="Arial" w:hAnsi="Arial"/>
          <w:sz w:val="16"/>
          <w:szCs w:val="16"/>
          <w:color w:val="auto"/>
        </w:rPr>
      </w:pPr>
      <w:r>
        <w:rPr>
          <w:rFonts w:ascii="Arial" w:cs="Arial" w:eastAsia="Arial" w:hAnsi="Arial"/>
          <w:sz w:val="16"/>
          <w:szCs w:val="16"/>
          <w:color w:val="auto"/>
        </w:rPr>
        <w:t>90,000</w:t>
      </w:r>
    </w:p>
    <w:p>
      <w:pPr>
        <w:spacing w:after="0" w:line="32" w:lineRule="exact"/>
        <w:rPr>
          <w:sz w:val="20"/>
          <w:szCs w:val="20"/>
          <w:color w:val="auto"/>
        </w:rPr>
      </w:pPr>
    </w:p>
    <w:p>
      <w:pPr>
        <w:ind w:left="510" w:hanging="510"/>
        <w:spacing w:after="0"/>
        <w:tabs>
          <w:tab w:leader="none" w:pos="510" w:val="left"/>
        </w:tabs>
        <w:numPr>
          <w:ilvl w:val="0"/>
          <w:numId w:val="64"/>
        </w:numPr>
        <w:rPr>
          <w:rFonts w:ascii="Arial" w:cs="Arial" w:eastAsia="Arial" w:hAnsi="Arial"/>
          <w:sz w:val="16"/>
          <w:szCs w:val="16"/>
          <w:color w:val="auto"/>
        </w:rPr>
      </w:pPr>
      <w:r>
        <w:rPr>
          <w:rFonts w:ascii="Arial" w:cs="Arial" w:eastAsia="Arial" w:hAnsi="Arial"/>
          <w:sz w:val="16"/>
          <w:szCs w:val="16"/>
          <w:color w:val="auto"/>
        </w:rPr>
        <w:t>410,000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6940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5">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130" w:space="720"/>
            <w:col w:w="2390"/>
          </w:cols>
          <w:pgMar w:left="320" w:top="1336" w:right="33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Operating cash flows from operating leases for the twelve months ended December 31, 2019</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87"/>
              <w:spacing w:after="0"/>
              <w:rPr>
                <w:sz w:val="20"/>
                <w:szCs w:val="20"/>
                <w:color w:val="auto"/>
              </w:rPr>
            </w:pPr>
            <w:r>
              <w:rPr>
                <w:rFonts w:ascii="Arial" w:cs="Arial" w:eastAsia="Arial" w:hAnsi="Arial"/>
                <w:sz w:val="18"/>
                <w:szCs w:val="18"/>
                <w:color w:val="auto"/>
              </w:rPr>
              <w:t>225,000</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 exchanged for new operating lease liabilities as of adoption date</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670,000</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Weighted-average remaining lease term as of December 31, 2019 – operating leases</w:t>
            </w:r>
          </w:p>
        </w:tc>
        <w:tc>
          <w:tcPr>
            <w:tcW w:w="1380" w:type="dxa"/>
            <w:vAlign w:val="bottom"/>
          </w:tcPr>
          <w:p>
            <w:pPr>
              <w:spacing w:after="0"/>
              <w:rPr>
                <w:sz w:val="18"/>
                <w:szCs w:val="18"/>
                <w:color w:val="auto"/>
              </w:rPr>
            </w:pPr>
          </w:p>
        </w:tc>
        <w:tc>
          <w:tcPr>
            <w:tcW w:w="960" w:type="dxa"/>
            <w:vAlign w:val="bottom"/>
            <w:gridSpan w:val="3"/>
          </w:tcPr>
          <w:p>
            <w:pPr>
              <w:jc w:val="right"/>
              <w:ind w:right="87"/>
              <w:spacing w:after="0"/>
              <w:rPr>
                <w:sz w:val="20"/>
                <w:szCs w:val="20"/>
                <w:color w:val="auto"/>
              </w:rPr>
            </w:pPr>
            <w:r>
              <w:rPr>
                <w:rFonts w:ascii="Arial" w:cs="Arial" w:eastAsia="Arial" w:hAnsi="Arial"/>
                <w:sz w:val="18"/>
                <w:szCs w:val="18"/>
                <w:color w:val="auto"/>
              </w:rPr>
              <w:t>1.6</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as of adoption date – operating leases</w:t>
            </w:r>
          </w:p>
        </w:tc>
        <w:tc>
          <w:tcPr>
            <w:tcW w:w="13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648"/>
        </w:trPr>
        <w:tc>
          <w:tcPr>
            <w:tcW w:w="7760" w:type="dxa"/>
            <w:vAlign w:val="bottom"/>
          </w:tcPr>
          <w:p>
            <w:pPr>
              <w:spacing w:after="0"/>
              <w:rPr>
                <w:sz w:val="20"/>
                <w:szCs w:val="20"/>
                <w:color w:val="auto"/>
              </w:rPr>
            </w:pPr>
            <w:r>
              <w:rPr>
                <w:rFonts w:ascii="Arial" w:cs="Arial" w:eastAsia="Arial" w:hAnsi="Arial"/>
                <w:sz w:val="18"/>
                <w:szCs w:val="18"/>
                <w:color w:val="auto"/>
              </w:rPr>
              <w:t>Maturities of the Company’s operating leases, excluding short-term leases, are as follows:</w:t>
            </w: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2020</w:t>
            </w:r>
          </w:p>
        </w:tc>
        <w:tc>
          <w:tcPr>
            <w:tcW w:w="13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231,000</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Year ended December 31, 2021</w:t>
            </w: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226,000</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2022</w:t>
            </w: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68,000</w:t>
            </w:r>
          </w:p>
        </w:tc>
      </w:tr>
      <w:tr>
        <w:trPr>
          <w:trHeight w:val="210"/>
        </w:trPr>
        <w:tc>
          <w:tcPr>
            <w:tcW w:w="776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Less present value discount</w:t>
            </w: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(41,000)</w:t>
            </w:r>
          </w:p>
        </w:tc>
      </w:tr>
      <w:tr>
        <w:trPr>
          <w:trHeight w:val="209"/>
        </w:trPr>
        <w:tc>
          <w:tcPr>
            <w:tcW w:w="7760" w:type="dxa"/>
            <w:vAlign w:val="bottom"/>
          </w:tcPr>
          <w:p>
            <w:pPr>
              <w:spacing w:after="0"/>
              <w:rPr>
                <w:sz w:val="20"/>
                <w:szCs w:val="20"/>
                <w:color w:val="auto"/>
              </w:rPr>
            </w:pPr>
            <w:r>
              <w:rPr>
                <w:rFonts w:ascii="Arial" w:cs="Arial" w:eastAsia="Arial" w:hAnsi="Arial"/>
                <w:sz w:val="18"/>
                <w:szCs w:val="18"/>
                <w:color w:val="auto"/>
              </w:rPr>
              <w:t>Operating lease liabilities included in the Consolidated Balance Sheet at December 31, 2019</w:t>
            </w:r>
          </w:p>
        </w:tc>
        <w:tc>
          <w:tcPr>
            <w:tcW w:w="13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Total rental expense under the Company’s operating leases was $220,000 and $175,600 for the years ended December 31, 2019 and 2018, respectively.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7380" w:type="dxa"/>
            <w:vAlign w:val="bottom"/>
          </w:tcPr>
          <w:p>
            <w:pPr>
              <w:ind w:left="320"/>
              <w:spacing w:after="0"/>
              <w:rPr>
                <w:sz w:val="20"/>
                <w:szCs w:val="20"/>
                <w:color w:val="auto"/>
              </w:rPr>
            </w:pPr>
            <w:r>
              <w:rPr>
                <w:rFonts w:ascii="Arial" w:cs="Arial" w:eastAsia="Arial" w:hAnsi="Arial"/>
                <w:sz w:val="18"/>
                <w:szCs w:val="18"/>
                <w:b w:val="1"/>
                <w:bCs w:val="1"/>
                <w:color w:val="auto"/>
              </w:rPr>
              <w:t>ACCOUNTS PAYABLE AND ACCRUED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w w:val="92"/>
              </w:rPr>
              <w:t>Accounts payable and accrued liabilities consist of the following as of December 31, 2019 and 2018, respectively: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960" w:type="dxa"/>
            <w:vAlign w:val="bottom"/>
            <w:tcBorders>
              <w:bottom w:val="single" w:sz="8" w:color="CCEEFF"/>
            </w:tcBorders>
          </w:tcPr>
          <w:p>
            <w:pPr>
              <w:spacing w:after="0"/>
              <w:rPr>
                <w:sz w:val="20"/>
                <w:szCs w:val="20"/>
                <w:color w:val="auto"/>
              </w:rPr>
            </w:pPr>
          </w:p>
        </w:tc>
        <w:tc>
          <w:tcPr>
            <w:tcW w:w="73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323,000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416,000</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236,000</w:t>
            </w: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Technology license fees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 relations fees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297,000</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Other</w:t>
            </w: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243,000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106,000</w:t>
            </w:r>
          </w:p>
        </w:tc>
        <w:tc>
          <w:tcPr>
            <w:tcW w:w="0" w:type="dxa"/>
            <w:vAlign w:val="bottom"/>
          </w:tcPr>
          <w:p>
            <w:pPr>
              <w:spacing w:after="0"/>
              <w:rPr>
                <w:sz w:val="1"/>
                <w:szCs w:val="1"/>
                <w:color w:val="auto"/>
              </w:rPr>
            </w:pPr>
          </w:p>
        </w:tc>
      </w:tr>
      <w:tr>
        <w:trPr>
          <w:trHeight w:val="210"/>
        </w:trPr>
        <w:tc>
          <w:tcPr>
            <w:tcW w:w="8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accounts payable and accrued liabilities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NOTE 9:</w:t>
            </w:r>
          </w:p>
        </w:tc>
        <w:tc>
          <w:tcPr>
            <w:tcW w:w="73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WARRANT LIABILITY</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0" w:type="dxa"/>
            <w:vAlign w:val="bottom"/>
            <w:vMerge w:val="continue"/>
          </w:tcPr>
          <w:p>
            <w:pPr>
              <w:spacing w:after="0"/>
              <w:rPr>
                <w:sz w:val="24"/>
                <w:szCs w:val="24"/>
                <w:color w:val="auto"/>
              </w:rPr>
            </w:pPr>
          </w:p>
        </w:tc>
        <w:tc>
          <w:tcPr>
            <w:tcW w:w="7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weighted average summary of quantitative information with respect to valuation methodology and significant unobservable inputs used for the Company’s common stock purchase warrants that are categorized within Level 3 of the fair value hierarchy for the years ended 2019 and 2018,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2360" w:type="dxa"/>
            <w:vAlign w:val="bottom"/>
            <w:tcBorders>
              <w:bottom w:val="single" w:sz="8" w:color="auto"/>
            </w:tcBorders>
            <w:gridSpan w:val="5"/>
          </w:tcPr>
          <w:p>
            <w:pPr>
              <w:jc w:val="center"/>
              <w:ind w:left="254"/>
              <w:spacing w:after="0"/>
              <w:rPr>
                <w:sz w:val="20"/>
                <w:szCs w:val="20"/>
                <w:color w:val="auto"/>
              </w:rPr>
            </w:pPr>
            <w:r>
              <w:rPr>
                <w:rFonts w:ascii="Arial" w:cs="Arial" w:eastAsia="Arial" w:hAnsi="Arial"/>
                <w:sz w:val="18"/>
                <w:szCs w:val="18"/>
                <w:b w:val="1"/>
                <w:bCs w:val="1"/>
                <w:color w:val="auto"/>
                <w:w w:val="89"/>
              </w:rPr>
              <w:t>Weighted Average Inputs</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8360" w:type="dxa"/>
            <w:vAlign w:val="bottom"/>
          </w:tcPr>
          <w:p>
            <w:pPr>
              <w:spacing w:after="0"/>
              <w:rPr>
                <w:sz w:val="16"/>
                <w:szCs w:val="16"/>
                <w:color w:val="auto"/>
              </w:rPr>
            </w:pPr>
          </w:p>
        </w:tc>
        <w:tc>
          <w:tcPr>
            <w:tcW w:w="2360" w:type="dxa"/>
            <w:vAlign w:val="bottom"/>
            <w:gridSpan w:val="5"/>
          </w:tcPr>
          <w:p>
            <w:pPr>
              <w:jc w:val="center"/>
              <w:ind w:left="254"/>
              <w:spacing w:after="0" w:line="191" w:lineRule="exact"/>
              <w:rPr>
                <w:sz w:val="20"/>
                <w:szCs w:val="20"/>
                <w:color w:val="auto"/>
              </w:rPr>
            </w:pPr>
            <w:r>
              <w:rPr>
                <w:rFonts w:ascii="Arial" w:cs="Arial" w:eastAsia="Arial" w:hAnsi="Arial"/>
                <w:sz w:val="18"/>
                <w:szCs w:val="18"/>
                <w:b w:val="1"/>
                <w:bCs w:val="1"/>
                <w:color w:val="auto"/>
                <w:w w:val="90"/>
              </w:rPr>
              <w:t>For the Years Ended</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83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370"/>
              <w:spacing w:after="0"/>
              <w:rPr>
                <w:sz w:val="20"/>
                <w:szCs w:val="20"/>
                <w:color w:val="auto"/>
              </w:rPr>
            </w:pPr>
            <w:r>
              <w:rPr>
                <w:rFonts w:ascii="Arial" w:cs="Arial" w:eastAsia="Arial" w:hAnsi="Arial"/>
                <w:sz w:val="18"/>
                <w:szCs w:val="18"/>
                <w:b w:val="1"/>
                <w:bCs w:val="1"/>
                <w:color w:val="auto"/>
                <w:w w:val="90"/>
              </w:rPr>
              <w:t>December 31,</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8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800" w:type="dxa"/>
            <w:vAlign w:val="bottom"/>
            <w:tcBorders>
              <w:top w:val="single" w:sz="8" w:color="auto"/>
            </w:tcBorders>
            <w:shd w:val="clear" w:color="auto" w:fill="CCEEFF"/>
          </w:tcPr>
          <w:p>
            <w:pPr>
              <w:jc w:val="right"/>
              <w:ind w:right="634"/>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9.72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Contractual term (years)</w:t>
            </w:r>
          </w:p>
        </w:tc>
        <w:tc>
          <w:tcPr>
            <w:tcW w:w="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1.08</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Risk-free rate</w:t>
            </w:r>
          </w:p>
        </w:tc>
        <w:tc>
          <w:tcPr>
            <w:tcW w:w="8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changes in Level 3 warrant liabilities, reflected in accrued expenses measured at fair value for the years ended December 31, 2019 and 2018,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Warrant</w:t>
            </w:r>
          </w:p>
        </w:tc>
        <w:tc>
          <w:tcPr>
            <w:tcW w:w="2260" w:type="dxa"/>
            <w:vAlign w:val="bottom"/>
          </w:tcPr>
          <w:p>
            <w:pPr>
              <w:spacing w:after="0"/>
              <w:rPr>
                <w:sz w:val="18"/>
                <w:szCs w:val="18"/>
                <w:color w:val="auto"/>
              </w:rPr>
            </w:pPr>
          </w:p>
        </w:tc>
      </w:tr>
      <w:tr>
        <w:trPr>
          <w:trHeight w:val="234"/>
        </w:trPr>
        <w:tc>
          <w:tcPr>
            <w:tcW w:w="4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Liability</w:t>
            </w:r>
          </w:p>
        </w:tc>
        <w:tc>
          <w:tcPr>
            <w:tcW w:w="2260" w:type="dxa"/>
            <w:vAlign w:val="bottom"/>
          </w:tcPr>
          <w:p>
            <w:pPr>
              <w:spacing w:after="0"/>
              <w:rPr>
                <w:sz w:val="20"/>
                <w:szCs w:val="20"/>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January 1, 2018</w:t>
            </w:r>
          </w:p>
        </w:tc>
        <w:tc>
          <w:tcPr>
            <w:tcW w:w="3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40,000</w:t>
            </w:r>
          </w:p>
        </w:tc>
        <w:tc>
          <w:tcPr>
            <w:tcW w:w="2260" w:type="dxa"/>
            <w:vAlign w:val="bottom"/>
          </w:tcPr>
          <w:p>
            <w:pPr>
              <w:spacing w:after="0"/>
              <w:rPr>
                <w:sz w:val="18"/>
                <w:szCs w:val="18"/>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3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(18,000)</w:t>
            </w:r>
          </w:p>
        </w:tc>
        <w:tc>
          <w:tcPr>
            <w:tcW w:w="2260" w:type="dxa"/>
            <w:vAlign w:val="bottom"/>
          </w:tcPr>
          <w:p>
            <w:pPr>
              <w:spacing w:after="0"/>
              <w:rPr>
                <w:sz w:val="18"/>
                <w:szCs w:val="18"/>
                <w:color w:val="auto"/>
              </w:rPr>
            </w:pPr>
          </w:p>
        </w:tc>
      </w:tr>
      <w:tr>
        <w:trPr>
          <w:trHeight w:val="210"/>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37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845"/>
        </w:trPr>
        <w:tc>
          <w:tcPr>
            <w:tcW w:w="42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right"/>
              <w:ind w:right="2147"/>
              <w:spacing w:after="0"/>
              <w:rPr>
                <w:sz w:val="20"/>
                <w:szCs w:val="20"/>
                <w:color w:val="auto"/>
              </w:rPr>
            </w:pPr>
            <w:r>
              <w:rPr>
                <w:rFonts w:ascii="Arial" w:cs="Arial" w:eastAsia="Arial" w:hAnsi="Arial"/>
                <w:sz w:val="18"/>
                <w:szCs w:val="18"/>
                <w:color w:val="auto"/>
              </w:rPr>
              <w:t>F -17</w:t>
            </w: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9" w:name="page110"/>
    <w:bookmarkEnd w:id="109"/>
    <w:p>
      <w:pPr>
        <w:spacing w:after="0"/>
        <w:tabs>
          <w:tab w:leader="none" w:pos="11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liabilities measured at fair value on a recurring basis are summarized below and disclosed on the balance sheet under warrant liability: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w w:val="90"/>
              </w:rPr>
              <w:t>Fair value measured at December 31, 2019</w:t>
            </w: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2"/>
          </w:tcPr>
          <w:p>
            <w:pPr>
              <w:jc w:val="center"/>
              <w:ind w:right="270"/>
              <w:spacing w:after="0" w:line="195" w:lineRule="exact"/>
              <w:rPr>
                <w:sz w:val="20"/>
                <w:szCs w:val="20"/>
                <w:color w:val="auto"/>
              </w:rPr>
            </w:pPr>
            <w:r>
              <w:rPr>
                <w:rFonts w:ascii="Arial" w:cs="Arial" w:eastAsia="Arial" w:hAnsi="Arial"/>
                <w:sz w:val="18"/>
                <w:szCs w:val="18"/>
                <w:color w:val="auto"/>
                <w:w w:val="90"/>
              </w:rPr>
              <w:t>Quoted prices in active</w:t>
            </w:r>
          </w:p>
        </w:tc>
        <w:tc>
          <w:tcPr>
            <w:tcW w:w="2420" w:type="dxa"/>
            <w:vAlign w:val="bottom"/>
            <w:gridSpan w:val="3"/>
          </w:tcPr>
          <w:p>
            <w:pPr>
              <w:jc w:val="center"/>
              <w:ind w:right="227"/>
              <w:spacing w:after="0" w:line="195" w:lineRule="exact"/>
              <w:rPr>
                <w:sz w:val="20"/>
                <w:szCs w:val="20"/>
                <w:color w:val="auto"/>
              </w:rPr>
            </w:pPr>
            <w:r>
              <w:rPr>
                <w:rFonts w:ascii="Arial" w:cs="Arial" w:eastAsia="Arial" w:hAnsi="Arial"/>
                <w:sz w:val="18"/>
                <w:szCs w:val="18"/>
                <w:color w:val="auto"/>
                <w:w w:val="92"/>
              </w:rPr>
              <w:t>Significant other</w:t>
            </w:r>
          </w:p>
        </w:tc>
        <w:tc>
          <w:tcPr>
            <w:tcW w:w="204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96"/>
              </w:rPr>
              <w:t>Significant</w:t>
            </w: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2"/>
          </w:tcPr>
          <w:p>
            <w:pPr>
              <w:jc w:val="center"/>
              <w:ind w:right="290"/>
              <w:spacing w:after="0"/>
              <w:rPr>
                <w:sz w:val="20"/>
                <w:szCs w:val="20"/>
                <w:color w:val="auto"/>
              </w:rPr>
            </w:pPr>
            <w:r>
              <w:rPr>
                <w:rFonts w:ascii="Arial" w:cs="Arial" w:eastAsia="Arial" w:hAnsi="Arial"/>
                <w:sz w:val="18"/>
                <w:szCs w:val="18"/>
                <w:color w:val="auto"/>
                <w:w w:val="87"/>
              </w:rPr>
              <w:t>markets</w:t>
            </w:r>
          </w:p>
        </w:tc>
        <w:tc>
          <w:tcPr>
            <w:tcW w:w="2420" w:type="dxa"/>
            <w:vAlign w:val="bottom"/>
            <w:gridSpan w:val="3"/>
          </w:tcPr>
          <w:p>
            <w:pPr>
              <w:jc w:val="center"/>
              <w:ind w:right="227"/>
              <w:spacing w:after="0"/>
              <w:rPr>
                <w:sz w:val="20"/>
                <w:szCs w:val="20"/>
                <w:color w:val="auto"/>
              </w:rPr>
            </w:pPr>
            <w:r>
              <w:rPr>
                <w:rFonts w:ascii="Arial" w:cs="Arial" w:eastAsia="Arial" w:hAnsi="Arial"/>
                <w:sz w:val="18"/>
                <w:szCs w:val="18"/>
                <w:color w:val="auto"/>
                <w:w w:val="90"/>
              </w:rPr>
              <w:t>observable inputs</w:t>
            </w: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unobservable inputs</w:t>
            </w:r>
          </w:p>
        </w:tc>
        <w:tc>
          <w:tcPr>
            <w:tcW w:w="200" w:type="dxa"/>
            <w:vAlign w:val="bottom"/>
          </w:tcPr>
          <w:p>
            <w:pPr>
              <w:spacing w:after="0"/>
              <w:rPr>
                <w:sz w:val="19"/>
                <w:szCs w:val="19"/>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 value at</w:t>
            </w:r>
          </w:p>
        </w:tc>
      </w:tr>
      <w:tr>
        <w:trPr>
          <w:trHeight w:val="230"/>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2"/>
          </w:tcPr>
          <w:p>
            <w:pPr>
              <w:jc w:val="center"/>
              <w:ind w:right="270"/>
              <w:spacing w:after="0"/>
              <w:rPr>
                <w:sz w:val="20"/>
                <w:szCs w:val="20"/>
                <w:color w:val="auto"/>
              </w:rPr>
            </w:pPr>
            <w:r>
              <w:rPr>
                <w:rFonts w:ascii="Arial" w:cs="Arial" w:eastAsia="Arial" w:hAnsi="Arial"/>
                <w:sz w:val="18"/>
                <w:szCs w:val="18"/>
                <w:color w:val="auto"/>
                <w:w w:val="94"/>
              </w:rPr>
              <w:t>(Level 1)</w:t>
            </w:r>
          </w:p>
        </w:tc>
        <w:tc>
          <w:tcPr>
            <w:tcW w:w="2420" w:type="dxa"/>
            <w:vAlign w:val="bottom"/>
            <w:gridSpan w:val="3"/>
          </w:tcPr>
          <w:p>
            <w:pPr>
              <w:jc w:val="center"/>
              <w:ind w:right="227"/>
              <w:spacing w:after="0"/>
              <w:rPr>
                <w:sz w:val="20"/>
                <w:szCs w:val="20"/>
                <w:color w:val="auto"/>
              </w:rPr>
            </w:pPr>
            <w:r>
              <w:rPr>
                <w:rFonts w:ascii="Arial" w:cs="Arial" w:eastAsia="Arial" w:hAnsi="Arial"/>
                <w:sz w:val="18"/>
                <w:szCs w:val="18"/>
                <w:color w:val="auto"/>
                <w:w w:val="97"/>
              </w:rPr>
              <w:t>(Level 2)</w:t>
            </w: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(Level 3)</w:t>
            </w:r>
          </w:p>
        </w:tc>
        <w:tc>
          <w:tcPr>
            <w:tcW w:w="20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December 31, 2019</w:t>
            </w:r>
          </w:p>
        </w:tc>
      </w:tr>
      <w:tr>
        <w:trPr>
          <w:trHeight w:val="209"/>
        </w:trPr>
        <w:tc>
          <w:tcPr>
            <w:tcW w:w="23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Warrant liability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w w:val="90"/>
              </w:rPr>
              <w:t>Fair value measured at December 31, 2018</w:t>
            </w: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2"/>
          </w:tcPr>
          <w:p>
            <w:pPr>
              <w:jc w:val="center"/>
              <w:ind w:right="270"/>
              <w:spacing w:after="0" w:line="195" w:lineRule="exact"/>
              <w:rPr>
                <w:sz w:val="20"/>
                <w:szCs w:val="20"/>
                <w:color w:val="auto"/>
              </w:rPr>
            </w:pPr>
            <w:r>
              <w:rPr>
                <w:rFonts w:ascii="Arial" w:cs="Arial" w:eastAsia="Arial" w:hAnsi="Arial"/>
                <w:sz w:val="18"/>
                <w:szCs w:val="18"/>
                <w:color w:val="auto"/>
                <w:w w:val="90"/>
              </w:rPr>
              <w:t>Quoted prices in active</w:t>
            </w:r>
          </w:p>
        </w:tc>
        <w:tc>
          <w:tcPr>
            <w:tcW w:w="2420" w:type="dxa"/>
            <w:vAlign w:val="bottom"/>
            <w:gridSpan w:val="3"/>
          </w:tcPr>
          <w:p>
            <w:pPr>
              <w:jc w:val="center"/>
              <w:ind w:right="227"/>
              <w:spacing w:after="0" w:line="195" w:lineRule="exact"/>
              <w:rPr>
                <w:sz w:val="20"/>
                <w:szCs w:val="20"/>
                <w:color w:val="auto"/>
              </w:rPr>
            </w:pPr>
            <w:r>
              <w:rPr>
                <w:rFonts w:ascii="Arial" w:cs="Arial" w:eastAsia="Arial" w:hAnsi="Arial"/>
                <w:sz w:val="18"/>
                <w:szCs w:val="18"/>
                <w:color w:val="auto"/>
                <w:w w:val="92"/>
              </w:rPr>
              <w:t>Significant other</w:t>
            </w:r>
          </w:p>
        </w:tc>
        <w:tc>
          <w:tcPr>
            <w:tcW w:w="204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96"/>
              </w:rPr>
              <w:t>Significant</w:t>
            </w: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2"/>
          </w:tcPr>
          <w:p>
            <w:pPr>
              <w:jc w:val="center"/>
              <w:ind w:right="290"/>
              <w:spacing w:after="0"/>
              <w:rPr>
                <w:sz w:val="20"/>
                <w:szCs w:val="20"/>
                <w:color w:val="auto"/>
              </w:rPr>
            </w:pPr>
            <w:r>
              <w:rPr>
                <w:rFonts w:ascii="Arial" w:cs="Arial" w:eastAsia="Arial" w:hAnsi="Arial"/>
                <w:sz w:val="18"/>
                <w:szCs w:val="18"/>
                <w:color w:val="auto"/>
                <w:w w:val="87"/>
              </w:rPr>
              <w:t>markets</w:t>
            </w:r>
          </w:p>
        </w:tc>
        <w:tc>
          <w:tcPr>
            <w:tcW w:w="2420" w:type="dxa"/>
            <w:vAlign w:val="bottom"/>
            <w:gridSpan w:val="3"/>
          </w:tcPr>
          <w:p>
            <w:pPr>
              <w:jc w:val="center"/>
              <w:ind w:right="227"/>
              <w:spacing w:after="0"/>
              <w:rPr>
                <w:sz w:val="20"/>
                <w:szCs w:val="20"/>
                <w:color w:val="auto"/>
              </w:rPr>
            </w:pPr>
            <w:r>
              <w:rPr>
                <w:rFonts w:ascii="Arial" w:cs="Arial" w:eastAsia="Arial" w:hAnsi="Arial"/>
                <w:sz w:val="18"/>
                <w:szCs w:val="18"/>
                <w:color w:val="auto"/>
                <w:w w:val="90"/>
              </w:rPr>
              <w:t>observable inputs</w:t>
            </w: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unobservable inputs</w:t>
            </w:r>
          </w:p>
        </w:tc>
        <w:tc>
          <w:tcPr>
            <w:tcW w:w="200" w:type="dxa"/>
            <w:vAlign w:val="bottom"/>
          </w:tcPr>
          <w:p>
            <w:pPr>
              <w:spacing w:after="0"/>
              <w:rPr>
                <w:sz w:val="19"/>
                <w:szCs w:val="19"/>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 value at</w:t>
            </w:r>
          </w:p>
        </w:tc>
      </w:tr>
      <w:tr>
        <w:trPr>
          <w:trHeight w:val="230"/>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2"/>
          </w:tcPr>
          <w:p>
            <w:pPr>
              <w:jc w:val="center"/>
              <w:ind w:right="270"/>
              <w:spacing w:after="0"/>
              <w:rPr>
                <w:sz w:val="20"/>
                <w:szCs w:val="20"/>
                <w:color w:val="auto"/>
              </w:rPr>
            </w:pPr>
            <w:r>
              <w:rPr>
                <w:rFonts w:ascii="Arial" w:cs="Arial" w:eastAsia="Arial" w:hAnsi="Arial"/>
                <w:sz w:val="18"/>
                <w:szCs w:val="18"/>
                <w:color w:val="auto"/>
                <w:w w:val="94"/>
              </w:rPr>
              <w:t>(Level 1)</w:t>
            </w:r>
          </w:p>
        </w:tc>
        <w:tc>
          <w:tcPr>
            <w:tcW w:w="2420" w:type="dxa"/>
            <w:vAlign w:val="bottom"/>
            <w:gridSpan w:val="3"/>
          </w:tcPr>
          <w:p>
            <w:pPr>
              <w:jc w:val="center"/>
              <w:ind w:right="227"/>
              <w:spacing w:after="0"/>
              <w:rPr>
                <w:sz w:val="20"/>
                <w:szCs w:val="20"/>
                <w:color w:val="auto"/>
              </w:rPr>
            </w:pPr>
            <w:r>
              <w:rPr>
                <w:rFonts w:ascii="Arial" w:cs="Arial" w:eastAsia="Arial" w:hAnsi="Arial"/>
                <w:sz w:val="18"/>
                <w:szCs w:val="18"/>
                <w:color w:val="auto"/>
                <w:w w:val="97"/>
              </w:rPr>
              <w:t>(Level 2)</w:t>
            </w: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(Level 3)</w:t>
            </w:r>
          </w:p>
        </w:tc>
        <w:tc>
          <w:tcPr>
            <w:tcW w:w="20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December 31, 2018</w:t>
            </w:r>
          </w:p>
        </w:tc>
      </w:tr>
      <w:tr>
        <w:trPr>
          <w:trHeight w:val="209"/>
        </w:trPr>
        <w:tc>
          <w:tcPr>
            <w:tcW w:w="23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Warrant liability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years ended December 31, 2019 and 2018, respectively.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 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 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18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authorized up to 5,000,000 shares of preferred stock, $0.001 par value per share, for issuance. The preferred stock will have such rights, privileges and restrictions, including voting rights, dividend conversion rights, redemption privileges and liquidation preferences, as shall be determined by the Company’s board of directors upon its issuance. To date, the Company has not issued any preferred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authorized up to 150,000,000 shares of common stock, $0.001 par value per share, for issuance. Significant 2019 and 2018 common stock transactions were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Consulting Arrangements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twelve months ended December 31, 2019, the Company issued 47,400 shares of common stock in connection with consulting agreements. The fair value of the common stock of approximately $265,000 was recognized as stock-based compensation expense in general and administrative expenses.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i w:val="1"/>
          <w:iCs w:val="1"/>
          <w:u w:val="single" w:color="auto"/>
          <w:color w:val="auto"/>
        </w:rPr>
        <w:t>Board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twelve months ended December 31, 2019, the Company issued an aggregate of 29,040 shares of common stock to its non-employee directors. The fair value of the common stock of approximately $174,000 was recognized as stock-based compensation expense in general and administrative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Merger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Merger discussed in Note 4 above, the Company issued 13,914,255 shares of common stock to shareholders of Marker Cell Therapy,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market value of the shares issued pursuant to the merger was $116.0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Securities Purchase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financing discussed in Note 4 above, the Company issued 17,500,000 shares of its common stock to the participating accredited investors.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proceeds, after transaction offering costs of $6.2 million, were $63.8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Purchase Agreement</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May 14, 2018, the Company’s largest stockholder Eastern Capital Limited entered into a Common Stock Purchase Agreement with the Company pursuant to which it purchased 1,300,000 shares of common stock at a price per share of $2.40 providing gross proceeds to the Company of $3.12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and Repricing of Warrants Held by Existing Institutional Investors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14, 2018, certain institutional holders of outstanding warrants entered into Warrant Exercise Agreements with the Company that provide for an amendment to the exercise price of the warrants being exercised at $2.50 per share. Upon closing of the Warrant Exercise Agreements, such institutional holders immediately exercised warrants for 782,505 shares of common stock providing aggregate proceeds to the Company of approximately $2.0 million.</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relating to the modification of exercise prices on the repriced and exercised warrants was treated as deemed dividend on the statement of stockholders’ equity of $728,000.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weighted average summary of quantitative information with respect to valuation methodology and significant unobservable inputs used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purchase warrants that are included in the modification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Weighted Average Inputs</w:t>
            </w:r>
          </w:p>
        </w:tc>
        <w:tc>
          <w:tcPr>
            <w:tcW w:w="3380" w:type="dxa"/>
            <w:vAlign w:val="bottom"/>
          </w:tcPr>
          <w:p>
            <w:pPr>
              <w:spacing w:after="0"/>
              <w:rPr>
                <w:sz w:val="20"/>
                <w:szCs w:val="20"/>
                <w:color w:val="auto"/>
              </w:rPr>
            </w:pPr>
          </w:p>
        </w:tc>
      </w:tr>
      <w:tr>
        <w:trPr>
          <w:trHeight w:val="191"/>
        </w:trPr>
        <w:tc>
          <w:tcPr>
            <w:tcW w:w="36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Before</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After</w:t>
            </w:r>
          </w:p>
        </w:tc>
        <w:tc>
          <w:tcPr>
            <w:tcW w:w="16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Modification</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Modification</w:t>
            </w:r>
          </w:p>
        </w:tc>
        <w:tc>
          <w:tcPr>
            <w:tcW w:w="3380" w:type="dxa"/>
            <w:vAlign w:val="bottom"/>
          </w:tcPr>
          <w:p>
            <w:pPr>
              <w:spacing w:after="0"/>
              <w:rPr>
                <w:sz w:val="20"/>
                <w:szCs w:val="20"/>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top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33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3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Risk-free rate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3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380" w:type="dxa"/>
            <w:vAlign w:val="bottom"/>
          </w:tcPr>
          <w:p>
            <w:pPr>
              <w:spacing w:after="0"/>
              <w:rPr>
                <w:sz w:val="18"/>
                <w:szCs w:val="18"/>
                <w:color w:val="auto"/>
              </w:rPr>
            </w:pPr>
          </w:p>
        </w:tc>
      </w:tr>
      <w:tr>
        <w:trPr>
          <w:trHeight w:val="648"/>
        </w:trPr>
        <w:tc>
          <w:tcPr>
            <w:tcW w:w="36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8"/>
                <w:szCs w:val="18"/>
                <w:color w:val="auto"/>
              </w:rPr>
              <w:t>F -19</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exercise and repricing of warrants discussed above, during the twelve months ended December 31, 2018, certain outstanding warrants were exercised by warrant holders providing aggregate proceeds to the Company of approximately $2.4 million and resulted in the issuance of 716,819 shares of common stock.</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280,760 of the stock warrants exercised were exercised on a cashless basis, which resulted in approximately 204,000 of warrant shares being cancelled due to use of cashless exercise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January 2018, 10,416 shares of common stock were issued pursuant to stock option exercises at an exercise price equal to $1.74 per share.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Consulting Arrangements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twelve months ended December 31, 2018, the Company issued 274,012 shares of common stock in connection with consulting agreements. The fair value of the common stock of approximately $1.8 million was recognized as stock-based compensation expense, $1.7 million in general and administrative expenses and $0.1 million in research and development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Management and Board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twelve months ended December 31, 2018, the Company issued 53,774 shares of common stock in connection with board of director and management agreements. The fair value of the common stock of approximately $0.5 million was recognized as stock-based compensation expense in general and administrative expenses. 7,561 shares of common stock, with a fair value of $0.1 million, were withheld to satisfy certain payroll liabilities, as applicable to an award to a former director.</w:t>
      </w:r>
    </w:p>
    <w:p>
      <w:pPr>
        <w:spacing w:after="0" w:line="1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share purchase warrants as of December 31, 2019 and 2018, respectively, and changes during the period is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Total Intrinsic</w:t>
            </w:r>
          </w:p>
        </w:tc>
      </w:tr>
      <w:tr>
        <w:trPr>
          <w:trHeight w:val="234"/>
        </w:trPr>
        <w:tc>
          <w:tcPr>
            <w:tcW w:w="552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Exercise 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Life (in years)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2018</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6,520,000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Warrants granted</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18,484,000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4.45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Exercised for cash</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(1,499,000)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Cashless exercised</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(281,000)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Expired or cancelled</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520" w:type="dxa"/>
            <w:vAlign w:val="bottom"/>
          </w:tcPr>
          <w:p>
            <w:pPr>
              <w:spacing w:after="0"/>
              <w:rPr>
                <w:sz w:val="20"/>
                <w:szCs w:val="20"/>
                <w:color w:val="auto"/>
              </w:rPr>
            </w:pPr>
            <w:r>
              <w:rPr>
                <w:rFonts w:ascii="Arial" w:cs="Arial" w:eastAsia="Arial" w:hAnsi="Arial"/>
                <w:sz w:val="18"/>
                <w:szCs w:val="18"/>
                <w:b w:val="1"/>
                <w:bCs w:val="1"/>
                <w:color w:val="auto"/>
              </w:rPr>
              <w:t>Balance -December 31, 2018</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23,016,000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4.78</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26,066,000</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Warrants granted</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Exercised for cash</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(190,000)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Cashless exercise</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Expired or cancelled</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(190,000)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13.63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22,664,000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954,000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Warrant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twelve months ended December 31, 2019, certain outstanding warrants were exercised for 190,258 shares of common stock providing aggregate proceeds to the Company of approximately $759,000.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spacing w:after="0" w:line="277" w:lineRule="auto"/>
        <w:rPr>
          <w:sz w:val="20"/>
          <w:szCs w:val="20"/>
          <w:color w:val="auto"/>
        </w:rPr>
      </w:pPr>
      <w:r>
        <w:rPr>
          <w:rFonts w:ascii="Arial" w:cs="Arial" w:eastAsia="Arial" w:hAnsi="Arial"/>
          <w:sz w:val="18"/>
          <w:szCs w:val="18"/>
          <w:color w:val="auto"/>
        </w:rPr>
        <w:t>Additionally, during the twelve months ended December 31, 2019, the Company issued 9,449 shares of common stock upon cashless exercises of stock warrants, which resulted in cancellation of 7,211 shares of common stock subject to such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Warrant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Merger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Merger discussed in Note 4 above, the Company issued 5,046,003 stock warrants to shareholders of Marker Cell Therapy, Inc. at an exercise price of $2.99 per share with a five-year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Securities Purchase Agreements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financing discussed in Note 4 above, the Company issued 13,437,500 stock warrants to certain accredited investors at an exercise price of $5.00 per share with a five-year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and Repricing of Warrants Held by Existing Institutional Investors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14, 2018, certain institutional holders of outstanding warrants entered into Warrant Exercise Agreements with the Company that provide for an amendment to the exercise price of the warrants being exercised at $2.50 per share. Upon closing of the Warrant Exercise Agreements, such institutional holders immediately exercised warrants for 782,505 shares of common stock providing aggregate proceeds to the Company of approximately $2.0 million.</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relating to the modification of exercise prices on the repriced and exercised warrants was treated as deemed dividend on the statement of stockholders’ equity of $728,000.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weighted average summary of quantitative information with respect to valuation methodology and significant unobservable inputs used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purchase warrants that are included in the modification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Weighted Average Inputs</w:t>
            </w:r>
          </w:p>
        </w:tc>
      </w:tr>
      <w:tr>
        <w:trPr>
          <w:trHeight w:val="191"/>
        </w:trPr>
        <w:tc>
          <w:tcPr>
            <w:tcW w:w="54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20"/>
              <w:spacing w:after="0" w:line="191" w:lineRule="exact"/>
              <w:rPr>
                <w:sz w:val="20"/>
                <w:szCs w:val="20"/>
                <w:color w:val="auto"/>
              </w:rPr>
            </w:pPr>
            <w:r>
              <w:rPr>
                <w:rFonts w:ascii="Arial" w:cs="Arial" w:eastAsia="Arial" w:hAnsi="Arial"/>
                <w:sz w:val="18"/>
                <w:szCs w:val="18"/>
                <w:b w:val="1"/>
                <w:bCs w:val="1"/>
                <w:color w:val="auto"/>
              </w:rPr>
              <w:t>Before</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After</w:t>
            </w:r>
          </w:p>
        </w:tc>
        <w:tc>
          <w:tcPr>
            <w:tcW w:w="160" w:type="dxa"/>
            <w:vAlign w:val="bottom"/>
          </w:tcPr>
          <w:p>
            <w:pPr>
              <w:spacing w:after="0"/>
              <w:rPr>
                <w:sz w:val="16"/>
                <w:szCs w:val="16"/>
                <w:color w:val="auto"/>
              </w:rPr>
            </w:pPr>
          </w:p>
        </w:tc>
      </w:tr>
      <w:tr>
        <w:trPr>
          <w:trHeight w:val="234"/>
        </w:trPr>
        <w:tc>
          <w:tcPr>
            <w:tcW w:w="548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Modification</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Modification</w:t>
            </w:r>
          </w:p>
        </w:tc>
      </w:tr>
      <w:tr>
        <w:trPr>
          <w:trHeight w:val="209"/>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2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Risk-free rate</w:t>
            </w:r>
          </w:p>
        </w:tc>
        <w:tc>
          <w:tcPr>
            <w:tcW w:w="2980" w:type="dxa"/>
            <w:vAlign w:val="bottom"/>
          </w:tcPr>
          <w:p>
            <w:pPr>
              <w:jc w:val="right"/>
              <w:ind w:right="350"/>
              <w:spacing w:after="0"/>
              <w:rPr>
                <w:sz w:val="20"/>
                <w:szCs w:val="20"/>
                <w:color w:val="auto"/>
              </w:rPr>
            </w:pPr>
            <w:r>
              <w:rPr>
                <w:rFonts w:ascii="Arial" w:cs="Arial" w:eastAsia="Arial" w:hAnsi="Arial"/>
                <w:sz w:val="18"/>
                <w:szCs w:val="18"/>
                <w:color w:val="auto"/>
              </w:rPr>
              <w:t>1.5%</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2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exercise and repricing of warrants discussed above, during the twelve months ended December 31, 2018, certain outstanding warrants were exercised by warrant holders providing aggregate proceeds to the Company of approximately $2.4 million and resulted in the issuance of 716,819 shares of common stock.</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Additionally, 280,760 of the stock warrants exercised were exercised on a cashless basis, which resulted in approximately 204,000 of warrant shares being cancelled due to use of cashless exercise provisions.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spacing w:after="0"/>
        <w:tabs>
          <w:tab w:leader="none" w:pos="11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STOCK OPTION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Purchase Shares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2014 Stock Omnibus Plan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19, 2014, the Board adopted the 2014 Omnibus Stock Option Plan (“2014 Plan”), which replaced the 2009 Stock Incentive Plan. The 2014 Plan allowed for grants of stock options, restricted shares, stock bonuses and other equity-based awards to employees and non-employee directors of the Company. Awards under the 2014 Plan may be at prices and for terms as determined by the Board of Directors and may have vesting requirements as determined by the Board, provided that the exercise price for any stock option must be at least equal to the fair market value (as defined in the 2014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New York Stock Exchange.</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2014 Plan was amended in February 2015 to provide for grants to consultants, and again in November 2015 to (i) increase the number of shares reserved for issuance under the Plan to 0.6 million shares; (ii) provide the Board and Committee administering the Plan with full discretion on the vesting period for Service-Vesting Awards under the Plan, including the grant of Awards with less than the Minimum Vesting Requirement (as such terms are defined in the Plan), and (iii) provide the Board and Committee administering the Plan with the ability to grant stock bonuses to executive officers.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29, 2017, the 2014 Plan was amended to increase the shares reserved under the Plan to 1.4 million shares, and on October 16, 2018 the 2014 Plan was amended to increase the shares reserved under the Plan to 8.0 million shares. As of December 31, 2019, approximately 2.5 million options are available to be issued from the 2014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40" w:type="dxa"/>
            <w:vAlign w:val="bottom"/>
            <w:gridSpan w:val="3"/>
          </w:tcPr>
          <w:p>
            <w:pPr>
              <w:spacing w:after="0"/>
              <w:rPr>
                <w:sz w:val="20"/>
                <w:szCs w:val="20"/>
                <w:color w:val="auto"/>
              </w:rPr>
            </w:pPr>
            <w:r>
              <w:rPr>
                <w:rFonts w:ascii="Arial" w:cs="Arial" w:eastAsia="Arial" w:hAnsi="Arial"/>
                <w:sz w:val="18"/>
                <w:szCs w:val="18"/>
                <w:color w:val="auto"/>
                <w:w w:val="97"/>
              </w:rPr>
              <w:t>A summary of the Company’s stock option activity is as follows for stock options: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Intrinsic</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14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Life (in years)</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2018</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3,704,855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(63,226)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4,120,468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339,000</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1,172,500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4.70</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(297,674)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8.15</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4,983,314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Options vested and exercisable</w:t>
            </w: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8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1,281,957</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8.34</w:t>
            </w:r>
          </w:p>
        </w:tc>
        <w:tc>
          <w:tcPr>
            <w:tcW w:w="2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18,000</w:t>
            </w:r>
          </w:p>
        </w:tc>
        <w:tc>
          <w:tcPr>
            <w:tcW w:w="200" w:type="dxa"/>
            <w:vAlign w:val="bottom"/>
            <w:vMerge w:val="continue"/>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years ended December 31, 2019 and 2018, respectively,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280" w:type="dxa"/>
            <w:vAlign w:val="bottom"/>
            <w:gridSpan w:val="8"/>
          </w:tcPr>
          <w:p>
            <w:pPr>
              <w:ind w:left="440"/>
              <w:spacing w:after="0"/>
              <w:rPr>
                <w:sz w:val="20"/>
                <w:szCs w:val="20"/>
                <w:color w:val="auto"/>
              </w:rPr>
            </w:pPr>
            <w:r>
              <w:rPr>
                <w:rFonts w:ascii="Arial" w:cs="Arial" w:eastAsia="Arial" w:hAnsi="Arial"/>
                <w:sz w:val="18"/>
                <w:szCs w:val="18"/>
                <w:b w:val="1"/>
                <w:bCs w:val="1"/>
                <w:color w:val="auto"/>
              </w:rPr>
              <w:t>For the Years Ended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0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8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4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4.70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6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Expected term (years)</w:t>
            </w:r>
          </w:p>
        </w:tc>
        <w:tc>
          <w:tcPr>
            <w:tcW w:w="2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6"/>
          </w:tcPr>
          <w:p>
            <w:pPr>
              <w:jc w:val="right"/>
              <w:ind w:right="16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126%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2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2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648"/>
        </w:trPr>
        <w:tc>
          <w:tcPr>
            <w:tcW w:w="8260" w:type="dxa"/>
            <w:vAlign w:val="bottom"/>
            <w:gridSpan w:val="3"/>
          </w:tcPr>
          <w:p>
            <w:pPr>
              <w:spacing w:after="0"/>
              <w:rPr>
                <w:sz w:val="20"/>
                <w:szCs w:val="20"/>
                <w:color w:val="auto"/>
              </w:rPr>
            </w:pPr>
            <w:r>
              <w:rPr>
                <w:rFonts w:ascii="Arial" w:cs="Arial" w:eastAsia="Arial" w:hAnsi="Arial"/>
                <w:sz w:val="18"/>
                <w:szCs w:val="18"/>
                <w:color w:val="auto"/>
                <w:w w:val="97"/>
              </w:rPr>
              <w:t>The following table sets forth stock-based compensation expenses recorded during the respective periods: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30"/>
        </w:trPr>
        <w:tc>
          <w:tcPr>
            <w:tcW w:w="50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10"/>
          </w:tcPr>
          <w:p>
            <w:pPr>
              <w:jc w:val="center"/>
              <w:ind w:right="620"/>
              <w:spacing w:after="0"/>
              <w:rPr>
                <w:sz w:val="20"/>
                <w:szCs w:val="20"/>
                <w:color w:val="auto"/>
              </w:rPr>
            </w:pPr>
            <w:r>
              <w:rPr>
                <w:rFonts w:ascii="Arial" w:cs="Arial" w:eastAsia="Arial" w:hAnsi="Arial"/>
                <w:sz w:val="18"/>
                <w:szCs w:val="18"/>
                <w:b w:val="1"/>
                <w:bCs w:val="1"/>
                <w:color w:val="auto"/>
                <w:w w:val="90"/>
              </w:rPr>
              <w:t>For the Years Ended</w:t>
            </w:r>
          </w:p>
        </w:tc>
      </w:tr>
      <w:tr>
        <w:trPr>
          <w:trHeight w:val="234"/>
        </w:trPr>
        <w:tc>
          <w:tcPr>
            <w:tcW w:w="50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7"/>
          </w:tcPr>
          <w:p>
            <w:pPr>
              <w:jc w:val="center"/>
              <w:ind w:left="210"/>
              <w:spacing w:after="0"/>
              <w:rPr>
                <w:sz w:val="20"/>
                <w:szCs w:val="20"/>
                <w:color w:val="auto"/>
              </w:rPr>
            </w:pPr>
            <w:r>
              <w:rPr>
                <w:rFonts w:ascii="Arial" w:cs="Arial" w:eastAsia="Arial" w:hAnsi="Arial"/>
                <w:sz w:val="18"/>
                <w:szCs w:val="18"/>
                <w:b w:val="1"/>
                <w:bCs w:val="1"/>
                <w:color w:val="auto"/>
                <w:w w:val="90"/>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02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expenses:</w:t>
            </w:r>
          </w:p>
        </w:tc>
        <w:tc>
          <w:tcPr>
            <w:tcW w:w="2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99"/>
              </w:rPr>
              <w:t>2,574,000</w:t>
            </w:r>
          </w:p>
        </w:tc>
        <w:tc>
          <w:tcPr>
            <w:tcW w:w="3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1,265,000</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2,783,000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15,086,000</w:t>
            </w:r>
          </w:p>
        </w:tc>
        <w:tc>
          <w:tcPr>
            <w:tcW w:w="80" w:type="dxa"/>
            <w:vAlign w:val="bottom"/>
            <w:shd w:val="clear" w:color="auto" w:fill="CCEEFF"/>
          </w:tcPr>
          <w:p>
            <w:pPr>
              <w:spacing w:after="0"/>
              <w:rPr>
                <w:sz w:val="18"/>
                <w:szCs w:val="18"/>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8"/>
                <w:szCs w:val="18"/>
                <w:color w:val="auto"/>
              </w:rPr>
              <w:t>Total stock compensation expenses</w:t>
            </w:r>
          </w:p>
        </w:tc>
        <w:tc>
          <w:tcPr>
            <w:tcW w:w="2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5,357,000</w:t>
            </w: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16,351,000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At December 31, 2019, the total stock-based compensation cost related to unvested awards not yet recognized was $14.9 million. The expected weighted average period compensation costs to be recognized was 3.0 years. Future option grants will impact the compensation expense recognized.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spacing w:after="0"/>
        <w:tabs>
          <w:tab w:leader="none" w:pos="11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GRANT INCOME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years ended December 31, 2019 and 2018, the Company received $0.2 million of a grant awarded to Mayo Foundation from the U.S. Department of Defense for the Phase II Clinical Trial of TPIV200. The grant compensated the Company for clinical supplies manufactured and provided by the Company for the clinical study. In accordance with Accounting Standards Update No. 2014-09, “Revenue from Contracts with Customers (Topic 606)” issued by the Financial Accounting Standards Board, the Company recorded the $0.2 million of grant income as revenue.</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 arbitration proceeding was brought against the Company before the Financial Industry Regulatory Authority, Inc. by a broker seeking to be paid approximately $1 million as compensation for two 2018 transactions, a warrant conversion and a private placement brokered by another broker. The broker’s claims are based on a placement agent agreement for a private placement it brokered in 2017, under which it alleges it is entitled to compensation for the 2018 transactions. The Company believes it has defenses to all of the allegations and intends to vigorously defend itself in this matter.</w:t>
      </w:r>
    </w:p>
    <w:p>
      <w:pPr>
        <w:spacing w:after="0" w:line="15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be party to ordinary, routine litigation incidental to their business.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related party transaction expenses recorded during the respective periods:</w:t>
      </w:r>
    </w:p>
    <w:p>
      <w:pPr>
        <w:spacing w:after="0" w:line="221" w:lineRule="exact"/>
        <w:rPr>
          <w:sz w:val="20"/>
          <w:szCs w:val="20"/>
          <w:color w:val="auto"/>
        </w:rPr>
      </w:pPr>
    </w:p>
    <w:p>
      <w:pPr>
        <w:jc w:val="center"/>
        <w:ind w:left="63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63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5715</wp:posOffset>
            </wp:positionV>
            <wp:extent cx="1534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2">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ind w:left="7980"/>
        <w:spacing w:after="0"/>
        <w:tabs>
          <w:tab w:leader="none" w:pos="926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302,000</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7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Sponsored Research Agreement with The Baylor College of Medicine (“BCM”)</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16, 2018, in furtherance of the BCM License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as contemplated by the terms thereof, the Company entered in a Sponsored Research Agreement (“SRA”) with BCM, which provided for the conduct of research for the Company by credentialed personnel at BCM’s Center for Cell and Gene Therapy.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years ended December 31, 2019 and 2018, the Company incurred approximately $69,000 and $77,000, respectively, to BCM under the SRA.</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Clinical Supply Agreement with BCM</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9, 2019, in furtherance of the BCM License Agreement and as contemplated by the terms thereof,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entered in a Clinical Supply Agreement (“CSA”) with BCM, which provided for BCM to provide to the Company multi tumor antigen specific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2019, the Company did not incur any expenses under the CSA.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spacing w:after="0" w:line="263" w:lineRule="auto"/>
        <w:rPr>
          <w:sz w:val="20"/>
          <w:szCs w:val="20"/>
          <w:color w:val="auto"/>
        </w:rPr>
      </w:pPr>
      <w:r>
        <w:rPr>
          <w:rFonts w:ascii="Arial" w:cs="Arial" w:eastAsia="Arial" w:hAnsi="Arial"/>
          <w:sz w:val="18"/>
          <w:szCs w:val="18"/>
          <w:i w:val="1"/>
          <w:iCs w:val="1"/>
          <w:u w:val="single" w:color="auto"/>
          <w:color w:val="auto"/>
        </w:rPr>
        <w:t>Consulting Agreement with Dr. Juan Vera</w:t>
      </w:r>
      <w:r>
        <w:rPr>
          <w:rFonts w:ascii="Arial" w:cs="Arial" w:eastAsia="Arial" w:hAnsi="Arial"/>
          <w:sz w:val="18"/>
          <w:szCs w:val="18"/>
          <w:i w:val="1"/>
          <w:iCs w:val="1"/>
          <w:color w:val="auto"/>
        </w:rPr>
        <w:t xml:space="preserve">. </w:t>
      </w:r>
      <w:r>
        <w:rPr>
          <w:rFonts w:ascii="Arial" w:cs="Arial" w:eastAsia="Arial" w:hAnsi="Arial"/>
          <w:sz w:val="18"/>
          <w:szCs w:val="18"/>
          <w:color w:val="auto"/>
        </w:rPr>
        <w:t>On October 19, 2018, after the closing of the Company’s merger, the Company entered into a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Dr. Juan Vera, a member of the Company’s board of directors, to serve as the Company’s Chief Development Officer. On September 1, 2019, Dr. Vera became an employee of the Company and his consulting agreement was terminated.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years ended December 31, 2019 and 2018, the Company incurred approximately $233,000 and $61,000, respectively, of expenses under Dr.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Vera’s consulting agreement.</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income tax expense due to operating losses incurred for the years ended December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temporary differences that give rise to significant portions of the deferred tax assets as of December 31, 2019 and 2018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gridSpan w:val="6"/>
          </w:tcPr>
          <w:p>
            <w:pPr>
              <w:jc w:val="right"/>
              <w:ind w:right="1100"/>
              <w:spacing w:after="0"/>
              <w:rPr>
                <w:sz w:val="20"/>
                <w:szCs w:val="20"/>
                <w:color w:val="auto"/>
              </w:rPr>
            </w:pPr>
            <w:r>
              <w:rPr>
                <w:rFonts w:ascii="Arial" w:cs="Arial" w:eastAsia="Arial" w:hAnsi="Arial"/>
                <w:sz w:val="18"/>
                <w:szCs w:val="18"/>
                <w:b w:val="1"/>
                <w:bCs w:val="1"/>
                <w:color w:val="auto"/>
              </w:rPr>
              <w:t>For the Years Ended</w:t>
            </w:r>
          </w:p>
        </w:tc>
      </w:tr>
      <w:tr>
        <w:trPr>
          <w:trHeight w:val="234"/>
        </w:trPr>
        <w:tc>
          <w:tcPr>
            <w:tcW w:w="70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700" w:type="dxa"/>
            <w:vAlign w:val="bottom"/>
            <w:tcBorders>
              <w:bottom w:val="single" w:sz="8" w:color="CCEEFF"/>
            </w:tcBorders>
          </w:tcPr>
          <w:p>
            <w:pPr>
              <w:spacing w:after="0"/>
              <w:rPr>
                <w:sz w:val="18"/>
                <w:szCs w:val="18"/>
                <w:color w:val="auto"/>
              </w:rPr>
            </w:pPr>
          </w:p>
        </w:tc>
        <w:tc>
          <w:tcPr>
            <w:tcW w:w="58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8"/>
                <w:szCs w:val="18"/>
                <w:color w:val="auto"/>
              </w:rPr>
            </w:pPr>
          </w:p>
        </w:tc>
      </w:tr>
      <w:tr>
        <w:trPr>
          <w:trHeight w:val="21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Net Operating Loss Carryforward</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1"/>
              <w:spacing w:after="0"/>
              <w:rPr>
                <w:sz w:val="20"/>
                <w:szCs w:val="20"/>
                <w:color w:val="auto"/>
              </w:rPr>
            </w:pPr>
            <w:r>
              <w:rPr>
                <w:rFonts w:ascii="Arial" w:cs="Arial" w:eastAsia="Arial" w:hAnsi="Arial"/>
                <w:sz w:val="18"/>
                <w:szCs w:val="18"/>
                <w:color w:val="auto"/>
              </w:rPr>
              <w:t>17,166,000</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13,596,000</w:t>
            </w:r>
          </w:p>
        </w:tc>
      </w:tr>
      <w:tr>
        <w:trPr>
          <w:trHeight w:val="216"/>
        </w:trPr>
        <w:tc>
          <w:tcPr>
            <w:tcW w:w="700" w:type="dxa"/>
            <w:vAlign w:val="bottom"/>
            <w:shd w:val="clear" w:color="auto" w:fill="CCEEFF"/>
          </w:tcPr>
          <w:p>
            <w:pPr>
              <w:spacing w:after="0"/>
              <w:rPr>
                <w:sz w:val="18"/>
                <w:szCs w:val="18"/>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6,538,000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5,741,000</w:t>
            </w:r>
          </w:p>
        </w:tc>
      </w:tr>
      <w:tr>
        <w:trPr>
          <w:trHeight w:val="216"/>
        </w:trPr>
        <w:tc>
          <w:tcPr>
            <w:tcW w:w="70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License Agreements</w:t>
            </w:r>
          </w:p>
        </w:tc>
        <w:tc>
          <w:tcPr>
            <w:tcW w:w="340" w:type="dxa"/>
            <w:vAlign w:val="bottom"/>
          </w:tcPr>
          <w:p>
            <w:pPr>
              <w:spacing w:after="0"/>
              <w:rPr>
                <w:sz w:val="18"/>
                <w:szCs w:val="18"/>
                <w:color w:val="auto"/>
              </w:rPr>
            </w:pPr>
          </w:p>
        </w:tc>
        <w:tc>
          <w:tcPr>
            <w:tcW w:w="1400" w:type="dxa"/>
            <w:vAlign w:val="bottom"/>
            <w:gridSpan w:val="2"/>
          </w:tcPr>
          <w:p>
            <w:pPr>
              <w:jc w:val="right"/>
              <w:ind w:right="81"/>
              <w:spacing w:after="0"/>
              <w:rPr>
                <w:sz w:val="20"/>
                <w:szCs w:val="20"/>
                <w:color w:val="auto"/>
              </w:rPr>
            </w:pPr>
            <w:r>
              <w:rPr>
                <w:rFonts w:ascii="Arial" w:cs="Arial" w:eastAsia="Arial" w:hAnsi="Arial"/>
                <w:sz w:val="18"/>
                <w:szCs w:val="18"/>
                <w:color w:val="auto"/>
              </w:rPr>
              <w:t>177,000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206,000</w:t>
            </w:r>
          </w:p>
        </w:tc>
      </w:tr>
      <w:tr>
        <w:trPr>
          <w:trHeight w:val="216"/>
        </w:trPr>
        <w:tc>
          <w:tcPr>
            <w:tcW w:w="700" w:type="dxa"/>
            <w:vAlign w:val="bottom"/>
            <w:shd w:val="clear" w:color="auto" w:fill="CCEEFF"/>
          </w:tcPr>
          <w:p>
            <w:pPr>
              <w:spacing w:after="0"/>
              <w:rPr>
                <w:sz w:val="18"/>
                <w:szCs w:val="18"/>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733,000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406,000</w:t>
            </w:r>
          </w:p>
        </w:tc>
      </w:tr>
      <w:tr>
        <w:trPr>
          <w:trHeight w:val="216"/>
        </w:trPr>
        <w:tc>
          <w:tcPr>
            <w:tcW w:w="70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Charitable Contributions</w:t>
            </w:r>
          </w:p>
        </w:tc>
        <w:tc>
          <w:tcPr>
            <w:tcW w:w="340" w:type="dxa"/>
            <w:vAlign w:val="bottom"/>
          </w:tcPr>
          <w:p>
            <w:pPr>
              <w:spacing w:after="0"/>
              <w:rPr>
                <w:sz w:val="18"/>
                <w:szCs w:val="18"/>
                <w:color w:val="auto"/>
              </w:rPr>
            </w:pPr>
          </w:p>
        </w:tc>
        <w:tc>
          <w:tcPr>
            <w:tcW w:w="1400" w:type="dxa"/>
            <w:vAlign w:val="bottom"/>
            <w:gridSpan w:val="2"/>
          </w:tcPr>
          <w:p>
            <w:pPr>
              <w:jc w:val="right"/>
              <w:ind w:right="81"/>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r>
      <w:tr>
        <w:trPr>
          <w:trHeight w:val="216"/>
        </w:trPr>
        <w:tc>
          <w:tcPr>
            <w:tcW w:w="700" w:type="dxa"/>
            <w:vAlign w:val="bottom"/>
            <w:shd w:val="clear" w:color="auto" w:fill="CCEEFF"/>
          </w:tcPr>
          <w:p>
            <w:pPr>
              <w:spacing w:after="0"/>
              <w:rPr>
                <w:sz w:val="18"/>
                <w:szCs w:val="18"/>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Lease Liability</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7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24,738,000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19,952,000</w:t>
            </w:r>
          </w:p>
        </w:tc>
        <w:tc>
          <w:tcPr>
            <w:tcW w:w="14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(24,632,000)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(19,952,000)</w:t>
            </w:r>
          </w:p>
        </w:tc>
      </w:tr>
      <w:tr>
        <w:trPr>
          <w:trHeight w:val="250"/>
        </w:trPr>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106,000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r>
      <w:tr>
        <w:trPr>
          <w:trHeight w:val="196"/>
        </w:trPr>
        <w:tc>
          <w:tcPr>
            <w:tcW w:w="700" w:type="dxa"/>
            <w:vAlign w:val="bottom"/>
            <w:shd w:val="clear" w:color="auto" w:fill="CCEEFF"/>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18"/>
                <w:szCs w:val="18"/>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Fixed Assets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6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70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r>
      <w:tr>
        <w:trPr>
          <w:trHeight w:val="210"/>
        </w:trPr>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Deferred Tax Assets/(Liabilities)</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2019 and 2018. The valuation allowance increased by $4.7 million as of December 31, 2019. The Company has research and development tax credit carryforwards of $730,000 available to offset future federal income taxes. The research and development tax credit carryforwards begin to expire in 2030.</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approximately $73.8 million of federal and $47.4 million of state Net Operating Losses (“NOL”s) that may be available to offset future taxable income, if any. The federal net operating loss carryforwards of $41.9 million, if not utilized, will expire between 2029 and 2037. The federal net operating loss carryforwards of $31.9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$25.5 million generated in 2018 and thereafter are subject to an 80% limitation on taxable income, do not expire and will carry forward indefinitely.</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income tax returns for 2015 to 2018 are still open and subject to audit. In addition, net operating losses arising from prior years are also subject to examination at the time they are utilized in future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2019 and 2018, the expected tax expense (benefit) based on the U. S. federal statutory rate is reconciled with the actual tax provision (benefit)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For the Years Ended</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125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1250"/>
              <w:spacing w:after="0"/>
              <w:rPr>
                <w:sz w:val="20"/>
                <w:szCs w:val="20"/>
                <w:color w:val="auto"/>
              </w:rPr>
            </w:pPr>
            <w:r>
              <w:rPr>
                <w:rFonts w:ascii="Arial" w:cs="Arial" w:eastAsia="Arial" w:hAnsi="Arial"/>
                <w:sz w:val="18"/>
                <w:szCs w:val="18"/>
                <w:b w:val="1"/>
                <w:bCs w:val="1"/>
                <w:color w:val="auto"/>
                <w:w w:val="94"/>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Percent of</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Percent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Pretax Income/(Loss)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Amount</w:t>
            </w:r>
          </w:p>
        </w:tc>
        <w:tc>
          <w:tcPr>
            <w:tcW w:w="19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Pretax Income/(Loss)</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(4,500,000)</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(31,071,000)</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(600,000)</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(1,383,000)</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Tax rate change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665,000</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Permanent Differences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Non-deductible write-off of acquired R&amp;D expenses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24,369,000</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4340" w:type="dxa"/>
            <w:vAlign w:val="bottom"/>
          </w:tcPr>
          <w:p>
            <w:pPr>
              <w:ind w:left="60"/>
              <w:spacing w:after="0"/>
              <w:rPr>
                <w:sz w:val="20"/>
                <w:szCs w:val="20"/>
                <w:color w:val="auto"/>
              </w:rPr>
            </w:pPr>
            <w:r>
              <w:rPr>
                <w:rFonts w:ascii="Arial" w:cs="Arial" w:eastAsia="Arial" w:hAnsi="Arial"/>
                <w:sz w:val="18"/>
                <w:szCs w:val="18"/>
                <w:color w:val="auto"/>
              </w:rPr>
              <w:t>- Change in fair value of derivative liabilities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(4,000)</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8,000</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Other permanent differences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32,000</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4,681,000</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-21.85%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8,073,000</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 true-up</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(274,000)</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Income tax provision/(benefit)</w:t>
            </w:r>
          </w:p>
        </w:tc>
        <w:tc>
          <w:tcPr>
            <w:tcW w:w="4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2019, and 2018, there were no unrecognized tax benefits. The Company recognizes accrued interest and penalties as income tax expense. No amounts were accrued for the payment of interest and penalties at December 31, 2019 and 2018. The Company is currently not aware of any issues under review that could result in significant payments, accruals or material deviation from its position in the next year.</w:t>
      </w:r>
    </w:p>
    <w:p>
      <w:pPr>
        <w:spacing w:after="0" w:line="15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SUBSEQUENT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Aspire Common Stock Purchase Agreement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28, 2020, the Company entered into a common stock purchase agreement (the “Purchase Agreement”) with Aspire Capital Fund, LLC (“Aspire Capital”) which provides that, upon the terms and subject to the conditions and limitations set forth therein, Aspire Capital is committed to purchase up to an aggregate of $30.0 million of shares of the Company’s common stock over the 30-month term of the Purchase Agreement. In consideration for entering into the Purchase Agreement, concurrently with the execution of the Purchase Agreement, the Company issued to Aspire Capital 345,357 shares of the Company’s common stock (the “Commitment Shares”). Under the Purchase Agreement, on any trading day selected by the Company, the Company has the right, in its sole discretion, to present Aspire Capital with a purchase notice (each, a “Purchase Notice”), directing Aspire Capital (as principal) to purchase up to 100,000 shares of the Company’s common stock per business day, up to $30.0 million of the Company’s common stock in the aggregate at a per share price (the “Purchase Price”) equal to the lesser of:</w:t>
      </w:r>
    </w:p>
    <w:p>
      <w:pPr>
        <w:spacing w:after="0" w:line="178"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lowest sale price of the Company’s common stock on the purchase date; or</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arithmetic average of the three (3) lowest closing sale prices for the Company’s common stock during the ten (10) consecutive trading days ending on the trading day immediately preceding the purchase date.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Aspire Capital also may mutually agree to increase the number of shares that may be sold to as much as an additional 2,000,000 shares per business day.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on any date on which the Company submits a Purchase Notice to Aspire Capital in an amount equal to at least 100,000 shares, the Company also has the right, in its sole discretion, to present Aspire Capital with a volume-weighted average price purchase notice (each, a “VWAP Purchase Notice”) directing Aspire Capital to purchase an amount of stock equal to up to 30% of the aggregate shares of the Company’s common stock traded on its principal market on the next trading day (the “VWAP Purchase Date”), subject to a maximum number of shares the Company may determine. The purchase price per share pursuant to such VWAP Purchase Notice is generally 97% of the volume-weighted average price for the Company’s common stock traded on its principal market on the VWAP Purchase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spacing w:after="0" w:line="286" w:lineRule="auto"/>
        <w:rPr>
          <w:sz w:val="20"/>
          <w:szCs w:val="20"/>
          <w:color w:val="auto"/>
        </w:rPr>
      </w:pPr>
      <w:r>
        <w:rPr>
          <w:rFonts w:ascii="Arial" w:cs="Arial" w:eastAsia="Arial" w:hAnsi="Arial"/>
          <w:sz w:val="17"/>
          <w:szCs w:val="17"/>
          <w:color w:val="auto"/>
        </w:rPr>
        <w:t>The Purchase Price will be adjusted for any reorganization, recapitalization, non-cash dividend, stock split, or other similar transaction occurring during the period(s) used to compute the Purchase Price. The Company may deliver multiple Purchase Notices and VWAP Purchase Notices to Aspire Capital from time to time during the term of the Purchase Agreement, so long as the most recent purchase has been completed.</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Purchase Agreement provides that the Company and Aspire Capital shall not effect any sales under the Purchase Agreement on any purchase date where the closing sale price of the Company’s common stock is less than $0.25. There are no trading volume requirements or restrictions under the Purchase Agreement, and the Company will control the timing and amount of sales of the Company’s common stock to Aspire Capital. Aspire Capital has no right to require any sales by the Company, but is obligated to make purchases from the Company as directed by the Company in accordance with the Purchase Agreement. There are no limitations on use of proceeds, financial or business covenants, restrictions on future fundings, rights of first refusal, participation rights, penalties or liquidated damages in the Purchase Agreement. The Purchase Agreement may be terminated by the Company at any time, at its discretion, without any cost to the Company. Aspire Capital has agreed that neither it nor any of its agents, representatives and affiliates shall engage in any direct or indirect short-selling or hedging of the Company’s common stock during any time prior to the termination of the Purchase Agreement. Any proceeds from the Company receives under the Purchase Agreement are expected to be used for working capital and general corporate purposes.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Purchase Agreement provides that the number of shares that may be sold pursuant to the Purchase Agreement will be limited to 9,232,814 shares, including the Commitment Shares, or the Exchange Cap, which represents 19.99% of the Company’s outstanding shares of Common Stock as of February 28, 2020, unless stockholder approval is obtained to issue more than 19.99%. This limitation will not apply if, at any time the Exchange Cap is reached and at all times thereafter, the average price paid for all shares issued under the Purchase Agreement is equal to or greater than $2.41, which was the Closing Sale Price immediately preceding the execution of the Purchase Agreement. The Company is not required or permitted to issue any shares of Common Stock under the Purchase Agreement if such issuance would breach its obligations under the rules or regulations of The Nasdaq Global Market.</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Concurrently with entering into the Purchase Agreement, the Company also entered into a registration rights agreement with Aspire Capital, pursuant to which the Company filed with the SEC a prospectus supplement to the Company’s effective shelf registration statement on Form S-3 (File No. 333-232122) registering all of the shares of common stock that may be offered to Aspire Capital from time to time, including the Commitment Shares.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left="10120"/>
        <w:spacing w:after="0"/>
        <w:rPr>
          <w:sz w:val="20"/>
          <w:szCs w:val="20"/>
          <w:color w:val="auto"/>
        </w:rPr>
      </w:pPr>
      <w:r>
        <w:rPr>
          <w:rFonts w:ascii="Arial" w:cs="Arial" w:eastAsia="Arial" w:hAnsi="Arial"/>
          <w:sz w:val="19"/>
          <w:szCs w:val="19"/>
          <w:b w:val="1"/>
          <w:bCs w:val="1"/>
          <w:color w:val="auto"/>
        </w:rPr>
        <w:t>Exhibit 4.25</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MARKER THERAPEUTICS, INC. COMMON STOCK</w:t>
      </w:r>
    </w:p>
    <w:p>
      <w:pPr>
        <w:spacing w:after="0" w:line="21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following descriptions of the common stock of Marker Therapeutics, Inc., or the Company, Delaware law and certain provisions of the Company’s certificate of incorporation and bylaws are summaries. These summaries are qualified in the entirety by reference to the provisions of the Delaware General Corporation Law, or the DGCL, and the complete text of the Company’s certificate of incorporation and bylaws, which are incorporated by reference as Exhibits 3.1 and 3.2, respectively, of the Company’s Annual Report on Form 10-K to which this description is also an exhibit.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330"/>
        <w:spacing w:after="0" w:line="263" w:lineRule="auto"/>
        <w:rPr>
          <w:sz w:val="20"/>
          <w:szCs w:val="20"/>
          <w:color w:val="auto"/>
        </w:rPr>
      </w:pPr>
      <w:r>
        <w:rPr>
          <w:rFonts w:ascii="Arial" w:cs="Arial" w:eastAsia="Arial" w:hAnsi="Arial"/>
          <w:sz w:val="18"/>
          <w:szCs w:val="18"/>
          <w:color w:val="auto"/>
        </w:rPr>
        <w:t>The certificate of incorporation authorizes the Company to issue up to 150,000,000 shares of common stock, $0.001 par value per share, and 5,000,000 shares of preferred stock, $0.001 par value per share. The Company’s board of directors may establish the rights and preferences of the preferred stock from time to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Holders of the Company’s common stock are entitled to one vote for each share held on all matters submitted to a vote of stockholders and do not have cumulative voting rights. As a result, the holders of a plurality of the shares of common stock entitled to vote in any election of directors can elect all of the directors standing for election, if they should so choose. All other matters to be voted on by the Company’s stockholders must be approved by a majority of the votes cast on the matter unless otherwise provided by law, the certificate of incorporation or the bylaws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Holders of common stock are entitled to receive ratably any dividends as may be declared by the Company’s board of directors, subject to any preferential dividend rights of any series of preferred stock that the board of directors may designate and issue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the event of the liquidation, dissolution or winding up of the Company, the holders of common stock are entitled to receive ratably the net assets available for distribution to stockholders after the payment of all debts and other liabilities and subject to the prior rights of any outstanding preferred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and Preferences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the board of directors may designate and issue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203 of the Delaware DGCL</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subject to Section 203 of the DGCL,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84" w:lineRule="exact"/>
        <w:rPr>
          <w:sz w:val="20"/>
          <w:szCs w:val="20"/>
          <w:color w:val="auto"/>
        </w:rPr>
      </w:pPr>
    </w:p>
    <w:p>
      <w:pPr>
        <w:ind w:left="660" w:right="740" w:hanging="283"/>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jc w:val="both"/>
        <w:ind w:left="660" w:hanging="283"/>
        <w:spacing w:after="0" w:line="25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7" w:lineRule="exact"/>
        <w:rPr>
          <w:rFonts w:ascii="Arial" w:cs="Arial" w:eastAsia="Arial" w:hAnsi="Arial"/>
          <w:sz w:val="18"/>
          <w:szCs w:val="18"/>
          <w:color w:val="auto"/>
        </w:rPr>
      </w:pPr>
    </w:p>
    <w:p>
      <w:pPr>
        <w:jc w:val="both"/>
        <w:ind w:left="660" w:hanging="283"/>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25" w:lineRule="exact"/>
        <w:rPr>
          <w:sz w:val="20"/>
          <w:szCs w:val="20"/>
          <w:color w:val="auto"/>
        </w:rPr>
      </w:pPr>
    </w:p>
    <w:p>
      <w:pPr>
        <w:ind w:left="660" w:hanging="283"/>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left="660" w:hanging="283"/>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660" w:hanging="283"/>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660" w:hanging="283"/>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i w:val="1"/>
          <w:iCs w:val="1"/>
          <w:color w:val="auto"/>
        </w:rPr>
        <w:t>Certificate of Incorporation and Bylaws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Because the Company’s stockholders do not have cumulative voting rights, stockholders holding a plurality of the shares of the Company’s common stock outstanding will be able to elect all of the Company’s directors. The bylaws also provide that directors may be removed by the stockholders upon the vote of a majority of the shares entitled to vote an election of directors, and if a director was elected by a voting group of stockholders, only stockholders from that voting group may vote to remove such director, and such vacancy may be filled only by the stockholders of that voting group.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bylaws provide that only a majority of the authorized directors on the Company’s board of directors, the chairman of the board or the chief executive officer to call a special meeting of stockholders. The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combination of these provisions may make it more difficult for the Company’s existing stockholders to replace the board of directors as well as for another party to obtain control of the Company by replacing the board of directors. Since the board of directors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of directors to issue preferred stock with voting or other rights or preferences that could impede the success of any attempt to change control of the Company.</w:t>
      </w:r>
    </w:p>
    <w:p>
      <w:pPr>
        <w:spacing w:after="0" w:line="1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the Company’s board of directors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control or management of the Company. As a consequence, these provisions may also inhibit fluctuations in the market price of the Company’s stock that could result from actual or rumored takeover attempts. The Company believes that the benefits of these provisions, including increased protection of the potential ability to negotiate with the proponent of an unfriendly or unsolicited proposal to acquire or restructure the Company, outweigh the disadvantages of discouraging takeover proposals, because negotiation of takeover proposals could result in an improvement of their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transfer agent and registrar for the Company’s common stock is American Stock Transfer &amp; Trust Company, LLC. The transfer agent’s address is 6201 15th Avenue, Brooklyn, New York 11219.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Nasdaq</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common stock is listed on the Nasdaq Capital Market under the symbol “MRKR.”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Marker Cell Therapy,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GeneMax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GeneMax Pharmaceuticals Canada,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of Marker Therapeutics, Inc. on Form S-3, File No. 333-215258, No. 333-220538 and No. 333-228059 and on Form S-8 File No. 333-223900 and No. 333-228056 of our report dated March 12, 2020, with respect to our audits of the consolidated financial statements of Marker Therapeutics, Inc. as of December 31, 2019 and 2018 and for the two years in the period ended December 31, 2019 and our report dated March 12, 2020 with respect to our audit of the effectiveness of internal control over financial reporting of Marker Therapeutics, Inc. as of December 31, 2019, which reports are included in this Annual Report on Form 10-K of Marker Therapeutics, Inc. for the year ended December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L. Hoang, certify that:</w:t>
      </w:r>
    </w:p>
    <w:p>
      <w:pPr>
        <w:spacing w:after="0" w:line="225"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Marker Therapeutics, Inc.;</w:t>
      </w:r>
    </w:p>
    <w:p>
      <w:pPr>
        <w:spacing w:after="0" w:line="225" w:lineRule="exact"/>
        <w:rPr>
          <w:rFonts w:ascii="Arial" w:cs="Arial" w:eastAsia="Arial" w:hAnsi="Arial"/>
          <w:sz w:val="18"/>
          <w:szCs w:val="18"/>
          <w:color w:val="auto"/>
        </w:rPr>
      </w:pPr>
    </w:p>
    <w:p>
      <w:pPr>
        <w:ind w:firstLine="8"/>
        <w:spacing w:after="0" w:line="342" w:lineRule="auto"/>
        <w:tabs>
          <w:tab w:leader="none" w:pos="516"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17"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5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11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196"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1209" w:val="left"/>
        </w:tabs>
        <w:numPr>
          <w:ilvl w:val="1"/>
          <w:numId w:val="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20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45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1252"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1179"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Peter L Hoang</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Kim, certify that:</w:t>
      </w:r>
    </w:p>
    <w:p>
      <w:pPr>
        <w:spacing w:after="0" w:line="225"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Marker Therapeutics, Inc.;</w:t>
      </w:r>
    </w:p>
    <w:p>
      <w:pPr>
        <w:spacing w:after="0" w:line="225" w:lineRule="exact"/>
        <w:rPr>
          <w:rFonts w:ascii="Arial" w:cs="Arial" w:eastAsia="Arial" w:hAnsi="Arial"/>
          <w:sz w:val="18"/>
          <w:szCs w:val="18"/>
          <w:color w:val="auto"/>
        </w:rPr>
      </w:pPr>
    </w:p>
    <w:p>
      <w:pPr>
        <w:ind w:firstLine="8"/>
        <w:spacing w:after="0" w:line="342" w:lineRule="auto"/>
        <w:tabs>
          <w:tab w:leader="none" w:pos="516"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17"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5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11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196"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1209"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207"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45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1252"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1179"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March 12,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Anthony Kim</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In connection with the Annual Report of Marker Therapeutics, Inc. (the “Company”) on Form 10-K for the period ended December 31, 2019 as filed with the Securities and Exchange Commission on the date hereof (the “Report”), I, Peter L. Hoang, Principal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380" w:hanging="372"/>
        <w:spacing w:after="0"/>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80" w:firstLine="8"/>
        <w:spacing w:after="0" w:line="500" w:lineRule="auto"/>
        <w:tabs>
          <w:tab w:leader="none" w:pos="37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this Report fairly presents, in all material respects, the financial condition and results of operations of the Company. Date: March 12,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In connection with the Annual Report of Marker Therapeutics, Inc. (the “Company”) on Form 10-K for the period ended December 31, 2019 as filed with the Securities and Exchange Commission on the date hereof (the “Report”), I, Anthony Kim, Principal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80" w:firstLine="8"/>
        <w:spacing w:after="0" w:line="500" w:lineRule="auto"/>
        <w:tabs>
          <w:tab w:leader="none" w:pos="37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this Report fairly presents, in all material respects, the financial condition and results of operations of the Company. Date: March 12,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Anthony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lowerRoman"/>
      <w:start w:val="2"/>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lowerLetter"/>
      <w:start w:val="2"/>
    </w:lvl>
  </w:abstractNum>
  <w:abstractNum w:abstractNumId="26">
    <w:nsid w:val="684A481A"/>
    <w:multiLevelType w:val="hybridMultilevel"/>
    <w:lvl w:ilvl="0">
      <w:lvlJc w:val="left"/>
      <w:lvlText w:val="(%1)"/>
      <w:numFmt w:val="decimal"/>
      <w:start w:val="3"/>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o"/>
      <w:numFmt w:val="bullet"/>
      <w:start w:val="1"/>
    </w:lvl>
  </w:abstractNum>
  <w:abstractNum w:abstractNumId="55">
    <w:nsid w:val="579BE4F1"/>
    <w:multiLevelType w:val="hybridMultilevel"/>
    <w:lvl w:ilvl="0">
      <w:lvlJc w:val="left"/>
      <w:lvlText w:val="o"/>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1)"/>
      <w:numFmt w:val="lowerLetter"/>
      <w:start w:val="1"/>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54" Type="http://schemas.openxmlformats.org/officeDocument/2006/relationships/image" Target="media/image98.png"/><Relationship Id="rId155" Type="http://schemas.openxmlformats.org/officeDocument/2006/relationships/image" Target="media/image99.png"/><Relationship Id="rId156" Type="http://schemas.openxmlformats.org/officeDocument/2006/relationships/image" Target="media/image100.png"/><Relationship Id="rId157" Type="http://schemas.openxmlformats.org/officeDocument/2006/relationships/image" Target="media/image101.png"/><Relationship Id="rId158" Type="http://schemas.openxmlformats.org/officeDocument/2006/relationships/image" Target="media/image102.png"/><Relationship Id="rId159" Type="http://schemas.openxmlformats.org/officeDocument/2006/relationships/image" Target="media/image103.png"/><Relationship Id="rId160" Type="http://schemas.openxmlformats.org/officeDocument/2006/relationships/image" Target="media/image104.png"/><Relationship Id="rId161" Type="http://schemas.openxmlformats.org/officeDocument/2006/relationships/image" Target="media/image105.png"/><Relationship Id="rId162" Type="http://schemas.openxmlformats.org/officeDocument/2006/relationships/image" Target="media/image106.png"/><Relationship Id="rId163" Type="http://schemas.openxmlformats.org/officeDocument/2006/relationships/image" Target="media/image107.png"/><Relationship Id="rId164" Type="http://schemas.openxmlformats.org/officeDocument/2006/relationships/image" Target="media/image108.png"/><Relationship Id="rId165" Type="http://schemas.openxmlformats.org/officeDocument/2006/relationships/image" Target="media/image109.png"/><Relationship Id="rId166" Type="http://schemas.openxmlformats.org/officeDocument/2006/relationships/image" Target="media/image110.png"/><Relationship Id="rId167" Type="http://schemas.openxmlformats.org/officeDocument/2006/relationships/image" Target="media/image111.png"/><Relationship Id="rId168" Type="http://schemas.openxmlformats.org/officeDocument/2006/relationships/image" Target="media/image112.png"/><Relationship Id="rId169" Type="http://schemas.openxmlformats.org/officeDocument/2006/relationships/image" Target="media/image113.png"/><Relationship Id="rId170" Type="http://schemas.openxmlformats.org/officeDocument/2006/relationships/image" Target="media/image114.png"/><Relationship Id="rId171" Type="http://schemas.openxmlformats.org/officeDocument/2006/relationships/image" Target="media/image115.png"/><Relationship Id="rId172" Type="http://schemas.openxmlformats.org/officeDocument/2006/relationships/image" Target="media/image116.png"/><Relationship Id="rId173" Type="http://schemas.openxmlformats.org/officeDocument/2006/relationships/image" Target="media/image117.png"/><Relationship Id="rId174" Type="http://schemas.openxmlformats.org/officeDocument/2006/relationships/image" Target="media/image118.png"/><Relationship Id="rId175" Type="http://schemas.openxmlformats.org/officeDocument/2006/relationships/image" Target="media/image119.png"/><Relationship Id="rId176" Type="http://schemas.openxmlformats.org/officeDocument/2006/relationships/image" Target="media/image120.png"/><Relationship Id="rId177" Type="http://schemas.openxmlformats.org/officeDocument/2006/relationships/image" Target="media/image121.png"/><Relationship Id="rId178" Type="http://schemas.openxmlformats.org/officeDocument/2006/relationships/image" Target="media/image122.png"/><Relationship Id="rId179" Type="http://schemas.openxmlformats.org/officeDocument/2006/relationships/image" Target="media/image123.png"/><Relationship Id="rId180" Type="http://schemas.openxmlformats.org/officeDocument/2006/relationships/image" Target="media/image124.png"/><Relationship Id="rId181" Type="http://schemas.openxmlformats.org/officeDocument/2006/relationships/image" Target="media/image125.png"/><Relationship Id="rId182" Type="http://schemas.openxmlformats.org/officeDocument/2006/relationships/image" Target="media/image126.png"/><Relationship Id="rId183" Type="http://schemas.openxmlformats.org/officeDocument/2006/relationships/image" Target="media/image127.png"/><Relationship Id="rId184" Type="http://schemas.openxmlformats.org/officeDocument/2006/relationships/image" Target="media/image128.png"/><Relationship Id="rId185" Type="http://schemas.openxmlformats.org/officeDocument/2006/relationships/image" Target="media/image129.png"/><Relationship Id="rId186" Type="http://schemas.openxmlformats.org/officeDocument/2006/relationships/image" Target="media/image130.png"/><Relationship Id="rId187" Type="http://schemas.openxmlformats.org/officeDocument/2006/relationships/image" Target="media/image131.png"/><Relationship Id="rId188" Type="http://schemas.openxmlformats.org/officeDocument/2006/relationships/image" Target="media/image132.png"/><Relationship Id="rId189" Type="http://schemas.openxmlformats.org/officeDocument/2006/relationships/image" Target="media/image133.png"/><Relationship Id="rId190"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193" Type="http://schemas.openxmlformats.org/officeDocument/2006/relationships/image" Target="media/image137.png"/><Relationship Id="rId194" Type="http://schemas.openxmlformats.org/officeDocument/2006/relationships/image" Target="media/image138.png"/><Relationship Id="rId195" Type="http://schemas.openxmlformats.org/officeDocument/2006/relationships/image" Target="media/image139.png"/><Relationship Id="rId196"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png"/><Relationship Id="rId199" Type="http://schemas.openxmlformats.org/officeDocument/2006/relationships/image" Target="media/image143.png"/><Relationship Id="rId105" Type="http://schemas.openxmlformats.org/officeDocument/2006/relationships/hyperlink" Target="http://www.sec.gov/Archives/edgar/data/1094038/000114420418054209/tv504951_ex3-4.htm" TargetMode="External"/><Relationship Id="rId106" Type="http://schemas.openxmlformats.org/officeDocument/2006/relationships/hyperlink" Target="http://www.sec.gov/Archives/edgar/data/1094038/000114420418054209/tv504951_ex3-6.htm" TargetMode="External"/><Relationship Id="rId107" Type="http://schemas.openxmlformats.org/officeDocument/2006/relationships/hyperlink" Target="http://www.sec.gov/Archives/edgar/data/1094038/000114420418054210/tv504949_ex4-1.htm" TargetMode="External"/><Relationship Id="rId108" Type="http://schemas.openxmlformats.org/officeDocument/2006/relationships/hyperlink" Target="http://www.sec.gov/Archives/edgar/data/1094038/000142488414000086/exhibit4-1.htm" TargetMode="External"/><Relationship Id="rId109" Type="http://schemas.openxmlformats.org/officeDocument/2006/relationships/hyperlink" Target="http://www.sec.gov/Archives/edgar/data/1094038/000142488415000006/exhibit4-6.htm" TargetMode="External"/><Relationship Id="rId110" Type="http://schemas.openxmlformats.org/officeDocument/2006/relationships/hyperlink" Target="http://www.sec.gov/Archives/edgar/data/1094038/000142488415000006/exhibit4-8.htm" TargetMode="External"/><Relationship Id="rId111" Type="http://schemas.openxmlformats.org/officeDocument/2006/relationships/hyperlink" Target="http://www.sec.gov/Archives/edgar/data/1094038/000142488415000006/exhibit4-9.htm" TargetMode="External"/><Relationship Id="rId112" Type="http://schemas.openxmlformats.org/officeDocument/2006/relationships/hyperlink" Target="http://www.sec.gov/Archives/edgar/data/1094038/000142488415000006/exhibit4-10.htm" TargetMode="External"/><Relationship Id="rId113" Type="http://schemas.openxmlformats.org/officeDocument/2006/relationships/hyperlink" Target="http://www.sec.gov/Archives/edgar/data/1094038/000142488415000030/exhibit4-6.htm" TargetMode="External"/><Relationship Id="rId114" Type="http://schemas.openxmlformats.org/officeDocument/2006/relationships/hyperlink" Target="http://www.sec.gov/Archives/edgar/data/1094038/000142488415000030/exhibit4-10.htm" TargetMode="External"/><Relationship Id="rId115" Type="http://schemas.openxmlformats.org/officeDocument/2006/relationships/hyperlink" Target="http://www.sec.gov/Archives/edgar/data/1094038/000119312516678673/d161424dex42.htm" TargetMode="External"/><Relationship Id="rId116" Type="http://schemas.openxmlformats.org/officeDocument/2006/relationships/hyperlink" Target="http://www.sec.gov/Archives/edgar/data/1094038/000119312516678673/d161424dex43.htm" TargetMode="External"/><Relationship Id="rId117" Type="http://schemas.openxmlformats.org/officeDocument/2006/relationships/hyperlink" Target="http://www.sec.gov/Archives/edgar/data/1094038/000119312516678673/d161424dex44.htm" TargetMode="External"/><Relationship Id="rId118" Type="http://schemas.openxmlformats.org/officeDocument/2006/relationships/hyperlink" Target="http://www.sec.gov/Archives/edgar/data/1094038/000119312516678673/d161424dex45.htm" TargetMode="External"/><Relationship Id="rId119" Type="http://schemas.openxmlformats.org/officeDocument/2006/relationships/hyperlink" Target="http://www.sec.gov/Archives/edgar/data/1094038/000119312516678673/d161424dex46.htm" TargetMode="External"/><Relationship Id="rId120" Type="http://schemas.openxmlformats.org/officeDocument/2006/relationships/hyperlink" Target="http://www.sec.gov/Archives/edgar/data/1094038/000119312516678673/d161424dex47.htm" TargetMode="External"/><Relationship Id="rId121" Type="http://schemas.openxmlformats.org/officeDocument/2006/relationships/hyperlink" Target="http://www.sec.gov/Archives/edgar/data/1094038/000119312516678673/d161424dex49.htm" TargetMode="External"/><Relationship Id="rId122" Type="http://schemas.openxmlformats.org/officeDocument/2006/relationships/hyperlink" Target="http://www.sec.gov/Archives/edgar/data/1094038/000119312516678673/d161424dex410.htm" TargetMode="External"/><Relationship Id="rId123" Type="http://schemas.openxmlformats.org/officeDocument/2006/relationships/hyperlink" Target="http://www.sec.gov/Archives/edgar/data/1094038/000119312516678673/d161424dex41.htm" TargetMode="External"/><Relationship Id="rId124" Type="http://schemas.openxmlformats.org/officeDocument/2006/relationships/hyperlink" Target="http://www.sec.gov/Archives/edgar/data/1094038/000119312516678673/d161424dex411.htm" TargetMode="External"/><Relationship Id="rId125" Type="http://schemas.openxmlformats.org/officeDocument/2006/relationships/hyperlink" Target="http://www.sec.gov/Archives/edgar/data/1094038/000114420417033502/v469341_ex4-1.htm" TargetMode="External"/><Relationship Id="rId126" Type="http://schemas.openxmlformats.org/officeDocument/2006/relationships/hyperlink" Target="http://www.sec.gov/Archives/edgar/data/1094038/000114420417033502/v469341_ex4-2.htm" TargetMode="External"/><Relationship Id="rId127" Type="http://schemas.openxmlformats.org/officeDocument/2006/relationships/hyperlink" Target="http://www.sec.gov/Archives/edgar/data/1094038/000119312516678673/d161424dex103.htm" TargetMode="External"/><Relationship Id="rId128" Type="http://schemas.openxmlformats.org/officeDocument/2006/relationships/hyperlink" Target="http://www.sec.gov/Archives/edgar/data/1094038/000114420417033502/v469341_ex10-3.htm" TargetMode="External"/><Relationship Id="rId129" Type="http://schemas.openxmlformats.org/officeDocument/2006/relationships/hyperlink" Target="http://www.sec.gov/Archives/edgar/data/1094038/000114420418033374/tv496182_ex4-1.htm" TargetMode="External"/><Relationship Id="rId130" Type="http://schemas.openxmlformats.org/officeDocument/2006/relationships/hyperlink" Target="http://www.sec.gov/Archives/edgar/data/1094038/000114420418033374/tv496182_ex4-2.htm" TargetMode="External"/><Relationship Id="rId131" Type="http://schemas.openxmlformats.org/officeDocument/2006/relationships/hyperlink" Target="http://www.sec.gov/Archives/edgar/data/1094038/000114420418028370/tv494002_ex2-1.htm" TargetMode="External"/><Relationship Id="rId132" Type="http://schemas.openxmlformats.org/officeDocument/2006/relationships/hyperlink" Target="http://www.sec.gov/Archives/edgar/data/1094038/000142488415000054/exhibit10-1.htm" TargetMode="External"/><Relationship Id="rId133" Type="http://schemas.openxmlformats.org/officeDocument/2006/relationships/hyperlink" Target="http://www.sec.gov/Archives/edgar/data/1094038/000142488415000057/exhibit10-1.htm" TargetMode="External"/><Relationship Id="rId134" Type="http://schemas.openxmlformats.org/officeDocument/2006/relationships/hyperlink" Target="http://www.sec.gov/Archives/edgar/data/1094038/000114420418033374/tv496182_ex10-1.htm" TargetMode="External"/><Relationship Id="rId135" Type="http://schemas.openxmlformats.org/officeDocument/2006/relationships/hyperlink" Target="http://www.sec.gov/Archives/edgar/data/1094038/000142488415000124/exhibit10-1.htm" TargetMode="External"/><Relationship Id="rId136" Type="http://schemas.openxmlformats.org/officeDocument/2006/relationships/hyperlink" Target="http://www.sec.gov/Archives/edgar/data/1094038/000119312516682054/d157003dex107.htm" TargetMode="External"/><Relationship Id="rId137" Type="http://schemas.openxmlformats.org/officeDocument/2006/relationships/hyperlink" Target="http://www.sec.gov/Archives/edgar/data/1094038/000114420419014350/tv514406_ex10-21.htm" TargetMode="External"/><Relationship Id="rId138" Type="http://schemas.openxmlformats.org/officeDocument/2006/relationships/hyperlink" Target="http://www.sec.gov/Archives/edgar/data/1094038/000114420419014350/tv514406_ex10-22.htm" TargetMode="External"/><Relationship Id="rId139" Type="http://schemas.openxmlformats.org/officeDocument/2006/relationships/hyperlink" Target="http://www.sec.gov/Archives/edgar/data/1094038/000142488410000008/forddef14-c.htm" TargetMode="External"/><Relationship Id="rId140" Type="http://schemas.openxmlformats.org/officeDocument/2006/relationships/hyperlink" Target="http://www.sec.gov/Archives/edgar/data/1094038/000114420417046574/v474594_ex10-1.htm" TargetMode="External"/><Relationship Id="rId141" Type="http://schemas.openxmlformats.org/officeDocument/2006/relationships/hyperlink" Target="http://www.sec.gov/Archives/edgar/data/1094038/000114420418054209/tv504951_ex4-4.htm" TargetMode="External"/><Relationship Id="rId142" Type="http://schemas.openxmlformats.org/officeDocument/2006/relationships/hyperlink" Target="http://www.sec.gov/Archives/edgar/data/1094038/000114420418054989/tv505356_ex10-3.htm" TargetMode="External"/><Relationship Id="rId143" Type="http://schemas.openxmlformats.org/officeDocument/2006/relationships/hyperlink" Target="http://www.sec.gov/Archives/edgar/data/1094038/000114420418056172/tv505663_ex10-1.htm" TargetMode="External"/><Relationship Id="rId144" Type="http://schemas.openxmlformats.org/officeDocument/2006/relationships/hyperlink" Target="http://www.sec.gov/Archives/edgar/data/1094038/000114420418054989/tv505356_ex10-2.htm" TargetMode="External"/><Relationship Id="rId145" Type="http://schemas.openxmlformats.org/officeDocument/2006/relationships/hyperlink" Target="http://www.sec.gov/Archives/edgar/data/1094038/000142488415000168/exhibit10-7.htm" TargetMode="External"/><Relationship Id="rId146" Type="http://schemas.openxmlformats.org/officeDocument/2006/relationships/hyperlink" Target="http://www.sec.gov/Archives/edgar/data/1094038/000114420417049357/v475675_ex10-1.htm" TargetMode="External"/><Relationship Id="rId147" Type="http://schemas.openxmlformats.org/officeDocument/2006/relationships/hyperlink" Target="http://www.sec.gov/Archives/edgar/data/1094038/000119312516690727/d230909dex101.htm" TargetMode="External"/><Relationship Id="rId148" Type="http://schemas.openxmlformats.org/officeDocument/2006/relationships/hyperlink" Target="http://www.sec.gov/Archives/edgar/data/1094038/000114420418062867/tv508378_ex10-2.htm" TargetMode="External"/><Relationship Id="rId149" Type="http://schemas.openxmlformats.org/officeDocument/2006/relationships/hyperlink" Target="http://www.sec.gov/Archives/edgar/data/1094038/000114420418062867/tv508378_ex10-3.htm" TargetMode="External"/><Relationship Id="rId150" Type="http://schemas.openxmlformats.org/officeDocument/2006/relationships/hyperlink" Target="http://www.sec.gov/Archives/edgar/data/1094038/000114420418054989/tv505356_ex10-1.htm" TargetMode="External"/><Relationship Id="rId151" Type="http://schemas.openxmlformats.org/officeDocument/2006/relationships/hyperlink" Target="http://www.sec.gov/Archives/edgar/data/1094038/000114420419014350/tv514406_ex10-39.htm" TargetMode="External"/><Relationship Id="rId152" Type="http://schemas.openxmlformats.org/officeDocument/2006/relationships/hyperlink" Target="http://www.sec.gov/Archives/edgar/data/1094038/000114420419014350/tv514406_ex10-40.htm" TargetMode="External"/><Relationship Id="rId153" Type="http://schemas.openxmlformats.org/officeDocument/2006/relationships/hyperlink" Target="http://www.sec.gov/Archives/edgar/data/1094038/000114420419025316/tv52051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2020-03-12T15:06:12Z</dcterms:created>
  <dcterms:modified xsi:type="dcterms:W3CDTF">2020-03-12T15:06:12Z</dcterms:modified>
</cp:coreProperties>
</file>