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4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3742055</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2450 Holcombe Blvd, TMC Partners Office 1.311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Texas 77021</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1,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0" w:lineRule="exact"/>
        <w:rPr>
          <w:sz w:val="20"/>
          <w:szCs w:val="20"/>
          <w:color w:val="auto"/>
        </w:rPr>
      </w:pPr>
    </w:p>
    <w:p>
      <w:pPr>
        <w:jc w:val="both"/>
        <w:ind w:left="1260" w:right="1260"/>
        <w:spacing w:after="0" w:line="260"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(the “Company”). The meeting will be held on Friday, May 1, 2026 at 10:00 a.m. Eastern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 xml:space="preserve">https://web.viewproxy.com/markertherapeutics/2026AM </w:t>
      </w:r>
      <w:r>
        <w:rPr>
          <w:rFonts w:ascii="Times New Roman" w:cs="Times New Roman" w:eastAsia="Times New Roman" w:hAnsi="Times New Roman"/>
          <w:sz w:val="18"/>
          <w:szCs w:val="18"/>
          <w:color w:val="auto"/>
        </w:rPr>
        <w:t>no later than 11:59 p.m. Eastern Time on Thursday,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2026. The meeting will be held for the following purposes:</w:t>
      </w:r>
    </w:p>
    <w:p>
      <w:pPr>
        <w:spacing w:after="0" w:line="117" w:lineRule="exact"/>
        <w:rPr>
          <w:sz w:val="20"/>
          <w:szCs w:val="20"/>
          <w:color w:val="auto"/>
        </w:rPr>
      </w:pPr>
    </w:p>
    <w:p>
      <w:pPr>
        <w:ind w:left="1980" w:right="1260"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five nominees for director to hold office until the next Annual Meeting of Stockholders.</w:t>
      </w:r>
    </w:p>
    <w:p>
      <w:pPr>
        <w:spacing w:after="0" w:line="94" w:lineRule="exact"/>
        <w:rPr>
          <w:rFonts w:ascii="Times New Roman" w:cs="Times New Roman" w:eastAsia="Times New Roman" w:hAnsi="Times New Roman"/>
          <w:sz w:val="18"/>
          <w:szCs w:val="18"/>
          <w:color w:val="auto"/>
        </w:rPr>
      </w:pPr>
    </w:p>
    <w:p>
      <w:pPr>
        <w:ind w:left="1980" w:right="1260"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80" w:lineRule="exact"/>
        <w:rPr>
          <w:rFonts w:ascii="Times New Roman" w:cs="Times New Roman" w:eastAsia="Times New Roman" w:hAnsi="Times New Roman"/>
          <w:sz w:val="18"/>
          <w:szCs w:val="18"/>
          <w:color w:val="auto"/>
        </w:rPr>
      </w:pPr>
    </w:p>
    <w:p>
      <w:pPr>
        <w:jc w:val="both"/>
        <w:ind w:left="1980" w:right="1260" w:hanging="360"/>
        <w:spacing w:after="0" w:line="266"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to our Certificate of Incorporation, as amended, to increase the number of authorized shares of our Common Stock from 30,000,000 shares of Common Stock to 130,000,000 shares of Common Stock.</w:t>
      </w:r>
    </w:p>
    <w:p>
      <w:pPr>
        <w:spacing w:after="0" w:line="108" w:lineRule="exact"/>
        <w:rPr>
          <w:rFonts w:ascii="Times New Roman" w:cs="Times New Roman" w:eastAsia="Times New Roman" w:hAnsi="Times New Roman"/>
          <w:sz w:val="18"/>
          <w:szCs w:val="18"/>
          <w:color w:val="auto"/>
        </w:rPr>
      </w:pPr>
    </w:p>
    <w:p>
      <w:pPr>
        <w:ind w:left="1980" w:right="1260" w:hanging="360"/>
        <w:spacing w:after="0" w:line="282"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to our Certificate of Incorporation, as amended to revise the voting threshold required for an increase or decrease of Common Stock.</w:t>
      </w:r>
    </w:p>
    <w:p>
      <w:pPr>
        <w:spacing w:after="0" w:line="94" w:lineRule="exact"/>
        <w:rPr>
          <w:rFonts w:ascii="Times New Roman" w:cs="Times New Roman" w:eastAsia="Times New Roman" w:hAnsi="Times New Roman"/>
          <w:sz w:val="18"/>
          <w:szCs w:val="18"/>
          <w:color w:val="auto"/>
        </w:rPr>
      </w:pPr>
    </w:p>
    <w:p>
      <w:pPr>
        <w:jc w:val="both"/>
        <w:ind w:left="1980" w:right="1260" w:hanging="360"/>
        <w:spacing w:after="0" w:line="266"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CBIZ CPAs P.C. (“CBIZ”) as the independent registered public accounting firm of the Company for its fiscal year ending December 31, 2026.</w:t>
      </w:r>
    </w:p>
    <w:p>
      <w:pPr>
        <w:spacing w:after="0" w:line="94" w:lineRule="exact"/>
        <w:rPr>
          <w:rFonts w:ascii="Times New Roman" w:cs="Times New Roman" w:eastAsia="Times New Roman" w:hAnsi="Times New Roman"/>
          <w:sz w:val="18"/>
          <w:szCs w:val="18"/>
          <w:color w:val="auto"/>
        </w:rPr>
      </w:pPr>
    </w:p>
    <w:p>
      <w:pPr>
        <w:jc w:val="both"/>
        <w:ind w:left="1980" w:right="1260" w:hanging="360"/>
        <w:spacing w:after="0" w:line="266"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adoption of Proposal 3 is insufficient.</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44" w:lineRule="exact"/>
        <w:rPr>
          <w:sz w:val="20"/>
          <w:szCs w:val="20"/>
          <w:color w:val="auto"/>
        </w:rPr>
      </w:pPr>
    </w:p>
    <w:p>
      <w:pPr>
        <w:ind w:left="1260" w:right="1260"/>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10, 2026. Only stockholders of record at the close of business on that date may vote at the meeting or any adjournment thereof.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80" w:type="dxa"/>
            <w:vAlign w:val="bottom"/>
            <w:tcBorders>
              <w:right w:val="single" w:sz="8" w:color="auto"/>
            </w:tcBorders>
          </w:tcPr>
          <w:p>
            <w:pPr>
              <w:spacing w:after="0"/>
              <w:rPr>
                <w:sz w:val="23"/>
                <w:szCs w:val="23"/>
                <w:color w:val="auto"/>
              </w:rPr>
            </w:pPr>
          </w:p>
        </w:tc>
        <w:tc>
          <w:tcPr>
            <w:tcW w:w="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60" w:type="dxa"/>
            <w:vAlign w:val="bottom"/>
            <w:tcBorders>
              <w:top w:val="single" w:sz="8" w:color="auto"/>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Important Notice Regarding the Availability of Proxy Materials</w:t>
            </w:r>
          </w:p>
        </w:tc>
        <w:tc>
          <w:tcPr>
            <w:tcW w:w="1240" w:type="dxa"/>
            <w:vAlign w:val="bottom"/>
          </w:tcPr>
          <w:p>
            <w:pPr>
              <w:spacing w:after="0"/>
              <w:rPr>
                <w:sz w:val="23"/>
                <w:szCs w:val="23"/>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7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for the Virtual Annual Meeting of Stockholders</w:t>
            </w:r>
          </w:p>
        </w:tc>
        <w:tc>
          <w:tcPr>
            <w:tcW w:w="1240" w:type="dxa"/>
            <w:vAlign w:val="bottom"/>
          </w:tcPr>
          <w:p>
            <w:pPr>
              <w:spacing w:after="0"/>
              <w:rPr>
                <w:sz w:val="18"/>
                <w:szCs w:val="18"/>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4"/>
              </w:rPr>
              <w:t>to Be Held on Friday, May 1, 2026 at 10:00 a.m. Eastern Time.</w:t>
            </w:r>
          </w:p>
        </w:tc>
        <w:tc>
          <w:tcPr>
            <w:tcW w:w="1240" w:type="dxa"/>
            <w:vAlign w:val="bottom"/>
          </w:tcPr>
          <w:p>
            <w:pPr>
              <w:spacing w:after="0"/>
              <w:rPr>
                <w:sz w:val="20"/>
                <w:szCs w:val="20"/>
                <w:color w:val="auto"/>
              </w:rPr>
            </w:pPr>
          </w:p>
        </w:tc>
      </w:tr>
      <w:tr>
        <w:trPr>
          <w:trHeight w:val="302"/>
        </w:trPr>
        <w:tc>
          <w:tcPr>
            <w:tcW w:w="1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Register for the virtual Annual Meeting</w:t>
            </w:r>
          </w:p>
        </w:tc>
        <w:tc>
          <w:tcPr>
            <w:tcW w:w="1240" w:type="dxa"/>
            <w:vAlign w:val="bottom"/>
          </w:tcPr>
          <w:p>
            <w:pPr>
              <w:spacing w:after="0"/>
              <w:rPr>
                <w:sz w:val="24"/>
                <w:szCs w:val="24"/>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5"/>
              </w:rPr>
              <w:t xml:space="preserve">via </w:t>
            </w:r>
            <w:r>
              <w:rPr>
                <w:rFonts w:ascii="Times New Roman" w:cs="Times New Roman" w:eastAsia="Times New Roman" w:hAnsi="Times New Roman"/>
                <w:sz w:val="18"/>
                <w:szCs w:val="18"/>
                <w:b w:val="1"/>
                <w:bCs w:val="1"/>
                <w:i w:val="1"/>
                <w:iCs w:val="1"/>
                <w:color w:val="auto"/>
                <w:w w:val="95"/>
              </w:rPr>
              <w:t>https://web.viewproxy.com/markertherapeutics/2026AM</w:t>
            </w:r>
          </w:p>
        </w:tc>
        <w:tc>
          <w:tcPr>
            <w:tcW w:w="1240" w:type="dxa"/>
            <w:vAlign w:val="bottom"/>
          </w:tcPr>
          <w:p>
            <w:pPr>
              <w:spacing w:after="0"/>
              <w:rPr>
                <w:sz w:val="20"/>
                <w:szCs w:val="20"/>
                <w:color w:val="auto"/>
              </w:rPr>
            </w:pPr>
          </w:p>
        </w:tc>
      </w:tr>
      <w:tr>
        <w:trPr>
          <w:trHeight w:val="304"/>
        </w:trPr>
        <w:tc>
          <w:tcPr>
            <w:tcW w:w="1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tc>
        <w:tc>
          <w:tcPr>
            <w:tcW w:w="1240" w:type="dxa"/>
            <w:vAlign w:val="bottom"/>
          </w:tcPr>
          <w:p>
            <w:pPr>
              <w:spacing w:after="0"/>
              <w:rPr>
                <w:sz w:val="24"/>
                <w:szCs w:val="24"/>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7460" w:type="dxa"/>
            <w:vAlign w:val="bottom"/>
            <w:tcBorders>
              <w:right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i w:val="1"/>
                <w:iCs w:val="1"/>
                <w:color w:val="auto"/>
              </w:rPr>
              <w:t>http://www.web.viewproxy.com/markertherapeutics/2026AM</w:t>
            </w:r>
          </w:p>
        </w:tc>
        <w:tc>
          <w:tcPr>
            <w:tcW w:w="1240" w:type="dxa"/>
            <w:vAlign w:val="bottom"/>
          </w:tcPr>
          <w:p>
            <w:pPr>
              <w:spacing w:after="0"/>
              <w:rPr>
                <w:sz w:val="20"/>
                <w:szCs w:val="20"/>
                <w:color w:val="auto"/>
              </w:rPr>
            </w:pPr>
          </w:p>
        </w:tc>
      </w:tr>
      <w:tr>
        <w:trPr>
          <w:trHeight w:val="68"/>
        </w:trPr>
        <w:tc>
          <w:tcPr>
            <w:tcW w:w="1280" w:type="dxa"/>
            <w:vAlign w:val="bottom"/>
            <w:tcBorders>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460" w:type="dxa"/>
            <w:vAlign w:val="bottom"/>
            <w:tcBorders>
              <w:bottom w:val="single" w:sz="8" w:color="auto"/>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r>
      <w:tr>
        <w:trPr>
          <w:trHeight w:val="945"/>
        </w:trPr>
        <w:tc>
          <w:tcPr>
            <w:tcW w:w="1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5212080" cy="120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200150"/>
                    </a:xfrm>
                    <a:prstGeom prst="rect">
                      <a:avLst/>
                    </a:prstGeom>
                    <a:noFill/>
                  </pic:spPr>
                </pic:pic>
              </a:graphicData>
            </a:graphic>
          </wp:anchor>
        </w:drawing>
      </w:r>
    </w:p>
    <w:p>
      <w:pPr>
        <w:spacing w:after="0" w:line="223" w:lineRule="exact"/>
        <w:rPr>
          <w:sz w:val="20"/>
          <w:szCs w:val="20"/>
          <w:color w:val="auto"/>
        </w:rPr>
      </w:pPr>
    </w:p>
    <w:p>
      <w:pPr>
        <w:jc w:val="both"/>
        <w:ind w:left="1360" w:right="519"/>
        <w:spacing w:after="0" w:line="272" w:lineRule="auto"/>
        <w:rPr>
          <w:sz w:val="20"/>
          <w:szCs w:val="20"/>
          <w:color w:val="auto"/>
        </w:rPr>
      </w:pPr>
      <w:r>
        <w:rPr>
          <w:rFonts w:ascii="Times New Roman" w:cs="Times New Roman" w:eastAsia="Times New Roman" w:hAnsi="Times New Roman"/>
          <w:sz w:val="17"/>
          <w:szCs w:val="17"/>
          <w:b w:val="1"/>
          <w:bCs w:val="1"/>
          <w:color w:val="auto"/>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5991225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9"/>
        </w:trPr>
        <w:tc>
          <w:tcPr>
            <w:tcW w:w="67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100" w:type="dxa"/>
            <w:vAlign w:val="bottom"/>
            <w:gridSpan w:val="5"/>
            <w:shd w:val="clear" w:color="auto" w:fill="CCEEFF"/>
          </w:tcPr>
          <w:p>
            <w:pPr>
              <w:spacing w:after="0"/>
              <w:rPr>
                <w:sz w:val="19"/>
                <w:szCs w:val="19"/>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7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1100" w:type="dxa"/>
            <w:vAlign w:val="bottom"/>
            <w:gridSpan w:val="5"/>
          </w:tcPr>
          <w:p>
            <w:pPr>
              <w:spacing w:after="0"/>
              <w:rPr>
                <w:sz w:val="19"/>
                <w:szCs w:val="19"/>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shd w:val="clear" w:color="auto" w:fill="CCEEFF"/>
              </w:rPr>
              <w:t>INFORMATION REGARDING THE BOARD OF DIRECTORS AND CORPORATE GOVERNANCE</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shd w:val="clear" w:color="auto" w:fill="CCEEFF"/>
              </w:rPr>
              <w:t>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17</w:t>
            </w:r>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63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3 AMENDMENT TO INCREASE AUTHORIZED COMMON STOCK</w:t>
            </w:r>
          </w:p>
        </w:tc>
        <w:tc>
          <w:tcPr>
            <w:tcW w:w="1420" w:type="dxa"/>
            <w:vAlign w:val="bottom"/>
            <w:gridSpan w:val="6"/>
            <w:shd w:val="clear" w:color="auto" w:fill="CCEEFF"/>
          </w:tcPr>
          <w:p>
            <w:pPr>
              <w:spacing w:after="0"/>
              <w:rPr>
                <w:sz w:val="19"/>
                <w:szCs w:val="19"/>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18</w:t>
            </w:r>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3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PROPOSAL 4 AMENDMENT TO CHANGE VOTING THRESHOLD</w:t>
            </w:r>
          </w:p>
        </w:tc>
        <w:tc>
          <w:tcPr>
            <w:tcW w:w="1420" w:type="dxa"/>
            <w:vAlign w:val="bottom"/>
            <w:gridSpan w:val="6"/>
          </w:tcPr>
          <w:p>
            <w:pPr>
              <w:spacing w:after="0"/>
              <w:rPr>
                <w:sz w:val="19"/>
                <w:szCs w:val="19"/>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8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5 RATIFICATION OF SELECTION OF INDEPENDENT REGISTERED PUBLIC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08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43"/>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6 PROPOSAL TO ADJOURN MEETING</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1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5840" w:type="dxa"/>
            <w:vAlign w:val="bottom"/>
            <w:gridSpan w:val="17"/>
            <w:shd w:val="clear" w:color="auto" w:fill="CCEEFF"/>
          </w:tcPr>
          <w:p>
            <w:pPr>
              <w:spacing w:after="0"/>
              <w:rPr>
                <w:sz w:val="21"/>
                <w:szCs w:val="21"/>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20" w:type="dxa"/>
            <w:vAlign w:val="bottom"/>
            <w:shd w:val="clear" w:color="auto" w:fill="CCEEFF"/>
          </w:tcPr>
          <w:p>
            <w:pPr>
              <w:spacing w:after="0"/>
              <w:rPr>
                <w:sz w:val="21"/>
                <w:szCs w:val="2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2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EXECUTIVE COMPENSATION AND KEY EMPLOYEES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2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TRANSACTIONS WITH RELATED PERSONS AND INDEMNIFICATION</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39</w:t>
            </w:r>
          </w:p>
        </w:tc>
        <w:tc>
          <w:tcPr>
            <w:tcW w:w="2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35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4280" w:type="dxa"/>
            <w:vAlign w:val="bottom"/>
            <w:gridSpan w:val="12"/>
            <w:shd w:val="clear" w:color="auto" w:fill="CCEEFF"/>
          </w:tcPr>
          <w:p>
            <w:pPr>
              <w:spacing w:after="0"/>
              <w:rPr>
                <w:sz w:val="21"/>
                <w:szCs w:val="21"/>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42</w:t>
            </w:r>
          </w:p>
        </w:tc>
        <w:tc>
          <w:tcPr>
            <w:tcW w:w="20" w:type="dxa"/>
            <w:vAlign w:val="bottom"/>
            <w:shd w:val="clear" w:color="auto" w:fill="CCEEFF"/>
          </w:tcPr>
          <w:p>
            <w:pPr>
              <w:spacing w:after="0"/>
              <w:rPr>
                <w:sz w:val="21"/>
                <w:szCs w:val="2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4280" w:type="dxa"/>
            <w:vAlign w:val="bottom"/>
            <w:gridSpan w:val="12"/>
          </w:tcPr>
          <w:p>
            <w:pPr>
              <w:spacing w:after="0"/>
              <w:rPr>
                <w:sz w:val="21"/>
                <w:szCs w:val="21"/>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21"/>
                <w:szCs w:val="2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1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A CERTIFICATE OF AMENDMENT TO INCREASE AUTHORIZED SHARES</w:t>
            </w:r>
          </w:p>
        </w:tc>
        <w:tc>
          <w:tcPr>
            <w:tcW w:w="7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A-1</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APPENDIX B CERTIFICATE OF AMENDMENT TO CHANGE VOTING THRESHOLD</w:t>
            </w:r>
          </w:p>
        </w:tc>
        <w:tc>
          <w:tcPr>
            <w:tcW w:w="7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B-1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78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C PROXY CARD</w:t>
            </w:r>
          </w:p>
        </w:tc>
        <w:tc>
          <w:tcPr>
            <w:tcW w:w="100" w:type="dxa"/>
            <w:vAlign w:val="bottom"/>
            <w:shd w:val="clear" w:color="auto" w:fill="CCEEFF"/>
          </w:tcPr>
          <w:p>
            <w:pPr>
              <w:spacing w:after="0"/>
              <w:rPr>
                <w:sz w:val="21"/>
                <w:szCs w:val="21"/>
                <w:color w:val="auto"/>
              </w:rPr>
            </w:pPr>
          </w:p>
        </w:tc>
        <w:tc>
          <w:tcPr>
            <w:tcW w:w="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C-1</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2450 Holcombe Blvd, TMC Partners Office 1.311</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Texas 77021</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MAY 1, 2026</w:t>
      </w:r>
    </w:p>
    <w:p>
      <w:pPr>
        <w:spacing w:after="0" w:line="18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2026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mail these proxy materials on or about March 20, 2026 to all stockholders of record entitled to vote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through which you can listen to the meeting, submit questions and vote online. In order to attend the Annual Meeting, you must first register at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web.viewproxy.com/markertherapeutics/2026AM </w:t>
      </w:r>
      <w:r>
        <w:rPr>
          <w:rFonts w:ascii="Times New Roman" w:cs="Times New Roman" w:eastAsia="Times New Roman" w:hAnsi="Times New Roman"/>
          <w:sz w:val="18"/>
          <w:szCs w:val="18"/>
          <w:color w:val="auto"/>
        </w:rPr>
        <w:t>by 11:59 p.m. Eastern Time on Thursday, April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Please follow the instructions on the registration page. You will then receive a meeting invitation by email with your unique link to join the Annual Meeting along with a password prior to the meeting date. We recommend that you log on a few minutes before the Annual Meeting to ensure that you are logged in when the meeting begins. Information on how to vote online during the Annual Meeting is discussed below.</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have decided to hold a virtual stockholder meeting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Annual Meeting in person.</w:t>
      </w:r>
    </w:p>
    <w:p>
      <w:pPr>
        <w:spacing w:after="0" w:line="11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Annual Meeting via live audio webcast, submit their questions during the meeting and vote their shares electronically at the Annual Meeting.</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10, 2026 will be entitled to vote at the Annual Meeting. On this record date, there were [            ] shares of common stock outstanding and entitled to vote.</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If on March 10, 2026, your shares were registered directly in your name with Marker’s transfer agent, Equiniti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stockholder of record, your virtual control number will be on your Notice of Internet Availability of Proxy Materials or proxy card.</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Shares Registered in the Name of a Broker or Bank</w:t>
      </w:r>
    </w:p>
    <w:p>
      <w:pPr>
        <w:spacing w:after="0" w:line="146"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If on March 10, 2026, your shares were held, not in your name, but rather in an account at a brokerage firm, bank or other similar organization, then you are the beneficial owner of shares held in “street name” and these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However, since you are not the stockholder of record, you may not vote your shares online during the Annual Meeting unless you request and obtain a legal proxy from your broker, bank or other agent. During the registration process, you will be asked to upload or email the legal proxy provided to you by your broker, bank or other agent. You are also invited to attend the Annual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https://web.viewproxy.com/markertherapeutics/2026AM</w:t>
      </w:r>
      <w:r>
        <w:rPr>
          <w:rFonts w:ascii="Times New Roman" w:cs="Times New Roman" w:eastAsia="Times New Roman" w:hAnsi="Times New Roman"/>
          <w:sz w:val="18"/>
          <w:szCs w:val="18"/>
          <w:color w:val="auto"/>
        </w:rPr>
        <w:t xml:space="preserve">. On the day of the Annual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six matters scheduled for a vote:</w:t>
      </w:r>
    </w:p>
    <w:p>
      <w:pPr>
        <w:spacing w:after="0" w:line="117"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five directors (Proposal 1);</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the Company’s named executive officers, as disclosed in this proxy statement (Proposal 2);</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to our Certificate of Incorporation, as amended, to increase the number of authorized shares of our Common Stock from 30,000,000 shares of Common Stock to 130,000,000 shares of Common Stock (Proposal 3);</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adoption of an amendment to our Certificate of Incorporation, as amended to revise the voting threshold required for an increase or decrease of Common Stock (Proposal 4);</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CBIZ as the independent registered public accounting firm of the Company for its fiscal year ending December 31, 2026 (Proposal 5); and</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adoption of Proposal 3 is insufficient (Proposal 6).</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Proposals 2 and 3, you may vote “For” or “Against” or abstain from voting.</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2" w:lineRule="exact"/>
        <w:rPr>
          <w:sz w:val="20"/>
          <w:szCs w:val="20"/>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Thursday, April 30, 2026 to be counted.</w:t>
      </w:r>
    </w:p>
    <w:p>
      <w:pPr>
        <w:spacing w:after="0" w:line="96"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 prompts to vote your shares. Your internet vote must be received by 11:59 p.m. Eastern Time on Thursday, April 30, 2026 to be counted.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4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In advance of the Annual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Annual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253365</wp:posOffset>
            </wp:positionV>
            <wp:extent cx="521208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384" w:lineRule="exact"/>
        <w:rPr>
          <w:sz w:val="20"/>
          <w:szCs w:val="20"/>
          <w:color w:val="auto"/>
        </w:rPr>
      </w:pPr>
    </w:p>
    <w:p>
      <w:pPr>
        <w:jc w:val="both"/>
        <w:ind w:left="1320" w:right="47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March 10, 2026.</w:t>
      </w:r>
    </w:p>
    <w:p>
      <w:pPr>
        <w:spacing w:after="0" w:line="158"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7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9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54"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five nominees for director;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approval of compensation of the Company’s named executive officers;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CBIZ as independent auditors for the year ending December 31, 2026;</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an amendment to our Certificate of Incorporation, as amended, to increase the number of authorized shares of our Common Stock;</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to our Certificate of Incorporation, to revise the voting threshold required for an increase or decrease of Common Stock;</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selection by the Audit Committee of the Board of Directors of CBIZ as the independent registered public accounting firm of the Company for its fiscal year ending December 31, 2026;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adjournment of the Annual Meeting in the event that the number of shares of Common Stock present or represented by proxy at the Annual Meeting and voting “FOR” the adoption of Proposal 3 is insufficient.</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7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2, and 4 are considered to be “non-routine” under such rules, meaning that your broker may not vote your shares on those proposals in the absence of your voting instructions. However, Proposals 3, 5 and 6 are considered to be “routine” under such rules, meaning that if you do not return voting instructions to your broker by its deadline, your shares may be voted by your broker in its discretion on Proposal 3, Proposal 5 or Proposal 6.</w:t>
      </w:r>
    </w:p>
    <w:p>
      <w:pPr>
        <w:spacing w:after="0" w:line="391"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4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40"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4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2450 Holcombe Blvd, TMC Partners Office 1.311, Houston, Texas 77021.</w:t>
      </w:r>
    </w:p>
    <w:p>
      <w:pPr>
        <w:spacing w:after="0" w:line="81"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You may attend the Annual Meeting virtually and vote online. Simply attending the meeting virtually will not, by itself, revoke your proxy.</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4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at the meeting that is not to be included in next year’s proxy materials, your written proposal must be received by our Secretary by December 31, 2026. (the 120th day prior to the first anniversary of this year’s annual meeting) and not later than March 31, 2027 (the 90th day prior to the first anniversary of this year’s annual meeting). Stockholder proposals and director nominations should be addressed to Marker Therapeutics, Inc., Attention: Secretary, 2450 Holcombe Blvd, TMC Partners Office 1.311, Houston, Texas 77021. Your notice to the Secretary must set forth information specified in our bylaws.</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 any material interest you have in that proposal.</w:t>
      </w:r>
    </w:p>
    <w:p>
      <w:pPr>
        <w:spacing w:after="0" w:line="126"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2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20218.</w:t>
      </w:r>
    </w:p>
    <w:p>
      <w:pPr>
        <w:spacing w:after="0" w:line="9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and the additional information required by Rule 14a-19 under the Exchange Act.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and with respect to Proposals 2, 3, 4, 5, and 6, votes “For” and “Against,” abstentions and, if applicable, broker non-votes. Abstentions will be counted towards the vote total for each of Proposals 2, 3, 4, 5, and 6, and will have the same effect as “Against” votes. Broker non-votes on Proposals 1, 2, and 4 will have no effect and will not be counted towards the vote total for any of those proposals. Since brokers have authority to vote on your behalf with respect to Proposals 3, 5, and 6, we do not expect broker non-votes on these proposals.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are counted as “broker non-votes.” Proposals 1, 2, and 4, are considered to be “non-routine” under stock exchange rules and we therefore expect broker non-votes on these proposals. However, as Proposals 3, 5 and 6 are considered “routine” under stock exchange rules, we do not expect broker non-votes on this proposal.</w:t>
      </w: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For Proposal 1, the election of directors, the five nominees receiving the most “For” votes from the holders of shares present online at the meeting or represented by proxy and entitled to vote on the election of directors will be elected. Only votes “For” will affect the outcome.</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Proposal 2, the advisory approval of the compensation of the Company’s named executive officers,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Proposal 3, the approval of the amendment to the Company’s Certificate of Incorporation to increase the authorized Common Stock will be considered to be approved if it receives “For” votes from the holders of a majority of shares of common stock outstanding and entitled to vote on the matter. If you “Abstain” from voting, it will have the same effect as an “Against” vote. Since brokers have authority to vote on your behalf with respect to Proposal 3, we do not expect broker non-votes on this proposal.</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Proposal 4, the approval of the amendment to the Company’s Certificate of Incorporation to revise the voting threshold for increases or decreases to the Company’s authorized Common Stock will be considered to be approved if it receives “For” votes from the holders of a majority of the shares of common stock outstanding and entitled to vote on the matter. If you “Abstain” from voting, it will have the same effect as an “Against” vote. Broker non-votes will have no effect.</w:t>
      </w:r>
    </w:p>
    <w:p>
      <w:pPr>
        <w:spacing w:after="0" w:line="11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For Proposal 5, the ratification of the selection of CBIZ, as the Company’s independent registered public accounting firm for fiscal year 2026, will be approved if it receives “For” votes from the holders of a majority of shares present online at the meeting or represented by proxy and entitled to vote on the matter. If you “Abstain” from voting, it will have the same effect as an “Against” vote. Since brokers have authority to vote on your behalf with respect to Proposal 5, we do not expect broker non-votes on this proposal.</w:t>
      </w:r>
    </w:p>
    <w:p>
      <w:pPr>
        <w:spacing w:after="0" w:line="11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Proposal 6, the approval of the adjournment of the Annual Meeting in the event that the number of shares of Common Stock present or represented by proxy at the Annual Meeting and voting “FOR” the adoption of Proposal 3 are insufficient will be considered to be approved if it receives “For” votes from the holders of a majority of shares of common stock outstanding and entitled to vote on the matter. If you “Abstain” from voting, it will have the same effect as an “Against” vote. Since brokers have authority to vote on your behalf with respect to Proposal 3, we do not expect broker non-votes on this proposal.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online at the virtual meeting or represented by proxy. On the record date, there were [          ] shares outstanding and entitled to vote. Thus, the holders of [          ] shares must be present online at the virtual meeting or represented by proxy at the meeting to have a quorum.</w:t>
      </w:r>
    </w:p>
    <w:p>
      <w:pPr>
        <w:spacing w:after="0" w:line="11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the holders of a majority of shares present online at the meeting at the virtual meeting or represented by proxy may adjourn the meeting to another date.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Only stockholders of record as of March 10, 2026 may submit questions or comments at the Annual Meeting. If you would like to submit a question, you must first register for the Annual Meeting at </w:t>
      </w:r>
      <w:r>
        <w:rPr>
          <w:rFonts w:ascii="Times New Roman" w:cs="Times New Roman" w:eastAsia="Times New Roman" w:hAnsi="Times New Roman"/>
          <w:sz w:val="18"/>
          <w:szCs w:val="18"/>
          <w:i w:val="1"/>
          <w:iCs w:val="1"/>
          <w:color w:val="auto"/>
        </w:rPr>
        <w:t>http://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web.viewproxy.com/markertherapeutics/2026AM </w:t>
      </w:r>
      <w:r>
        <w:rPr>
          <w:rFonts w:ascii="Times New Roman" w:cs="Times New Roman" w:eastAsia="Times New Roman" w:hAnsi="Times New Roman"/>
          <w:sz w:val="18"/>
          <w:szCs w:val="18"/>
          <w:color w:val="auto"/>
        </w:rPr>
        <w:t>by 11:59 p.m. Eastern Time on Thursday, April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once you join the meeting, you can type your question in the questions/chat box in the meeting portal.</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by 9:45 a.m. Eastern Time on May 1, 2026, the day of the meeting, so that any technical difficulties may be addressed before the annual meeting live audio webcast begins. If you encounter any difficulties accessing the webcast during the check-in or meeting time, please email VirtualMeeting@viewproxy.com or call 1-866-612-8937.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annual meeting, the list will be available for examination by any stockholder of record for a legally valid purpose at our corporate headquarters during regular business hours.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1</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five directors, all of whom are nominees for re-election as a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See “Information Regarding the Board of Directors and Corporate Governance – Nominating and Corporate Governance Committee.”</w:t>
      </w:r>
    </w:p>
    <w:p>
      <w:pPr>
        <w:spacing w:after="0" w:line="10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It is our policy to invite and encourage nominees for directors to attend the Annual Meeting. The four directors then in office attended the 2025 Annual Meeting of Stockholders.</w:t>
      </w:r>
    </w:p>
    <w:p>
      <w:pPr>
        <w:spacing w:after="0" w:line="9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virtual meeting or represented by proxy and entitled to vote on the election of directors. Accordingly, the five nominees receiving the highest number of affirmative votes will be elected. Shares represented by executed proxies will be voted, if authority to do so is not withheld, for the election of the five nominees named below. If any nominee becomes unavailable for election as a result of an unexpected occurrence, shares that would have been voted for that nominee will instead be voted for the election of a substitute nominee that we propose. Each person nominated for election has agreed to serve if elected. We have no reason to believe that any nominee will be unable to serve.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OMINEES</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is a brief biography, as of the date of this proxy statement,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9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w:t>
      </w:r>
    </w:p>
    <w:p>
      <w:pPr>
        <w:spacing w:after="0" w:line="34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brief biographies below include information, as of March 10, 2026,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believes a particular person would be an appropriate nominee for the Board, and these views may differ from the views of other members.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Eansor, </w:t>
      </w:r>
      <w:r>
        <w:rPr>
          <w:rFonts w:ascii="Times New Roman" w:cs="Times New Roman" w:eastAsia="Times New Roman" w:hAnsi="Times New Roman"/>
          <w:sz w:val="18"/>
          <w:szCs w:val="18"/>
          <w:i w:val="1"/>
          <w:iCs w:val="1"/>
          <w:color w:val="auto"/>
        </w:rPr>
        <w:t>age 65</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Eansor joined the Board in October 2018 and became the chair of the Board following the Annual Meeting in 2022. Mr. Eansor served as the President of the Protein Sciences Segment of Bio-Techne Corporation from April 2018 until his retirement in March 2022. From 2014 to April 2018, Mr. Eansor served as Senior Vice President of Bio-Techne’s Biotechnology Division, which he joined as result of Bio-Techne’s acquisition of 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Elms, </w:t>
      </w:r>
      <w:r>
        <w:rPr>
          <w:rFonts w:ascii="Times New Roman" w:cs="Times New Roman" w:eastAsia="Times New Roman" w:hAnsi="Times New Roman"/>
          <w:sz w:val="18"/>
          <w:szCs w:val="18"/>
          <w:i w:val="1"/>
          <w:iCs w:val="1"/>
          <w:color w:val="auto"/>
        </w:rPr>
        <w:t>age 62</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Mr. Elms joined the Board in August 2019, and previously served as a non-voting board observer. Mr. Elms currently serves as Managing Partner at Aisling Capital, a life sciences investment firm, which he joined in 2000. Mr. Elms has served as chairman of the board of directors of ADMA Biologics, Inc. since 2007 and Elevation Oncology, Inc. since May 2019. He previously served as a member of the board of directors of Zosano Pharma Corp. from May 2018 to May 2022 and as a director of LOXO Oncology from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Katharine Knobil, </w:t>
      </w:r>
      <w:r>
        <w:rPr>
          <w:rFonts w:ascii="Times New Roman" w:cs="Times New Roman" w:eastAsia="Times New Roman" w:hAnsi="Times New Roman"/>
          <w:sz w:val="18"/>
          <w:szCs w:val="18"/>
          <w:i w:val="1"/>
          <w:iCs w:val="1"/>
          <w:color w:val="auto"/>
        </w:rPr>
        <w:t>age 62</w:t>
      </w:r>
    </w:p>
    <w:p>
      <w:pPr>
        <w:spacing w:after="0" w:line="14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Dr. Knobil joined the Board in December 2021. Dr. Knobil currently serves as Chief Medical Officer at Altesa BioSciencess, Inc. and previously served as Chief Medical Officer of Agilent Technologies Inc., a position she held from April 2021 to January 2024. Dr. Knobil previously served as Chief Medical Officer and Head of Research &amp; Development at Kaleido Biosciences, Inc. from December 2018 to January 2021. Previously, Dr. Knobil spent more than 20 years in roles of increasing responsibility at GlaxoSmithKline plc, most recently serving as the corporate Chief Medical Officer from 2017 to December 2018, and as Chief Medical Officer for Pharmaceuticals at GSK from 2015 to 2017. She served as a member of the board of directors of Arena Pharmaceuticals, Inc. from June 2020 until its acquisition by Pfizer Inc. in March 2022. Dr. Knobil currently serves on the Board of Directors of Nimbus Therapeutics, LLC, KorroBio, Inc. and Pliant Therapeutics, Inc. Dr. Knobil received her B.A. from Cornell University, her M.D. from University of Texas Southwestern Medical School, and completed a Fellowship in Pulmonary and Critical Care Medicine at the Johns Hopkins Medical School. The Board believes that Dr. Knobil’s years of leadership experience in the pharmaceutical and healthcare industry and her medical degree qualify her to serve on the Board.</w:t>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Juan Vera, M.D., </w:t>
      </w:r>
      <w:r>
        <w:rPr>
          <w:rFonts w:ascii="Times New Roman" w:cs="Times New Roman" w:eastAsia="Times New Roman" w:hAnsi="Times New Roman"/>
          <w:sz w:val="18"/>
          <w:szCs w:val="18"/>
          <w:i w:val="1"/>
          <w:iCs w:val="1"/>
          <w:color w:val="auto"/>
        </w:rPr>
        <w:t>age 46</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Dr. Vera began service as our President and Chief Executive Officer effective May 1, 2023. Dr. Vera also serves as our Principal Executive Officer and Principal Financial Officer. He joined the Board in October 2018 and previously served as our Chief Operating Officer from November 2021 to April 2023 and served as our Chief Scientific Officer from October 2018 to April 2023. Dr. Vera is a co-inventor of the Multi-Antigen Recognizing (MAR)-T cell technology and co-founder of our predecessor, Marker Cell Therapy, Inc. Dr. Vera has held various positions at the Center for Cell and Gene Therapy at Baylor College of Medicine, most recently was an Associate Professor at Baylor.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MAR-T cell technology, qualifies him to serve on the Board.</w:t>
      </w: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Kathryn Penkus Corzo, </w:t>
      </w:r>
      <w:r>
        <w:rPr>
          <w:rFonts w:ascii="Times New Roman" w:cs="Times New Roman" w:eastAsia="Times New Roman" w:hAnsi="Times New Roman"/>
          <w:sz w:val="18"/>
          <w:szCs w:val="18"/>
          <w:color w:val="auto"/>
        </w:rPr>
        <w:t>age 64</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Kathryn Penkus Corzo, RPh, MBA, served on the Board of Directors of Matinas Biopharma Holdings, Inc. between September 2021 and November 2024 and is currently the President and Chief Operating Officer of bit.bio. Prior to bit.bio, Ms. Corzo was a partner at Takeda Ventures, Inc., the corporate investment arm of Takeda Pharmaceutical Company Limited (TSE: 4502/NYSE: TAK) (“Takeda”), and the head of the Oncology Cell Therapy Development at Takeda, a global biopharmaceutical company, a position she has held since 2020. Prior to joining Takeda, Ms. Corzo was Vice President of the R&amp;D Global Pharma Head where she oversaw the Myeloma portfolio from 2015 to 2019 at Sanofi (SAN.PA) and also held positions of increasing responsibility at Sanofi Genzyme, a specialty care global business unit of Sanofi, from 2010 to 2015. Prior to joining Sanofi, Ms. Corzo worked at Hoffman – La Roche, Roche Molecular Systems, Eli Lilly and Syndax from 1989 to 2010, during which time she held management and leadership roles in operations, global clinical development, medical affairs, business development, market access and brand management across multiple therapeutic products and indications. We believe Ms. Corzo is qualified to serve on our Board due to her broad experience in the life sciences industry.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ATRIX</w:t>
      </w:r>
    </w:p>
    <w:p>
      <w:pPr>
        <w:spacing w:after="0" w:line="17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summarizes certain self-identified personal characteristics of our five directors serving on the Board as of March 10, 2026, in accordance with Nasdaq listing Rule 5605(f). Each term used in the table has the definition provided in the rule and related instructions.</w:t>
      </w:r>
    </w:p>
    <w:p>
      <w:pPr>
        <w:spacing w:after="0" w:line="134" w:lineRule="exact"/>
        <w:rPr>
          <w:sz w:val="20"/>
          <w:szCs w:val="20"/>
          <w:color w:val="auto"/>
        </w:rPr>
      </w:pPr>
    </w:p>
    <w:tbl>
      <w:tblPr>
        <w:tblLayout w:type="fixed"/>
        <w:tblInd w:w="1630" w:type="dxa"/>
        <w:tblCellMar>
          <w:top w:w="0" w:type="dxa"/>
          <w:left w:w="0" w:type="dxa"/>
          <w:bottom w:w="0" w:type="dxa"/>
          <w:right w:w="0" w:type="dxa"/>
        </w:tblCellMar>
      </w:tblPr>
      <w:tr>
        <w:trPr>
          <w:trHeight w:val="338"/>
        </w:trPr>
        <w:tc>
          <w:tcPr>
            <w:tcW w:w="200" w:type="dxa"/>
            <w:vAlign w:val="bottom"/>
            <w:tcBorders>
              <w:top w:val="single" w:sz="8" w:color="auto"/>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800" w:type="dxa"/>
            <w:vAlign w:val="bottom"/>
            <w:tcBorders>
              <w:top w:val="single" w:sz="8" w:color="auto"/>
              <w:bottom w:val="single" w:sz="8" w:color="auto"/>
            </w:tcBorders>
            <w:gridSpan w:val="4"/>
          </w:tcPr>
          <w:p>
            <w:pPr>
              <w:ind w:left="1840"/>
              <w:spacing w:after="0"/>
              <w:rPr>
                <w:sz w:val="20"/>
                <w:szCs w:val="20"/>
                <w:color w:val="auto"/>
              </w:rPr>
            </w:pPr>
            <w:r>
              <w:rPr>
                <w:rFonts w:ascii="Times New Roman" w:cs="Times New Roman" w:eastAsia="Times New Roman" w:hAnsi="Times New Roman"/>
                <w:sz w:val="18"/>
                <w:szCs w:val="18"/>
                <w:b w:val="1"/>
                <w:bCs w:val="1"/>
                <w:color w:val="auto"/>
              </w:rPr>
              <w:t>Board Diversity Matrix (as of March 10, 2026)</w:t>
            </w: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820" w:type="dxa"/>
            <w:vAlign w:val="bottom"/>
            <w:tcBorders>
              <w:left w:val="single" w:sz="8" w:color="auto"/>
              <w:bottom w:val="single" w:sz="8" w:color="auto"/>
            </w:tcBorders>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Total Number of Directors</w:t>
            </w:r>
          </w:p>
        </w:tc>
        <w:tc>
          <w:tcPr>
            <w:tcW w:w="112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200" w:type="dxa"/>
            <w:vAlign w:val="bottom"/>
            <w:tcBorders>
              <w:left w:val="single" w:sz="8" w:color="auto"/>
              <w:bottom w:val="single" w:sz="8" w:color="auto"/>
            </w:tcBorders>
            <w:gridSpan w:val="2"/>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spacing w:after="0"/>
              <w:rPr>
                <w:sz w:val="21"/>
                <w:szCs w:val="21"/>
                <w:color w:val="auto"/>
              </w:rPr>
            </w:pP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1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CCCC"/>
          </w:tcPr>
          <w:p>
            <w:pPr>
              <w:spacing w:after="0"/>
              <w:rPr>
                <w:sz w:val="21"/>
                <w:szCs w:val="21"/>
                <w:color w:val="auto"/>
              </w:rPr>
            </w:pPr>
          </w:p>
        </w:tc>
        <w:tc>
          <w:tcPr>
            <w:tcW w:w="3620" w:type="dxa"/>
            <w:vAlign w:val="bottom"/>
            <w:tcBorders>
              <w:bottom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shd w:val="clear" w:color="auto" w:fill="CCCCCC"/>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tcBorders>
              <w:bottom w:val="single" w:sz="8" w:color="auto"/>
            </w:tcBorders>
            <w:shd w:val="clear" w:color="auto" w:fill="CCCCCC"/>
          </w:tcPr>
          <w:p>
            <w:pPr>
              <w:ind w:left="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Borders>
              <w:bottom w:val="single" w:sz="8" w:color="auto"/>
              <w:right w:val="single" w:sz="8" w:color="auto"/>
            </w:tcBorders>
            <w:shd w:val="clear" w:color="auto" w:fill="CCCCCC"/>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CCCC"/>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0" w:type="dxa"/>
            <w:vAlign w:val="bottom"/>
            <w:tcBorders>
              <w:left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-1379220</wp:posOffset>
            </wp:positionV>
            <wp:extent cx="5143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342900"/>
                    </a:xfrm>
                    <a:prstGeom prst="rect">
                      <a:avLst/>
                    </a:prstGeom>
                    <a:noFill/>
                  </pic:spPr>
                </pic:pic>
              </a:graphicData>
            </a:graphic>
          </wp:anchor>
        </w:drawing>
      </w:r>
    </w:p>
    <w:p>
      <w:pPr>
        <w:spacing w:after="0" w:line="11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Our Board Diversity Matrix as of April 1, 2024 can be found in our proxy statement for the 2024 Annual Meeting filed with the SEC on April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EGARDING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OVERNANCE</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02" w:lineRule="exact"/>
        <w:rPr>
          <w:sz w:val="20"/>
          <w:szCs w:val="20"/>
          <w:color w:val="auto"/>
        </w:rPr>
      </w:pPr>
    </w:p>
    <w:p>
      <w:pPr>
        <w:jc w:val="both"/>
        <w:ind w:left="1260" w:right="419"/>
        <w:spacing w:after="0" w:line="233"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four directors who are standing for re-election at the Annual Meeting are independent directors within the meaning of the applicable Nasdaq listing standards: David Eansor, Steven Elms, Katharine Knobil and Kathryn Penkus Corzo. In making this determination, the Board found that none of these directors or nominees for director had a material or other disqualifying relationship with the Company. There are no family relationships between any of our directors, executive officers, or nominees.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62" w:lineRule="exact"/>
        <w:rPr>
          <w:sz w:val="20"/>
          <w:szCs w:val="20"/>
          <w:color w:val="auto"/>
        </w:rPr>
      </w:pPr>
    </w:p>
    <w:p>
      <w:pPr>
        <w:jc w:val="both"/>
        <w:ind w:left="1260" w:right="419"/>
        <w:spacing w:after="0" w:line="233" w:lineRule="auto"/>
        <w:rPr>
          <w:sz w:val="20"/>
          <w:szCs w:val="20"/>
          <w:color w:val="auto"/>
        </w:rPr>
      </w:pPr>
      <w:r>
        <w:rPr>
          <w:rFonts w:ascii="Times New Roman" w:cs="Times New Roman" w:eastAsia="Times New Roman" w:hAnsi="Times New Roman"/>
          <w:sz w:val="18"/>
          <w:szCs w:val="18"/>
          <w:color w:val="auto"/>
        </w:rPr>
        <w:t>The Board of Directors of the Company has an independent chair, currently Mr. Eansor. The Board Chair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7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of Directors met eight times during the last fiscal year. Each director attended 75% or more of the number of meetings of the Board and of the committees on which they served held during the portion of the last fiscal year for which he was a director or committee member.</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each of the Board committees: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Nominating and</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Audit</w:t>
            </w: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Compensation</w:t>
            </w:r>
          </w:p>
        </w:tc>
        <w:tc>
          <w:tcPr>
            <w:tcW w:w="220" w:type="dxa"/>
            <w:vAlign w:val="bottom"/>
          </w:tcPr>
          <w:p>
            <w:pPr>
              <w:spacing w:after="0"/>
              <w:rPr>
                <w:sz w:val="21"/>
                <w:szCs w:val="21"/>
                <w:color w:val="auto"/>
              </w:rPr>
            </w:pPr>
          </w:p>
        </w:tc>
        <w:tc>
          <w:tcPr>
            <w:tcW w:w="17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5"/>
              </w:rPr>
              <w:t>Corporate Governance</w:t>
            </w:r>
          </w:p>
        </w:tc>
      </w:tr>
      <w:tr>
        <w:trPr>
          <w:trHeight w:val="20"/>
        </w:trPr>
        <w:tc>
          <w:tcPr>
            <w:tcW w:w="4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David Eansor</w:t>
            </w:r>
          </w:p>
        </w:tc>
        <w:tc>
          <w:tcPr>
            <w:tcW w:w="20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​X* ​</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Elms</w:t>
            </w:r>
          </w:p>
        </w:tc>
        <w:tc>
          <w:tcPr>
            <w:tcW w:w="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Kathryn Penkus Corzo</w:t>
            </w:r>
          </w:p>
        </w:tc>
        <w:tc>
          <w:tcPr>
            <w:tcW w:w="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fiscal year 2025</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Committee Chairperson</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-848360</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2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The Audit Committee currently is composed of three directors: David Eansor, Kathryn Penkus Corzo and Steven Elms, with Mr. Eansor serving as chairman. The Audit Committee met four times during fiscal year 2025. The 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The Board of Directors has also determined that Mr. Eansor qualifies as an “audit committee financial expert,” as defined in applicable SEC rules.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discussed with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2025.</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Eansor, Chair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Elms</w:t>
      </w:r>
    </w:p>
    <w:p>
      <w:pPr>
        <w:ind w:left="1260"/>
        <w:spacing w:after="0"/>
        <w:rPr>
          <w:sz w:val="20"/>
          <w:szCs w:val="20"/>
          <w:color w:val="auto"/>
        </w:rPr>
      </w:pPr>
      <w:r>
        <w:rPr>
          <w:rFonts w:ascii="Times New Roman" w:cs="Times New Roman" w:eastAsia="Times New Roman" w:hAnsi="Times New Roman"/>
          <w:sz w:val="18"/>
          <w:szCs w:val="18"/>
          <w:color w:val="auto"/>
        </w:rPr>
        <w:t>Kathryn Penkus Corzo</w:t>
      </w:r>
    </w:p>
    <w:p>
      <w:pPr>
        <w:spacing w:after="0" w:line="203"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and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“Compensation Committee”) acts on behalf of the Board to review and oversee the Company’s compensation strategy, policies, plans and programs, including:</w:t>
      </w:r>
    </w:p>
    <w:p>
      <w:pPr>
        <w:spacing w:after="0" w:line="277" w:lineRule="exact"/>
        <w:rPr>
          <w:sz w:val="20"/>
          <w:szCs w:val="20"/>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and approval of the individual elements of total compensation and other terms of employment or service, including severance and change-in-control arrangements, of the Company’s executive officers, other than the Chief Executive Officer;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and recommendation to the Board for approval, the individual elements of total compensation and other terms of employment or service, including severance and change-in-control arrangements, of the Chief Executive Officer;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Company’s equity compensation and other benefit plans.</w:t>
      </w:r>
    </w:p>
    <w:p>
      <w:pPr>
        <w:spacing w:after="0" w:line="15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 xml:space="preserve">The Compensation Committee currently is composed of three directors: David Eansor, Steven Elms and Katharine Knobil, with Mr. Eansor serving as chairman. All current members of the Company’s Compensation Committee are independent (as independence is currently defined in Rule 5605(d)(2) of the Nasdaq listing standards). The Compensation Committee met four times during fiscal year 2025. The Board has adopted a written Compensation Committee charter that is available to stockholders on our website at </w:t>
      </w:r>
      <w:r>
        <w:rPr>
          <w:rFonts w:ascii="Times New Roman" w:cs="Times New Roman" w:eastAsia="Times New Roman" w:hAnsi="Times New Roman"/>
          <w:sz w:val="18"/>
          <w:szCs w:val="18"/>
          <w:i w:val="1"/>
          <w:iCs w:val="1"/>
          <w:color w:val="auto"/>
        </w:rPr>
        <w:t>https://www.markertherapeutics.com.</w:t>
      </w:r>
    </w:p>
    <w:p>
      <w:pPr>
        <w:spacing w:after="0" w:line="10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agenda for each meeting is usually developed by the chair of the Compensation Committee, in consultation with the Chief Executive Officer and Radford, the compensation consultant engaged by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399"/>
        <w:spacing w:after="0" w:line="253" w:lineRule="auto"/>
        <w:rPr>
          <w:sz w:val="20"/>
          <w:szCs w:val="20"/>
          <w:color w:val="auto"/>
        </w:rPr>
      </w:pPr>
      <w:r>
        <w:rPr>
          <w:rFonts w:ascii="Times New Roman" w:cs="Times New Roman" w:eastAsia="Times New Roman" w:hAnsi="Times New Roman"/>
          <w:sz w:val="18"/>
          <w:szCs w:val="18"/>
          <w:color w:val="auto"/>
        </w:rPr>
        <w:t>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2023,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w:t>
      </w:r>
    </w:p>
    <w:p>
      <w:pPr>
        <w:spacing w:after="0" w:line="12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The Compensation Committee has formed a Non-Officer Stock Option Subcommittee, composed of Dr. Juan Vera, during his service as our President and Chief Executive Officer to which it has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year 2025, the subcommittee did not grant options to non-officer employees.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(the “Nominating and Corporate Governance Committee”)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currently is composed of two directors: Katharine Knobil and Kathryn Penkus Corzo, with Dr. Knobil serving as chairperson. All members of the Nominating and Corporate Governance Committee are independent (as independence is currently defined in Rule 5605(a)(2) of the Nasdaq listing standards). The Nominating and Corporate Governance Committee met four times during fiscal year 2025. The Board has adopted a written Nominating and Corporate Governance Committee charter that is available to stockholders on the Company’s website and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w:t>
      </w:r>
    </w:p>
    <w:p>
      <w:pPr>
        <w:spacing w:after="0" w:line="33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However, the Nominating and Corporate Governance Committee retains the right to modify these qualifications from time to time. Board diversity and inclusion is critical to the Company’s success. Candidates for director nominees are reviewed in the context of the current composition of the Board, the operating requirements of the Company and the long- 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pertaining to our business. Our nomination process and our Board’s approach to assessment and evaluation of our nominees support our continued commitment to diversity and inclusion.</w:t>
      </w:r>
    </w:p>
    <w:p>
      <w:pPr>
        <w:spacing w:after="0" w:line="8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340"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Company previously granted board observer rights to Aisling Capital, pursuant to which Mr. Elms was designated as a board observer prior to being appointed as a director. The Company also previously granted board observer rights to New Enterprise Associates 16, L.P. (“NEA”), pursuant to which NEA may designate either a board observer or a director until a change of control transaction occurs or NEA ceases to own at least 250,000 shares (as adjusted for the ten-for-one (10:1) reverse stock split we completed on January 26, 2023 (the “Reverse Stock Split”)) of the Company’s common stock. NEA has designated a non-voting observer to the Board.</w:t>
      </w:r>
    </w:p>
    <w:p>
      <w:pPr>
        <w:spacing w:after="0" w:line="12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Secretary, 2450 Holcombe Blvd, TMC Partners Office 1.311, Houston, Texas 77021, at least 90 days, but not more than 120 days prior to the anniversary date of the preceding year’s annual meeting of stockholders. Submissions must include (1) all information related to such nominee that would be required to be disclosed in solicitations of proxies for the election of such nominee as a director pursuant to Regulation 14A under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may do so by sending written communications addressed to the Secretary of the Company Secretary, 2450 Holcombe Blvd, TMC Partners Office 1.311, Houston, Texas 77021. All communications will be compiled by the Secretary of the Company and submitted to the Board or the individual directors on a periodic basis.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7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all officers, directors and employees, including our principal executive officer, principal financial officer, principal accounting officer or persons performing similar functions. The Code of Business Conduct and Ethics is available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UIDELINES</w:t>
      </w:r>
    </w:p>
    <w:p>
      <w:pPr>
        <w:spacing w:after="0" w:line="17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 w:cs="Times New Roman" w:eastAsia="Times New Roman" w:hAnsi="Times New Roman"/>
          <w:sz w:val="18"/>
          <w:szCs w:val="18"/>
          <w:i w:val="1"/>
          <w:iCs w:val="1"/>
          <w:color w:val="auto"/>
        </w:rPr>
        <w:t>https://www.markertherapeutics.com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2</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DVISORY</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w:t>
      </w:r>
    </w:p>
    <w:p>
      <w:pPr>
        <w:spacing w:after="0" w:line="34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108"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compensation tables and narrative discussion, is hereby APPROVED.”</w:t>
      </w:r>
    </w:p>
    <w:p>
      <w:pPr>
        <w:spacing w:after="0" w:line="9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shares at the meeting or represented by proxy and entitled to vote on the matter at the annual meeting. The next scheduled say-on-pay vote will be held at our 2027 Annual Meeting.</w:t>
      </w:r>
    </w:p>
    <w:p>
      <w:pPr>
        <w:spacing w:after="0" w:line="17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3</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MENDMENT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ERTIFICATE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NCORPORATION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NCREASE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p>
    <w:p>
      <w:pPr>
        <w:spacing w:after="0" w:line="3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UTHORIZED</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UMBER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OMMON STOCK</w:t>
      </w:r>
    </w:p>
    <w:p>
      <w:pPr>
        <w:spacing w:after="0" w:line="15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is requesting stockholder approval of an amendment to the Company’s Certificate of Incorporation to increase the Company’s authorized number of shares of common stock from 30,000,000 shares to 130,000,000 shares. The text of the proposed form of Certificate of Amendment to our Certificate of Incorporation is attached hereto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amendment would have rights identical to the currently outstanding common stock of the Company. Adoption of the proposed amendment and issuance of the common stock would not affect the rights of the holders of currently outstanding common stock of the Company, except for effects incidental to increasing the number of shares of the Company’s common stock outstanding, such as dilution of the earnings per share and voting rights of current holders of common stock. If the amendment is adopted, it will become effective upon filing of a Certificate of Amendment of the Company’s Certificate of Incorporation with the Secretary of State of the State of Delaware.</w:t>
      </w:r>
    </w:p>
    <w:p>
      <w:pPr>
        <w:spacing w:after="0" w:line="324"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addition to the 16,673,127 shares of common stock outstanding on March 9, 2026, the Board has reserved an aggregate of (i) 1,611,783 shares of common stock for outstanding stock awards granted under the 2020 Equity Incentive Plan, (ii) 59,150 shares of common stock for outstanding stock awards for future issuance under the Company’s 2020 Equity Incentive Plan, (iii) 151,100 shares of common stock for outstanding stock awards under the Company’s 2014 Omnibus Stock Option Plan and (iv) 7,672,865 shares of common stock for issuance upon exercise of outstanding warrants.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Although at present, the Board of Directors has no plans to issue the additional shares of Common Stock, the Board desires to have the shares available to provide flexibility to use its capital stock for business and financial purposes in the future. The additional shares may be used for various purposes without further stockholder approval. These purposes may include raising capital; providing equity incentives to employees, officers or directors; establishing strategic relationships with other companies; expanding the Company’s business or pipeline through the acquisition of other businesses or product candidates; and other purposes. Although this Proposal 3 has been prompted by business and financial considerations and not by the threat of any hostile takeover attempt (nor is the Board currently aware of any such attempts directed at us), stockholders should be aware that approval of this Proposal 3 could facilitate future efforts by us to deter or prevent changes in control, including transactions in which the stockholders might otherwise receive a premium for their shares over then current market prices.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and entitled to vote will be required to approve this Proposal 3.</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4</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MENDMENT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OMPANY’S</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ERTIFICATE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NCORPORATION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p>
    <w:p>
      <w:pPr>
        <w:spacing w:after="0" w:line="2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5"/>
          <w:szCs w:val="15"/>
          <w:b w:val="1"/>
          <w:bCs w:val="1"/>
          <w:color w:val="auto"/>
        </w:rPr>
        <w:t>DJUST</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19"/>
          <w:szCs w:val="19"/>
          <w:b w:val="1"/>
          <w:bCs w:val="1"/>
          <w:color w:val="auto"/>
        </w:rPr>
        <w:t xml:space="preserve"> V</w:t>
      </w:r>
      <w:r>
        <w:rPr>
          <w:rFonts w:ascii="Times New Roman" w:cs="Times New Roman" w:eastAsia="Times New Roman" w:hAnsi="Times New Roman"/>
          <w:sz w:val="15"/>
          <w:szCs w:val="15"/>
          <w:b w:val="1"/>
          <w:bCs w:val="1"/>
          <w:color w:val="auto"/>
        </w:rPr>
        <w:t>OTING</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EQUIREMENTS</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5"/>
          <w:szCs w:val="15"/>
          <w:b w:val="1"/>
          <w:bCs w:val="1"/>
          <w:color w:val="auto"/>
        </w:rPr>
        <w:t>OR</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ERTAIN</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5"/>
          <w:szCs w:val="15"/>
          <w:b w:val="1"/>
          <w:bCs w:val="1"/>
          <w:color w:val="auto"/>
        </w:rPr>
        <w:t>UTURE</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MENDMENTS</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ERTIFICATE</w:t>
      </w:r>
    </w:p>
    <w:p>
      <w:pPr>
        <w:spacing w:after="0" w:line="1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NCORPORATION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LIGN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242(D)(2)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DGCL</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is asking stockholders to approve an amendment to the Company’s Certificate of Incorporation to adjust the voting requirements for certain future charter amendments to align with Section 242(d)(2) of the DGCL.</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Many corporations have historically struggled to obtain the necessary stockholder approval to effect increases in their authorized stock due to low turnout by retail investors. Delaware law recognized this reality and recently amended Section 242 of the DGCL. Pursuant to new Section 242(d)(2) of the DGCL, unless otherwise required by a corporation’s charter, the threshold for stockholder approval of a charter amendment to implement an increase or decrease in the number of authorized shares of a class of capital stock of a corporation or to effect a reverse stock split with respect to issued shares of a class of capital stock of a corporation is the affirmative vote of a majority of the votes cast, so long as (a) the applicable class of shares is listed on a national securities exchange immediately before the charter amendment becomes effective and (b) the corporation will meet exchange listing requirements concerning minimum number of stockholders immediately after the amendment becomes effective.</w:t>
      </w:r>
    </w:p>
    <w:p>
      <w:pPr>
        <w:spacing w:after="0" w:line="11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Thus, Section 242(d)(2) would permit a corporation such as the Company, which has a single class of stock that is listed on a national securities exchange, to approve an amendment to its charter to increase the authorized shares of such class with a majority of the votes cast by the holders of the shares of such class, rather than a majority of the outstanding shares of such class. Unfortunately, our charter, currently includes language that requires a majority in voting power of the outstanding shares entitled to vote in addition to the affirmative vote of a majority of the outstanding shares of each class entitled to vote as a class with respect to a charter amendment to increase its authorized shares of common stock, and thus prevents the Company from availing itself of the lower stockholder voting requirement under Section 242(d)(2) of the DGCL.</w:t>
      </w:r>
    </w:p>
    <w:p>
      <w:pPr>
        <w:spacing w:after="0" w:line="11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Company believes it could face significant challenges in securing the vote of the holders of a majority of the outstanding shares of its common stock in the future. A majority of the Company’s stockholders are retail investors who generally hold smaller numbers of shares than institutional investors.</w:t>
      </w:r>
    </w:p>
    <w:p>
      <w:pPr>
        <w:spacing w:after="0" w:line="10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Board of Directors has concluded that, due to the difficulty of securing the stockholder vote to increase the authorized shares of common stock under the current charter, it is advisable and in the best interests of the stockholders to amend the Company’s charter to align the existing voting threshold with DGCL Section 242(d)(2). The amended charter would enable the Company to take advantage of the recent amendments to the DGCL that would permit it to increase its authorized shares of common stock, or to effect a reverse split of the common stock, with a majority of the votes cast, as permitted by recent amendments to Delaware law. The Board believes that the current voting requirement effectively gives disproportionate influence to stockholders who fail to vote on these matters, as their non-votes have the same effect as votes against a proposal to approve such matters. This is inconsistent with fundamental principles of corporate democracy, where decisions should be made by those stockholders who choose to participate in the voting process. The Voting Requirement Amendment would ensure that corporate decisions are made by engaged stockholders who actually cast votes, rather than being determined by stockholder apathy or the practical difficulties of share lending and foreign ownership structures. This approach is consistent with modern corporate governance practices and the recent amendments to Delaware law that recognize the challenges faced by publicly traded companies with significant retail ownership.</w:t>
      </w:r>
    </w:p>
    <w:p>
      <w:pPr>
        <w:spacing w:after="0" w:line="122"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If the Amendment is approved, assuming the Company continues to satisfy the conditions on the use of the reduced voting standard under Section 242(d), future proposed amendments to increase or decrease our authorized shares of common stock, or to effect a reverse split of our common stock, may be approved by the holders of a majority of the votes cast on the proposal, counting only the votes cast for or against the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Under the revised voting standard, only votes actually cast “for” or “against” such proposals would be counted in determining whether the proposals are approved. Broker non-votes, abstentions, and shares not present at the meeting would have no effect on the outcome of the vote (assuming a quorum is present). This is in contrast to the current standard, which requires the affirmative vote of a majority of all outstanding shares, meaning that shares not voted effectively count as votes against the proposal. Our Board of Directors believes the proposed amendment to align the voting thresholds for the matters described above with Section 242(d)(2) of the DGCL is critical to ensuring that the Company is able to increase or decrease its authorized shares, or implement reverse stock splits, in the future if necessary.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the Voting Requirement Amendment</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If the Amendment is approved, our charter will, consistent with Section 242(d)(2) of the DGCL, (i) allow an approval of an increase or decrease in the number of authorized shares of a class of stock by the affirmative vote of a majority of the votes cast that are entitled to vote thereon and (ii) allow a reverse stock split of such class to be approved by the affirmative vote of a majority of the votes cast that are entitled to vote thereon, so long as (x) the applicable class of the Company’s shares is listed on a national securities exchange immediately before the charter amendment becomes effective and (y) the Company meets exchange listing requirements concerning minimum number of stockholders immediately after the amendment becomes effective.</w:t>
      </w: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Amendment only affects the voting standard for (i) increases or decreases in authorized shares and</w:t>
      </w:r>
    </w:p>
    <w:p>
      <w:pPr>
        <w:spacing w:after="0" w:line="27" w:lineRule="exact"/>
        <w:rPr>
          <w:sz w:val="20"/>
          <w:szCs w:val="20"/>
          <w:color w:val="auto"/>
        </w:rPr>
      </w:pPr>
    </w:p>
    <w:p>
      <w:pPr>
        <w:jc w:val="both"/>
        <w:ind w:left="1260" w:right="419"/>
        <w:spacing w:after="0" w:line="255" w:lineRule="auto"/>
        <w:tabs>
          <w:tab w:leader="none" w:pos="16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stock splits (and, under certain circumstances, forward stock splits). All other charter amendments will continue to require approval under the voting standards currently set forth in the Company’s charter and applicable Delaware law.</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Text of the Proposed Voting Requirement Amendment</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the Amendment is approved by the requisite stockholder vote, Section B paragraph 2 of Article IV of our charter will be amended in its entirety as follows:</w:t>
      </w:r>
    </w:p>
    <w:p>
      <w:pPr>
        <w:spacing w:after="0" w:line="9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of each share of Common Stock shall have the right to one vote for each such share, and shall be entitled to notice of any stockholders’ meeting in accordance with the Bylaws of the Corporation, and shall be entitled to vote upon such matters and in such manner as may be provided by law;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 The number of authorized shares of Common Stock, or Undesignated Preferred Stock may be increased or decreased (but not below the number of shares of such class then outstanding) by the requisite vote of the holders of the Common Stock of the Corporation entitled to vote thereon as provided in Section 242(d)(2) of the DGCL, and no vote of the holders of either the Common Stock or Undesignated Preferred Stock voting separately as a class shall be required therefor irrespective of the provisions of Section 242(b)(2) of the DGCL.”</w:t>
      </w:r>
    </w:p>
    <w:p>
      <w:pPr>
        <w:spacing w:after="0" w:line="12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 xml:space="preserve">The text of the proposed form of Certificate of Amendment to our Certificate of Incorporation is attached hereto as </w:t>
      </w:r>
      <w:r>
        <w:rPr>
          <w:rFonts w:ascii="Times New Roman" w:cs="Times New Roman" w:eastAsia="Times New Roman" w:hAnsi="Times New Roman"/>
          <w:sz w:val="18"/>
          <w:szCs w:val="18"/>
          <w:b w:val="1"/>
          <w:bCs w:val="1"/>
          <w:color w:val="auto"/>
        </w:rPr>
        <w:t>Appendix 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Timing and Effect of the Proposed Voting Requirement Amendment</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the Amendment is approved by our stockholders, the Company, as promptly as practicable, will file a Certificate of Amendment with the Delaware Secretary of State, which will become effective immediately upon such filing. If the proposed Amendment is not approved by stockholders, the charter will not reflect this change. In accordance with the DGCL and the resolutions of the Board authorizing the amendments to Article IV of the charter, the Board may elect to abandon or delay Proposal 4 without further action by the stockholders at any time prior to the effectiveness of the filing of the Certificate of Amendment with the Secretary of State of the State of Delaware if it determines, in its sole discretion at any time, that Proposal 4 is no longer in the best interests of the Company.</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of common stock outstanding and entitled to vote on the matter is required.</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5</w:t>
      </w:r>
    </w:p>
    <w:p>
      <w:pPr>
        <w:spacing w:after="0" w:line="24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ATIFICATION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NDEPENDENT</w:t>
      </w:r>
    </w:p>
    <w:p>
      <w:pPr>
        <w:spacing w:after="0" w:line="2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IRM</w:t>
      </w:r>
    </w:p>
    <w:p>
      <w:pPr>
        <w:spacing w:after="0" w:line="77"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CBIZ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CBIZ has audited the Company’s financial statements since 2025. A representative of CBIZ is not expected to be present at the Annual Meeting.</w:t>
      </w:r>
    </w:p>
    <w:p>
      <w:pPr>
        <w:spacing w:after="0" w:line="6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CBIZ as the Company’s independent registered public accounting firm. However, the Audit Committee of the Board is submitting the selection of CBIZ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261"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Based on information provided by Marcum LLP (“Marcum”), the former independent registered public accounting firm of the Company, CBIZ acquired the attest business of Marcum, effective November 1, 2024. Marcum continued to serve as the Company’s independent registered public accounting firm through August 6, 2025. On August 6, 2025, Marcum resigned as the Company’s independent registered public accounting firm and CBIZ was engaged to serve as the independent registered public accounting firm of the Company for the year ending December 31, 2025, effective beginning with the review of the Company’s condensed consolidated financial statements for the quarter ended June 30, 2025. The engagement of CBIZ was approved by the Company’s Board of Directors. The services previously provided by Marcum will now be provided by CBIZ.</w:t>
      </w:r>
    </w:p>
    <w:p>
      <w:pPr>
        <w:spacing w:after="0" w:line="261"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Marcum’s report regarding the Company’s consolidated financial statements for the years ended December 31, 2024 and 2023 did not contain any adverse opinion or disclaimer of opinion and were not qualified or modified as to uncertainty, audit scope, or accounting principles, except that such report contained an explanatory paragraph regarding substantial doubt about the Company’s ability to continue as a going concern.</w:t>
      </w:r>
    </w:p>
    <w:p>
      <w:pPr>
        <w:spacing w:after="0" w:line="26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During the years ended December 31, 2024 and 2023, and through August 6, 2025, the date of Marcum’s resignation, there were (a) no disagreements (as defined in Item 304(a)(1)(iv) of Regulation S-K and the related instructions) between the Company and Marcum on any matter of accounting principles or practices, financial statement disclosure, or auditing scope or procedures, which disagreements, if not resolved to the satisfaction of Marcum, would have caused Marcum to make reference to the subject matter of the disagreements in connection with Marcum’s reports on the Company’s financial statements, and (b) no “reportable events” (as​ defined in Item 304(a)(1)(v) of Regulation S-K and the related instructions).</w:t>
      </w:r>
    </w:p>
    <w:p>
      <w:pPr>
        <w:spacing w:after="0" w:line="46"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Prior to engaging CBIZ CPAs, neither the Company nor anyone acting on its behalf consulted CBIZ regarding (i) the application of accounting principles to a specified transaction, either completed or proposed, or the type of audit opinion that might be rendered on the Company’s financial statements, and no written report was provided to the Company or oral advice was provided that CBIZ concluded was an important factor considered by the Company in reaching a decision as to the accounting, auditing or financial reporting issue, or (ii) any matter that was either the subject of a disagreement (as described in Item 304(a)(1)(iv) of Regulation S- K and the related instructions) or a reportable event (as described in Item 304(a)(1)(v) of Regulation S-K and the related instructions).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RINCIPAL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CCOUNTANT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EES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p>
    <w:p>
      <w:pPr>
        <w:spacing w:after="0" w:line="11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years ended December 31, 2025 and 2024 by CBIZ, the Company’s principal accountant.</w:t>
      </w:r>
    </w:p>
    <w:p>
      <w:pPr>
        <w:spacing w:after="0" w:line="12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22225</wp:posOffset>
            </wp:positionV>
            <wp:extent cx="1028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00" w:type="dxa"/>
            <w:vAlign w:val="bottom"/>
            <w:gridSpan w:val="2"/>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380" w:type="dxa"/>
            <w:vAlign w:val="bottom"/>
            <w:tcBorders>
              <w:bottom w:val="single" w:sz="8" w:color="CCEDFF"/>
            </w:tcBorders>
          </w:tcPr>
          <w:p>
            <w:pPr>
              <w:spacing w:after="0"/>
              <w:rPr>
                <w:sz w:val="3"/>
                <w:szCs w:val="3"/>
                <w:color w:val="auto"/>
              </w:rPr>
            </w:pPr>
          </w:p>
        </w:tc>
        <w:tc>
          <w:tcPr>
            <w:tcW w:w="220" w:type="dxa"/>
            <w:vAlign w:val="bottom"/>
            <w:tcBorders>
              <w:bottom w:val="single" w:sz="8" w:color="CCED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CCED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96"/>
        </w:trPr>
        <w:tc>
          <w:tcPr>
            <w:tcW w:w="6380" w:type="dxa"/>
            <w:vAlign w:val="bottom"/>
            <w:shd w:val="clear" w:color="auto" w:fill="CCEDFF"/>
          </w:tcPr>
          <w:p>
            <w:pPr>
              <w:spacing w:after="0" w:line="19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2"/>
                <w:szCs w:val="22"/>
                <w:color w:val="auto"/>
                <w:vertAlign w:val="superscript"/>
              </w:rPr>
              <w:t>(1)</w:t>
            </w:r>
          </w:p>
        </w:tc>
        <w:tc>
          <w:tcPr>
            <w:tcW w:w="1140" w:type="dxa"/>
            <w:vAlign w:val="bottom"/>
            <w:tcBorders>
              <w:right w:val="single" w:sz="8" w:color="CCEDFF"/>
            </w:tcBorders>
            <w:gridSpan w:val="3"/>
            <w:shd w:val="clear" w:color="auto" w:fill="CCEDFF"/>
          </w:tcPr>
          <w:p>
            <w:pPr>
              <w:jc w:val="right"/>
              <w:ind w:right="220"/>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274,000</w:t>
            </w:r>
          </w:p>
        </w:tc>
        <w:tc>
          <w:tcPr>
            <w:tcW w:w="680" w:type="dxa"/>
            <w:vAlign w:val="bottom"/>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292,000</w:t>
            </w:r>
          </w:p>
        </w:tc>
      </w:tr>
      <w:tr>
        <w:trPr>
          <w:trHeight w:val="68"/>
        </w:trPr>
        <w:tc>
          <w:tcPr>
            <w:tcW w:w="6380" w:type="dxa"/>
            <w:vAlign w:val="bottom"/>
            <w:shd w:val="clear" w:color="auto" w:fill="CCEDFF"/>
          </w:tcPr>
          <w:p>
            <w:pPr>
              <w:spacing w:after="0"/>
              <w:rPr>
                <w:sz w:val="5"/>
                <w:szCs w:val="5"/>
                <w:color w:val="auto"/>
              </w:rPr>
            </w:pPr>
          </w:p>
        </w:tc>
        <w:tc>
          <w:tcPr>
            <w:tcW w:w="220" w:type="dxa"/>
            <w:vAlign w:val="bottom"/>
            <w:tcBorders>
              <w:right w:val="single" w:sz="8" w:color="CCEDFF"/>
            </w:tcBorders>
            <w:shd w:val="clear" w:color="auto" w:fill="CCEDFF"/>
          </w:tcPr>
          <w:p>
            <w:pPr>
              <w:spacing w:after="0"/>
              <w:rPr>
                <w:sz w:val="5"/>
                <w:szCs w:val="5"/>
                <w:color w:val="auto"/>
              </w:rPr>
            </w:pPr>
          </w:p>
        </w:tc>
        <w:tc>
          <w:tcPr>
            <w:tcW w:w="920" w:type="dxa"/>
            <w:vAlign w:val="bottom"/>
            <w:tcBorders>
              <w:right w:val="single" w:sz="8" w:color="CCEDFF"/>
            </w:tcBorders>
            <w:gridSpan w:val="2"/>
            <w:shd w:val="clear" w:color="auto" w:fill="CCEDFF"/>
          </w:tcPr>
          <w:p>
            <w:pPr>
              <w:jc w:val="right"/>
              <w:ind w:right="880"/>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shd w:val="clear" w:color="auto" w:fill="CCEDFF"/>
          </w:tcPr>
          <w:p>
            <w:pPr>
              <w:jc w:val="right"/>
              <w:ind w:right="569"/>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20"/>
        </w:trPr>
        <w:tc>
          <w:tcPr>
            <w:tcW w:w="6380" w:type="dxa"/>
            <w:vAlign w:val="bottom"/>
            <w:shd w:val="clear" w:color="auto" w:fill="CCEDFF"/>
          </w:tcPr>
          <w:p>
            <w:pPr>
              <w:spacing w:after="0" w:line="20" w:lineRule="exact"/>
              <w:rPr>
                <w:sz w:val="1"/>
                <w:szCs w:val="1"/>
                <w:color w:val="auto"/>
              </w:rPr>
            </w:pPr>
          </w:p>
        </w:tc>
        <w:tc>
          <w:tcPr>
            <w:tcW w:w="22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DFF"/>
            </w:tcBorders>
            <w:shd w:val="clear" w:color="auto" w:fill="CCED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68"/>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$274,000</w:t>
            </w:r>
          </w:p>
        </w:tc>
        <w:tc>
          <w:tcPr>
            <w:tcW w:w="680" w:type="dxa"/>
            <w:vAlign w:val="bottom"/>
          </w:tcPr>
          <w:p>
            <w:pPr>
              <w:jc w:val="right"/>
              <w:spacing w:after="0"/>
              <w:rPr>
                <w:sz w:val="20"/>
                <w:szCs w:val="20"/>
                <w:color w:val="auto"/>
              </w:rPr>
            </w:pPr>
            <w:r>
              <w:rPr>
                <w:rFonts w:ascii="Times New Roman" w:cs="Times New Roman" w:eastAsia="Times New Roman" w:hAnsi="Times New Roman"/>
                <w:sz w:val="35"/>
                <w:szCs w:val="35"/>
                <w:color w:val="auto"/>
                <w:w w:val="97"/>
                <w:vertAlign w:val="subscript"/>
              </w:rPr>
              <w:t>​</w:t>
            </w:r>
            <w:r>
              <w:rPr>
                <w:rFonts w:ascii="Times New Roman" w:cs="Times New Roman" w:eastAsia="Times New Roman" w:hAnsi="Times New Roman"/>
                <w:sz w:val="18"/>
                <w:szCs w:val="18"/>
                <w:color w:val="auto"/>
                <w:w w:val="97"/>
              </w:rPr>
              <w:t>$292,000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-489585</wp:posOffset>
            </wp:positionV>
            <wp:extent cx="47663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8256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620" w:right="419" w:hanging="360"/>
        <w:spacing w:after="0" w:line="261"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OLICIES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170"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rendered by the Company’s independent registered public accounting firm, CBIZ.</w:t>
      </w:r>
    </w:p>
    <w:p>
      <w:pPr>
        <w:spacing w:after="0" w:line="94"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CBIZ is compatible with maintaining the principal accountant’s independence.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at the meeting or represented by proxy and entitled to vote on the matter at the Annual Meeting will be required to ratify the selection of CBIZ.</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6</w:t>
      </w:r>
    </w:p>
    <w:p>
      <w:pPr>
        <w:spacing w:after="0" w:line="2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DJOURNMENT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w:t>
      </w:r>
    </w:p>
    <w:p>
      <w:pPr>
        <w:spacing w:after="0" w:line="229" w:lineRule="exact"/>
        <w:rPr>
          <w:sz w:val="20"/>
          <w:szCs w:val="20"/>
          <w:color w:val="auto"/>
        </w:rPr>
      </w:pPr>
    </w:p>
    <w:p>
      <w:pPr>
        <w:jc w:val="center"/>
        <w:ind w:left="1900" w:right="220"/>
        <w:spacing w:after="0" w:line="264" w:lineRule="auto"/>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UT</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NLY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UMBER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RESENT</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EPRESENTED</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Y</w:t>
      </w:r>
      <w:r>
        <w:rPr>
          <w:rFonts w:ascii="Times New Roman" w:cs="Times New Roman" w:eastAsia="Times New Roman" w:hAnsi="Times New Roman"/>
          <w:sz w:val="20"/>
          <w:szCs w:val="20"/>
          <w:b w:val="1"/>
          <w:bCs w:val="1"/>
          <w:color w:val="auto"/>
        </w:rPr>
        <w:t>​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NNUAL</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EETING</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V</w:t>
      </w:r>
      <w:r>
        <w:rPr>
          <w:rFonts w:ascii="Times New Roman" w:cs="Times New Roman" w:eastAsia="Times New Roman" w:hAnsi="Times New Roman"/>
          <w:sz w:val="16"/>
          <w:szCs w:val="16"/>
          <w:b w:val="1"/>
          <w:bCs w:val="1"/>
          <w:color w:val="auto"/>
        </w:rPr>
        <w:t>OTING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OR</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6"/>
          <w:szCs w:val="16"/>
          <w:b w:val="1"/>
          <w:bCs w:val="1"/>
          <w:color w:val="auto"/>
        </w:rPr>
        <w:t>HE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DOPTION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 3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6"/>
          <w:szCs w:val="16"/>
          <w:b w:val="1"/>
          <w:bCs w:val="1"/>
          <w:color w:val="auto"/>
        </w:rPr>
        <w:t>INSUFFICIENT)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Adjournment of the Annual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or represented by proxy at the Annual Meeting and voting “FOR” the adoption of Proposal 3 IS insufficient to approve such proposal, we may move to adjourn the Annual Meeting in order to enable us to solicit additional proxies in favor of the adoption of Proposal 3 and the other proposals. In that event, we will ask stockholders to vote only upon the Adjournment Proposal or Proposal 3, and not on any other proposal discussed in this Proxy Statement.</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vote of the holders of a majority of the shares at the meeting or represented by proxy and entitled to vote on the matter at the Annual Meeting.</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K</w:t>
      </w:r>
      <w:r>
        <w:rPr>
          <w:rFonts w:ascii="Times New Roman" w:cs="Times New Roman" w:eastAsia="Times New Roman" w:hAnsi="Times New Roman"/>
          <w:sz w:val="16"/>
          <w:szCs w:val="16"/>
          <w:b w:val="1"/>
          <w:bCs w:val="1"/>
          <w:color w:val="auto"/>
        </w:rPr>
        <w:t>EY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MPLOYEES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officers and key employees and their respective ages as of March 10, 2026 are as follows:</w:t>
      </w: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45"/>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20" w:type="dxa"/>
            <w:vAlign w:val="bottom"/>
          </w:tcPr>
          <w:p>
            <w:pPr>
              <w:spacing w:after="0"/>
              <w:rPr>
                <w:sz w:val="21"/>
                <w:szCs w:val="21"/>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Vera, M.D.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Treasurer and Director</w:t>
            </w:r>
          </w:p>
        </w:tc>
      </w:tr>
      <w:tr>
        <w:trPr>
          <w:trHeight w:val="311"/>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Bernadette Madel,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Operations and External Communications</w:t>
            </w:r>
          </w:p>
        </w:tc>
      </w:tr>
    </w:tbl>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biography of Juan Vera is set forth in “Proposal 1: Election of Directors” above.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Employees</w:t>
      </w:r>
    </w:p>
    <w:p>
      <w:pPr>
        <w:spacing w:after="0" w:line="15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Maria-Bernadette Madel, Ph.D. </w:t>
      </w:r>
      <w:r>
        <w:rPr>
          <w:rFonts w:ascii="Times New Roman" w:cs="Times New Roman" w:eastAsia="Times New Roman" w:hAnsi="Times New Roman"/>
          <w:sz w:val="18"/>
          <w:szCs w:val="18"/>
          <w:color w:val="auto"/>
        </w:rPr>
        <w:t>has served as our Director of Corporate Operations and External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since December 2023. Dr. Madel joined the Company in 2022 after accruing valuable experience in academic institutions, including Baylor College of Medicine. Dr. Madel earned a B.Sc. and M.Sc. in Molecular Medicine from the Medical University of Innsbruck, Austria, and a Ph.D. in Immunology and Microbiology from the University Côte d’Azur, Nice, 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7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May 1, 2026 by: (i) each director and nominee for director; (ii) each named executive officer; (iii) 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May 1, 2026.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67"/>
        </w:trPr>
        <w:tc>
          <w:tcPr>
            <w:tcW w:w="5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w w:val="92"/>
              </w:rPr>
              <w:t>Beneficial Ownership</w:t>
            </w:r>
            <w:r>
              <w:rPr>
                <w:rFonts w:ascii="Times New Roman" w:cs="Times New Roman" w:eastAsia="Times New Roman" w:hAnsi="Times New Roman"/>
                <w:sz w:val="23"/>
                <w:szCs w:val="23"/>
                <w:b w:val="1"/>
                <w:bCs w:val="1"/>
                <w:color w:val="auto"/>
                <w:w w:val="92"/>
                <w:vertAlign w:val="superscript"/>
              </w:rPr>
              <w:t>(1)</w:t>
            </w:r>
          </w:p>
        </w:tc>
        <w:tc>
          <w:tcPr>
            <w:tcW w:w="6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214"/>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50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Borders>
              <w:bottom w:val="single" w:sz="8" w:color="CCED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CCEDFF"/>
            </w:tcBorders>
          </w:tcPr>
          <w:p>
            <w:pPr>
              <w:spacing w:after="0"/>
              <w:rPr>
                <w:sz w:val="21"/>
                <w:szCs w:val="21"/>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Percent of Total</w:t>
            </w:r>
          </w:p>
        </w:tc>
        <w:tc>
          <w:tcPr>
            <w:tcW w:w="40" w:type="dxa"/>
            <w:vAlign w:val="bottom"/>
          </w:tcPr>
          <w:p>
            <w:pPr>
              <w:spacing w:after="0"/>
              <w:rPr>
                <w:sz w:val="21"/>
                <w:szCs w:val="21"/>
                <w:color w:val="auto"/>
              </w:rPr>
            </w:pPr>
          </w:p>
        </w:tc>
      </w:tr>
      <w:tr>
        <w:trPr>
          <w:trHeight w:val="257"/>
        </w:trPr>
        <w:tc>
          <w:tcPr>
            <w:tcW w:w="5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5% or greater stockholders:</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shd w:val="clear" w:color="auto" w:fill="CCEDFF"/>
          </w:tcPr>
          <w:p>
            <w:pPr>
              <w:spacing w:after="0"/>
              <w:rPr>
                <w:sz w:val="22"/>
                <w:szCs w:val="22"/>
                <w:color w:val="auto"/>
              </w:rPr>
            </w:pP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tcBorders>
              <w:right w:val="single" w:sz="8" w:color="CCEDFF"/>
            </w:tcBorders>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Enterprise Associates</w:t>
            </w:r>
            <w:r>
              <w:rPr>
                <w:rFonts w:ascii="Times New Roman" w:cs="Times New Roman" w:eastAsia="Times New Roman" w:hAnsi="Times New Roman"/>
                <w:sz w:val="23"/>
                <w:szCs w:val="23"/>
                <w:color w:val="auto"/>
                <w:vertAlign w:val="superscript"/>
              </w:rPr>
              <w:t>(2)</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​4,196,428</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Alyeska Fund GP, LLC</w:t>
            </w:r>
            <w:r>
              <w:rPr>
                <w:rFonts w:ascii="Times New Roman" w:cs="Times New Roman" w:eastAsia="Times New Roman" w:hAnsi="Times New Roman"/>
                <w:sz w:val="23"/>
                <w:szCs w:val="23"/>
                <w:color w:val="auto"/>
                <w:vertAlign w:val="superscript"/>
              </w:rPr>
              <w:t>(3)</w:t>
            </w:r>
          </w:p>
        </w:tc>
        <w:tc>
          <w:tcPr>
            <w:tcW w:w="1220" w:type="dxa"/>
            <w:vAlign w:val="bottom"/>
            <w:gridSpan w:val="2"/>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​1,875,000</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DFF"/>
            </w:tcBorders>
            <w:gridSpan w:val="2"/>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Blue Owl Capital Holdings LP</w:t>
            </w:r>
            <w:r>
              <w:rPr>
                <w:rFonts w:ascii="Times New Roman" w:cs="Times New Roman" w:eastAsia="Times New Roman" w:hAnsi="Times New Roman"/>
                <w:sz w:val="23"/>
                <w:szCs w:val="23"/>
                <w:color w:val="auto"/>
                <w:vertAlign w:val="superscript"/>
              </w:rPr>
              <w:t>(4)</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​3,125,000</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shd w:val="clear" w:color="auto" w:fill="CCEDFF"/>
          </w:tcPr>
          <w:p>
            <w:pPr>
              <w:spacing w:after="0"/>
              <w:rPr>
                <w:sz w:val="22"/>
                <w:szCs w:val="22"/>
                <w:color w:val="auto"/>
              </w:rPr>
            </w:pP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tcBorders>
              <w:right w:val="single" w:sz="8" w:color="CCEDFF"/>
            </w:tcBorders>
            <w:shd w:val="clear" w:color="auto" w:fill="CCED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David Eansor</w:t>
            </w:r>
            <w:r>
              <w:rPr>
                <w:rFonts w:ascii="Times New Roman" w:cs="Times New Roman" w:eastAsia="Times New Roman" w:hAnsi="Times New Roman"/>
                <w:sz w:val="23"/>
                <w:szCs w:val="23"/>
                <w:color w:val="auto"/>
                <w:vertAlign w:val="superscript"/>
              </w:rPr>
              <w:t>(5)</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30,944</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Steven Elms</w:t>
            </w:r>
            <w:r>
              <w:rPr>
                <w:rFonts w:ascii="Times New Roman" w:cs="Times New Roman" w:eastAsia="Times New Roman" w:hAnsi="Times New Roman"/>
                <w:sz w:val="23"/>
                <w:szCs w:val="23"/>
                <w:color w:val="auto"/>
                <w:vertAlign w:val="superscript"/>
              </w:rPr>
              <w:t>(6)</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387,918</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DFF"/>
            </w:tcBorders>
            <w:gridSpan w:val="2"/>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 2.3%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Juan Vera</w:t>
            </w:r>
            <w:r>
              <w:rPr>
                <w:rFonts w:ascii="Times New Roman" w:cs="Times New Roman" w:eastAsia="Times New Roman" w:hAnsi="Times New Roman"/>
                <w:sz w:val="23"/>
                <w:szCs w:val="23"/>
                <w:color w:val="auto"/>
                <w:vertAlign w:val="superscript"/>
              </w:rPr>
              <w:t>(7)</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490,625</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2.9%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Katharine Knobil</w:t>
            </w:r>
            <w:r>
              <w:rPr>
                <w:rFonts w:ascii="Times New Roman" w:cs="Times New Roman" w:eastAsia="Times New Roman" w:hAnsi="Times New Roman"/>
                <w:sz w:val="23"/>
                <w:szCs w:val="23"/>
                <w:color w:val="auto"/>
                <w:vertAlign w:val="superscript"/>
              </w:rPr>
              <w:t>(8)</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38,650</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D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DFF"/>
            </w:tcBorders>
            <w:shd w:val="clear" w:color="auto" w:fill="CCED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Kathryn Penkus Corzo</w:t>
            </w:r>
            <w:r>
              <w:rPr>
                <w:rFonts w:ascii="Times New Roman" w:cs="Times New Roman" w:eastAsia="Times New Roman" w:hAnsi="Times New Roman"/>
                <w:sz w:val="23"/>
                <w:szCs w:val="23"/>
                <w:color w:val="auto"/>
                <w:vertAlign w:val="superscript"/>
              </w:rPr>
              <w:t>(9)</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32,800</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5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All executive officers and directors as a group (5 persons)</w:t>
            </w:r>
          </w:p>
        </w:tc>
        <w:tc>
          <w:tcPr>
            <w:tcW w:w="40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980,937</w:t>
            </w:r>
          </w:p>
        </w:tc>
        <w:tc>
          <w:tcPr>
            <w:tcW w:w="380" w:type="dxa"/>
            <w:vAlign w:val="bottom"/>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CEDFF"/>
            </w:tcBorders>
            <w:gridSpan w:val="2"/>
            <w:shd w:val="clear" w:color="auto" w:fill="CCEDFF"/>
          </w:tcPr>
          <w:p>
            <w:pPr>
              <w:ind w:left="520"/>
              <w:spacing w:after="0" w:line="311"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5.7%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-1971040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-1971040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63" w:lineRule="exact"/>
        <w:rPr>
          <w:sz w:val="20"/>
          <w:szCs w:val="20"/>
          <w:color w:val="auto"/>
        </w:rPr>
      </w:pPr>
    </w:p>
    <w:p>
      <w:pPr>
        <w:jc w:val="both"/>
        <w:ind w:left="1620" w:right="419" w:hanging="360"/>
        <w:spacing w:after="0" w:line="256"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 13D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16,673,127 shares outstanding on [February 9, 2026] adjusted as required by rules promulgated by the SEC.</w:t>
      </w:r>
    </w:p>
    <w:p>
      <w:pPr>
        <w:spacing w:after="0" w:line="25"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November 17, 2025, with the SEC by New Enterprise Associates 16, L.P. (“NEA 16”) and its affiliates. Consists of (a) 1,625,678 shares of common stock and (b) 2,570,750 warrants to purchase shares of the Company’s Common Stock held directly by NEA 16 (“NEA Partners 16”) is the sole general partner of NEA 16, and NEA 16 GP, LLC (“NEA 16 LLC”) is the sole general partner of NEA Partners 16. The managers of NEA 16 LLC are Forest Baskett, Ali Behbahani, Carmen Chang, Anthony A. Florence, Jr., Mohamad H. Makhzoumi, Scott D. Sandell,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32"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November 14, 2025 with the SEC by Alyeska Investment Group L.P. and its affiliates. Consists of (a) 332,550 shares of Common Stock and</w:t>
      </w:r>
    </w:p>
    <w:p>
      <w:pPr>
        <w:jc w:val="both"/>
        <w:ind w:left="1620" w:right="419"/>
        <w:spacing w:after="0" w:line="253" w:lineRule="auto"/>
        <w:tabs>
          <w:tab w:leader="none" w:pos="19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1,542,450 shares of the Company’s Common Stock, (the “Warrants”). However, per their terms, the Warrants can only be exercised into such number of shares that would constitute 9.99% of the total number of Common Stock. The principal business address for all entities and individuals affiliated with Alyeska Investment Group L.P. is 77 West Wacker Drive, 7th Floor, Chicago, IL 60601.</w:t>
      </w:r>
    </w:p>
    <w:p>
      <w:pPr>
        <w:spacing w:after="0" w:line="242"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May 15, 2025 with the SEC by Blue Owl Capital Holdings LP. Consists of (a) 554,250 shares of Common Stock, par value $0.001 and</w:t>
      </w:r>
    </w:p>
    <w:p>
      <w:pPr>
        <w:jc w:val="both"/>
        <w:ind w:left="1620" w:right="419"/>
        <w:spacing w:after="0" w:line="260" w:lineRule="auto"/>
        <w:tabs>
          <w:tab w:leader="none" w:pos="19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2,570,750 shares of the Issuer’s Common Stock (the “Warrants”). However, per their terms, the Warrants can only be exercised into such number of shares that would constitute 9.99%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of the total number of Common Stock. The principal business address for Blue Owl Capital Holdings LP is 399 Park Avenue, New York, NY 10022.</w:t>
      </w:r>
    </w:p>
    <w:p>
      <w:pPr>
        <w:spacing w:after="0" w:line="27" w:lineRule="exact"/>
        <w:rPr>
          <w:sz w:val="20"/>
          <w:szCs w:val="20"/>
          <w:color w:val="auto"/>
        </w:rPr>
      </w:pPr>
    </w:p>
    <w:p>
      <w:pPr>
        <w:ind w:left="1620" w:right="419" w:hanging="360"/>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 shares of common stock and (b) 27,250 shares of common stock issuable upon exercise of options within 60 days of May 1, 2026.</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314,285 shares of common stock held directly by Aisling Capital where Mr. Elms shares voting and dispositive power (b) warrants to purchase 51,415 shares of Company Common Stock which is directly held by Aisling Capital where Mr. Elms shares voting and dispositive power, (c) 2,968 shares of common stock held directly by Mr. Elms and (d) 19,250 shares of common stock issuable upon exercise of options within 60 days of May 1, 2026.</w:t>
      </w:r>
    </w:p>
    <w:p>
      <w:pPr>
        <w:spacing w:after="0" w:line="3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267,184 shares of common stock, and (b) 146,577 shares of common stock issuable upon exercise of options within 60 days of May 1, 2026.</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 shares of common stock and (b) 38,500 shares of common stock issuable upon exercise of options within 60 days of May 1, 2026.</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32,800 shares of common stock issuable upon exercise of options within 60 days of May 1,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2025 with respect to the 2020 Equity Incentive Plan as amended (the “2020 Plan”):</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Available for</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Future Issuance</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Securities to be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Compensation Plans</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Issued Upon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(Excluding</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c>
          <w:tcPr>
            <w:tcW w:w="40" w:type="dxa"/>
            <w:vAlign w:val="bottom"/>
          </w:tcPr>
          <w:p>
            <w:pPr>
              <w:spacing w:after="0"/>
              <w:rPr>
                <w:sz w:val="14"/>
                <w:szCs w:val="14"/>
                <w:color w:val="auto"/>
              </w:rPr>
            </w:pPr>
          </w:p>
        </w:tc>
      </w:tr>
      <w:tr>
        <w:trPr>
          <w:trHeight w:val="2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 w:type="dxa"/>
            <w:vAlign w:val="bottom"/>
            <w:tcBorders>
              <w:bottom w:val="single" w:sz="8" w:color="CCED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Options (A)</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DFF"/>
            </w:tcBorders>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(B)</w:t>
            </w:r>
          </w:p>
        </w:tc>
        <w:tc>
          <w:tcPr>
            <w:tcW w:w="220" w:type="dxa"/>
            <w:vAlign w:val="bottom"/>
            <w:tcBorders>
              <w:bottom w:val="single" w:sz="8" w:color="CCEDFF"/>
            </w:tcBorders>
          </w:tcPr>
          <w:p>
            <w:pPr>
              <w:spacing w:after="0"/>
              <w:rPr>
                <w:sz w:val="18"/>
                <w:szCs w:val="18"/>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Column (A)) (C)</w:t>
            </w:r>
          </w:p>
        </w:tc>
        <w:tc>
          <w:tcPr>
            <w:tcW w:w="40" w:type="dxa"/>
            <w:vAlign w:val="bottom"/>
          </w:tcPr>
          <w:p>
            <w:pPr>
              <w:spacing w:after="0"/>
              <w:rPr>
                <w:sz w:val="18"/>
                <w:szCs w:val="18"/>
                <w:color w:val="auto"/>
              </w:rPr>
            </w:pPr>
          </w:p>
        </w:tc>
      </w:tr>
      <w:tr>
        <w:trPr>
          <w:trHeight w:val="250"/>
        </w:trPr>
        <w:tc>
          <w:tcPr>
            <w:tcW w:w="42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stockholders:</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D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DFF"/>
          </w:tcPr>
          <w:p>
            <w:pPr>
              <w:spacing w:after="0"/>
              <w:rPr>
                <w:sz w:val="21"/>
                <w:szCs w:val="21"/>
                <w:color w:val="auto"/>
              </w:rPr>
            </w:pPr>
          </w:p>
        </w:tc>
        <w:tc>
          <w:tcPr>
            <w:tcW w:w="100" w:type="dxa"/>
            <w:vAlign w:val="bottom"/>
            <w:shd w:val="clear" w:color="auto" w:fill="CCEDFF"/>
          </w:tcPr>
          <w:p>
            <w:pPr>
              <w:spacing w:after="0"/>
              <w:rPr>
                <w:sz w:val="21"/>
                <w:szCs w:val="21"/>
                <w:color w:val="auto"/>
              </w:rPr>
            </w:pP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DFF"/>
          </w:tcPr>
          <w:p>
            <w:pPr>
              <w:spacing w:after="0"/>
              <w:rPr>
                <w:sz w:val="21"/>
                <w:szCs w:val="21"/>
                <w:color w:val="auto"/>
              </w:rPr>
            </w:pPr>
          </w:p>
        </w:tc>
        <w:tc>
          <w:tcPr>
            <w:tcW w:w="380" w:type="dxa"/>
            <w:vAlign w:val="bottom"/>
            <w:tcBorders>
              <w:right w:val="single" w:sz="8" w:color="CCEDFF"/>
            </w:tcBorders>
            <w:shd w:val="clear" w:color="auto" w:fill="CCEDFF"/>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​1,762,883</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​$7.77</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​59,150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9"/>
        </w:trPr>
        <w:tc>
          <w:tcPr>
            <w:tcW w:w="42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w:t>
            </w:r>
          </w:p>
        </w:tc>
        <w:tc>
          <w:tcPr>
            <w:tcW w:w="20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42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360" w:type="dxa"/>
            <w:vAlign w:val="bottom"/>
            <w:shd w:val="clear" w:color="auto" w:fill="CCEDFF"/>
          </w:tcPr>
          <w:p>
            <w:pPr>
              <w:spacing w:after="0"/>
              <w:rPr>
                <w:sz w:val="19"/>
                <w:szCs w:val="19"/>
                <w:color w:val="auto"/>
              </w:rPr>
            </w:pPr>
          </w:p>
        </w:tc>
        <w:tc>
          <w:tcPr>
            <w:tcW w:w="420" w:type="dxa"/>
            <w:vAlign w:val="bottom"/>
            <w:shd w:val="clear" w:color="auto" w:fill="CCEDFF"/>
          </w:tcPr>
          <w:p>
            <w:pPr>
              <w:spacing w:after="0"/>
              <w:rPr>
                <w:sz w:val="19"/>
                <w:szCs w:val="19"/>
                <w:color w:val="auto"/>
              </w:rPr>
            </w:pPr>
          </w:p>
        </w:tc>
        <w:tc>
          <w:tcPr>
            <w:tcW w:w="34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380" w:type="dxa"/>
            <w:vAlign w:val="bottom"/>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380" w:type="dxa"/>
            <w:vAlign w:val="bottom"/>
            <w:tcBorders>
              <w:right w:val="single" w:sz="8" w:color="CCEDFF"/>
            </w:tcBorders>
            <w:shd w:val="clear" w:color="auto" w:fill="CCEDFF"/>
          </w:tcPr>
          <w:p>
            <w:pPr>
              <w:spacing w:after="0"/>
              <w:rPr>
                <w:sz w:val="19"/>
                <w:szCs w:val="19"/>
                <w:color w:val="auto"/>
              </w:rPr>
            </w:pPr>
          </w:p>
        </w:tc>
        <w:tc>
          <w:tcPr>
            <w:tcW w:w="40" w:type="dxa"/>
            <w:vAlign w:val="bottom"/>
          </w:tcPr>
          <w:p>
            <w:pPr>
              <w:spacing w:after="0"/>
              <w:rPr>
                <w:sz w:val="19"/>
                <w:szCs w:val="19"/>
                <w:color w:val="auto"/>
              </w:rPr>
            </w:pPr>
          </w:p>
        </w:tc>
      </w:tr>
      <w:tr>
        <w:trPr>
          <w:trHeight w:val="280"/>
        </w:trPr>
        <w:tc>
          <w:tcPr>
            <w:tcW w:w="42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D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DFF"/>
          </w:tcPr>
          <w:p>
            <w:pPr>
              <w:spacing w:after="0"/>
              <w:rPr>
                <w:sz w:val="24"/>
                <w:szCs w:val="24"/>
                <w:color w:val="auto"/>
              </w:rPr>
            </w:pPr>
          </w:p>
        </w:tc>
        <w:tc>
          <w:tcPr>
            <w:tcW w:w="100" w:type="dxa"/>
            <w:vAlign w:val="bottom"/>
            <w:shd w:val="clear" w:color="auto" w:fill="CCEDFF"/>
          </w:tcPr>
          <w:p>
            <w:pPr>
              <w:spacing w:after="0"/>
              <w:rPr>
                <w:sz w:val="24"/>
                <w:szCs w:val="24"/>
                <w:color w:val="auto"/>
              </w:rPr>
            </w:pP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DFF"/>
          </w:tcPr>
          <w:p>
            <w:pPr>
              <w:spacing w:after="0"/>
              <w:rPr>
                <w:sz w:val="24"/>
                <w:szCs w:val="24"/>
                <w:color w:val="auto"/>
              </w:rPr>
            </w:pPr>
          </w:p>
        </w:tc>
        <w:tc>
          <w:tcPr>
            <w:tcW w:w="380" w:type="dxa"/>
            <w:vAlign w:val="bottom"/>
            <w:tcBorders>
              <w:right w:val="single" w:sz="8" w:color="CCEDFF"/>
            </w:tcBorders>
            <w:shd w:val="clear" w:color="auto" w:fill="CCED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ind w:left="360"/>
              <w:spacing w:after="0" w:line="283"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DFF"/>
          </w:tcPr>
          <w:p>
            <w:pPr>
              <w:spacing w:after="0" w:line="20" w:lineRule="exact"/>
              <w:rPr>
                <w:sz w:val="1"/>
                <w:szCs w:val="1"/>
                <w:color w:val="auto"/>
              </w:rPr>
            </w:pPr>
          </w:p>
        </w:tc>
        <w:tc>
          <w:tcPr>
            <w:tcW w:w="2340" w:type="dxa"/>
            <w:vAlign w:val="bottom"/>
            <w:shd w:val="clear" w:color="auto" w:fill="CCEDFF"/>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100" w:type="dxa"/>
            <w:vAlign w:val="bottom"/>
            <w:shd w:val="clear" w:color="auto" w:fill="CCED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DFF"/>
          </w:tcPr>
          <w:p>
            <w:pPr>
              <w:spacing w:after="0" w:line="20" w:lineRule="exact"/>
              <w:rPr>
                <w:sz w:val="1"/>
                <w:szCs w:val="1"/>
                <w:color w:val="auto"/>
              </w:rPr>
            </w:pPr>
          </w:p>
        </w:tc>
        <w:tc>
          <w:tcPr>
            <w:tcW w:w="20" w:type="dxa"/>
            <w:vAlign w:val="bottom"/>
            <w:shd w:val="clear" w:color="auto" w:fill="CCEDFF"/>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360" w:type="dxa"/>
            <w:vAlign w:val="bottom"/>
            <w:shd w:val="clear" w:color="auto" w:fill="CCED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DFF"/>
          </w:tcPr>
          <w:p>
            <w:pPr>
              <w:spacing w:after="0" w:line="20" w:lineRule="exact"/>
              <w:rPr>
                <w:sz w:val="1"/>
                <w:szCs w:val="1"/>
                <w:color w:val="auto"/>
              </w:rPr>
            </w:pPr>
          </w:p>
        </w:tc>
        <w:tc>
          <w:tcPr>
            <w:tcW w:w="220" w:type="dxa"/>
            <w:vAlign w:val="bottom"/>
            <w:shd w:val="clear" w:color="auto" w:fill="CCEDFF"/>
          </w:tcPr>
          <w:p>
            <w:pPr>
              <w:spacing w:after="0" w:line="20" w:lineRule="exact"/>
              <w:rPr>
                <w:sz w:val="1"/>
                <w:szCs w:val="1"/>
                <w:color w:val="auto"/>
              </w:rPr>
            </w:pPr>
          </w:p>
        </w:tc>
        <w:tc>
          <w:tcPr>
            <w:tcW w:w="380" w:type="dxa"/>
            <w:vAlign w:val="bottom"/>
            <w:shd w:val="clear" w:color="auto" w:fill="CCED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Borders>
              <w:right w:val="single" w:sz="8" w:color="CCEDFF"/>
            </w:tcBorders>
            <w:shd w:val="clear" w:color="auto" w:fill="CCED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42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D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DFF"/>
          </w:tcPr>
          <w:p>
            <w:pPr>
              <w:spacing w:after="0"/>
              <w:rPr>
                <w:sz w:val="24"/>
                <w:szCs w:val="24"/>
                <w:color w:val="auto"/>
              </w:rPr>
            </w:pPr>
          </w:p>
        </w:tc>
        <w:tc>
          <w:tcPr>
            <w:tcW w:w="100" w:type="dxa"/>
            <w:vAlign w:val="bottom"/>
            <w:shd w:val="clear" w:color="auto" w:fill="CCEDFF"/>
          </w:tcPr>
          <w:p>
            <w:pPr>
              <w:spacing w:after="0"/>
              <w:rPr>
                <w:sz w:val="24"/>
                <w:szCs w:val="24"/>
                <w:color w:val="auto"/>
              </w:rPr>
            </w:pP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DFF"/>
          </w:tcPr>
          <w:p>
            <w:pPr>
              <w:ind w:left="36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2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DFF"/>
          </w:tcPr>
          <w:p>
            <w:pPr>
              <w:spacing w:after="0"/>
              <w:rPr>
                <w:sz w:val="24"/>
                <w:szCs w:val="24"/>
                <w:color w:val="auto"/>
              </w:rPr>
            </w:pPr>
          </w:p>
        </w:tc>
        <w:tc>
          <w:tcPr>
            <w:tcW w:w="380" w:type="dxa"/>
            <w:vAlign w:val="bottom"/>
            <w:tcBorders>
              <w:right w:val="single" w:sz="8" w:color="CCEDFF"/>
            </w:tcBorders>
            <w:shd w:val="clear" w:color="auto" w:fill="CCED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Borders>
              <w:top w:val="single" w:sz="8" w:color="CCEDFF"/>
            </w:tcBorders>
          </w:tcPr>
          <w:p>
            <w:pPr>
              <w:spacing w:after="0" w:line="20" w:lineRule="exact"/>
              <w:rPr>
                <w:sz w:val="1"/>
                <w:szCs w:val="1"/>
                <w:color w:val="auto"/>
              </w:rPr>
            </w:pPr>
          </w:p>
        </w:tc>
        <w:tc>
          <w:tcPr>
            <w:tcW w:w="234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tcBorders>
          </w:tcPr>
          <w:p>
            <w:pPr>
              <w:spacing w:after="0" w:line="20" w:lineRule="exact"/>
              <w:rPr>
                <w:sz w:val="1"/>
                <w:szCs w:val="1"/>
                <w:color w:val="auto"/>
              </w:rPr>
            </w:pPr>
          </w:p>
        </w:tc>
        <w:tc>
          <w:tcPr>
            <w:tcW w:w="360" w:type="dxa"/>
            <w:vAlign w:val="bottom"/>
            <w:tcBorders>
              <w:top w:val="single" w:sz="8" w:color="CCED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D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-299720</wp:posOffset>
            </wp:positionV>
            <wp:extent cx="2400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-299720</wp:posOffset>
            </wp:positionV>
            <wp:extent cx="46545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-1130935</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-1130935</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-1130935</wp:posOffset>
            </wp:positionV>
            <wp:extent cx="128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93" w:lineRule="exact"/>
        <w:rPr>
          <w:sz w:val="20"/>
          <w:szCs w:val="20"/>
          <w:color w:val="auto"/>
        </w:rPr>
      </w:pPr>
    </w:p>
    <w:p>
      <w:pPr>
        <w:jc w:val="both"/>
        <w:ind w:left="1620" w:right="399" w:hanging="360"/>
        <w:spacing w:after="0" w:line="254" w:lineRule="auto"/>
        <w:tabs>
          <w:tab w:leader="none" w:pos="16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Company’s Board of Directors approved a new 2020 Equity Incentive Plan (the “2020 Plan”) and it was submitted to stockholders for approval in connection with the Company’s 2020 annual meeting of stockholders. On May 24, 2022 at the Company’s 2022 Annual Meeting the stockholders approved an amendment to the plan which provided for an additional 8,500,000 shares to be added to the available shares. On January 23, 2023, The Company effected a reverse stocks split, of the Company’s common stock by a ratio of one-for-ten (1:10). As amended the 2020 Plan provides the aggregate number of shares of Common Stock that may be issued under the 2020 Plan will not exceed the sum of (i) 850,000 new shares that were approved at the Company’s 2022 Annual Meeting of Stockholders; plus (ii) 326,000 shares that were approved in connection with the initial adoption of the Plan as of the Effective Date; plus (iii) the Prior Plans’ Available Reserve; plus (iv) the number of Returning Shares, if any, as such shares become available from time to time.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ELINQUENT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16(A) R</w:t>
      </w:r>
      <w:r>
        <w:rPr>
          <w:rFonts w:ascii="Times New Roman" w:cs="Times New Roman" w:eastAsia="Times New Roman" w:hAnsi="Times New Roman"/>
          <w:sz w:val="16"/>
          <w:szCs w:val="16"/>
          <w:b w:val="1"/>
          <w:bCs w:val="1"/>
          <w:color w:val="auto"/>
        </w:rPr>
        <w:t>EPORTS</w:t>
      </w:r>
    </w:p>
    <w:p>
      <w:pPr>
        <w:spacing w:after="0" w:line="17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fiscal year ended December 31, 2025, all Section 16(a) filing requirements applicable to its officers, directors and greater than ten percent beneficial owners were complied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17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the fiscal years ended December 31, 2025 and 2024. Our named executive officers for the fiscal year ended December 31, 2025 are as follows:</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Juan Vera, M.D., our President and Chief Executive Officer;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6"/>
          <w:szCs w:val="16"/>
          <w:b w:val="1"/>
          <w:bCs w:val="1"/>
          <w:color w:val="auto"/>
        </w:rPr>
        <w:t>UMMARY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6"/>
          <w:szCs w:val="16"/>
          <w:b w:val="1"/>
          <w:bCs w:val="1"/>
          <w:color w:val="auto"/>
        </w:rPr>
        <w:t>ABLE</w:t>
      </w:r>
    </w:p>
    <w:p>
      <w:pPr>
        <w:spacing w:after="0" w:line="16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2025 and 2024, respectively.</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4"/>
                <w:szCs w:val="14"/>
                <w:color w:val="auto"/>
              </w:rPr>
            </w:pPr>
          </w:p>
        </w:tc>
        <w:tc>
          <w:tcPr>
            <w:tcW w:w="6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3"/>
              </w:rPr>
              <w:t>Awards</w:t>
            </w:r>
            <w:r>
              <w:rPr>
                <w:rFonts w:ascii="Times New Roman" w:cs="Times New Roman" w:eastAsia="Times New Roman" w:hAnsi="Times New Roman"/>
                <w:sz w:val="17"/>
                <w:szCs w:val="17"/>
                <w:b w:val="1"/>
                <w:bCs w:val="1"/>
                <w:color w:val="auto"/>
                <w:w w:val="93"/>
                <w:vertAlign w:val="superscript"/>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w:t>
            </w:r>
          </w:p>
        </w:tc>
        <w:tc>
          <w:tcPr>
            <w:tcW w:w="8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260" w:type="dxa"/>
            <w:vAlign w:val="bottom"/>
            <w:tcBorders>
              <w:top w:val="single" w:sz="8" w:color="auto"/>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80" w:type="dxa"/>
            <w:vAlign w:val="bottom"/>
            <w:tcBorders>
              <w:top w:val="single" w:sz="8" w:color="CCEDFF"/>
              <w:bottom w:val="single" w:sz="8" w:color="CCEDFF"/>
            </w:tcBorders>
            <w:gridSpan w:val="2"/>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auto"/>
              <w:bottom w:val="single" w:sz="8" w:color="CCEDFF"/>
            </w:tcBorders>
            <w:shd w:val="clear" w:color="auto" w:fill="CCED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DFF"/>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auto"/>
              <w:bottom w:val="single" w:sz="8" w:color="CCEDFF"/>
            </w:tcBorders>
            <w:shd w:val="clear" w:color="auto" w:fill="CCED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DFF"/>
              <w:bottom w:val="single" w:sz="8" w:color="CCEDFF"/>
            </w:tcBorders>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DFF"/>
            </w:tcBorders>
            <w:shd w:val="clear" w:color="auto" w:fill="CCED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CCEDFF"/>
            </w:tcBorders>
            <w:shd w:val="clear" w:color="auto" w:fill="CCEDFF"/>
          </w:tcPr>
          <w:p>
            <w:pPr>
              <w:spacing w:after="0"/>
              <w:rPr>
                <w:sz w:val="20"/>
                <w:szCs w:val="20"/>
                <w:color w:val="auto"/>
              </w:rPr>
            </w:pPr>
          </w:p>
        </w:tc>
        <w:tc>
          <w:tcPr>
            <w:tcW w:w="12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DFF"/>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DFF"/>
            </w:tcBorders>
            <w:shd w:val="clear" w:color="auto" w:fill="CCED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CCEDFF"/>
            </w:tcBorders>
            <w:shd w:val="clear" w:color="auto" w:fill="CCEDFF"/>
          </w:tcPr>
          <w:p>
            <w:pPr>
              <w:spacing w:after="0"/>
              <w:rPr>
                <w:sz w:val="20"/>
                <w:szCs w:val="20"/>
                <w:color w:val="auto"/>
              </w:rPr>
            </w:pPr>
          </w:p>
        </w:tc>
        <w:tc>
          <w:tcPr>
            <w:tcW w:w="120" w:type="dxa"/>
            <w:vAlign w:val="bottom"/>
            <w:tcBorders>
              <w:top w:val="single" w:sz="8" w:color="CCEDFF"/>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bottom w:val="single" w:sz="8" w:color="CCEDFF"/>
            </w:tcBorders>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22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7"/>
            <w:shd w:val="clear" w:color="auto" w:fill="CCEDFF"/>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​2025</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​415,385</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325,805</w:t>
            </w:r>
          </w:p>
        </w:tc>
        <w:tc>
          <w:tcPr>
            <w:tcW w:w="1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DFF"/>
          </w:tcPr>
          <w:p>
            <w:pPr>
              <w:ind w:left="3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1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DFF"/>
          </w:tcPr>
          <w:p>
            <w:pPr>
              <w:ind w:left="3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14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ind w:left="4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​741,190</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
        </w:trPr>
        <w:tc>
          <w:tcPr>
            <w:tcW w:w="2260" w:type="dxa"/>
            <w:vAlign w:val="bottom"/>
            <w:gridSpan w:val="2"/>
            <w:vMerge w:val="restart"/>
            <w:shd w:val="clear" w:color="auto" w:fill="CCEDFF"/>
          </w:tcPr>
          <w:p>
            <w:pPr>
              <w:ind w:left="180"/>
              <w:spacing w:after="0" w:line="211" w:lineRule="exact"/>
              <w:rPr>
                <w:sz w:val="20"/>
                <w:szCs w:val="20"/>
                <w:color w:val="auto"/>
              </w:rPr>
            </w:pP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38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220" w:type="dxa"/>
            <w:vAlign w:val="bottom"/>
            <w:shd w:val="clear" w:color="auto" w:fill="CCEDFF"/>
          </w:tcPr>
          <w:p>
            <w:pPr>
              <w:spacing w:after="0"/>
              <w:rPr>
                <w:sz w:val="5"/>
                <w:szCs w:val="5"/>
                <w:color w:val="auto"/>
              </w:rPr>
            </w:pPr>
          </w:p>
        </w:tc>
        <w:tc>
          <w:tcPr>
            <w:tcW w:w="38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620" w:type="dxa"/>
            <w:vAlign w:val="bottom"/>
            <w:shd w:val="clear" w:color="auto" w:fill="CCEDFF"/>
          </w:tcPr>
          <w:p>
            <w:pPr>
              <w:spacing w:after="0"/>
              <w:rPr>
                <w:sz w:val="5"/>
                <w:szCs w:val="5"/>
                <w:color w:val="auto"/>
              </w:rPr>
            </w:pPr>
          </w:p>
        </w:tc>
        <w:tc>
          <w:tcPr>
            <w:tcW w:w="140" w:type="dxa"/>
            <w:vAlign w:val="bottom"/>
            <w:shd w:val="clear" w:color="auto" w:fill="CCEDFF"/>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860" w:type="dxa"/>
            <w:vAlign w:val="bottom"/>
            <w:shd w:val="clear" w:color="auto" w:fill="CCEDFF"/>
          </w:tcPr>
          <w:p>
            <w:pPr>
              <w:spacing w:after="0"/>
              <w:rPr>
                <w:sz w:val="5"/>
                <w:szCs w:val="5"/>
                <w:color w:val="auto"/>
              </w:rPr>
            </w:pPr>
          </w:p>
        </w:tc>
        <w:tc>
          <w:tcPr>
            <w:tcW w:w="40" w:type="dxa"/>
            <w:vAlign w:val="bottom"/>
            <w:shd w:val="clear" w:color="auto" w:fill="CCEDFF"/>
          </w:tcPr>
          <w:p>
            <w:pPr>
              <w:spacing w:after="0"/>
              <w:rPr>
                <w:sz w:val="5"/>
                <w:szCs w:val="5"/>
                <w:color w:val="auto"/>
              </w:rPr>
            </w:pPr>
          </w:p>
        </w:tc>
        <w:tc>
          <w:tcPr>
            <w:tcW w:w="120" w:type="dxa"/>
            <w:vAlign w:val="bottom"/>
            <w:shd w:val="clear" w:color="auto" w:fill="CCEDFF"/>
          </w:tcPr>
          <w:p>
            <w:pPr>
              <w:spacing w:after="0"/>
              <w:rPr>
                <w:sz w:val="5"/>
                <w:szCs w:val="5"/>
                <w:color w:val="auto"/>
              </w:rPr>
            </w:pPr>
          </w:p>
        </w:tc>
        <w:tc>
          <w:tcPr>
            <w:tcW w:w="80" w:type="dxa"/>
            <w:vAlign w:val="bottom"/>
            <w:shd w:val="clear" w:color="auto" w:fill="CCEDFF"/>
          </w:tcPr>
          <w:p>
            <w:pPr>
              <w:spacing w:after="0"/>
              <w:rPr>
                <w:sz w:val="5"/>
                <w:szCs w:val="5"/>
                <w:color w:val="auto"/>
              </w:rPr>
            </w:pPr>
          </w:p>
        </w:tc>
        <w:tc>
          <w:tcPr>
            <w:tcW w:w="880" w:type="dxa"/>
            <w:vAlign w:val="bottom"/>
            <w:shd w:val="clear" w:color="auto" w:fill="CCEDFF"/>
          </w:tcPr>
          <w:p>
            <w:pPr>
              <w:spacing w:after="0"/>
              <w:rPr>
                <w:sz w:val="5"/>
                <w:szCs w:val="5"/>
                <w:color w:val="auto"/>
              </w:rPr>
            </w:pPr>
          </w:p>
        </w:tc>
        <w:tc>
          <w:tcPr>
            <w:tcW w:w="20" w:type="dxa"/>
            <w:vAlign w:val="bottom"/>
            <w:shd w:val="clear" w:color="auto" w:fill="CCEDFF"/>
          </w:tcPr>
          <w:p>
            <w:pPr>
              <w:spacing w:after="0"/>
              <w:rPr>
                <w:sz w:val="5"/>
                <w:szCs w:val="5"/>
                <w:color w:val="auto"/>
              </w:rPr>
            </w:pPr>
          </w:p>
        </w:tc>
        <w:tc>
          <w:tcPr>
            <w:tcW w:w="120" w:type="dxa"/>
            <w:vAlign w:val="bottom"/>
            <w:shd w:val="clear" w:color="auto" w:fill="CCEDFF"/>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600" w:type="dxa"/>
            <w:vAlign w:val="bottom"/>
            <w:shd w:val="clear" w:color="auto" w:fill="CCEDFF"/>
          </w:tcPr>
          <w:p>
            <w:pPr>
              <w:spacing w:after="0"/>
              <w:rPr>
                <w:sz w:val="5"/>
                <w:szCs w:val="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260" w:type="dxa"/>
            <w:vAlign w:val="bottom"/>
            <w:gridSpan w:val="2"/>
            <w:vMerge w:val="continue"/>
            <w:shd w:val="clear" w:color="auto" w:fill="CCEDFF"/>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3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DFF"/>
          </w:tcPr>
          <w:p>
            <w:pPr>
              <w:spacing w:after="0"/>
              <w:rPr>
                <w:sz w:val="16"/>
                <w:szCs w:val="16"/>
                <w:color w:val="auto"/>
              </w:rPr>
            </w:pPr>
          </w:p>
        </w:tc>
        <w:tc>
          <w:tcPr>
            <w:tcW w:w="1900" w:type="dxa"/>
            <w:vAlign w:val="bottom"/>
            <w:shd w:val="clear" w:color="auto" w:fill="CCEDFF"/>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​400,000</w:t>
            </w: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​400,000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-556895</wp:posOffset>
            </wp:positionV>
            <wp:extent cx="3317240" cy="403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7240" cy="40322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-728345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-728345</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-728345</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-728345</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-728345</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-728345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97" w:lineRule="exact"/>
        <w:rPr>
          <w:sz w:val="20"/>
          <w:szCs w:val="20"/>
          <w:color w:val="auto"/>
        </w:rPr>
      </w:pPr>
    </w:p>
    <w:p>
      <w:pPr>
        <w:jc w:val="both"/>
        <w:ind w:left="2340" w:right="419" w:hanging="360"/>
        <w:spacing w:after="0" w:line="252" w:lineRule="auto"/>
        <w:tabs>
          <w:tab w:leader="none" w:pos="2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years ended December 31, 2025 and December 31, 2024, as computed in accordance with Financial Accounting Standard Board Accounting Standards Codification Topic 718 for stock-based compensation transactions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266"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Vera was appointed President and Chief Executive officer effective May 1, 2023. Throughout 2025, he also served as the Company’s principal financial officer.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executive compensation program is designed to achieve the following objectives:</w:t>
      </w:r>
    </w:p>
    <w:p>
      <w:pPr>
        <w:spacing w:after="0" w:line="117" w:lineRule="exact"/>
        <w:rPr>
          <w:sz w:val="20"/>
          <w:szCs w:val="20"/>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reward our named executive officers whose knowledge, skills, performance and business relationships are critical to our success;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named executive officers to manage our business to meet short-term and long-range goals designed to drive the responsible creation of stockholder value and reward accomplishment of these goals;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linking their long-term incentive compensation opportunities to stockholder value creation;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within the context of responsible cost management.</w:t>
      </w:r>
    </w:p>
    <w:p>
      <w:pPr>
        <w:spacing w:after="0" w:line="15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Executive Officers in Setting Executive Compensation</w:t>
      </w:r>
    </w:p>
    <w:p>
      <w:pPr>
        <w:spacing w:after="0" w:line="16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The Compensation Committee of our Board (“Compensation Committee”) is responsible for determining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w:t>
      </w:r>
    </w:p>
    <w:p>
      <w:pPr>
        <w:spacing w:after="0" w:line="339"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In 2023, after taking into consideration the factors prescribed by the SEC and Nasdaq described above, the Compensation Committee engaged Radford, which is part of the Rewards Solutions practice at Aon plc, as its compensation consultant (“Radford”). Our Compensation Committee identified Radford based on Radford’s general reputation in the industry. The Compensation Committee requested that Radford:</w:t>
      </w:r>
    </w:p>
    <w:p>
      <w:pPr>
        <w:spacing w:after="0" w:line="91" w:lineRule="exact"/>
        <w:rPr>
          <w:sz w:val="20"/>
          <w:szCs w:val="20"/>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94"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As part of its engagement in 2023, Radford was also requested by the Compensation Committee to develop a comparative group of companies and to perform analyses of competitive performance and compensation levels for that group and ultimately developed recommendations that were presented to the Compensation Committee for its consideration. Following an active dialogue with Radford, in 2023 the Compensation Committee approved the recommendations.</w:t>
      </w:r>
    </w:p>
    <w:p>
      <w:pPr>
        <w:spacing w:after="0" w:line="105"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Radford, including analyses of executive and director compensation paid at other companies identified by Radford.</w:t>
      </w:r>
    </w:p>
    <w:p>
      <w:pPr>
        <w:spacing w:after="0" w:line="121"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17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w:t>
      </w:r>
    </w:p>
    <w:p>
      <w:pPr>
        <w:spacing w:after="0" w:line="323"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annual base salaries for each of our named executive officers for 2025 and 2024, as determined by the Board or Compensation Committee, as applicable: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incentive compensation based on the satisfaction of individual and corporate performance objectives established by the Board. Each named executive officer has a target annual incentive opportunity, calculated as a percentage of annual base salary, and may earn more or less than the target amount based on our company’s and his or her individual performance. For 2025, the target annual incentive opportunities as a percentage of base salary for our named executive officers was 40% for Dr. Vera.</w:t>
      </w:r>
    </w:p>
    <w:p>
      <w:pPr>
        <w:spacing w:after="0" w:line="12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For 2025 and 2024, annual incentives were earned based on the Compensation Committee’s assessment of each executive’s performance. The amounts of such annual incentives, which are set forth in the “Summary Compensation Table” above, were recommended by the Compensation Committee and approved by the Board in February 2024 and February 2023 based on each executive’s and our corporate performance in 2024 and 2023, respectively. The annual incentives paid to the named executive officers for 2024 performance are included in the “Non-Equity Incentive Plan Compensation” column of the Summary Compensation Table above.</w:t>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2024, the Board did not grant any awards to any of its officers.</w:t>
      </w:r>
    </w:p>
    <w:p>
      <w:pPr>
        <w:spacing w:after="0" w:line="192"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 In Lieu</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Earned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Annual Incentive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2025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 Shares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40" w:type="dxa"/>
            <w:vAlign w:val="bottom"/>
          </w:tcPr>
          <w:p>
            <w:pPr>
              <w:spacing w:after="0"/>
              <w:rPr>
                <w:sz w:val="12"/>
                <w:szCs w:val="12"/>
                <w:color w:val="auto"/>
              </w:rPr>
            </w:pPr>
          </w:p>
        </w:tc>
      </w:tr>
      <w:tr>
        <w:trPr>
          <w:trHeight w:val="22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D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 Options)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D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Fair Value ($)</w:t>
            </w:r>
            <w:r>
              <w:rPr>
                <w:rFonts w:ascii="Times New Roman" w:cs="Times New Roman" w:eastAsia="Times New Roman" w:hAnsi="Times New Roman"/>
                <w:sz w:val="17"/>
                <w:szCs w:val="17"/>
                <w:b w:val="1"/>
                <w:bCs w:val="1"/>
                <w:color w:val="auto"/>
                <w:w w:val="94"/>
                <w:vertAlign w:val="superscript"/>
              </w:rPr>
              <w:t>(1)</w:t>
            </w:r>
          </w:p>
        </w:tc>
        <w:tc>
          <w:tcPr>
            <w:tcW w:w="40" w:type="dxa"/>
            <w:vAlign w:val="bottom"/>
          </w:tcPr>
          <w:p>
            <w:pPr>
              <w:spacing w:after="0"/>
              <w:rPr>
                <w:sz w:val="19"/>
                <w:szCs w:val="19"/>
                <w:color w:val="auto"/>
              </w:rPr>
            </w:pPr>
          </w:p>
        </w:tc>
      </w:tr>
      <w:tr>
        <w:trPr>
          <w:trHeight w:val="304"/>
        </w:trPr>
        <w:tc>
          <w:tcPr>
            <w:tcW w:w="29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300" w:type="dxa"/>
            <w:vAlign w:val="bottom"/>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300,000</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325,805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-205105</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-205105</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145415</wp:posOffset>
            </wp:positionV>
            <wp:extent cx="18345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53" w:lineRule="exact"/>
        <w:rPr>
          <w:sz w:val="20"/>
          <w:szCs w:val="20"/>
          <w:color w:val="auto"/>
        </w:rPr>
      </w:pPr>
    </w:p>
    <w:p>
      <w:pPr>
        <w:jc w:val="both"/>
        <w:ind w:left="2340" w:right="419" w:hanging="360"/>
        <w:spacing w:after="0" w:line="256" w:lineRule="auto"/>
        <w:tabs>
          <w:tab w:leader="none" w:pos="2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2023, as computed in accordance with FASB ASC 718. The fair value of each stock option grant is estimated on the date of grant using the Black-Scholes option pricing model. The significant factors and assumptions incorporated in the Black-Scholes-Merton</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19"/>
        <w:spacing w:after="0" w:line="282" w:lineRule="auto"/>
        <w:rPr>
          <w:sz w:val="20"/>
          <w:szCs w:val="20"/>
          <w:color w:val="auto"/>
        </w:rPr>
      </w:pPr>
      <w:r>
        <w:rPr>
          <w:rFonts w:ascii="Times New Roman" w:cs="Times New Roman" w:eastAsia="Times New Roman" w:hAnsi="Times New Roman"/>
          <w:sz w:val="18"/>
          <w:szCs w:val="18"/>
          <w:color w:val="auto"/>
        </w:rPr>
        <w:t>model used to estimate the value of the options are included in Note 12 to our audited financial statements included in our Annual Report on Form 10-K.</w:t>
      </w:r>
    </w:p>
    <w:p>
      <w:pPr>
        <w:spacing w:after="0" w:line="8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annual incentives paid to the named executive officers for 2025 and 2024 performance are included in the “Non-Equity Incentive Plan Compensation” column of the Summary Compensation Table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equity- 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Awards are granted pursuant to our 2020 Plan. Our executives generally are awarded an initial new hire grant upon commencement of employment and thereafter on an annual basis, subject to the discretion of the Board or Compensation Committee, as applicable. The equity awards described in this section are included in the “Option Awards” column of the Summary Compensation Table above.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ETIREMENT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7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2025.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2025.</w:t>
      </w:r>
    </w:p>
    <w:p>
      <w:pPr>
        <w:spacing w:after="0" w:line="38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UR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9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Juan Vera</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We entered into an employment agreement with Dr. Vera in July 2019. Under the terms of his employment agreement, Dr. Vera is eligible to receive a base salary of $350,000 and an annual target incentive opportunity of 35% of his annual base salary based upon the assessment by the Compensation Committee of Dr. Vera’s performance and other conditions as the Board shall have determined in its sole discretion on an annual basis. Pursuant to his employment agreement, Dr. Vera is subject to a covenant not to disclose our confidential information during his employment term and an assignment of intellectual property rights. Also, during his employment term and for a period of 12 months thereafter, Dr. Vera has covenanted not to compete with us and not to solicit any of our customers, vendors or employees.</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4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Under Dr. Vera’s employment agreement, if his employment is terminated by us for cause or by Dr. Vera without good reason (each as defined in his employment agreement) during the term of the agreement, he will be entitled to receive his Accrued Compensation. If Dr. Vera’s employment is terminated by us without cause or by Dr. Vera for good reason, subject to Dr. Vera’s execution of a release of claims against us, and in addition to the payment of the Accrued Compensation, Dr. Vera will be entitled to (i) a payment equal to 12 months of his annual base salary as in effect at the termination date and (ii) a pro-rated bonus payment equal to his target annual performance bonus for the calendar year in which his employment was terminated (the “Vera Additional Severance Payments”). Dr. Vera will also be eligible for continued health insurance coverage until the earliest of (i) 12 months after the date of Dr. Vera’s termination, (ii) the expiration of Dr. Vera’s eligibility for COBRA coverage and (iii) the date Dr. Vera becomes eligible for substantially equivalent health insurance coverage.</w:t>
      </w:r>
    </w:p>
    <w:p>
      <w:pPr>
        <w:spacing w:after="0" w:line="32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Dr. Vera’s employment is terminated by us without cause or by him for good reason during the period of 12 months following a change in control of us (as defined in his employment agreement), in lieu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Additional Severance Payments and health insurance coverage described above and subject to Dr. Vera’s execution of a release of claims, Dr. Vera will be entitled to (i) a payment equal to 12 months of his annual base salary as in effect at the termination date, (ii) a bonus payment equal to his target annual performance bonus for the year of termination and (iii) vesting of all of Dr. Vera’s outstanding equity awards subject to time-based vesting requirements, such that all such equity awards will be fully vested as of the date of Dr. Vera’s termination.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31, 2025</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2025, as adjusted for the ten-for-one (10:1) reverse stock split we completed on January 26, 2023 (the “Reverse Stock Split”).</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4"/>
              </w:rPr>
              <w:t>Option Awards</w:t>
            </w:r>
            <w:r>
              <w:rPr>
                <w:rFonts w:ascii="Times New Roman" w:cs="Times New Roman" w:eastAsia="Times New Roman" w:hAnsi="Times New Roman"/>
                <w:sz w:val="17"/>
                <w:szCs w:val="17"/>
                <w:b w:val="1"/>
                <w:bCs w:val="1"/>
                <w:color w:val="auto"/>
                <w:w w:val="94"/>
                <w:vertAlign w:val="superscript"/>
              </w:rPr>
              <w:t>(1)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1"/>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r>
      <w:tr>
        <w:trPr>
          <w:trHeight w:val="214"/>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D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220" w:type="dxa"/>
            <w:vAlign w:val="bottom"/>
            <w:tcBorders>
              <w:bottom w:val="single" w:sz="8" w:color="CCEDFF"/>
            </w:tcBorders>
          </w:tcPr>
          <w:p>
            <w:pPr>
              <w:spacing w:after="0"/>
              <w:rPr>
                <w:sz w:val="18"/>
                <w:szCs w:val="18"/>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Exercisable</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DFF"/>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Unexercisable</w:t>
            </w:r>
            <w:r>
              <w:rPr>
                <w:rFonts w:ascii="Times New Roman" w:cs="Times New Roman" w:eastAsia="Times New Roman" w:hAnsi="Times New Roman"/>
                <w:sz w:val="17"/>
                <w:szCs w:val="17"/>
                <w:b w:val="1"/>
                <w:bCs w:val="1"/>
                <w:color w:val="auto"/>
                <w:w w:val="95"/>
                <w:vertAlign w:val="superscript"/>
              </w:rPr>
              <w:t>(4)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D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D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60" w:type="dxa"/>
            <w:vAlign w:val="bottom"/>
          </w:tcPr>
          <w:p>
            <w:pPr>
              <w:spacing w:after="0"/>
              <w:rPr>
                <w:sz w:val="18"/>
                <w:szCs w:val="18"/>
                <w:color w:val="auto"/>
              </w:rPr>
            </w:pPr>
          </w:p>
        </w:tc>
      </w:tr>
      <w:tr>
        <w:trPr>
          <w:trHeight w:val="290"/>
        </w:trPr>
        <w:tc>
          <w:tcPr>
            <w:tcW w:w="276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Juan Vera</w:t>
            </w:r>
          </w:p>
        </w:tc>
        <w:tc>
          <w:tcPr>
            <w:tcW w:w="1060" w:type="dxa"/>
            <w:vAlign w:val="bottom"/>
            <w:gridSpan w:val="2"/>
            <w:shd w:val="clear" w:color="auto" w:fill="CCEDFF"/>
          </w:tcPr>
          <w:p>
            <w:pPr>
              <w:jc w:val="center"/>
              <w:ind w:right="20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10/31/2025</w:t>
            </w:r>
          </w:p>
        </w:tc>
        <w:tc>
          <w:tcPr>
            <w:tcW w:w="40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DFF"/>
          </w:tcPr>
          <w:p>
            <w:pPr>
              <w:jc w:val="right"/>
              <w:ind w:right="194"/>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250,000</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DFF"/>
          </w:tcPr>
          <w:p>
            <w:pPr>
              <w:jc w:val="right"/>
              <w:ind w:right="22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$0.9877</w:t>
            </w:r>
          </w:p>
        </w:tc>
        <w:tc>
          <w:tcPr>
            <w:tcW w:w="980" w:type="dxa"/>
            <w:vAlign w:val="bottom"/>
            <w:shd w:val="clear" w:color="auto" w:fill="CCEDFF"/>
          </w:tcPr>
          <w:p>
            <w:pPr>
              <w:jc w:val="cente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10/31/2035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1060" w:type="dxa"/>
            <w:vAlign w:val="bottom"/>
            <w:gridSpan w:val="2"/>
            <w:shd w:val="clear" w:color="auto" w:fill="CCEDFF"/>
          </w:tcPr>
          <w:p>
            <w:pPr>
              <w:jc w:val="center"/>
              <w:ind w:right="200"/>
              <w:spacing w:after="0"/>
              <w:rPr>
                <w:sz w:val="20"/>
                <w:szCs w:val="20"/>
                <w:color w:val="auto"/>
              </w:rPr>
            </w:pPr>
            <w:r>
              <w:rPr>
                <w:rFonts w:ascii="Times New Roman" w:cs="Times New Roman" w:eastAsia="Times New Roman" w:hAnsi="Times New Roman"/>
                <w:sz w:val="18"/>
                <w:szCs w:val="18"/>
                <w:color w:val="auto"/>
              </w:rPr>
              <w:t>​ 2/12/2025</w:t>
            </w: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​16,666</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 33,334</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2/12/2035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5/10/2023</w:t>
            </w:r>
          </w:p>
        </w:tc>
        <w:tc>
          <w:tcPr>
            <w:tcW w:w="220" w:type="dxa"/>
            <w:vAlign w:val="bottom"/>
            <w:shd w:val="clear" w:color="auto" w:fill="CCEDFF"/>
          </w:tcPr>
          <w:p>
            <w:pPr>
              <w:spacing w:after="0"/>
              <w:rPr>
                <w:sz w:val="23"/>
                <w:szCs w:val="23"/>
                <w:color w:val="auto"/>
              </w:rPr>
            </w:pPr>
          </w:p>
        </w:tc>
        <w:tc>
          <w:tcPr>
            <w:tcW w:w="40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5/10/2033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2/27/2023</w:t>
            </w:r>
          </w:p>
        </w:tc>
        <w:tc>
          <w:tcPr>
            <w:tcW w:w="220" w:type="dxa"/>
            <w:vAlign w:val="bottom"/>
            <w:shd w:val="clear" w:color="auto" w:fill="CCEDFF"/>
          </w:tcPr>
          <w:p>
            <w:pPr>
              <w:spacing w:after="0"/>
              <w:rPr>
                <w:sz w:val="23"/>
                <w:szCs w:val="23"/>
                <w:color w:val="auto"/>
              </w:rPr>
            </w:pP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 9,680</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 36,807</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2/27/2032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2/17/2022</w:t>
            </w:r>
          </w:p>
        </w:tc>
        <w:tc>
          <w:tcPr>
            <w:tcW w:w="220" w:type="dxa"/>
            <w:vAlign w:val="bottom"/>
            <w:shd w:val="clear" w:color="auto" w:fill="CCEDFF"/>
          </w:tcPr>
          <w:p>
            <w:pPr>
              <w:spacing w:after="0"/>
              <w:rPr>
                <w:sz w:val="23"/>
                <w:szCs w:val="23"/>
                <w:color w:val="auto"/>
              </w:rPr>
            </w:pP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 7,336</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8,665</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2/17/2032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2/10/2021</w:t>
            </w:r>
          </w:p>
        </w:tc>
        <w:tc>
          <w:tcPr>
            <w:tcW w:w="220" w:type="dxa"/>
            <w:vAlign w:val="bottom"/>
            <w:shd w:val="clear" w:color="auto" w:fill="CCEDFF"/>
          </w:tcPr>
          <w:p>
            <w:pPr>
              <w:spacing w:after="0"/>
              <w:rPr>
                <w:sz w:val="23"/>
                <w:szCs w:val="23"/>
                <w:color w:val="auto"/>
              </w:rPr>
            </w:pP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 9,923</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4,077</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32.90</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2/10/2031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6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84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3/10/2020</w:t>
            </w:r>
          </w:p>
        </w:tc>
        <w:tc>
          <w:tcPr>
            <w:tcW w:w="220" w:type="dxa"/>
            <w:vAlign w:val="bottom"/>
            <w:shd w:val="clear" w:color="auto" w:fill="CCEDFF"/>
          </w:tcPr>
          <w:p>
            <w:pPr>
              <w:spacing w:after="0"/>
              <w:rPr>
                <w:sz w:val="23"/>
                <w:szCs w:val="23"/>
                <w:color w:val="auto"/>
              </w:rPr>
            </w:pPr>
          </w:p>
        </w:tc>
        <w:tc>
          <w:tcPr>
            <w:tcW w:w="920" w:type="dxa"/>
            <w:vAlign w:val="bottom"/>
            <w:gridSpan w:val="2"/>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​13,127</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21.20</w:t>
            </w:r>
          </w:p>
        </w:tc>
        <w:tc>
          <w:tcPr>
            <w:tcW w:w="98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3/10/2030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2560" w:type="dxa"/>
            <w:vAlign w:val="bottom"/>
            <w:shd w:val="clear" w:color="auto" w:fill="CCEDFF"/>
          </w:tcPr>
          <w:p>
            <w:pPr>
              <w:spacing w:after="0"/>
              <w:rPr>
                <w:sz w:val="24"/>
                <w:szCs w:val="24"/>
                <w:color w:val="auto"/>
              </w:rPr>
            </w:pPr>
          </w:p>
        </w:tc>
        <w:tc>
          <w:tcPr>
            <w:tcW w:w="200" w:type="dxa"/>
            <w:vAlign w:val="bottom"/>
            <w:shd w:val="clear" w:color="auto" w:fill="CCEDFF"/>
          </w:tcPr>
          <w:p>
            <w:pPr>
              <w:spacing w:after="0"/>
              <w:rPr>
                <w:sz w:val="24"/>
                <w:szCs w:val="24"/>
                <w:color w:val="auto"/>
              </w:rPr>
            </w:pPr>
          </w:p>
        </w:tc>
        <w:tc>
          <w:tcPr>
            <w:tcW w:w="840" w:type="dxa"/>
            <w:vAlign w:val="bottom"/>
            <w:shd w:val="clear" w:color="auto" w:fill="CCEDFF"/>
          </w:tcPr>
          <w:p>
            <w:pPr>
              <w:jc w:val="center"/>
              <w:spacing w:after="0" w:line="338"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10/19/2018</w:t>
            </w:r>
          </w:p>
        </w:tc>
        <w:tc>
          <w:tcPr>
            <w:tcW w:w="220" w:type="dxa"/>
            <w:vAlign w:val="bottom"/>
            <w:shd w:val="clear" w:color="auto" w:fill="CCEDFF"/>
          </w:tcPr>
          <w:p>
            <w:pPr>
              <w:spacing w:after="0"/>
              <w:rPr>
                <w:sz w:val="24"/>
                <w:szCs w:val="24"/>
                <w:color w:val="auto"/>
              </w:rPr>
            </w:pPr>
          </w:p>
        </w:tc>
        <w:tc>
          <w:tcPr>
            <w:tcW w:w="920" w:type="dxa"/>
            <w:vAlign w:val="bottom"/>
            <w:gridSpan w:val="2"/>
            <w:shd w:val="clear" w:color="auto" w:fill="CCEDFF"/>
          </w:tcPr>
          <w:p>
            <w:pPr>
              <w:jc w:val="right"/>
              <w:ind w:right="110"/>
              <w:spacing w:after="0" w:line="33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50,000</w:t>
            </w:r>
          </w:p>
        </w:tc>
        <w:tc>
          <w:tcPr>
            <w:tcW w:w="22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D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D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91.80</w:t>
            </w:r>
          </w:p>
        </w:tc>
        <w:tc>
          <w:tcPr>
            <w:tcW w:w="980" w:type="dxa"/>
            <w:vAlign w:val="bottom"/>
            <w:shd w:val="clear" w:color="auto" w:fill="CCEDFF"/>
          </w:tcPr>
          <w:p>
            <w:pPr>
              <w:jc w:val="center"/>
              <w:spacing w:after="0" w:line="338"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10/19/2028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-1439545</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-1439545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-1439545</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-1439545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-1439545</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8256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13" w:lineRule="exact"/>
        <w:rPr>
          <w:sz w:val="20"/>
          <w:szCs w:val="20"/>
          <w:color w:val="auto"/>
        </w:rPr>
      </w:pPr>
    </w:p>
    <w:p>
      <w:pPr>
        <w:jc w:val="both"/>
        <w:ind w:left="1620" w:right="41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awards listed in the table granted prior to June 2020 were granted under our 2014 Omnibus Stock Ownership Plan. The option awards listed in the table granted after June 2020 were granted under our 2020 Plan.</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award vest in substantially equal monthly installments over 48 months from the date of grant, subject to the named executive officer’s continued service as of each such vesting date.</w:t>
      </w:r>
    </w:p>
    <w:p>
      <w:pPr>
        <w:spacing w:after="0" w:line="214"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shares subject to this award vested upon the first anniversary of the date of grant, with the remainder of the shares vesting in substantially equal monthly installments over 48 months from the date of grant, subject to the named executive officer’s continued service as of each such vesting date.</w:t>
      </w:r>
    </w:p>
    <w:p>
      <w:pPr>
        <w:spacing w:after="0" w:line="23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p>
    <w:p>
      <w:pPr>
        <w:ind w:left="1620" w:right="419" w:hanging="360"/>
        <w:spacing w:after="0" w:line="261"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were canceled after separation and Vested Options were canceled 90 days after separation.</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TEM</w:t>
      </w:r>
      <w:r>
        <w:rPr>
          <w:rFonts w:ascii="Times New Roman" w:cs="Times New Roman" w:eastAsia="Times New Roman" w:hAnsi="Times New Roman"/>
          <w:sz w:val="18"/>
          <w:szCs w:val="18"/>
          <w:b w:val="1"/>
          <w:bCs w:val="1"/>
          <w:color w:val="auto"/>
        </w:rPr>
        <w:t xml:space="preserve"> 402(V) P</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ERFORMANCE</w:t>
      </w:r>
    </w:p>
    <w:p>
      <w:pPr>
        <w:spacing w:after="0" w:line="175"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to Non-PEO NEOs” have been calculated in a manner consistent with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Item 402(v) of Regulation S-K. Use of the term “compensation actually paid” is required by the SEC’s rules, and as a result of the calculation methodology required by the SEC, such amounts differ from compensation actually received by the individuals for the fiscal years listed below. In calculating the compensation actually paid amounts reflected in these columns, the fair value or change in fair value, as applicable, of the equity award adjustments included in such calculations were computed in accordance with FASB ASC Topic 718.</w:t>
      </w:r>
    </w:p>
    <w:p>
      <w:pPr>
        <w:spacing w:after="0" w:line="200" w:lineRule="exact"/>
        <w:rPr>
          <w:sz w:val="20"/>
          <w:szCs w:val="20"/>
          <w:color w:val="auto"/>
        </w:rPr>
      </w:pPr>
    </w:p>
    <w:p>
      <w:pPr>
        <w:spacing w:after="0" w:line="2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Disclosure</w:t>
      </w:r>
    </w:p>
    <w:p>
      <w:pPr>
        <w:spacing w:after="0" w:line="148"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140" w:type="dxa"/>
            <w:vAlign w:val="bottom"/>
          </w:tcPr>
          <w:p>
            <w:pPr>
              <w:spacing w:after="0"/>
              <w:rPr>
                <w:sz w:val="12"/>
                <w:szCs w:val="12"/>
                <w:color w:val="auto"/>
              </w:rPr>
            </w:pPr>
          </w:p>
        </w:tc>
        <w:tc>
          <w:tcPr>
            <w:tcW w:w="820" w:type="dxa"/>
            <w:vAlign w:val="bottom"/>
            <w:gridSpan w:val="2"/>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80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5"/>
              </w:rPr>
              <w:t>PEO 1</w:t>
            </w:r>
            <w:r>
              <w:rPr>
                <w:rFonts w:ascii="Times New Roman" w:cs="Times New Roman" w:eastAsia="Times New Roman" w:hAnsi="Times New Roman"/>
                <w:sz w:val="17"/>
                <w:szCs w:val="17"/>
                <w:b w:val="1"/>
                <w:bCs w:val="1"/>
                <w:color w:val="auto"/>
                <w:w w:val="95"/>
                <w:vertAlign w:val="superscript"/>
              </w:rPr>
              <w:t>(1)</w:t>
            </w:r>
          </w:p>
        </w:tc>
        <w:tc>
          <w:tcPr>
            <w:tcW w:w="140" w:type="dxa"/>
            <w:vAlign w:val="bottom"/>
          </w:tcPr>
          <w:p>
            <w:pPr>
              <w:spacing w:after="0"/>
              <w:rPr>
                <w:sz w:val="15"/>
                <w:szCs w:val="15"/>
                <w:color w:val="auto"/>
              </w:rPr>
            </w:pPr>
          </w:p>
        </w:tc>
        <w:tc>
          <w:tcPr>
            <w:tcW w:w="820" w:type="dxa"/>
            <w:vAlign w:val="bottom"/>
            <w:gridSpan w:val="2"/>
          </w:tcPr>
          <w:p>
            <w:pPr>
              <w:jc w:val="center"/>
              <w:ind w:right="21"/>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PEO 1</w:t>
            </w:r>
            <w:r>
              <w:rPr>
                <w:rFonts w:ascii="Times New Roman" w:cs="Times New Roman" w:eastAsia="Times New Roman" w:hAnsi="Times New Roman"/>
                <w:sz w:val="8"/>
                <w:szCs w:val="8"/>
                <w:b w:val="1"/>
                <w:bCs w:val="1"/>
                <w:color w:val="auto"/>
              </w:rPr>
              <w:t>(1)(2)(3)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39"/>
              <w:spacing w:after="0" w:line="176" w:lineRule="exact"/>
              <w:rPr>
                <w:sz w:val="20"/>
                <w:szCs w:val="20"/>
                <w:color w:val="auto"/>
              </w:rPr>
            </w:pPr>
            <w:r>
              <w:rPr>
                <w:rFonts w:ascii="Times New Roman" w:cs="Times New Roman" w:eastAsia="Times New Roman" w:hAnsi="Times New Roman"/>
                <w:sz w:val="14"/>
                <w:szCs w:val="14"/>
                <w:b w:val="1"/>
                <w:bCs w:val="1"/>
                <w:color w:val="auto"/>
                <w:w w:val="95"/>
              </w:rPr>
              <w:t>PEO 2</w:t>
            </w:r>
            <w:r>
              <w:rPr>
                <w:rFonts w:ascii="Times New Roman" w:cs="Times New Roman" w:eastAsia="Times New Roman" w:hAnsi="Times New Roman"/>
                <w:sz w:val="17"/>
                <w:szCs w:val="17"/>
                <w:b w:val="1"/>
                <w:bCs w:val="1"/>
                <w:color w:val="auto"/>
                <w:w w:val="95"/>
                <w:vertAlign w:val="superscript"/>
              </w:rPr>
              <w:t>(1)</w:t>
            </w:r>
          </w:p>
        </w:tc>
        <w:tc>
          <w:tcPr>
            <w:tcW w:w="80" w:type="dxa"/>
            <w:vAlign w:val="bottom"/>
          </w:tcPr>
          <w:p>
            <w:pPr>
              <w:spacing w:after="0"/>
              <w:rPr>
                <w:sz w:val="15"/>
                <w:szCs w:val="15"/>
                <w:color w:val="auto"/>
              </w:rPr>
            </w:pPr>
          </w:p>
        </w:tc>
        <w:tc>
          <w:tcPr>
            <w:tcW w:w="9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PEO 2</w:t>
            </w:r>
            <w:r>
              <w:rPr>
                <w:rFonts w:ascii="Times New Roman" w:cs="Times New Roman" w:eastAsia="Times New Roman" w:hAnsi="Times New Roman"/>
                <w:sz w:val="8"/>
                <w:szCs w:val="8"/>
                <w:b w:val="1"/>
                <w:bCs w:val="1"/>
                <w:color w:val="auto"/>
              </w:rPr>
              <w:t>(1)(2)(3)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161"/>
              <w:spacing w:after="0" w:line="176" w:lineRule="exact"/>
              <w:rPr>
                <w:sz w:val="20"/>
                <w:szCs w:val="20"/>
                <w:color w:val="auto"/>
              </w:rPr>
            </w:pPr>
            <w:r>
              <w:rPr>
                <w:rFonts w:ascii="Times New Roman" w:cs="Times New Roman" w:eastAsia="Times New Roman" w:hAnsi="Times New Roman"/>
                <w:sz w:val="14"/>
                <w:szCs w:val="14"/>
                <w:b w:val="1"/>
                <w:bCs w:val="1"/>
                <w:color w:val="auto"/>
                <w:w w:val="89"/>
              </w:rPr>
              <w:t>NEOs</w:t>
            </w:r>
            <w:r>
              <w:rPr>
                <w:rFonts w:ascii="Times New Roman" w:cs="Times New Roman" w:eastAsia="Times New Roman" w:hAnsi="Times New Roman"/>
                <w:sz w:val="17"/>
                <w:szCs w:val="17"/>
                <w:b w:val="1"/>
                <w:bCs w:val="1"/>
                <w:color w:val="auto"/>
                <w:w w:val="89"/>
                <w:vertAlign w:val="superscript"/>
              </w:rPr>
              <w:t>(1)</w:t>
            </w:r>
          </w:p>
        </w:tc>
        <w:tc>
          <w:tcPr>
            <w:tcW w:w="140" w:type="dxa"/>
            <w:vAlign w:val="bottom"/>
          </w:tcPr>
          <w:p>
            <w:pPr>
              <w:spacing w:after="0"/>
              <w:rPr>
                <w:sz w:val="15"/>
                <w:szCs w:val="15"/>
                <w:color w:val="auto"/>
              </w:rPr>
            </w:pPr>
          </w:p>
        </w:tc>
        <w:tc>
          <w:tcPr>
            <w:tcW w:w="820" w:type="dxa"/>
            <w:vAlign w:val="bottom"/>
            <w:gridSpan w:val="2"/>
          </w:tcPr>
          <w:p>
            <w:pPr>
              <w:jc w:val="center"/>
              <w:ind w:right="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NEOs</w:t>
            </w:r>
            <w:r>
              <w:rPr>
                <w:rFonts w:ascii="Times New Roman" w:cs="Times New Roman" w:eastAsia="Times New Roman" w:hAnsi="Times New Roman"/>
                <w:sz w:val="8"/>
                <w:szCs w:val="8"/>
                <w:b w:val="1"/>
                <w:bCs w:val="1"/>
                <w:color w:val="auto"/>
              </w:rPr>
              <w:t>(1)(2)(3)</w:t>
            </w:r>
          </w:p>
        </w:tc>
        <w:tc>
          <w:tcPr>
            <w:tcW w:w="80" w:type="dxa"/>
            <w:vAlign w:val="bottom"/>
          </w:tcPr>
          <w:p>
            <w:pPr>
              <w:spacing w:after="0"/>
              <w:rPr>
                <w:sz w:val="15"/>
                <w:szCs w:val="15"/>
                <w:color w:val="auto"/>
              </w:rPr>
            </w:pPr>
          </w:p>
        </w:tc>
        <w:tc>
          <w:tcPr>
            <w:tcW w:w="7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5"/>
              </w:rPr>
              <w:t>on TSR</w:t>
            </w:r>
            <w:r>
              <w:rPr>
                <w:rFonts w:ascii="Times New Roman" w:cs="Times New Roman" w:eastAsia="Times New Roman" w:hAnsi="Times New Roman"/>
                <w:sz w:val="17"/>
                <w:szCs w:val="17"/>
                <w:b w:val="1"/>
                <w:bCs w:val="1"/>
                <w:color w:val="auto"/>
                <w:w w:val="95"/>
                <w:vertAlign w:val="superscript"/>
              </w:rPr>
              <w:t>(4)</w:t>
            </w:r>
          </w:p>
        </w:tc>
        <w:tc>
          <w:tcPr>
            <w:tcW w:w="14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0"/>
              </w:rPr>
              <w:t>Net Income</w:t>
            </w:r>
          </w:p>
        </w:tc>
        <w:tc>
          <w:tcPr>
            <w:tcW w:w="60" w:type="dxa"/>
            <w:vAlign w:val="bottom"/>
          </w:tcPr>
          <w:p>
            <w:pPr>
              <w:spacing w:after="0"/>
              <w:rPr>
                <w:sz w:val="15"/>
                <w:szCs w:val="15"/>
                <w:color w:val="auto"/>
              </w:rPr>
            </w:pPr>
          </w:p>
        </w:tc>
      </w:tr>
      <w:tr>
        <w:trPr>
          <w:trHeight w:val="214"/>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8"/>
                <w:szCs w:val="18"/>
                <w:color w:val="auto"/>
              </w:rPr>
            </w:pPr>
          </w:p>
        </w:tc>
        <w:tc>
          <w:tcPr>
            <w:tcW w:w="62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Millions)</w:t>
            </w:r>
          </w:p>
        </w:tc>
      </w:tr>
      <w:tr>
        <w:trPr>
          <w:trHeight w:val="20"/>
        </w:trPr>
        <w:tc>
          <w:tcPr>
            <w:tcW w:w="800" w:type="dxa"/>
            <w:vAlign w:val="bottom"/>
            <w:tcBorders>
              <w:right w:val="single" w:sz="8" w:color="CCED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D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D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D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DFF"/>
            </w:tcBorders>
            <w:shd w:val="clear" w:color="auto" w:fill="CCED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DFF"/>
            </w:tcBorders>
            <w:shd w:val="clear" w:color="auto" w:fill="CCED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shd w:val="clear" w:color="auto" w:fill="CCEDFF"/>
          </w:tcPr>
          <w:p>
            <w:pPr>
              <w:jc w:val="center"/>
              <w:ind w:right="19"/>
              <w:spacing w:after="0"/>
              <w:rPr>
                <w:sz w:val="20"/>
                <w:szCs w:val="20"/>
                <w:color w:val="auto"/>
              </w:rPr>
            </w:pPr>
            <w:r>
              <w:rPr>
                <w:rFonts w:ascii="Times New Roman" w:cs="Times New Roman" w:eastAsia="Times New Roman" w:hAnsi="Times New Roman"/>
                <w:sz w:val="18"/>
                <w:szCs w:val="18"/>
                <w:color w:val="auto"/>
              </w:rPr>
              <w:t>​415,385</w:t>
            </w:r>
          </w:p>
        </w:tc>
        <w:tc>
          <w:tcPr>
            <w:tcW w:w="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641,447 ​​​</w:t>
            </w:r>
          </w:p>
        </w:tc>
        <w:tc>
          <w:tcPr>
            <w:tcW w:w="12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DFF"/>
            </w:tcBorders>
            <w:shd w:val="clear" w:color="auto" w:fill="CCED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DFF"/>
            </w:tcBorders>
            <w:shd w:val="clear" w:color="auto" w:fill="CCED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DFF"/>
            </w:tcBorders>
            <w:shd w:val="clear" w:color="auto" w:fill="CCEDFF"/>
          </w:tcPr>
          <w:p>
            <w:pPr>
              <w:jc w:val="right"/>
              <w:ind w:right="21"/>
              <w:spacing w:after="0"/>
              <w:rPr>
                <w:sz w:val="20"/>
                <w:szCs w:val="20"/>
                <w:color w:val="auto"/>
              </w:rPr>
            </w:pPr>
            <w:r>
              <w:rPr>
                <w:rFonts w:ascii="Times New Roman" w:cs="Times New Roman" w:eastAsia="Times New Roman" w:hAnsi="Times New Roman"/>
                <w:sz w:val="18"/>
                <w:szCs w:val="18"/>
                <w:color w:val="auto"/>
              </w:rPr>
              <w:t>47.91</w:t>
            </w:r>
          </w:p>
        </w:tc>
        <w:tc>
          <w:tcPr>
            <w:tcW w:w="14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​(12.20)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96,778 ​​​</w:t>
            </w:r>
          </w:p>
        </w:tc>
        <w:tc>
          <w:tcPr>
            <w:tcW w:w="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56.55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80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right w:val="single" w:sz="8" w:color="CCEDFF"/>
            </w:tcBorders>
            <w:gridSpan w:val="2"/>
            <w:shd w:val="clear" w:color="auto" w:fill="CCEDFF"/>
          </w:tcPr>
          <w:p>
            <w:pPr>
              <w:jc w:val="right"/>
              <w:ind w:right="76"/>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581,895</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gridSpan w:val="2"/>
            <w:shd w:val="clear" w:color="auto" w:fill="CCEDFF"/>
          </w:tcPr>
          <w:p>
            <w:pPr>
              <w:jc w:val="right"/>
              <w:ind w:right="61"/>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505,413</w:t>
            </w:r>
          </w:p>
        </w:tc>
        <w:tc>
          <w:tcPr>
            <w:tcW w:w="1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shd w:val="clear" w:color="auto" w:fill="CCEDFF"/>
          </w:tcPr>
          <w:p>
            <w:pPr>
              <w:jc w:val="center"/>
              <w:ind w:right="19"/>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585,675</w:t>
            </w:r>
          </w:p>
        </w:tc>
        <w:tc>
          <w:tcPr>
            <w:tcW w:w="1140" w:type="dxa"/>
            <w:vAlign w:val="bottom"/>
            <w:gridSpan w:val="5"/>
            <w:shd w:val="clear" w:color="auto" w:fill="CCEDFF"/>
          </w:tcPr>
          <w:p>
            <w:pPr>
              <w:jc w:val="right"/>
              <w:spacing w:after="0" w:line="324" w:lineRule="exact"/>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1,144,350 </w:t>
            </w:r>
            <w:r>
              <w:rPr>
                <w:rFonts w:ascii="Times New Roman" w:cs="Times New Roman" w:eastAsia="Times New Roman" w:hAnsi="Times New Roman"/>
                <w:sz w:val="35"/>
                <w:szCs w:val="35"/>
                <w:color w:val="auto"/>
                <w:vertAlign w:val="subscript"/>
              </w:rPr>
              <w:t>​​​</w:t>
            </w:r>
          </w:p>
        </w:tc>
        <w:tc>
          <w:tcPr>
            <w:tcW w:w="840" w:type="dxa"/>
            <w:vAlign w:val="bottom"/>
            <w:tcBorders>
              <w:right w:val="single" w:sz="8" w:color="CCEDFF"/>
            </w:tcBorders>
            <w:gridSpan w:val="2"/>
            <w:shd w:val="clear" w:color="auto" w:fill="CCEDFF"/>
          </w:tcPr>
          <w:p>
            <w:pPr>
              <w:jc w:val="right"/>
              <w:ind w:right="81"/>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220,103</w:t>
            </w:r>
          </w:p>
        </w:tc>
        <w:tc>
          <w:tcPr>
            <w:tcW w:w="140" w:type="dxa"/>
            <w:vAlign w:val="bottom"/>
            <w:tcBorders>
              <w:right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DFF"/>
            </w:tcBorders>
            <w:gridSpan w:val="2"/>
            <w:shd w:val="clear" w:color="auto" w:fill="CCEDFF"/>
          </w:tcPr>
          <w:p>
            <w:pPr>
              <w:jc w:val="right"/>
              <w:ind w:right="62"/>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108,382</w:t>
            </w:r>
          </w:p>
        </w:tc>
        <w:tc>
          <w:tcPr>
            <w:tcW w:w="800" w:type="dxa"/>
            <w:vAlign w:val="bottom"/>
            <w:tcBorders>
              <w:right w:val="single" w:sz="8" w:color="CCEDFF"/>
            </w:tcBorders>
            <w:gridSpan w:val="3"/>
            <w:shd w:val="clear" w:color="auto" w:fill="CCEDFF"/>
          </w:tcPr>
          <w:p>
            <w:pPr>
              <w:jc w:val="right"/>
              <w:ind w:right="21"/>
              <w:spacing w:after="0" w:line="324" w:lineRule="exact"/>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206.84</w:t>
            </w:r>
          </w:p>
        </w:tc>
        <w:tc>
          <w:tcPr>
            <w:tcW w:w="140" w:type="dxa"/>
            <w:vAlign w:val="bottom"/>
            <w:tcBorders>
              <w:right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DFF"/>
          </w:tcPr>
          <w:p>
            <w:pPr>
              <w:ind w:left="6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(8.24)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-548005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-548005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-548005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-548005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-548005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-548005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-548005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-548005</wp:posOffset>
            </wp:positionV>
            <wp:extent cx="34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4" w:lineRule="exact"/>
        <w:rPr>
          <w:sz w:val="20"/>
          <w:szCs w:val="20"/>
          <w:color w:val="auto"/>
        </w:rPr>
      </w:pPr>
    </w:p>
    <w:p>
      <w:pPr>
        <w:jc w:val="both"/>
        <w:ind w:left="1620" w:right="41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Hoang was our PEO (PEO 1) through April 30, 2023. Juan Vera became our PEO (PEO 2) effective May 1, 2023. For 2023, the Non-PEO NEO was Mythili Koneru. There were no Non-PEO NEOs for 2024 or 2025.</w:t>
      </w:r>
    </w:p>
    <w:p>
      <w:pPr>
        <w:spacing w:after="0" w:line="5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4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as set forth below. Equity values are calculated in accordance with FASB ASC Topic 718. Amounts in the Exclusion of Option Awards column are the totals from the Option Awards column set forth in the Summary Compensation Table.</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4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PEO 2</w:t>
            </w:r>
          </w:p>
        </w:tc>
        <w:tc>
          <w:tcPr>
            <w:tcW w:w="40" w:type="dxa"/>
            <w:vAlign w:val="bottom"/>
          </w:tcPr>
          <w:p>
            <w:pPr>
              <w:spacing w:after="0"/>
              <w:rPr>
                <w:sz w:val="14"/>
                <w:szCs w:val="14"/>
                <w:color w:val="auto"/>
              </w:rPr>
            </w:pPr>
          </w:p>
        </w:tc>
      </w:tr>
      <w:tr>
        <w:trPr>
          <w:trHeight w:val="214"/>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​415,385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74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$226,063 </w:t>
            </w:r>
            <w:r>
              <w:rPr>
                <w:rFonts w:ascii="Times New Roman" w:cs="Times New Roman" w:eastAsia="Times New Roman" w:hAnsi="Times New Roman"/>
                <w:sz w:val="35"/>
                <w:szCs w:val="35"/>
                <w:color w:val="auto"/>
                <w:vertAlign w:val="subscript"/>
              </w:rPr>
              <w:t>​​ ​</w:t>
            </w:r>
          </w:p>
        </w:tc>
        <w:tc>
          <w:tcPr>
            <w:tcW w:w="20" w:type="dxa"/>
            <w:vAlign w:val="bottom"/>
          </w:tcPr>
          <w:p>
            <w:pPr>
              <w:spacing w:after="0"/>
              <w:rPr>
                <w:sz w:val="24"/>
                <w:szCs w:val="24"/>
                <w:color w:val="auto"/>
              </w:rPr>
            </w:pPr>
          </w:p>
        </w:tc>
        <w:tc>
          <w:tcPr>
            <w:tcW w:w="880" w:type="dxa"/>
            <w:vAlign w:val="bottom"/>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$641,447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74916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97"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Vesting-Date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Year</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Vesting</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at Last</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Other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Last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 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That Remained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 as of</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of</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Forefeited</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 Not</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Inclusion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Last Day</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Otherwise</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Included</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Values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PEO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PEO 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7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CCED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D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shd w:val="clear" w:color="auto" w:fill="CCEDFF"/>
              </w:rPr>
              <w:t>2025</w:t>
            </w:r>
          </w:p>
        </w:tc>
        <w:tc>
          <w:tcPr>
            <w:tcW w:w="180" w:type="dxa"/>
            <w:vAlign w:val="bottom"/>
            <w:shd w:val="clear" w:color="auto" w:fill="CCED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DFF"/>
              </w:rPr>
              <w:t>​ ​</w:t>
            </w:r>
          </w:p>
        </w:tc>
        <w:tc>
          <w:tcPr>
            <w:tcW w:w="96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w w:val="97"/>
                <w:vertAlign w:val="subscript"/>
                <w:shd w:val="clear" w:color="auto" w:fill="CCEDFF"/>
              </w:rPr>
              <w:t>​</w:t>
            </w:r>
            <w:r>
              <w:rPr>
                <w:rFonts w:ascii="Times New Roman" w:cs="Times New Roman" w:eastAsia="Times New Roman" w:hAnsi="Times New Roman"/>
                <w:sz w:val="18"/>
                <w:szCs w:val="18"/>
                <w:color w:val="auto"/>
                <w:w w:val="97"/>
                <w:shd w:val="clear" w:color="auto" w:fill="CCEDFF"/>
              </w:rPr>
              <w:t>$ 378,429</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 ​</w:t>
            </w:r>
          </w:p>
        </w:tc>
        <w:tc>
          <w:tcPr>
            <w:tcW w:w="1120" w:type="dxa"/>
            <w:vAlign w:val="bottom"/>
            <w:gridSpan w:val="2"/>
            <w:shd w:val="clear" w:color="auto" w:fill="CCEDFF"/>
          </w:tcPr>
          <w:p>
            <w:pPr>
              <w:jc w:val="right"/>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w:t>
            </w:r>
            <w:r>
              <w:rPr>
                <w:rFonts w:ascii="Times New Roman" w:cs="Times New Roman" w:eastAsia="Times New Roman" w:hAnsi="Times New Roman"/>
                <w:sz w:val="18"/>
                <w:szCs w:val="18"/>
                <w:color w:val="auto"/>
                <w:shd w:val="clear" w:color="auto" w:fill="CCEDFF"/>
              </w:rPr>
              <w:t xml:space="preserve">$ (98,116) </w:t>
            </w:r>
            <w:r>
              <w:rPr>
                <w:rFonts w:ascii="Times New Roman" w:cs="Times New Roman" w:eastAsia="Times New Roman" w:hAnsi="Times New Roman"/>
                <w:sz w:val="35"/>
                <w:szCs w:val="35"/>
                <w:color w:val="auto"/>
                <w:vertAlign w:val="subscript"/>
                <w:shd w:val="clear" w:color="auto" w:fill="CCEDFF"/>
              </w:rPr>
              <w:t>​​ ​</w:t>
            </w:r>
          </w:p>
        </w:tc>
        <w:tc>
          <w:tcPr>
            <w:tcW w:w="80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w:t>
            </w:r>
            <w:r>
              <w:rPr>
                <w:rFonts w:ascii="Times New Roman" w:cs="Times New Roman" w:eastAsia="Times New Roman" w:hAnsi="Times New Roman"/>
                <w:sz w:val="18"/>
                <w:szCs w:val="18"/>
                <w:color w:val="auto"/>
                <w:shd w:val="clear" w:color="auto" w:fill="CCEDFF"/>
              </w:rPr>
              <w:t>$—</w:t>
            </w:r>
          </w:p>
        </w:tc>
        <w:tc>
          <w:tcPr>
            <w:tcW w:w="1120" w:type="dxa"/>
            <w:vAlign w:val="bottom"/>
            <w:gridSpan w:val="4"/>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 ​ ​</w:t>
            </w:r>
            <w:r>
              <w:rPr>
                <w:rFonts w:ascii="Times New Roman" w:cs="Times New Roman" w:eastAsia="Times New Roman" w:hAnsi="Times New Roman"/>
                <w:sz w:val="18"/>
                <w:szCs w:val="18"/>
                <w:color w:val="auto"/>
                <w:shd w:val="clear" w:color="auto" w:fill="CCEDFF"/>
              </w:rPr>
              <w:t>$(54,250)</w:t>
            </w:r>
            <w:r>
              <w:rPr>
                <w:rFonts w:ascii="Times New Roman" w:cs="Times New Roman" w:eastAsia="Times New Roman" w:hAnsi="Times New Roman"/>
                <w:sz w:val="35"/>
                <w:szCs w:val="35"/>
                <w:color w:val="auto"/>
                <w:vertAlign w:val="subscript"/>
                <w:shd w:val="clear" w:color="auto" w:fill="CCEDFF"/>
              </w:rPr>
              <w:t>​​ ​</w:t>
            </w:r>
          </w:p>
        </w:tc>
        <w:tc>
          <w:tcPr>
            <w:tcW w:w="80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w:t>
            </w:r>
            <w:r>
              <w:rPr>
                <w:rFonts w:ascii="Times New Roman" w:cs="Times New Roman" w:eastAsia="Times New Roman" w:hAnsi="Times New Roman"/>
                <w:sz w:val="18"/>
                <w:szCs w:val="18"/>
                <w:color w:val="auto"/>
                <w:shd w:val="clear" w:color="auto" w:fill="CCEDFF"/>
              </w:rPr>
              <w:t>$—</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DFF"/>
              </w:rPr>
              <w:t>​​ ​</w:t>
            </w:r>
          </w:p>
        </w:tc>
        <w:tc>
          <w:tcPr>
            <w:tcW w:w="760" w:type="dxa"/>
            <w:vAlign w:val="bottom"/>
            <w:tcBorders>
              <w:right w:val="single" w:sz="8" w:color="CCEDFF"/>
            </w:tcBorders>
            <w:shd w:val="clear" w:color="auto" w:fill="CCEDFF"/>
          </w:tcPr>
          <w:p>
            <w:pPr>
              <w:jc w:val="cente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w:t>
            </w:r>
            <w:r>
              <w:rPr>
                <w:rFonts w:ascii="Times New Roman" w:cs="Times New Roman" w:eastAsia="Times New Roman" w:hAnsi="Times New Roman"/>
                <w:sz w:val="18"/>
                <w:szCs w:val="18"/>
                <w:color w:val="auto"/>
                <w:shd w:val="clear" w:color="auto" w:fill="CCEDFF"/>
              </w:rPr>
              <w:t>$—</w:t>
            </w:r>
          </w:p>
        </w:tc>
        <w:tc>
          <w:tcPr>
            <w:tcW w:w="880" w:type="dxa"/>
            <w:vAlign w:val="bottom"/>
            <w:gridSpan w:val="3"/>
            <w:shd w:val="clear" w:color="auto" w:fill="CCEDFF"/>
          </w:tcPr>
          <w:p>
            <w:pPr>
              <w:spacing w:after="0" w:line="304" w:lineRule="exact"/>
              <w:rPr>
                <w:sz w:val="20"/>
                <w:szCs w:val="20"/>
                <w:color w:val="auto"/>
              </w:rPr>
            </w:pPr>
            <w:r>
              <w:rPr>
                <w:rFonts w:ascii="Times New Roman" w:cs="Times New Roman" w:eastAsia="Times New Roman" w:hAnsi="Times New Roman"/>
                <w:sz w:val="35"/>
                <w:szCs w:val="35"/>
                <w:color w:val="auto"/>
                <w:vertAlign w:val="subscript"/>
                <w:shd w:val="clear" w:color="auto" w:fill="CCEDFF"/>
              </w:rPr>
              <w:t>​​ ​​</w:t>
            </w:r>
            <w:r>
              <w:rPr>
                <w:rFonts w:ascii="Times New Roman" w:cs="Times New Roman" w:eastAsia="Times New Roman" w:hAnsi="Times New Roman"/>
                <w:sz w:val="18"/>
                <w:szCs w:val="18"/>
                <w:color w:val="auto"/>
                <w:shd w:val="clear" w:color="auto" w:fill="CCEDFF"/>
              </w:rPr>
              <w:t>$226,063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-205105</wp:posOffset>
            </wp:positionV>
            <wp:extent cx="1200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-205105</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-205105</wp:posOffset>
            </wp:positionV>
            <wp:extent cx="120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-205105</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-205105</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-205105</wp:posOffset>
            </wp:positionV>
            <wp:extent cx="120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-205105</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 w:lineRule="exact"/>
        <w:rPr>
          <w:sz w:val="20"/>
          <w:szCs w:val="20"/>
          <w:color w:val="auto"/>
        </w:rPr>
      </w:pPr>
    </w:p>
    <w:p>
      <w:pPr>
        <w:jc w:val="both"/>
        <w:ind w:left="1620" w:right="419" w:hanging="360"/>
        <w:spacing w:after="0" w:line="275"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2022 through the end of the listed year. Historical stock performance is not necessarily indicative of future stock performance.</w:t>
      </w:r>
    </w:p>
    <w:p>
      <w:pPr>
        <w:spacing w:after="0" w:line="388" w:lineRule="exact"/>
        <w:rPr>
          <w:sz w:val="20"/>
          <w:szCs w:val="20"/>
          <w:color w:val="auto"/>
        </w:rPr>
      </w:pPr>
    </w:p>
    <w:p>
      <w:pPr>
        <w:jc w:val="both"/>
        <w:ind w:left="1260" w:right="419"/>
        <w:spacing w:after="0" w:line="284" w:lineRule="auto"/>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Total Shareholder Return (“TSR”)</w:t>
      </w:r>
    </w:p>
    <w:p>
      <w:pPr>
        <w:spacing w:after="0" w:line="106"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the cumulative TSR over the three most recently completed fiscal years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109855</wp:posOffset>
            </wp:positionV>
            <wp:extent cx="5031740" cy="28714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317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97790</wp:posOffset>
            </wp:positionV>
            <wp:extent cx="5031740" cy="2828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317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with respect to</w:t>
      </w:r>
    </w:p>
    <w:p>
      <w:pPr>
        <w:sectPr>
          <w:pgSz w:w="11900" w:h="16838" w:orient="portrait"/>
          <w:cols w:equalWidth="0" w:num="1">
            <w:col w:w="9879"/>
          </w:cols>
          <w:pgMar w:left="580" w:top="97" w:right="1440" w:bottom="1440" w:gutter="0" w:footer="0" w:header="0"/>
        </w:sectPr>
      </w:pP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compensation of our non-employee directors:</w:t>
      </w:r>
    </w:p>
    <w:p>
      <w:pPr>
        <w:spacing w:after="0" w:line="2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32"/>
          <w:szCs w:val="32"/>
          <w:b w:val="1"/>
          <w:bCs w:val="1"/>
          <w:color w:val="auto"/>
          <w:vertAlign w:val="subscript"/>
        </w:rPr>
        <w:t>Name</w:t>
      </w:r>
      <w:r>
        <w:rPr>
          <w:rFonts w:ascii="Times New Roman" w:cs="Times New Roman" w:eastAsia="Times New Roman" w:hAnsi="Times New Roman"/>
          <w:sz w:val="10"/>
          <w:szCs w:val="10"/>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59690</wp:posOffset>
            </wp:positionV>
            <wp:extent cx="4749165"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David Eansor</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Steven 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29210</wp:posOffset>
            </wp:positionV>
            <wp:extent cx="474916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Katharine Knobil</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Kathryn Penkus Corzo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174625</wp:posOffset>
            </wp:positionV>
            <wp:extent cx="18345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200" w:type="dxa"/>
            <w:vAlign w:val="bottom"/>
          </w:tcPr>
          <w:p>
            <w:pPr>
              <w:spacing w:after="0"/>
              <w:rPr>
                <w:sz w:val="16"/>
                <w:szCs w:val="1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Option Awards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0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Paid in Cash</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1060" w:type="dxa"/>
            <w:vAlign w:val="bottom"/>
          </w:tcPr>
          <w:p>
            <w:pPr>
              <w:jc w:val="center"/>
              <w:spacing w:after="0" w:line="249" w:lineRule="exact"/>
              <w:rPr>
                <w:sz w:val="20"/>
                <w:szCs w:val="20"/>
                <w:color w:val="auto"/>
              </w:rPr>
            </w:pPr>
            <w:r>
              <w:rPr>
                <w:rFonts w:ascii="Times New Roman" w:cs="Times New Roman" w:eastAsia="Times New Roman" w:hAnsi="Times New Roman"/>
                <w:sz w:val="28"/>
                <w:szCs w:val="28"/>
                <w:b w:val="1"/>
                <w:bCs w:val="1"/>
                <w:color w:val="auto"/>
                <w:w w:val="90"/>
                <w:vertAlign w:val="subscript"/>
              </w:rPr>
              <w:t>$</w:t>
            </w:r>
            <w:r>
              <w:rPr>
                <w:rFonts w:ascii="Times New Roman" w:cs="Times New Roman" w:eastAsia="Times New Roman" w:hAnsi="Times New Roman"/>
                <w:sz w:val="9"/>
                <w:szCs w:val="9"/>
                <w:b w:val="1"/>
                <w:bCs w:val="1"/>
                <w:color w:val="auto"/>
                <w:w w:val="90"/>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3"/>
          </w:tcPr>
          <w:p>
            <w:pPr>
              <w:jc w:val="center"/>
              <w:spacing w:after="0" w:line="249"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xml:space="preserve">  ($)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99,000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209,385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 ​308,385​</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52,500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209,385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 ​261,885​</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60,500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209,385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 ​269,885​</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 ​130,000​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140" w:space="720"/>
            <w:col w:w="4019"/>
          </w:cols>
          <w:pgMar w:left="580" w:top="97" w:right="1440" w:bottom="1440" w:gutter="0" w:footer="0" w:header="0"/>
          <w:type w:val="continuous"/>
        </w:sectPr>
      </w:pPr>
    </w:p>
    <w:p>
      <w:pPr>
        <w:spacing w:after="0" w:line="166" w:lineRule="exact"/>
        <w:rPr>
          <w:sz w:val="20"/>
          <w:szCs w:val="20"/>
          <w:color w:val="auto"/>
        </w:rPr>
      </w:pPr>
    </w:p>
    <w:p>
      <w:pPr>
        <w:jc w:val="both"/>
        <w:ind w:left="2340" w:right="1139" w:hanging="360"/>
        <w:spacing w:after="0" w:line="266" w:lineRule="auto"/>
        <w:tabs>
          <w:tab w:leader="none" w:pos="2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Vera did not earn compensation during 2025 for his service on the Board of Directors. As a named executive officer, Dr. Vera’s compensation is fully reflected in the “Summary Compensation Table” above.</w:t>
      </w:r>
    </w:p>
    <w:p>
      <w:pPr>
        <w:spacing w:after="0" w:line="27" w:lineRule="exact"/>
        <w:rPr>
          <w:rFonts w:ascii="Times New Roman" w:cs="Times New Roman" w:eastAsia="Times New Roman" w:hAnsi="Times New Roman"/>
          <w:sz w:val="18"/>
          <w:szCs w:val="18"/>
          <w:color w:val="auto"/>
        </w:rPr>
      </w:pPr>
    </w:p>
    <w:p>
      <w:pPr>
        <w:jc w:val="both"/>
        <w:ind w:left="2340" w:right="1139" w:hanging="360"/>
        <w:spacing w:after="0" w:line="258" w:lineRule="auto"/>
        <w:tabs>
          <w:tab w:leader="none" w:pos="2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Messrs. Eansor, and Elms each held options to purchase 17,250 shares of our common stock, as adjusted for the Reverse Stock Split. Dr. Knobil, and Dr. Vera held options to purchase 28,500 shares and 240,487 shares, respectively, as of the same date, each as adjusted for the Reverse Stock Split. Ms. Penkus Corzo held options to purchase 8,200 shares.</w:t>
      </w:r>
    </w:p>
    <w:p>
      <w:pPr>
        <w:spacing w:after="0" w:line="34" w:lineRule="exact"/>
        <w:rPr>
          <w:rFonts w:ascii="Times New Roman" w:cs="Times New Roman" w:eastAsia="Times New Roman" w:hAnsi="Times New Roman"/>
          <w:sz w:val="18"/>
          <w:szCs w:val="18"/>
          <w:color w:val="auto"/>
        </w:rPr>
      </w:pPr>
    </w:p>
    <w:p>
      <w:pPr>
        <w:jc w:val="both"/>
        <w:ind w:left="2340" w:right="1139" w:hanging="360"/>
        <w:spacing w:after="0" w:line="255" w:lineRule="auto"/>
        <w:tabs>
          <w:tab w:leader="none" w:pos="2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grant date fair value of stock options awarded to the directors during the fiscal year ended December 31, 2025 for his or her service on the Board of Directors, as computed in accordance with FASB ASC 718. The fair value of each stock option grant is estimated on the date of grant using the Black-Scholes option pricing model. The significant factors and assumptions incorporated in the Black-Scholes-Merton model used to estimate the value of the options are included in Note 12 to our audited financial statements included in our Annual Report on Form 10-K.</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ARRATIVE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Our Director Compensation Program is assessed periodically relative to our comparators by Radford, the Compensation Committee’s independent compensation consultant. The program was most recently amended in February 2022. Pursuant to this program, each of our directors who is not an employee of the Company is eligible to receive compensation for service on our Board of Directors and committees thereof.</w:t>
      </w:r>
    </w:p>
    <w:p>
      <w:pPr>
        <w:spacing w:after="0" w:line="110"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Under our current compensation policy, each eligible director receives an annual cash retainer in the amount of $40,000 for serving on our Board of Directors. In addition, the Chair of our Board of Directors receives an annual cash retainer in the amount of $ 30,000 (in addition to the annual cash retainer given to all eligible directors). The chairperson of the Audit Committee of our Board of Directors is entitled to receive an additional annual cash retainer in the amount of $ 15,000, the chairperson of the Compensation Committee of our Board of Directors is entitled to receive an additional annual cash retainer in the amount of $10,000 and the chairperson of the Nominating and Corporate Governance Committee of our Board of Directors is entitled to receive an additional annual cash retainer in the amount of $ 8,000.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w:t>
      </w:r>
    </w:p>
    <w:p>
      <w:pPr>
        <w:spacing w:after="0" w:line="11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addition, each new eligible director who joins our Board of Directors is entitled to receive a non-statutory stock option to purchase shares of our common stock having a value of $120,000 under our 2020 Plan, with the shares vesting in 36 equal monthly installments, subject to continued service as a director through the vesting dates.</w:t>
      </w:r>
    </w:p>
    <w:p>
      <w:pPr>
        <w:sectPr>
          <w:pgSz w:w="11900" w:h="16838" w:orient="portrait"/>
          <w:cols w:equalWidth="0" w:num="1">
            <w:col w:w="9879"/>
          </w:cols>
          <w:pgMar w:left="580" w:top="97" w:right="1440" w:bottom="1440" w:gutter="0" w:footer="0" w:header="0"/>
          <w:type w:val="continuous"/>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is entitled to receive a non-statutory stock option to purchase shares of our common stock having a value of $100,000 under our 2020 Plan (the “Annual Grant”), with the Annual Grant shares vesting on the first anniversary of the date of grant, subject to continued service as a director though the vesting date.</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ITH</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NDEMNIFICATION</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3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the terms of the transaction, (c) the availability of other sources for comparable services or products and 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7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2023 to which we have been a party, in which the amount involved in the transaction exceeded the lesser of one percent of our average total assets at year-end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Purchases from Wilson Wolf Manufacturing Corporation</w:t>
      </w:r>
    </w:p>
    <w:p>
      <w:pPr>
        <w:spacing w:after="0" w:line="14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We contract with Wilson Wolf Manufacturing Corporation for the purchases of cell culture devices called G-Rexes. Mr. John Wilson, a former member of our board of directors, is the CEO of Wilson Wolf Manufacturing Corporation. In 2023, we purchased $277,000 of cell culture devices from Wilson Wolf Manufacturing Corporation. In 2025, we did not purchase cell culture devices from Wilson Wolf Manufacturing Corporation.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of Assets to Cell Ready LLC</w:t>
      </w:r>
    </w:p>
    <w:p>
      <w:pPr>
        <w:spacing w:after="0" w:line="162"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On June 26, 2023, we completed the transaction with Cell Ready, LLC, or Cell Ready, pursuant to a Purchase Agreement, or the Cell Ready Purchase Agreement, dated May 1, 2023, by and between the Company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Cell Ready. Cell Ready is owned by one of our former directors and shareholders, Mr. John Wilson. Pursuant to the Cell Ready Purchase Agreement, effective as of the closing date, we (i) assigned to Cell Ready the leases for our two manufacturing facilities in Houston, Texas, or the Manufacturing Facilities,</w:t>
      </w:r>
    </w:p>
    <w:p>
      <w:pPr>
        <w:spacing w:after="0" w:line="2" w:lineRule="exact"/>
        <w:rPr>
          <w:sz w:val="20"/>
          <w:szCs w:val="20"/>
          <w:color w:val="auto"/>
        </w:rPr>
      </w:pPr>
    </w:p>
    <w:p>
      <w:pPr>
        <w:ind w:left="1540" w:hanging="280"/>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to Cell Ready all of the equipment and leasehold improvements at the Manufacturing Facilities and</w:t>
      </w:r>
    </w:p>
    <w:p>
      <w:pPr>
        <w:spacing w:after="0" w:line="7" w:lineRule="exact"/>
        <w:rPr>
          <w:rFonts w:ascii="Times New Roman" w:cs="Times New Roman" w:eastAsia="Times New Roman" w:hAnsi="Times New Roman"/>
          <w:sz w:val="18"/>
          <w:szCs w:val="18"/>
          <w:color w:val="auto"/>
        </w:rPr>
      </w:pPr>
    </w:p>
    <w:p>
      <w:pPr>
        <w:jc w:val="both"/>
        <w:ind w:left="1260" w:right="419"/>
        <w:spacing w:after="0"/>
        <w:tabs>
          <w:tab w:leader="none" w:pos="16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to Cell Ready our rights, title and interest in any contracts related to the equipment and Manufacturing Facilities (collectively referred to as the “Purchased Assets”). Cell Ready acquired the Purchased Assets for total consideration of $19.0 million.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 with Cell Ready LLC</w:t>
      </w:r>
    </w:p>
    <w:p>
      <w:pPr>
        <w:spacing w:after="0" w:line="14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or MSA, with Cell Ready, LLC, or Cell Ready. Cell Ready, which is owned by one of our former directors and a current shareholder, Mr. John Wilson, is a contract development and manufacturing organization (CDMO). Under the MSA, Cell Ready performed a wide variety of services for us, including manufacturing in support of our clinical trials. Pursuant to the MSA, the Company could contract with Cell Ready for the provision of various products and services from time to time by entering into work orders with Cell Ready. On February 22, 2024, the Company entered into Work Order #1 under the MSA, pursuant to which Cell Ready provided the Company with GMP drug product for Marker MT-401 and/or MT-601. The services included the delivery of final drug product and quality control testing. The Company also requested Cell Ready to provide general support services in connection therewith.</w:t>
      </w:r>
    </w:p>
    <w:p>
      <w:pPr>
        <w:spacing w:after="0" w:line="11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During 2023, we paid approximately $1.3M to Cell Ready for outsourced product development and manufacturing services. During 2024, we paid approximately $5.5M to Cell Ready for outsourced product development and manufacturing services.</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spacing w:after="0" w:line="11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With regard to intellectual property, the MSA provides that each party will solely and exclusively own all right, title and interest in and to their Background IP and all inventions derived from such background IP (such invention being referred to as Foreground IP). Background IP means all intellectual property either</w:t>
      </w:r>
    </w:p>
    <w:p>
      <w:pPr>
        <w:jc w:val="both"/>
        <w:ind w:left="1260" w:right="419"/>
        <w:spacing w:after="0"/>
        <w:tabs>
          <w:tab w:leader="none" w:pos="15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or controlled by a party prior to the effective date of the MSA or (b) developed or acquired by a party independently from performance under the MSA without the use of, reliance on, or access to the other party’s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 fully paid-up, non-transferable, non-sublicensable limited license under and to the Company’s Background IP made available to Cell Ready pursuant to a Work Order solely to the extent required for Cell Ready to provide the services under such Work Order.</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AlloVir, Inc.</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Until June 2023, we were party to a services agreement with AlloVir, Inc. (“AlloVir”), pursuant to which we provided AlloVir with development services. Juan Vera, our Chief Executive Officer, Principal Executive Officer, Principal Accounting Officer, President and director, served on the board of directors of AlloVir.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This year, we expect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2450 Holcombe Blvd, TMC Partners Office 1.311, Houston, Texas 77021.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7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Juan Vera,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13716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March       , 2026</w:t>
      </w:r>
    </w:p>
    <w:p>
      <w:pPr>
        <w:spacing w:after="0" w:line="140"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2025 is available without charge upon written request to Marker Therapeutics, Inc., Attention: Secretary, Marker Therapeutics, Inc., 2450 Holcombe Blvd, TMC Partners Office 1.311, Houston, Texas 77021.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8"/>
          <w:szCs w:val="18"/>
          <w:b w:val="1"/>
          <w:bCs w:val="1"/>
          <w:color w:val="auto"/>
        </w:rPr>
        <w:t>FORM OF AMENDMENT TO CERTIFICATE OF INCORPORATION</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WITH RESPECT TO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131"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6"/>
          <w:szCs w:val="16"/>
          <w:b w:val="1"/>
          <w:bCs w:val="1"/>
          <w:color w:val="auto"/>
        </w:rPr>
        <w:t>IRST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name of this corporation is Marker Therapeutics, Inc., and the date on which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Incorporation of this corporation was originally filed with the Secretary of State of the State of Delaware was October 17, 2018, under the original name Marker Therapeutics, Inc.</w:t>
      </w:r>
    </w:p>
    <w:p>
      <w:pPr>
        <w:spacing w:after="0" w:line="83" w:lineRule="exact"/>
        <w:rPr>
          <w:sz w:val="20"/>
          <w:szCs w:val="20"/>
          <w:color w:val="auto"/>
        </w:rPr>
      </w:pPr>
    </w:p>
    <w:p>
      <w:pPr>
        <w:jc w:val="both"/>
        <w:ind w:left="1260" w:right="419"/>
        <w:spacing w:after="0" w:line="273" w:lineRule="auto"/>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ECOND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acting in accordance with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of Sections 141 and 242 of the DGCL, adopted resolutions amending its Certificate of Incorporation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to provide that Section A of Article IV of the Certificate of Incorporation is amended and restated to read in its entirety as follows:</w:t>
      </w:r>
    </w:p>
    <w:p>
      <w:pPr>
        <w:spacing w:after="0" w:line="10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The Corporation is authorized to issue two classes of stock to be designated, respectively, “Common Stock” and “Preferred Stock.” The total number of shares which the Corporation is authorized to issue is 135,000,000 shares, consisting of (i) 130,000,000 shares of Common Stock, $0.001 par value per share, and (ii) 5,000,000 shares of Preferred Stock, $0.001 par value per share.”</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HIRD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foregoing amendment to the Certificate of Incorporation was duly approved by the Board.</w:t>
      </w:r>
    </w:p>
    <w:p>
      <w:pPr>
        <w:spacing w:after="0" w:line="162" w:lineRule="exact"/>
        <w:rPr>
          <w:sz w:val="20"/>
          <w:szCs w:val="20"/>
          <w:color w:val="auto"/>
        </w:rPr>
      </w:pPr>
    </w:p>
    <w:p>
      <w:pPr>
        <w:jc w:val="both"/>
        <w:ind w:left="1260" w:right="419"/>
        <w:spacing w:after="0" w:line="300"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6"/>
          <w:szCs w:val="16"/>
          <w:b w:val="1"/>
          <w:bCs w:val="1"/>
          <w:color w:val="auto"/>
        </w:rPr>
        <w:t>OURTH</w:t>
      </w:r>
      <w:r>
        <w:rPr>
          <w:rFonts w:ascii="Times New Roman" w:cs="Times New Roman" w:eastAsia="Times New Roman" w:hAnsi="Times New Roman"/>
          <w:sz w:val="17"/>
          <w:szCs w:val="17"/>
          <w:color w:val="auto"/>
        </w:rPr>
        <w:t>: Thereafter, pursuant to a resolution of the Board, this Certificate of Amendment was submitted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to the stockholders of the Company for their approval, and was duly adopted in accordance with the provisions of Section 242 of the DGCL.</w:t>
      </w:r>
    </w:p>
    <w:p>
      <w:pPr>
        <w:spacing w:after="0" w:line="1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AGE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OLLOWS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419"/>
        <w:spacing w:after="0" w:line="347"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HEREOF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Marker Therapeutics, Inc. has caused this Certificate of Amendment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executed by its President and Chief Executive Officer as of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FORM OF AMENDMENT TO CERTIFICATE OF INCORPORATION</w:t>
      </w:r>
    </w:p>
    <w:p>
      <w:pPr>
        <w:spacing w:after="0" w:line="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WITH RESPECT TO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131"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6"/>
          <w:szCs w:val="16"/>
          <w:b w:val="1"/>
          <w:bCs w:val="1"/>
          <w:color w:val="auto"/>
        </w:rPr>
        <w:t>IRST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name of this corporation is Marker Therapeutics, Inc., and the date on which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Incorporation of this corporation was originally filed with the Secretary of State of the State of Delaware was October 17, 2018, under the original name Marker Therapeutics, Inc.</w:t>
      </w:r>
    </w:p>
    <w:p>
      <w:pPr>
        <w:spacing w:after="0" w:line="83" w:lineRule="exact"/>
        <w:rPr>
          <w:sz w:val="20"/>
          <w:szCs w:val="20"/>
          <w:color w:val="auto"/>
        </w:rPr>
      </w:pPr>
    </w:p>
    <w:p>
      <w:pPr>
        <w:jc w:val="both"/>
        <w:ind w:left="1260" w:right="419"/>
        <w:spacing w:after="0" w:line="273" w:lineRule="auto"/>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ECOND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acting in accordance with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of Sections 141 and 242 of the DGCL, adopted resolutions amending its Certificate of Incorporation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to provide that vote, Section B paragraph 2 of Article IV of our charter will be amended in its entirety as follows:</w:t>
      </w:r>
    </w:p>
    <w:p>
      <w:pPr>
        <w:spacing w:after="0" w:line="106"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of each share of Common Stock shall have the right to one vote for each such share, and shall be entitled to notice of any stockholders’ meeting in accordance with the Bylaws of the Corporation, and shall be entitled to vote upon such matters and in such manner as may be provided by law;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 The number of authorized shares of Common Stock, or Undesignated Preferred Stock may be increased or decreased (but not below the number of shares of such class then outstanding) by the requisite vote of the holders of the Common Stock of the Corporation entitled to vote thereon as provided in Section 242(d)(2) of the DGCL, and no vote of the holders of either the Common Stock or Undesignated Preferred Stock voting separately as a class shall be required therefor irrespective of the provisions of Section 242(b)(2) of the DGCL.”</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HIRD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The foregoing amendment to the Certificate of Incorporation was duly approved by the Board.</w:t>
      </w:r>
    </w:p>
    <w:p>
      <w:pPr>
        <w:spacing w:after="0" w:line="162" w:lineRule="exact"/>
        <w:rPr>
          <w:sz w:val="20"/>
          <w:szCs w:val="20"/>
          <w:color w:val="auto"/>
        </w:rPr>
      </w:pPr>
    </w:p>
    <w:p>
      <w:pPr>
        <w:jc w:val="both"/>
        <w:ind w:left="1260" w:right="419"/>
        <w:spacing w:after="0" w:line="300" w:lineRule="auto"/>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6"/>
          <w:szCs w:val="16"/>
          <w:b w:val="1"/>
          <w:bCs w:val="1"/>
          <w:color w:val="auto"/>
        </w:rPr>
        <w:t>OURTH</w:t>
      </w:r>
      <w:r>
        <w:rPr>
          <w:rFonts w:ascii="Times New Roman" w:cs="Times New Roman" w:eastAsia="Times New Roman" w:hAnsi="Times New Roman"/>
          <w:sz w:val="17"/>
          <w:szCs w:val="17"/>
          <w:color w:val="auto"/>
        </w:rPr>
        <w:t>: Thereafter, pursuant to a resolution of the Board, this Certificate of Amendment was submitted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to the stockholders of the Company for their approval, and was duly adopted in accordance with the provisions of Section 242 of the DGCL.</w:t>
      </w:r>
    </w:p>
    <w:p>
      <w:pPr>
        <w:spacing w:after="0" w:line="1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IGNATURE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AGE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OLLOWS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419"/>
        <w:spacing w:after="0" w:line="347"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6"/>
          <w:szCs w:val="16"/>
          <w:b w:val="1"/>
          <w:bCs w:val="1"/>
          <w:color w:val="auto"/>
        </w:rPr>
        <w:t>HEREOF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Marker Therapeutics, Inc. has caused this Certificate of Amendment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executed by its President and Chief Executive Officer as of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509905</wp:posOffset>
            </wp:positionV>
            <wp:extent cx="5597525" cy="72434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569595</wp:posOffset>
            </wp:positionV>
            <wp:extent cx="5597525" cy="72434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Roman"/>
      <w:start w:val="2"/>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lvl w:ilvl="1">
      <w:lvlJc w:val="left"/>
      <w:lvlText w:val="(%2)"/>
      <w:numFmt w:val="lowerLetter"/>
      <w:start w:val="2"/>
    </w:lvl>
  </w:abstractNum>
  <w:abstractNum w:abstractNumId="16">
    <w:nsid w:val="2443A858"/>
    <w:multiLevelType w:val="hybridMultilevel"/>
    <w:lvl w:ilvl="0">
      <w:lvlJc w:val="left"/>
      <w:lvlText w:val="(%1)"/>
      <w:numFmt w:val="decimal"/>
      <w:start w:val="5"/>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4"/>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lowerRoman"/>
      <w:start w:val="2"/>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2026-03-10T16:21:15Z</dcterms:created>
  <dcterms:modified xsi:type="dcterms:W3CDTF">2026-03-10T16:21:15Z</dcterms:modified>
</cp:coreProperties>
</file>